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67D2A" w14:textId="77777777" w:rsidR="00575E4D" w:rsidRPr="00313305" w:rsidRDefault="00575E4D" w:rsidP="00575E4D">
      <w:pPr>
        <w:spacing w:line="480" w:lineRule="auto"/>
        <w:ind w:left="720" w:hanging="360"/>
        <w:jc w:val="center"/>
      </w:pPr>
      <w:r w:rsidRPr="00313305">
        <w:t>UNIVERSITY OF OKLAHOMA</w:t>
      </w:r>
    </w:p>
    <w:p w14:paraId="14CC98E4" w14:textId="77777777" w:rsidR="00575E4D" w:rsidRPr="00313305" w:rsidRDefault="00575E4D" w:rsidP="00575E4D">
      <w:pPr>
        <w:spacing w:line="480" w:lineRule="auto"/>
        <w:ind w:left="720" w:hanging="360"/>
        <w:jc w:val="center"/>
      </w:pPr>
      <w:r w:rsidRPr="00313305">
        <w:t>GRADUATE COLLEGE</w:t>
      </w:r>
    </w:p>
    <w:p w14:paraId="08121422" w14:textId="77777777" w:rsidR="00575E4D" w:rsidRPr="00313305" w:rsidRDefault="00575E4D" w:rsidP="00575E4D">
      <w:pPr>
        <w:spacing w:line="480" w:lineRule="auto"/>
        <w:ind w:left="720" w:hanging="360"/>
        <w:jc w:val="center"/>
      </w:pPr>
    </w:p>
    <w:p w14:paraId="389B23C2" w14:textId="77777777" w:rsidR="00575E4D" w:rsidRPr="00313305" w:rsidRDefault="00575E4D" w:rsidP="00575E4D">
      <w:pPr>
        <w:spacing w:line="480" w:lineRule="auto"/>
        <w:ind w:left="720" w:hanging="360"/>
        <w:jc w:val="center"/>
      </w:pPr>
    </w:p>
    <w:p w14:paraId="32B7A74A" w14:textId="77777777" w:rsidR="00575E4D" w:rsidRPr="00313305" w:rsidRDefault="00575E4D" w:rsidP="00575E4D">
      <w:pPr>
        <w:spacing w:line="480" w:lineRule="auto"/>
        <w:ind w:left="720" w:hanging="360"/>
        <w:jc w:val="center"/>
      </w:pPr>
    </w:p>
    <w:p w14:paraId="032059C6" w14:textId="7122999D" w:rsidR="003F4BB0" w:rsidRPr="003F4BB0" w:rsidRDefault="003F4BB0" w:rsidP="003F4BB0">
      <w:pPr>
        <w:spacing w:line="480" w:lineRule="auto"/>
        <w:ind w:left="720" w:hanging="360"/>
      </w:pPr>
      <w:bookmarkStart w:id="0" w:name="_Hlk99899225"/>
      <w:r w:rsidRPr="003F4BB0">
        <w:t>A M</w:t>
      </w:r>
      <w:r w:rsidRPr="00313305">
        <w:t>ULTI</w:t>
      </w:r>
      <w:r w:rsidRPr="003F4BB0">
        <w:t>-R</w:t>
      </w:r>
      <w:r w:rsidRPr="00313305">
        <w:t>ESOLUTION</w:t>
      </w:r>
      <w:r w:rsidRPr="003F4BB0">
        <w:t xml:space="preserve"> E</w:t>
      </w:r>
      <w:r w:rsidRPr="00313305">
        <w:t>NSEMBLE</w:t>
      </w:r>
      <w:r w:rsidRPr="003F4BB0">
        <w:t xml:space="preserve"> H</w:t>
      </w:r>
      <w:r w:rsidRPr="00313305">
        <w:t>YBRID</w:t>
      </w:r>
      <w:r w:rsidRPr="003F4BB0">
        <w:t xml:space="preserve"> 4DE</w:t>
      </w:r>
      <w:r w:rsidR="00D9315D">
        <w:t>N</w:t>
      </w:r>
      <w:r w:rsidRPr="003F4BB0">
        <w:t>V</w:t>
      </w:r>
      <w:r w:rsidR="00D9315D">
        <w:t>AR</w:t>
      </w:r>
      <w:r w:rsidRPr="003F4BB0">
        <w:t xml:space="preserve"> </w:t>
      </w:r>
      <w:r w:rsidRPr="00313305">
        <w:t>WITH</w:t>
      </w:r>
      <w:r w:rsidRPr="003F4BB0">
        <w:t xml:space="preserve"> V</w:t>
      </w:r>
      <w:r w:rsidRPr="00313305">
        <w:t>ARIABLE</w:t>
      </w:r>
      <w:r w:rsidRPr="003F4BB0">
        <w:t xml:space="preserve"> E</w:t>
      </w:r>
      <w:r w:rsidRPr="00313305">
        <w:t>NSEMBLE</w:t>
      </w:r>
      <w:r w:rsidRPr="003F4BB0">
        <w:t xml:space="preserve"> S</w:t>
      </w:r>
      <w:r w:rsidRPr="00313305">
        <w:t>IZE</w:t>
      </w:r>
      <w:r w:rsidR="00140BF2">
        <w:t>S</w:t>
      </w:r>
      <w:r w:rsidRPr="003F4BB0">
        <w:t xml:space="preserve"> </w:t>
      </w:r>
      <w:r w:rsidRPr="00313305">
        <w:t>TO</w:t>
      </w:r>
      <w:r w:rsidRPr="003F4BB0">
        <w:t xml:space="preserve"> I</w:t>
      </w:r>
      <w:r w:rsidRPr="00313305">
        <w:t>MPROVE</w:t>
      </w:r>
      <w:r w:rsidRPr="003F4BB0">
        <w:t xml:space="preserve"> G</w:t>
      </w:r>
      <w:r w:rsidRPr="00313305">
        <w:t>LOBAL</w:t>
      </w:r>
      <w:r w:rsidRPr="003F4BB0">
        <w:t xml:space="preserve"> </w:t>
      </w:r>
      <w:r w:rsidRPr="00313305">
        <w:t>AND</w:t>
      </w:r>
      <w:r w:rsidRPr="003F4BB0">
        <w:t xml:space="preserve"> T</w:t>
      </w:r>
      <w:r w:rsidRPr="00313305">
        <w:t>ROPICAL</w:t>
      </w:r>
      <w:r w:rsidRPr="003F4BB0">
        <w:t xml:space="preserve"> C</w:t>
      </w:r>
      <w:r w:rsidRPr="00313305">
        <w:t>YCLONE</w:t>
      </w:r>
      <w:r w:rsidRPr="003F4BB0">
        <w:t xml:space="preserve"> </w:t>
      </w:r>
      <w:r w:rsidR="00140BF2">
        <w:t xml:space="preserve">TRACK </w:t>
      </w:r>
      <w:r w:rsidRPr="003F4BB0">
        <w:t>N</w:t>
      </w:r>
      <w:r w:rsidRPr="00313305">
        <w:t>UMERICAL</w:t>
      </w:r>
      <w:r w:rsidRPr="003F4BB0">
        <w:t xml:space="preserve"> P</w:t>
      </w:r>
      <w:r w:rsidRPr="00313305">
        <w:t>REDICTION</w:t>
      </w:r>
      <w:r w:rsidRPr="003F4BB0">
        <w:t xml:space="preserve">  </w:t>
      </w:r>
    </w:p>
    <w:bookmarkEnd w:id="0"/>
    <w:p w14:paraId="7E9980AC" w14:textId="77777777" w:rsidR="00917DD9" w:rsidRPr="00313305" w:rsidRDefault="00917DD9" w:rsidP="00575E4D">
      <w:pPr>
        <w:spacing w:line="480" w:lineRule="auto"/>
        <w:ind w:left="720" w:hanging="360"/>
        <w:rPr>
          <w:b/>
          <w:bCs/>
        </w:rPr>
      </w:pPr>
    </w:p>
    <w:p w14:paraId="61EA4EED" w14:textId="77777777" w:rsidR="00575E4D" w:rsidRPr="00313305" w:rsidRDefault="00575E4D" w:rsidP="00575E4D">
      <w:pPr>
        <w:spacing w:line="480" w:lineRule="auto"/>
        <w:ind w:left="720" w:hanging="360"/>
        <w:rPr>
          <w:b/>
          <w:bCs/>
        </w:rPr>
      </w:pPr>
    </w:p>
    <w:p w14:paraId="74E2D175" w14:textId="77777777" w:rsidR="00575E4D" w:rsidRPr="00313305" w:rsidRDefault="00575E4D" w:rsidP="00575E4D">
      <w:pPr>
        <w:spacing w:line="480" w:lineRule="auto"/>
        <w:ind w:left="720" w:hanging="360"/>
        <w:rPr>
          <w:b/>
          <w:bCs/>
        </w:rPr>
      </w:pPr>
    </w:p>
    <w:p w14:paraId="3C8A5CE8" w14:textId="77777777" w:rsidR="00575E4D" w:rsidRPr="00313305" w:rsidRDefault="00575E4D" w:rsidP="00575E4D">
      <w:pPr>
        <w:spacing w:line="480" w:lineRule="auto"/>
        <w:ind w:left="720" w:hanging="360"/>
        <w:jc w:val="center"/>
        <w:rPr>
          <w:b/>
          <w:bCs/>
        </w:rPr>
      </w:pPr>
    </w:p>
    <w:p w14:paraId="231AFD3C" w14:textId="77777777" w:rsidR="00575E4D" w:rsidRPr="00313305" w:rsidRDefault="00575E4D" w:rsidP="00575E4D">
      <w:pPr>
        <w:spacing w:line="480" w:lineRule="auto"/>
        <w:ind w:left="720" w:hanging="360"/>
        <w:jc w:val="center"/>
      </w:pPr>
      <w:r w:rsidRPr="00313305">
        <w:t>A THESIS</w:t>
      </w:r>
    </w:p>
    <w:p w14:paraId="5D71AF2D" w14:textId="77777777" w:rsidR="00575E4D" w:rsidRPr="00313305" w:rsidRDefault="00575E4D" w:rsidP="00575E4D">
      <w:pPr>
        <w:spacing w:line="480" w:lineRule="auto"/>
        <w:ind w:left="720" w:hanging="360"/>
        <w:jc w:val="center"/>
      </w:pPr>
      <w:r w:rsidRPr="00313305">
        <w:t>SUBMITTED TO THE GRADUATE FACULTY</w:t>
      </w:r>
    </w:p>
    <w:p w14:paraId="6D5A3D04" w14:textId="5E0F84C8" w:rsidR="00575E4D" w:rsidRPr="00313305" w:rsidRDefault="00B06E77" w:rsidP="00575E4D">
      <w:pPr>
        <w:spacing w:line="480" w:lineRule="auto"/>
        <w:ind w:left="720" w:hanging="360"/>
        <w:jc w:val="center"/>
      </w:pPr>
      <w:r>
        <w:t>i</w:t>
      </w:r>
      <w:r w:rsidR="00575E4D" w:rsidRPr="00313305">
        <w:t>n partial fulfillment of the requirements for the</w:t>
      </w:r>
    </w:p>
    <w:p w14:paraId="39E3C355" w14:textId="77777777" w:rsidR="00575E4D" w:rsidRPr="00313305" w:rsidRDefault="00575E4D" w:rsidP="00575E4D">
      <w:pPr>
        <w:spacing w:line="480" w:lineRule="auto"/>
        <w:ind w:left="720" w:hanging="360"/>
        <w:jc w:val="center"/>
      </w:pPr>
      <w:r w:rsidRPr="00313305">
        <w:t>Degree of</w:t>
      </w:r>
    </w:p>
    <w:p w14:paraId="71C95789" w14:textId="77777777" w:rsidR="00575E4D" w:rsidRPr="00313305" w:rsidRDefault="00575E4D" w:rsidP="00575E4D">
      <w:pPr>
        <w:spacing w:line="480" w:lineRule="auto"/>
        <w:ind w:left="720" w:hanging="360"/>
        <w:jc w:val="center"/>
      </w:pPr>
      <w:r w:rsidRPr="00313305">
        <w:t xml:space="preserve">MASTER OF </w:t>
      </w:r>
      <w:r w:rsidR="006B7D08" w:rsidRPr="00313305">
        <w:t>SCIENCE</w:t>
      </w:r>
      <w:r w:rsidR="00F81C39" w:rsidRPr="00313305">
        <w:t xml:space="preserve"> IN METEOROLOGY</w:t>
      </w:r>
      <w:r w:rsidR="006B7D08" w:rsidRPr="00313305">
        <w:t xml:space="preserve"> </w:t>
      </w:r>
    </w:p>
    <w:p w14:paraId="543023CC" w14:textId="77777777" w:rsidR="00575E4D" w:rsidRPr="00313305" w:rsidRDefault="00575E4D" w:rsidP="00575E4D">
      <w:pPr>
        <w:spacing w:line="480" w:lineRule="auto"/>
        <w:ind w:left="720" w:hanging="360"/>
        <w:jc w:val="center"/>
      </w:pPr>
    </w:p>
    <w:p w14:paraId="2B4523EB" w14:textId="77777777" w:rsidR="00F81C39" w:rsidRPr="00313305" w:rsidRDefault="00F81C39" w:rsidP="003F4BB0">
      <w:pPr>
        <w:spacing w:line="480" w:lineRule="auto"/>
      </w:pPr>
    </w:p>
    <w:p w14:paraId="167FB87A" w14:textId="77777777" w:rsidR="00575E4D" w:rsidRPr="00313305" w:rsidRDefault="00575E4D" w:rsidP="00575E4D">
      <w:pPr>
        <w:spacing w:line="480" w:lineRule="auto"/>
        <w:ind w:left="720" w:hanging="360"/>
        <w:jc w:val="center"/>
      </w:pPr>
    </w:p>
    <w:p w14:paraId="3CD4EC73" w14:textId="77777777" w:rsidR="00575E4D" w:rsidRPr="00313305" w:rsidRDefault="00575E4D" w:rsidP="00575E4D">
      <w:pPr>
        <w:spacing w:line="480" w:lineRule="auto"/>
        <w:ind w:left="720" w:hanging="360"/>
        <w:jc w:val="center"/>
      </w:pPr>
      <w:r w:rsidRPr="00313305">
        <w:t>By</w:t>
      </w:r>
    </w:p>
    <w:p w14:paraId="4F7FC03B" w14:textId="6A2BB9C7" w:rsidR="00575E4D" w:rsidRPr="00313305" w:rsidRDefault="003F4BB0" w:rsidP="00575E4D">
      <w:pPr>
        <w:ind w:left="720" w:hanging="360"/>
        <w:jc w:val="center"/>
      </w:pPr>
      <w:r w:rsidRPr="00313305">
        <w:t xml:space="preserve">ERIN </w:t>
      </w:r>
      <w:r w:rsidR="00EE5358">
        <w:t xml:space="preserve">ASHLEY </w:t>
      </w:r>
      <w:r w:rsidRPr="00313305">
        <w:t>JONES</w:t>
      </w:r>
    </w:p>
    <w:p w14:paraId="72FE8A12" w14:textId="77777777" w:rsidR="00575E4D" w:rsidRPr="00313305" w:rsidRDefault="00575E4D" w:rsidP="00575E4D">
      <w:pPr>
        <w:ind w:left="720" w:hanging="360"/>
        <w:jc w:val="center"/>
      </w:pPr>
      <w:r w:rsidRPr="00313305">
        <w:t>Norman, Oklahoma</w:t>
      </w:r>
    </w:p>
    <w:p w14:paraId="2A03D14C" w14:textId="23F14A15" w:rsidR="00575E4D" w:rsidRPr="00313305" w:rsidRDefault="00575E4D" w:rsidP="00575E4D">
      <w:pPr>
        <w:ind w:left="720" w:hanging="360"/>
        <w:jc w:val="center"/>
      </w:pPr>
      <w:r w:rsidRPr="00313305">
        <w:t>202</w:t>
      </w:r>
      <w:r w:rsidR="003F4BB0" w:rsidRPr="00313305">
        <w:t>2</w:t>
      </w:r>
    </w:p>
    <w:p w14:paraId="6F8114B7" w14:textId="77777777" w:rsidR="00F81C39" w:rsidRPr="00313305" w:rsidRDefault="00F81C39" w:rsidP="00575E4D">
      <w:pPr>
        <w:ind w:left="720" w:hanging="360"/>
        <w:jc w:val="center"/>
      </w:pPr>
    </w:p>
    <w:p w14:paraId="685BC0B7" w14:textId="08163FDF" w:rsidR="003F4BB0" w:rsidRPr="003F4BB0" w:rsidRDefault="003F4BB0" w:rsidP="003F4BB0">
      <w:pPr>
        <w:spacing w:line="480" w:lineRule="auto"/>
        <w:ind w:left="720" w:hanging="360"/>
        <w:jc w:val="center"/>
      </w:pPr>
      <w:r w:rsidRPr="003F4BB0">
        <w:lastRenderedPageBreak/>
        <w:t>A MULTI-RESOLUTION ENSEMBLE HYBRID 4DE</w:t>
      </w:r>
      <w:r w:rsidR="00D9315D">
        <w:t>N</w:t>
      </w:r>
      <w:r w:rsidRPr="003F4BB0">
        <w:t>V</w:t>
      </w:r>
      <w:r w:rsidR="00D9315D">
        <w:t>AR</w:t>
      </w:r>
      <w:r w:rsidRPr="003F4BB0">
        <w:t xml:space="preserve"> WITH VARIABLE ENSEMBLE SIZE</w:t>
      </w:r>
      <w:r w:rsidR="00EE5358">
        <w:t>S</w:t>
      </w:r>
      <w:r w:rsidRPr="003F4BB0">
        <w:t xml:space="preserve"> TO IMPROVE GLOBAL AND TROPICAL CYCLONE</w:t>
      </w:r>
      <w:r w:rsidR="00EE5358">
        <w:t xml:space="preserve"> TRACK</w:t>
      </w:r>
      <w:r w:rsidRPr="003F4BB0">
        <w:t xml:space="preserve"> NUMERICAL PREDICTION  </w:t>
      </w:r>
    </w:p>
    <w:p w14:paraId="3D9ED3E0" w14:textId="77777777" w:rsidR="00575E4D" w:rsidRPr="00313305" w:rsidRDefault="00575E4D" w:rsidP="00575E4D">
      <w:pPr>
        <w:spacing w:line="480" w:lineRule="auto"/>
        <w:ind w:left="720" w:hanging="360"/>
        <w:jc w:val="center"/>
      </w:pPr>
    </w:p>
    <w:p w14:paraId="11330D0C" w14:textId="77777777" w:rsidR="00575E4D" w:rsidRPr="00313305" w:rsidRDefault="00575E4D" w:rsidP="00575E4D">
      <w:pPr>
        <w:spacing w:line="480" w:lineRule="auto"/>
        <w:ind w:left="720" w:hanging="360"/>
        <w:jc w:val="center"/>
      </w:pPr>
    </w:p>
    <w:p w14:paraId="6E884293" w14:textId="77777777" w:rsidR="00575E4D" w:rsidRPr="00313305" w:rsidRDefault="00575E4D" w:rsidP="00575E4D">
      <w:pPr>
        <w:ind w:left="720" w:hanging="360"/>
        <w:jc w:val="center"/>
      </w:pPr>
      <w:r w:rsidRPr="00313305">
        <w:t>A THESIS APPROVED FOR THE</w:t>
      </w:r>
    </w:p>
    <w:p w14:paraId="7C6EEA99" w14:textId="77777777" w:rsidR="00575E4D" w:rsidRPr="00313305" w:rsidRDefault="00575E4D" w:rsidP="00575E4D">
      <w:pPr>
        <w:spacing w:line="480" w:lineRule="auto"/>
        <w:ind w:left="720" w:hanging="360"/>
        <w:jc w:val="center"/>
      </w:pPr>
      <w:r w:rsidRPr="00313305">
        <w:t>SCHOOL OF METEOROLOGY</w:t>
      </w:r>
    </w:p>
    <w:p w14:paraId="462AF0AF" w14:textId="77777777" w:rsidR="00575E4D" w:rsidRPr="00313305" w:rsidRDefault="00575E4D" w:rsidP="00575E4D">
      <w:pPr>
        <w:spacing w:line="480" w:lineRule="auto"/>
        <w:ind w:left="720" w:hanging="360"/>
        <w:jc w:val="center"/>
      </w:pPr>
    </w:p>
    <w:p w14:paraId="78604236" w14:textId="77777777" w:rsidR="00575E4D" w:rsidRPr="00313305" w:rsidRDefault="00575E4D" w:rsidP="00575E4D">
      <w:pPr>
        <w:spacing w:line="480" w:lineRule="auto"/>
        <w:ind w:left="720" w:hanging="360"/>
        <w:jc w:val="center"/>
      </w:pPr>
    </w:p>
    <w:p w14:paraId="1FD90D40" w14:textId="77777777" w:rsidR="00575E4D" w:rsidRPr="00313305" w:rsidRDefault="00575E4D" w:rsidP="00575E4D">
      <w:pPr>
        <w:spacing w:line="480" w:lineRule="auto"/>
        <w:ind w:left="720" w:hanging="360"/>
        <w:jc w:val="center"/>
      </w:pPr>
    </w:p>
    <w:p w14:paraId="64DE1EFF" w14:textId="77777777" w:rsidR="00575E4D" w:rsidRPr="00313305" w:rsidRDefault="00575E4D" w:rsidP="00575E4D">
      <w:pPr>
        <w:spacing w:line="480" w:lineRule="auto"/>
        <w:ind w:left="720" w:hanging="360"/>
        <w:jc w:val="center"/>
      </w:pPr>
    </w:p>
    <w:p w14:paraId="3858192B" w14:textId="77777777" w:rsidR="00575E4D" w:rsidRPr="00313305" w:rsidRDefault="00575E4D" w:rsidP="00575E4D">
      <w:pPr>
        <w:spacing w:line="480" w:lineRule="auto"/>
        <w:ind w:left="720" w:hanging="360"/>
        <w:jc w:val="center"/>
      </w:pPr>
    </w:p>
    <w:p w14:paraId="26CA5C1E" w14:textId="77777777" w:rsidR="00575E4D" w:rsidRPr="00313305" w:rsidRDefault="00575E4D" w:rsidP="00575E4D">
      <w:pPr>
        <w:spacing w:line="480" w:lineRule="auto"/>
        <w:ind w:left="720" w:hanging="360"/>
        <w:jc w:val="center"/>
      </w:pPr>
      <w:r w:rsidRPr="00313305">
        <w:t>BY THE COMMITTEE CONSISTING OF</w:t>
      </w:r>
    </w:p>
    <w:p w14:paraId="3C3CA80A" w14:textId="77777777" w:rsidR="00575E4D" w:rsidRPr="00313305" w:rsidRDefault="00575E4D" w:rsidP="00575E4D">
      <w:pPr>
        <w:spacing w:line="480" w:lineRule="auto"/>
        <w:ind w:left="720" w:hanging="360"/>
        <w:jc w:val="center"/>
      </w:pPr>
    </w:p>
    <w:p w14:paraId="7E0769DC" w14:textId="77777777" w:rsidR="00575E4D" w:rsidRPr="00313305" w:rsidRDefault="00575E4D" w:rsidP="00575E4D">
      <w:pPr>
        <w:spacing w:line="480" w:lineRule="auto"/>
        <w:ind w:left="720" w:hanging="360"/>
        <w:jc w:val="center"/>
      </w:pPr>
    </w:p>
    <w:p w14:paraId="7D752224" w14:textId="77777777" w:rsidR="00575E4D" w:rsidRPr="00313305" w:rsidRDefault="00575E4D" w:rsidP="00575E4D">
      <w:pPr>
        <w:spacing w:line="480" w:lineRule="auto"/>
        <w:ind w:left="720" w:hanging="360"/>
        <w:jc w:val="center"/>
      </w:pPr>
    </w:p>
    <w:p w14:paraId="11ABBDC9" w14:textId="77777777" w:rsidR="00575E4D" w:rsidRPr="00313305" w:rsidRDefault="00575E4D" w:rsidP="00575E4D">
      <w:pPr>
        <w:spacing w:line="480" w:lineRule="auto"/>
        <w:ind w:left="720" w:hanging="360"/>
        <w:jc w:val="center"/>
      </w:pPr>
    </w:p>
    <w:p w14:paraId="049C817E" w14:textId="77777777" w:rsidR="00575E4D" w:rsidRPr="00313305" w:rsidRDefault="00575E4D" w:rsidP="00575E4D">
      <w:pPr>
        <w:spacing w:line="480" w:lineRule="auto"/>
        <w:ind w:left="720" w:hanging="360"/>
        <w:jc w:val="center"/>
      </w:pPr>
    </w:p>
    <w:p w14:paraId="03207E77" w14:textId="4B2CB472" w:rsidR="00575E4D" w:rsidRPr="00313305" w:rsidRDefault="00575E4D" w:rsidP="00575E4D">
      <w:pPr>
        <w:spacing w:line="480" w:lineRule="auto"/>
        <w:ind w:left="720" w:hanging="360"/>
        <w:jc w:val="right"/>
      </w:pPr>
      <w:r w:rsidRPr="00313305">
        <w:t xml:space="preserve">Dr. </w:t>
      </w:r>
      <w:r w:rsidR="003F4BB0" w:rsidRPr="00313305">
        <w:t>Xuguang Wang</w:t>
      </w:r>
      <w:r w:rsidRPr="00313305">
        <w:t>, Chair</w:t>
      </w:r>
    </w:p>
    <w:p w14:paraId="10A05DD8" w14:textId="102B30CA" w:rsidR="00575E4D" w:rsidRPr="00313305" w:rsidRDefault="00575E4D" w:rsidP="00575E4D">
      <w:pPr>
        <w:spacing w:line="480" w:lineRule="auto"/>
        <w:ind w:left="720" w:hanging="360"/>
        <w:jc w:val="right"/>
      </w:pPr>
      <w:r w:rsidRPr="00313305">
        <w:t xml:space="preserve">Dr. </w:t>
      </w:r>
      <w:r w:rsidR="003F4BB0" w:rsidRPr="00313305">
        <w:t>Steven M. Cavallo</w:t>
      </w:r>
    </w:p>
    <w:p w14:paraId="733CED4D" w14:textId="080D5095" w:rsidR="00575E4D" w:rsidRPr="00313305" w:rsidRDefault="00575E4D" w:rsidP="00575E4D">
      <w:pPr>
        <w:spacing w:line="480" w:lineRule="auto"/>
        <w:ind w:left="720" w:hanging="360"/>
        <w:jc w:val="right"/>
      </w:pPr>
      <w:r w:rsidRPr="00313305">
        <w:t>Dr. Ja</w:t>
      </w:r>
      <w:r w:rsidR="003F4BB0" w:rsidRPr="00313305">
        <w:t>mes</w:t>
      </w:r>
      <w:r w:rsidRPr="00313305">
        <w:t xml:space="preserve"> </w:t>
      </w:r>
      <w:r w:rsidR="003F4BB0" w:rsidRPr="00313305">
        <w:t>H</w:t>
      </w:r>
      <w:r w:rsidR="00430AA1" w:rsidRPr="00313305">
        <w:t xml:space="preserve">. </w:t>
      </w:r>
      <w:r w:rsidR="003F4BB0" w:rsidRPr="00313305">
        <w:t>Rupert Jr.</w:t>
      </w:r>
    </w:p>
    <w:p w14:paraId="03689EE8" w14:textId="77777777" w:rsidR="00575E4D" w:rsidRPr="00313305" w:rsidRDefault="00575E4D" w:rsidP="00575E4D">
      <w:pPr>
        <w:spacing w:line="480" w:lineRule="auto"/>
        <w:ind w:left="720" w:hanging="360"/>
        <w:jc w:val="center"/>
      </w:pPr>
    </w:p>
    <w:p w14:paraId="5FA4EE8A" w14:textId="77777777" w:rsidR="00575E4D" w:rsidRPr="00313305" w:rsidRDefault="00575E4D" w:rsidP="00575E4D">
      <w:pPr>
        <w:spacing w:line="480" w:lineRule="auto"/>
        <w:ind w:left="720" w:hanging="360"/>
        <w:jc w:val="center"/>
      </w:pPr>
    </w:p>
    <w:p w14:paraId="5560102E" w14:textId="77777777" w:rsidR="00575E4D" w:rsidRPr="00313305" w:rsidRDefault="00575E4D" w:rsidP="00575E4D">
      <w:pPr>
        <w:spacing w:line="480" w:lineRule="auto"/>
        <w:ind w:left="720" w:hanging="360"/>
        <w:jc w:val="center"/>
      </w:pPr>
    </w:p>
    <w:p w14:paraId="61598BB3" w14:textId="77777777" w:rsidR="00575E4D" w:rsidRPr="00313305" w:rsidRDefault="00575E4D" w:rsidP="00575E4D">
      <w:pPr>
        <w:spacing w:line="480" w:lineRule="auto"/>
        <w:ind w:left="720" w:hanging="360"/>
        <w:jc w:val="center"/>
      </w:pPr>
    </w:p>
    <w:p w14:paraId="43514DCF" w14:textId="77777777" w:rsidR="00575E4D" w:rsidRPr="00313305" w:rsidRDefault="00575E4D" w:rsidP="00575E4D">
      <w:pPr>
        <w:spacing w:line="480" w:lineRule="auto"/>
        <w:ind w:left="720" w:hanging="360"/>
        <w:jc w:val="center"/>
      </w:pPr>
    </w:p>
    <w:p w14:paraId="2122DABD" w14:textId="77777777" w:rsidR="00575E4D" w:rsidRPr="00313305" w:rsidRDefault="00575E4D" w:rsidP="00575E4D">
      <w:pPr>
        <w:spacing w:line="480" w:lineRule="auto"/>
        <w:ind w:left="720" w:hanging="360"/>
        <w:jc w:val="center"/>
      </w:pPr>
    </w:p>
    <w:p w14:paraId="512E44A6" w14:textId="77777777" w:rsidR="00575E4D" w:rsidRPr="00313305" w:rsidRDefault="00575E4D" w:rsidP="00575E4D">
      <w:pPr>
        <w:spacing w:line="480" w:lineRule="auto"/>
        <w:ind w:left="720" w:hanging="360"/>
        <w:jc w:val="center"/>
      </w:pPr>
    </w:p>
    <w:p w14:paraId="770C72C9" w14:textId="77777777" w:rsidR="00575E4D" w:rsidRPr="00313305" w:rsidRDefault="00575E4D" w:rsidP="00575E4D">
      <w:pPr>
        <w:spacing w:line="480" w:lineRule="auto"/>
        <w:ind w:left="720" w:hanging="360"/>
        <w:jc w:val="center"/>
      </w:pPr>
    </w:p>
    <w:p w14:paraId="339C8B19" w14:textId="77777777" w:rsidR="00575E4D" w:rsidRPr="00313305" w:rsidRDefault="00575E4D" w:rsidP="00575E4D">
      <w:pPr>
        <w:spacing w:line="480" w:lineRule="auto"/>
        <w:ind w:left="720" w:hanging="360"/>
        <w:jc w:val="center"/>
      </w:pPr>
    </w:p>
    <w:p w14:paraId="1790FE26" w14:textId="77777777" w:rsidR="00575E4D" w:rsidRPr="00313305" w:rsidRDefault="00575E4D" w:rsidP="00575E4D">
      <w:pPr>
        <w:spacing w:line="480" w:lineRule="auto"/>
        <w:ind w:left="720" w:hanging="360"/>
        <w:jc w:val="center"/>
      </w:pPr>
    </w:p>
    <w:p w14:paraId="3072B6E5" w14:textId="77777777" w:rsidR="00575E4D" w:rsidRPr="00313305" w:rsidRDefault="00575E4D" w:rsidP="00575E4D">
      <w:pPr>
        <w:spacing w:line="480" w:lineRule="auto"/>
        <w:ind w:left="720" w:hanging="360"/>
        <w:jc w:val="center"/>
      </w:pPr>
    </w:p>
    <w:p w14:paraId="3BDF46C8" w14:textId="77777777" w:rsidR="00575E4D" w:rsidRPr="00313305" w:rsidRDefault="00575E4D" w:rsidP="00575E4D">
      <w:pPr>
        <w:spacing w:line="480" w:lineRule="auto"/>
        <w:ind w:left="720" w:hanging="360"/>
        <w:jc w:val="center"/>
      </w:pPr>
    </w:p>
    <w:p w14:paraId="7FAB4D74" w14:textId="77777777" w:rsidR="00575E4D" w:rsidRPr="00313305" w:rsidRDefault="00575E4D" w:rsidP="00575E4D">
      <w:pPr>
        <w:spacing w:line="480" w:lineRule="auto"/>
        <w:ind w:left="720" w:hanging="360"/>
        <w:jc w:val="center"/>
      </w:pPr>
    </w:p>
    <w:p w14:paraId="69C7636F" w14:textId="77777777" w:rsidR="00917DD9" w:rsidRPr="00313305" w:rsidRDefault="00917DD9" w:rsidP="00575E4D">
      <w:pPr>
        <w:spacing w:line="480" w:lineRule="auto"/>
        <w:ind w:left="720" w:hanging="360"/>
        <w:jc w:val="center"/>
      </w:pPr>
    </w:p>
    <w:p w14:paraId="213E82C0" w14:textId="77777777" w:rsidR="00917DD9" w:rsidRPr="00313305" w:rsidRDefault="00917DD9" w:rsidP="00917DD9">
      <w:pPr>
        <w:ind w:left="720" w:hanging="360"/>
        <w:rPr>
          <w:b/>
          <w:bCs/>
        </w:rPr>
      </w:pPr>
    </w:p>
    <w:p w14:paraId="762AC907" w14:textId="77777777" w:rsidR="00917DD9" w:rsidRPr="00313305" w:rsidRDefault="00917DD9" w:rsidP="00917DD9">
      <w:pPr>
        <w:ind w:left="720" w:hanging="360"/>
        <w:rPr>
          <w:b/>
          <w:bCs/>
        </w:rPr>
      </w:pPr>
    </w:p>
    <w:p w14:paraId="626F041B" w14:textId="77777777" w:rsidR="00917DD9" w:rsidRPr="00313305" w:rsidRDefault="00917DD9" w:rsidP="00917DD9">
      <w:pPr>
        <w:ind w:left="720" w:hanging="360"/>
        <w:rPr>
          <w:b/>
          <w:bCs/>
        </w:rPr>
      </w:pPr>
    </w:p>
    <w:p w14:paraId="57FD75AB" w14:textId="77777777" w:rsidR="00917DD9" w:rsidRPr="00313305" w:rsidRDefault="00917DD9" w:rsidP="00917DD9">
      <w:pPr>
        <w:ind w:left="720" w:hanging="360"/>
        <w:rPr>
          <w:b/>
          <w:bCs/>
        </w:rPr>
      </w:pPr>
    </w:p>
    <w:p w14:paraId="3198169C" w14:textId="77777777" w:rsidR="00917DD9" w:rsidRPr="00313305" w:rsidRDefault="00917DD9" w:rsidP="00917DD9">
      <w:pPr>
        <w:ind w:left="720" w:hanging="360"/>
        <w:rPr>
          <w:b/>
          <w:bCs/>
        </w:rPr>
      </w:pPr>
    </w:p>
    <w:p w14:paraId="32A83152" w14:textId="77777777" w:rsidR="00917DD9" w:rsidRPr="00313305" w:rsidRDefault="00917DD9" w:rsidP="00917DD9">
      <w:pPr>
        <w:ind w:left="720" w:hanging="360"/>
        <w:rPr>
          <w:b/>
          <w:bCs/>
        </w:rPr>
      </w:pPr>
    </w:p>
    <w:p w14:paraId="7978D7AC" w14:textId="77777777" w:rsidR="00917DD9" w:rsidRPr="00313305" w:rsidRDefault="00917DD9" w:rsidP="00D618E2"/>
    <w:p w14:paraId="2BF6ED3A" w14:textId="77777777" w:rsidR="00917DD9" w:rsidRPr="00313305" w:rsidRDefault="00917DD9" w:rsidP="00917DD9">
      <w:pPr>
        <w:ind w:left="720" w:hanging="360"/>
        <w:rPr>
          <w:b/>
          <w:bCs/>
        </w:rPr>
      </w:pPr>
    </w:p>
    <w:p w14:paraId="3AF79AC5" w14:textId="77777777" w:rsidR="00917DD9" w:rsidRPr="00313305" w:rsidRDefault="00917DD9" w:rsidP="00917DD9">
      <w:pPr>
        <w:ind w:left="720" w:hanging="360"/>
        <w:rPr>
          <w:b/>
          <w:bCs/>
        </w:rPr>
      </w:pPr>
    </w:p>
    <w:p w14:paraId="47F94318" w14:textId="77777777" w:rsidR="00917DD9" w:rsidRPr="00313305" w:rsidRDefault="00917DD9" w:rsidP="00917DD9">
      <w:pPr>
        <w:ind w:left="720" w:hanging="360"/>
        <w:rPr>
          <w:b/>
          <w:bCs/>
        </w:rPr>
      </w:pPr>
    </w:p>
    <w:p w14:paraId="408FCD28" w14:textId="77777777" w:rsidR="00917DD9" w:rsidRPr="00313305" w:rsidRDefault="00917DD9" w:rsidP="00917DD9">
      <w:pPr>
        <w:ind w:left="720" w:hanging="360"/>
        <w:rPr>
          <w:b/>
          <w:bCs/>
        </w:rPr>
      </w:pPr>
    </w:p>
    <w:p w14:paraId="67BE3E69" w14:textId="77777777" w:rsidR="00917DD9" w:rsidRPr="00313305" w:rsidRDefault="00917DD9" w:rsidP="00917DD9">
      <w:pPr>
        <w:ind w:left="720" w:hanging="360"/>
        <w:rPr>
          <w:b/>
          <w:bCs/>
        </w:rPr>
      </w:pPr>
    </w:p>
    <w:p w14:paraId="086D3BE8" w14:textId="77777777" w:rsidR="00917DD9" w:rsidRPr="00313305" w:rsidRDefault="00917DD9" w:rsidP="00917DD9">
      <w:pPr>
        <w:ind w:left="720" w:hanging="360"/>
        <w:rPr>
          <w:b/>
          <w:bCs/>
        </w:rPr>
      </w:pPr>
    </w:p>
    <w:p w14:paraId="619FED20" w14:textId="77777777" w:rsidR="00917DD9" w:rsidRPr="00313305" w:rsidRDefault="00917DD9" w:rsidP="00917DD9">
      <w:pPr>
        <w:ind w:left="720" w:hanging="360"/>
        <w:rPr>
          <w:b/>
          <w:bCs/>
        </w:rPr>
      </w:pPr>
    </w:p>
    <w:p w14:paraId="4F58C728" w14:textId="77777777" w:rsidR="00917DD9" w:rsidRPr="00313305" w:rsidRDefault="00917DD9" w:rsidP="00917DD9">
      <w:pPr>
        <w:ind w:left="720" w:hanging="360"/>
        <w:rPr>
          <w:b/>
          <w:bCs/>
        </w:rPr>
      </w:pPr>
    </w:p>
    <w:p w14:paraId="1BDD1DE7" w14:textId="77777777" w:rsidR="00917DD9" w:rsidRPr="00313305" w:rsidRDefault="00917DD9" w:rsidP="00917DD9">
      <w:pPr>
        <w:ind w:left="720" w:hanging="360"/>
        <w:rPr>
          <w:b/>
          <w:bCs/>
        </w:rPr>
      </w:pPr>
    </w:p>
    <w:p w14:paraId="0CD0EEA1" w14:textId="77777777" w:rsidR="00917DD9" w:rsidRPr="00313305" w:rsidRDefault="00917DD9" w:rsidP="00917DD9">
      <w:pPr>
        <w:ind w:left="720" w:hanging="360"/>
        <w:rPr>
          <w:b/>
          <w:bCs/>
        </w:rPr>
      </w:pPr>
    </w:p>
    <w:p w14:paraId="789BFE51" w14:textId="4F23A030" w:rsidR="00917DD9" w:rsidRPr="00313305" w:rsidRDefault="00917DD9" w:rsidP="003F4BB0">
      <w:pPr>
        <w:rPr>
          <w:b/>
          <w:bCs/>
        </w:rPr>
      </w:pPr>
    </w:p>
    <w:p w14:paraId="0102B34A" w14:textId="5FA4CF1C" w:rsidR="003F4BB0" w:rsidRPr="00313305" w:rsidRDefault="003F4BB0" w:rsidP="003F4BB0">
      <w:pPr>
        <w:rPr>
          <w:b/>
          <w:bCs/>
        </w:rPr>
      </w:pPr>
    </w:p>
    <w:p w14:paraId="50AA4BF9" w14:textId="77777777" w:rsidR="003F4BB0" w:rsidRPr="00313305" w:rsidRDefault="003F4BB0" w:rsidP="003F4BB0">
      <w:pPr>
        <w:rPr>
          <w:b/>
          <w:bCs/>
        </w:rPr>
      </w:pPr>
    </w:p>
    <w:p w14:paraId="137863C9" w14:textId="77777777" w:rsidR="00917DD9" w:rsidRPr="00313305" w:rsidRDefault="00917DD9" w:rsidP="00917DD9">
      <w:pPr>
        <w:ind w:left="720" w:hanging="360"/>
        <w:rPr>
          <w:b/>
          <w:bCs/>
        </w:rPr>
      </w:pPr>
    </w:p>
    <w:p w14:paraId="0C98E153" w14:textId="77777777" w:rsidR="00917DD9" w:rsidRPr="00313305" w:rsidRDefault="00917DD9" w:rsidP="00575E4D">
      <w:pPr>
        <w:rPr>
          <w:b/>
          <w:bCs/>
        </w:rPr>
      </w:pPr>
    </w:p>
    <w:p w14:paraId="6008F5AE" w14:textId="4E2CEC87" w:rsidR="00917DD9" w:rsidRPr="00313305" w:rsidRDefault="00575E4D" w:rsidP="00575E4D">
      <w:pPr>
        <w:jc w:val="center"/>
      </w:pPr>
      <w:r w:rsidRPr="00313305">
        <w:sym w:font="Symbol" w:char="F0D3"/>
      </w:r>
      <w:r w:rsidRPr="00313305">
        <w:t xml:space="preserve"> Copyright by </w:t>
      </w:r>
      <w:r w:rsidR="003F4BB0" w:rsidRPr="00313305">
        <w:t xml:space="preserve">ERIN </w:t>
      </w:r>
      <w:r w:rsidR="00EE5358">
        <w:t xml:space="preserve">ASHLEY </w:t>
      </w:r>
      <w:r w:rsidR="003F4BB0" w:rsidRPr="00313305">
        <w:t>JONES</w:t>
      </w:r>
      <w:r w:rsidRPr="00313305">
        <w:t xml:space="preserve"> 202</w:t>
      </w:r>
      <w:r w:rsidR="003F4BB0" w:rsidRPr="00313305">
        <w:t>2</w:t>
      </w:r>
    </w:p>
    <w:p w14:paraId="130D0390" w14:textId="589D0E00" w:rsidR="000D0D0E" w:rsidRDefault="00575E4D" w:rsidP="00834BB9">
      <w:pPr>
        <w:jc w:val="center"/>
      </w:pPr>
      <w:r w:rsidRPr="00313305">
        <w:t>All Rights Reserved.</w:t>
      </w:r>
      <w:r w:rsidR="000D0D0E">
        <w:br w:type="page"/>
      </w:r>
    </w:p>
    <w:p w14:paraId="66AA4837" w14:textId="77777777" w:rsidR="004531A2" w:rsidRPr="00313305" w:rsidRDefault="004531A2" w:rsidP="00595B92">
      <w:pPr>
        <w:sectPr w:rsidR="004531A2" w:rsidRPr="00313305" w:rsidSect="006711BF">
          <w:footerReference w:type="even" r:id="rId8"/>
          <w:footerReference w:type="default" r:id="rId9"/>
          <w:pgSz w:w="12240" w:h="15840"/>
          <w:pgMar w:top="1440" w:right="1440" w:bottom="1440" w:left="1440" w:header="720" w:footer="720" w:gutter="0"/>
          <w:pgNumType w:start="1"/>
          <w:cols w:space="720"/>
          <w:docGrid w:linePitch="360"/>
        </w:sectPr>
      </w:pPr>
    </w:p>
    <w:p w14:paraId="27EE60AE" w14:textId="77777777" w:rsidR="00292429" w:rsidRPr="00313305" w:rsidRDefault="00292429" w:rsidP="00D76255">
      <w:pPr>
        <w:spacing w:line="480" w:lineRule="auto"/>
        <w:jc w:val="both"/>
        <w:rPr>
          <w:b/>
          <w:bCs/>
        </w:rPr>
      </w:pPr>
      <w:r w:rsidRPr="00313305">
        <w:rPr>
          <w:b/>
          <w:bCs/>
        </w:rPr>
        <w:lastRenderedPageBreak/>
        <w:t>Acknowledgments</w:t>
      </w:r>
    </w:p>
    <w:p w14:paraId="556F3FC6" w14:textId="0A4A7F7C" w:rsidR="00292429" w:rsidRDefault="00292429" w:rsidP="00D76255">
      <w:pPr>
        <w:spacing w:line="480" w:lineRule="auto"/>
        <w:jc w:val="both"/>
      </w:pPr>
      <w:r w:rsidRPr="00313305">
        <w:tab/>
      </w:r>
      <w:r>
        <w:t>I would like to thank my advisor, Dr. Xuguang Wang, for her guidance and advice throughout the entire course of my research for this thesis.  I would also like to thank my committee members, Dr. James Ruppert, for guidance on analyzing and discussing various tropical features, and Dr. Steven Cavallo</w:t>
      </w:r>
      <w:r w:rsidR="00391451">
        <w:t>,</w:t>
      </w:r>
      <w:r>
        <w:t xml:space="preserve"> for additional support and feedback </w:t>
      </w:r>
      <w:r w:rsidR="003779C2">
        <w:t>to further improve</w:t>
      </w:r>
      <w:r>
        <w:t xml:space="preserve"> my thesis. Further thanks go to</w:t>
      </w:r>
      <w:r w:rsidRPr="00313305">
        <w:t xml:space="preserve"> </w:t>
      </w:r>
      <w:r>
        <w:t xml:space="preserve">Dr. </w:t>
      </w:r>
      <w:r w:rsidRPr="00313305">
        <w:t xml:space="preserve">Yongming Wang for assistance in setting up and running GSI </w:t>
      </w:r>
      <w:r>
        <w:t xml:space="preserve">with and without multi-resolution ensemble capabilities as well as </w:t>
      </w:r>
      <w:r w:rsidRPr="00313305">
        <w:t>the FV3</w:t>
      </w:r>
      <w:r>
        <w:t>GFS</w:t>
      </w:r>
      <w:r w:rsidRPr="00313305">
        <w:t xml:space="preserve">.  This study was conducted with support from NOAA and an American Meteorological Society Graduate Fellowship.  All computational analysis and forecast generation, post processing, and verification utilized resources provided by NOAA’s Research and Development High-Performance Computing System Jet machine.  </w:t>
      </w:r>
      <w:r>
        <w:br w:type="page"/>
      </w:r>
    </w:p>
    <w:p w14:paraId="754E6FB8" w14:textId="0963D1AB" w:rsidR="004531A2" w:rsidRPr="00313305" w:rsidRDefault="004531A2" w:rsidP="004531A2">
      <w:pPr>
        <w:spacing w:line="480" w:lineRule="auto"/>
        <w:jc w:val="center"/>
      </w:pPr>
      <w:r w:rsidRPr="00313305">
        <w:lastRenderedPageBreak/>
        <w:t>TABLE OF CONTENTS</w:t>
      </w:r>
    </w:p>
    <w:p w14:paraId="5D20DFD3" w14:textId="77777777" w:rsidR="004531A2" w:rsidRPr="00313305" w:rsidRDefault="004531A2" w:rsidP="004531A2">
      <w:pPr>
        <w:spacing w:line="480" w:lineRule="auto"/>
        <w:jc w:val="center"/>
      </w:pPr>
    </w:p>
    <w:p w14:paraId="513796C4" w14:textId="77777777" w:rsidR="004531A2" w:rsidRPr="00313305" w:rsidRDefault="004531A2" w:rsidP="004531A2">
      <w:pPr>
        <w:spacing w:line="480" w:lineRule="auto"/>
      </w:pPr>
      <w:r w:rsidRPr="00313305">
        <w:t xml:space="preserve">INTRODUCTION . . . . . . . . . . . . . . . . . . . . . . . . . . . . . . . . . . . . . . . . . . . . . . . . . . . . . . . . . . . . . </w:t>
      </w:r>
      <w:r w:rsidR="00F57724" w:rsidRPr="00313305">
        <w:t>1</w:t>
      </w:r>
    </w:p>
    <w:p w14:paraId="5C9FB35F" w14:textId="506614C2" w:rsidR="004531A2" w:rsidRPr="00313305" w:rsidRDefault="00A80A0D" w:rsidP="004531A2">
      <w:pPr>
        <w:spacing w:line="480" w:lineRule="auto"/>
      </w:pPr>
      <w:r w:rsidRPr="00A80A0D">
        <w:t>F</w:t>
      </w:r>
      <w:r>
        <w:t>ORMULATION</w:t>
      </w:r>
      <w:r w:rsidRPr="00A80A0D">
        <w:t xml:space="preserve"> </w:t>
      </w:r>
      <w:r>
        <w:t>OF</w:t>
      </w:r>
      <w:r w:rsidRPr="00A80A0D">
        <w:t xml:space="preserve"> </w:t>
      </w:r>
      <w:r>
        <w:t>SINGLE</w:t>
      </w:r>
      <w:r w:rsidRPr="00A80A0D">
        <w:t xml:space="preserve">- </w:t>
      </w:r>
      <w:r>
        <w:t>AND</w:t>
      </w:r>
      <w:r w:rsidRPr="00A80A0D">
        <w:t xml:space="preserve"> </w:t>
      </w:r>
      <w:r>
        <w:t>MULTI</w:t>
      </w:r>
      <w:r w:rsidRPr="00A80A0D">
        <w:t>-</w:t>
      </w:r>
      <w:r>
        <w:t>RESOLUTION</w:t>
      </w:r>
      <w:r w:rsidRPr="00A80A0D">
        <w:t xml:space="preserve"> </w:t>
      </w:r>
      <w:r>
        <w:t>ENSEMBLE</w:t>
      </w:r>
      <w:r w:rsidRPr="00A80A0D">
        <w:t xml:space="preserve"> </w:t>
      </w:r>
      <w:r>
        <w:t>HYBRID</w:t>
      </w:r>
      <w:r w:rsidRPr="00A80A0D">
        <w:t xml:space="preserve"> 4DE</w:t>
      </w:r>
      <w:r w:rsidR="00D9315D">
        <w:t>N</w:t>
      </w:r>
      <w:r w:rsidRPr="00A80A0D">
        <w:t>V</w:t>
      </w:r>
      <w:r w:rsidR="00D9315D">
        <w:t>AR</w:t>
      </w:r>
      <w:r w:rsidR="004531A2" w:rsidRPr="00313305">
        <w:t xml:space="preserve"> . . . . . . . . . . . . . . . . . . . . . . . . . . . . . . . . . . . . . . . . . . . . . . . . .</w:t>
      </w:r>
      <w:r w:rsidR="001B380C" w:rsidRPr="001B380C">
        <w:t xml:space="preserve"> </w:t>
      </w:r>
      <w:r w:rsidR="001B380C" w:rsidRPr="00313305">
        <w:t>. . . . . . . . . . . . . . . . .</w:t>
      </w:r>
      <w:r w:rsidR="00D9315D">
        <w:t xml:space="preserve"> </w:t>
      </w:r>
      <w:r w:rsidR="002A1DE3" w:rsidRPr="00313305">
        <w:t xml:space="preserve">. </w:t>
      </w:r>
      <w:r w:rsidR="00251925">
        <w:t>8</w:t>
      </w:r>
    </w:p>
    <w:p w14:paraId="75B11900" w14:textId="77373CE7" w:rsidR="004531A2" w:rsidRPr="00313305" w:rsidRDefault="004531A2" w:rsidP="004531A2">
      <w:pPr>
        <w:spacing w:line="480" w:lineRule="auto"/>
      </w:pPr>
      <w:r w:rsidRPr="00313305">
        <w:t xml:space="preserve">EXPERIMENTAL DESIGN . . . . . . . . . . . . . . . . . . . . . . . . . . . . . . . . . . . . . . . . . . . . . . . . . . . . </w:t>
      </w:r>
      <w:r w:rsidR="001C2DC1" w:rsidRPr="00313305">
        <w:t>1</w:t>
      </w:r>
      <w:r w:rsidR="002A1DE3">
        <w:t>1</w:t>
      </w:r>
    </w:p>
    <w:p w14:paraId="26191EDF" w14:textId="1D284F60" w:rsidR="004531A2" w:rsidRPr="00313305" w:rsidRDefault="004531A2" w:rsidP="004531A2">
      <w:pPr>
        <w:spacing w:line="480" w:lineRule="auto"/>
      </w:pPr>
      <w:r w:rsidRPr="00313305">
        <w:t xml:space="preserve">RESULTS . . . . . . . . . . . . . . . . . . . . . . . . . . . . . . . . . . . . . . . . . . . . . . . . . . . . . . . . . . . . . . . . . . </w:t>
      </w:r>
      <w:r w:rsidR="00D019F4" w:rsidRPr="00313305">
        <w:t xml:space="preserve"> </w:t>
      </w:r>
      <w:r w:rsidR="001B380C">
        <w:t>1</w:t>
      </w:r>
      <w:r w:rsidR="002A1DE3">
        <w:t>5</w:t>
      </w:r>
    </w:p>
    <w:p w14:paraId="2CC20CE2" w14:textId="2E79C741" w:rsidR="001C2DC1" w:rsidRPr="00313305" w:rsidRDefault="001C2DC1" w:rsidP="004531A2">
      <w:pPr>
        <w:spacing w:line="480" w:lineRule="auto"/>
      </w:pPr>
      <w:r w:rsidRPr="00313305">
        <w:t>CONCLUSIONS</w:t>
      </w:r>
      <w:r w:rsidR="004531A2" w:rsidRPr="00313305">
        <w:t xml:space="preserve"> . . . . . . . . . . . . . . . . . . . . . . . . . . . . . . . . . . . . . . . . . . . . </w:t>
      </w:r>
      <w:r w:rsidR="001B380C" w:rsidRPr="00313305">
        <w:t xml:space="preserve">. . . . . . . . . . . . . . . . . </w:t>
      </w:r>
      <w:r w:rsidR="001B380C">
        <w:t>3</w:t>
      </w:r>
      <w:r w:rsidR="002A1DE3">
        <w:t>2</w:t>
      </w:r>
    </w:p>
    <w:p w14:paraId="2B74F299" w14:textId="10DDD6FE" w:rsidR="001C2DC1" w:rsidRPr="00313305" w:rsidRDefault="001C2DC1" w:rsidP="004531A2">
      <w:pPr>
        <w:spacing w:line="480" w:lineRule="auto"/>
      </w:pPr>
      <w:r w:rsidRPr="00313305">
        <w:t xml:space="preserve">REFERENCES. . . . . . . . . . . . . . . . . . . . . . . . . . . . . . . . . . . . . . . . . . . . . . . . . . . . . . . . . . . . . . . </w:t>
      </w:r>
      <w:r w:rsidR="002A1DE3">
        <w:t>3</w:t>
      </w:r>
      <w:r w:rsidR="00834BB9">
        <w:t>7</w:t>
      </w:r>
    </w:p>
    <w:p w14:paraId="408BAFC6" w14:textId="3EAF4D91" w:rsidR="001C2DC1" w:rsidRPr="00313305" w:rsidRDefault="001C2DC1" w:rsidP="004531A2">
      <w:pPr>
        <w:spacing w:line="480" w:lineRule="auto"/>
      </w:pPr>
      <w:r w:rsidRPr="00313305">
        <w:t xml:space="preserve">TABLES  . . . . . . . . . . . . . . . . . . . . . . . . . . . . . . . . . . . . . . . . . . . . . . . . . . . . . . . . . . . . . . . . . . . </w:t>
      </w:r>
      <w:r w:rsidR="002A1DE3">
        <w:t>4</w:t>
      </w:r>
      <w:r w:rsidR="006D5764">
        <w:t>9</w:t>
      </w:r>
    </w:p>
    <w:p w14:paraId="3EF92E40" w14:textId="60E3E819" w:rsidR="009145B6" w:rsidRPr="00313305" w:rsidRDefault="001C2DC1" w:rsidP="00726C3B">
      <w:pPr>
        <w:spacing w:line="480" w:lineRule="auto"/>
        <w:rPr>
          <w:b/>
          <w:bCs/>
        </w:rPr>
      </w:pPr>
      <w:r w:rsidRPr="00313305">
        <w:t>FIGURES . . . . . . . . . . . . . . . . . . . . . . . . . . . . . . . . . . . . . . . . . . . . . . . . . . . . . . . . . . . . . . . . . . .</w:t>
      </w:r>
      <w:r w:rsidR="006D5764">
        <w:t>50</w:t>
      </w:r>
      <w:r w:rsidR="004531A2" w:rsidRPr="00313305">
        <w:br w:type="page"/>
      </w:r>
      <w:r w:rsidR="009145B6" w:rsidRPr="00313305">
        <w:rPr>
          <w:b/>
          <w:bCs/>
        </w:rPr>
        <w:lastRenderedPageBreak/>
        <w:t>Abstract</w:t>
      </w:r>
    </w:p>
    <w:p w14:paraId="169F602D" w14:textId="540C172A" w:rsidR="0012487E" w:rsidRDefault="0012487E" w:rsidP="0012487E">
      <w:pPr>
        <w:spacing w:line="480" w:lineRule="auto"/>
        <w:ind w:firstLine="720"/>
        <w:jc w:val="both"/>
      </w:pPr>
      <w:bookmarkStart w:id="1" w:name="_Hlk101426702"/>
      <w:r w:rsidRPr="00252199">
        <w:t>One challenge associated with ensemble-based data assimilation (DA) is the quantitative estimation of the background error covariances.  In the current global operational DA system, a reduced resolution background ensemble is adopted, which restricts the ensemble background error covariance from resolving a wide range of scales. A recent study developed a multi-resolution ensemble four-dimensional ensemble-variational (4DEnVar) method and determined that this approach can provide a nearly comparable analysis and forecast to a single high-resolution ensemble approach with the same ensemble size, while substantially lowering the computational cost.  This study further develops the multi-resolution ensemble 4DEnVar approach to allow for a flexible number of low- and high-resolution ensemble members</w:t>
      </w:r>
      <w:r w:rsidRPr="00A54FC2">
        <w:t xml:space="preserve"> </w:t>
      </w:r>
      <w:r>
        <w:t xml:space="preserve">as well as </w:t>
      </w:r>
      <w:r w:rsidRPr="007523F2">
        <w:t>different localization length scales between the high- and low-resolution ensembles</w:t>
      </w:r>
      <w:r w:rsidRPr="00252199">
        <w:t>. The goal of such development is to determine a more effective way of sampling large and small</w:t>
      </w:r>
      <w:r w:rsidR="0038098E">
        <w:t xml:space="preserve"> </w:t>
      </w:r>
      <w:r w:rsidRPr="00252199">
        <w:t>scales</w:t>
      </w:r>
      <w:r w:rsidR="0038098E">
        <w:t xml:space="preserve"> to formulate a</w:t>
      </w:r>
      <w:r w:rsidRPr="00252199">
        <w:t xml:space="preserve"> method aimed at achieving an effective multiscale DA system. </w:t>
      </w:r>
    </w:p>
    <w:p w14:paraId="7B394E39" w14:textId="4397D9F9" w:rsidR="0012487E" w:rsidRPr="00252199" w:rsidRDefault="0012487E" w:rsidP="0012487E">
      <w:pPr>
        <w:spacing w:line="480" w:lineRule="auto"/>
        <w:ind w:firstLine="720"/>
        <w:jc w:val="both"/>
      </w:pPr>
      <w:r w:rsidRPr="00252199">
        <w:t>Utilizing the Finite-Volume Cubed Sphere Global Forecast System (FV3GFS), three 4DEnVar experiments with the same computational costs are compared. The first has an 80-member high-resolution background ensemble</w:t>
      </w:r>
      <w:r>
        <w:t xml:space="preserve"> with single-scale localization</w:t>
      </w:r>
      <w:r w:rsidRPr="00252199">
        <w:t>. The second and third utilize the multi-resolution</w:t>
      </w:r>
      <w:r w:rsidR="00FF6064">
        <w:t xml:space="preserve"> ensemble</w:t>
      </w:r>
      <w:r w:rsidRPr="00252199">
        <w:t xml:space="preserve"> developments. One has a 170-member multi-resolution background ensemble, including 130 low-resolution and 40 high-resolution members</w:t>
      </w:r>
      <w:r>
        <w:t>. T</w:t>
      </w:r>
      <w:r w:rsidRPr="00252199">
        <w:t xml:space="preserve">he other has a 204-member multi-resolution background ensemble with 180 low-resolution and 24 high-resolution members.  </w:t>
      </w:r>
      <w:r>
        <w:t>Both multi-resolution ensemble experiments also utilize scale-aware localization radii.</w:t>
      </w:r>
      <w:r w:rsidRPr="00080339">
        <w:t xml:space="preserve"> </w:t>
      </w:r>
      <w:r w:rsidRPr="00A54FC2">
        <w:t>Despite having the same costs, the multi-resolution ensemble method decreases tropical cyclone track errors and improves global forecasts for up to five days in lead time</w:t>
      </w:r>
      <w:r w:rsidRPr="00252199">
        <w:t xml:space="preserve">.  </w:t>
      </w:r>
      <w:r>
        <w:t xml:space="preserve">Diagnostics suggest that the multi-resolution ensemble method demonstrates improvement in </w:t>
      </w:r>
      <w:r>
        <w:lastRenderedPageBreak/>
        <w:t xml:space="preserve">analyzing large-scale features.  </w:t>
      </w:r>
      <w:bookmarkStart w:id="2" w:name="_Hlk101858967"/>
      <w:r w:rsidR="00D47A49" w:rsidRPr="00D47A49">
        <w:t xml:space="preserve">At early lead times, improvements are most apparent in the upper levels in the tropics, while at later lead times, the Southern Hemisphere extratropics demonstrates greater improvement. The reduction of forecast errors in the extratropics at later lead times </w:t>
      </w:r>
      <w:r w:rsidR="005917AD">
        <w:t>is</w:t>
      </w:r>
      <w:r w:rsidR="00D47A49" w:rsidRPr="00D47A49">
        <w:t xml:space="preserve"> partial</w:t>
      </w:r>
      <w:r w:rsidR="005917AD">
        <w:t>ly</w:t>
      </w:r>
      <w:r w:rsidR="00D47A49" w:rsidRPr="00D47A49">
        <w:t xml:space="preserve"> </w:t>
      </w:r>
      <w:r w:rsidR="005917AD">
        <w:t>due to</w:t>
      </w:r>
      <w:r w:rsidR="00D47A49" w:rsidRPr="00D47A49">
        <w:t xml:space="preserve"> </w:t>
      </w:r>
      <w:r w:rsidR="005917AD">
        <w:t>improved</w:t>
      </w:r>
      <w:r w:rsidR="00D47A49" w:rsidRPr="00D47A49">
        <w:t xml:space="preserve"> analyses of large-scale features in the tropics</w:t>
      </w:r>
      <w:r w:rsidR="005917AD">
        <w:t xml:space="preserve"> that shift poleward</w:t>
      </w:r>
      <w:r w:rsidR="00D47A49" w:rsidRPr="00D47A49">
        <w:t>.</w:t>
      </w:r>
      <w:r w:rsidR="00D47A49">
        <w:t xml:space="preserve"> </w:t>
      </w:r>
      <w:bookmarkEnd w:id="2"/>
      <w:r>
        <w:t xml:space="preserve">With regard to tropical cyclone track errors, the multi-resolution ensemble method can </w:t>
      </w:r>
      <w:r w:rsidR="0034251D">
        <w:t>more properly</w:t>
      </w:r>
      <w:r>
        <w:t xml:space="preserve"> correct </w:t>
      </w:r>
      <w:r w:rsidR="005917AD">
        <w:t xml:space="preserve">the </w:t>
      </w:r>
      <w:r>
        <w:t xml:space="preserve">large-scale steering flow, leading to more accurate subsequent </w:t>
      </w:r>
      <w:r w:rsidR="002E5F23">
        <w:t xml:space="preserve">track </w:t>
      </w:r>
      <w:r>
        <w:t>forecast</w:t>
      </w:r>
      <w:r w:rsidR="005917AD">
        <w:t>s</w:t>
      </w:r>
      <w:r>
        <w:t>.  Additionally</w:t>
      </w:r>
      <w:r w:rsidRPr="00252199">
        <w:t>, the multi-resolution ensemble with a greater number of high-resolution members performs better than the multi-resolution ensemble with a greater number of low-resolution members in most metrics, demonstrating the value of both increasing sampling at large scales and retaining substantial information at small scales.</w:t>
      </w:r>
    </w:p>
    <w:bookmarkEnd w:id="1"/>
    <w:p w14:paraId="7F98C60B" w14:textId="780CEF2F" w:rsidR="00FC6EC0" w:rsidRPr="00313305" w:rsidRDefault="00FC6EC0" w:rsidP="00FC6EC0">
      <w:pPr>
        <w:spacing w:line="480" w:lineRule="auto"/>
        <w:jc w:val="both"/>
        <w:sectPr w:rsidR="00FC6EC0" w:rsidRPr="00313305" w:rsidSect="004531A2">
          <w:footerReference w:type="default" r:id="rId10"/>
          <w:pgSz w:w="12240" w:h="15840"/>
          <w:pgMar w:top="1440" w:right="1440" w:bottom="1440" w:left="1440" w:header="720" w:footer="720" w:gutter="0"/>
          <w:pgNumType w:fmt="lowerRoman" w:start="4"/>
          <w:cols w:space="720"/>
          <w:docGrid w:linePitch="360"/>
        </w:sectPr>
      </w:pPr>
    </w:p>
    <w:p w14:paraId="22F29866" w14:textId="77777777" w:rsidR="0091568C" w:rsidRPr="00313305" w:rsidRDefault="0022717D" w:rsidP="00FC6EC0">
      <w:pPr>
        <w:spacing w:line="480" w:lineRule="auto"/>
        <w:jc w:val="both"/>
      </w:pPr>
      <w:r w:rsidRPr="00313305">
        <w:rPr>
          <w:b/>
          <w:bCs/>
        </w:rPr>
        <w:lastRenderedPageBreak/>
        <w:t xml:space="preserve">1.  </w:t>
      </w:r>
      <w:r w:rsidR="009145B6" w:rsidRPr="00313305">
        <w:rPr>
          <w:b/>
          <w:bCs/>
        </w:rPr>
        <w:t>Introduction</w:t>
      </w:r>
      <w:r w:rsidR="008549AF" w:rsidRPr="00313305">
        <w:tab/>
      </w:r>
    </w:p>
    <w:p w14:paraId="2D077F4F" w14:textId="23B1A3E7" w:rsidR="00586AC4" w:rsidRPr="00586AC4" w:rsidRDefault="008549AF" w:rsidP="00586AC4">
      <w:pPr>
        <w:pStyle w:val="NoSpacing"/>
        <w:spacing w:line="480" w:lineRule="auto"/>
        <w:jc w:val="both"/>
        <w:rPr>
          <w:rFonts w:ascii="Times New Roman" w:hAnsi="Times New Roman" w:cs="Times New Roman"/>
        </w:rPr>
      </w:pPr>
      <w:r w:rsidRPr="00313305">
        <w:rPr>
          <w:rFonts w:ascii="Times New Roman" w:hAnsi="Times New Roman" w:cs="Times New Roman"/>
        </w:rPr>
        <w:tab/>
      </w:r>
      <w:r w:rsidR="00586AC4" w:rsidRPr="00586AC4">
        <w:rPr>
          <w:rFonts w:ascii="Times New Roman" w:hAnsi="Times New Roman" w:cs="Times New Roman"/>
        </w:rPr>
        <w:t xml:space="preserve">There has been steady </w:t>
      </w:r>
      <w:bookmarkStart w:id="3" w:name="_Hlk96967067"/>
      <w:r w:rsidR="00586AC4" w:rsidRPr="00586AC4">
        <w:rPr>
          <w:rFonts w:ascii="Times New Roman" w:hAnsi="Times New Roman" w:cs="Times New Roman"/>
        </w:rPr>
        <w:t xml:space="preserve">improvement in global </w:t>
      </w:r>
      <w:bookmarkEnd w:id="3"/>
      <w:r w:rsidR="00586AC4" w:rsidRPr="00586AC4">
        <w:rPr>
          <w:rFonts w:ascii="Times New Roman" w:hAnsi="Times New Roman" w:cs="Times New Roman"/>
        </w:rPr>
        <w:t xml:space="preserve">numerical weather prediction (NWP) </w:t>
      </w:r>
      <w:r w:rsidR="00565783">
        <w:rPr>
          <w:rFonts w:ascii="Times New Roman" w:hAnsi="Times New Roman" w:cs="Times New Roman"/>
        </w:rPr>
        <w:t>from</w:t>
      </w:r>
      <w:r w:rsidR="00D47A49">
        <w:rPr>
          <w:rFonts w:ascii="Times New Roman" w:hAnsi="Times New Roman" w:cs="Times New Roman"/>
        </w:rPr>
        <w:t xml:space="preserve"> </w:t>
      </w:r>
      <w:r w:rsidR="00586AC4" w:rsidRPr="00586AC4">
        <w:rPr>
          <w:rFonts w:ascii="Times New Roman" w:hAnsi="Times New Roman" w:cs="Times New Roman"/>
        </w:rPr>
        <w:t xml:space="preserve">the latter half of the 20th century </w:t>
      </w:r>
      <w:r w:rsidR="00B3657B">
        <w:rPr>
          <w:rFonts w:ascii="Times New Roman" w:hAnsi="Times New Roman" w:cs="Times New Roman"/>
        </w:rPr>
        <w:t xml:space="preserve">through the present </w:t>
      </w:r>
      <w:r w:rsidR="00586AC4" w:rsidRPr="00586AC4">
        <w:rPr>
          <w:rFonts w:ascii="Times New Roman" w:hAnsi="Times New Roman" w:cs="Times New Roman"/>
        </w:rPr>
        <w:t xml:space="preserve">(e.g., Hamill 2010; Magnussen and Källén 2013; Bauer et al. 2015; Benjamin et al. 2019).  These improvements have stemmed from advancements in computing resources, model dynamics, model physics, observing systems, and data assimilation. </w:t>
      </w:r>
      <w:r w:rsidR="000F7758">
        <w:rPr>
          <w:rFonts w:ascii="Times New Roman" w:hAnsi="Times New Roman" w:cs="Times New Roman"/>
        </w:rPr>
        <w:t>Specifically,</w:t>
      </w:r>
      <w:r w:rsidR="00586AC4" w:rsidRPr="00586AC4">
        <w:rPr>
          <w:rFonts w:ascii="Times New Roman" w:hAnsi="Times New Roman" w:cs="Times New Roman"/>
        </w:rPr>
        <w:t xml:space="preserve"> </w:t>
      </w:r>
      <w:bookmarkStart w:id="4" w:name="_Hlk96967644"/>
      <w:r w:rsidR="000F7758">
        <w:rPr>
          <w:rFonts w:ascii="Times New Roman" w:hAnsi="Times New Roman" w:cs="Times New Roman"/>
        </w:rPr>
        <w:t>g</w:t>
      </w:r>
      <w:r w:rsidR="00586AC4" w:rsidRPr="00586AC4">
        <w:rPr>
          <w:rFonts w:ascii="Times New Roman" w:hAnsi="Times New Roman" w:cs="Times New Roman"/>
        </w:rPr>
        <w:t xml:space="preserve">reater </w:t>
      </w:r>
      <w:r w:rsidR="00EE5358">
        <w:rPr>
          <w:rFonts w:ascii="Times New Roman" w:hAnsi="Times New Roman" w:cs="Times New Roman"/>
        </w:rPr>
        <w:t>e</w:t>
      </w:r>
      <w:r w:rsidR="00586AC4" w:rsidRPr="00586AC4">
        <w:rPr>
          <w:rFonts w:ascii="Times New Roman" w:hAnsi="Times New Roman" w:cs="Times New Roman"/>
        </w:rPr>
        <w:t>fficiency in computing resources have allowed</w:t>
      </w:r>
      <w:r w:rsidR="009D305E">
        <w:rPr>
          <w:rFonts w:ascii="Times New Roman" w:hAnsi="Times New Roman" w:cs="Times New Roman"/>
        </w:rPr>
        <w:t xml:space="preserve"> for</w:t>
      </w:r>
      <w:r w:rsidR="00586AC4" w:rsidRPr="00586AC4">
        <w:rPr>
          <w:rFonts w:ascii="Times New Roman" w:hAnsi="Times New Roman" w:cs="Times New Roman"/>
        </w:rPr>
        <w:t xml:space="preserve"> high</w:t>
      </w:r>
      <w:r w:rsidR="009D305E">
        <w:rPr>
          <w:rFonts w:ascii="Times New Roman" w:hAnsi="Times New Roman" w:cs="Times New Roman"/>
        </w:rPr>
        <w:t xml:space="preserve">er </w:t>
      </w:r>
      <w:r w:rsidR="00586AC4" w:rsidRPr="00586AC4">
        <w:rPr>
          <w:rFonts w:ascii="Times New Roman" w:hAnsi="Times New Roman" w:cs="Times New Roman"/>
        </w:rPr>
        <w:t>resolution and greater complexity in forecasts (e.g., Bauer et al. 2015)</w:t>
      </w:r>
      <w:bookmarkEnd w:id="4"/>
      <w:r w:rsidR="00586AC4" w:rsidRPr="00586AC4">
        <w:rPr>
          <w:rFonts w:ascii="Times New Roman" w:hAnsi="Times New Roman" w:cs="Times New Roman"/>
        </w:rPr>
        <w:t xml:space="preserve">.  </w:t>
      </w:r>
      <w:bookmarkStart w:id="5" w:name="_Hlk96967663"/>
      <w:r w:rsidR="00586AC4" w:rsidRPr="00586AC4">
        <w:rPr>
          <w:rFonts w:ascii="Times New Roman" w:hAnsi="Times New Roman" w:cs="Times New Roman"/>
        </w:rPr>
        <w:t>Improved model dynamics and physics have led to more accurate</w:t>
      </w:r>
      <w:r w:rsidR="00B56072">
        <w:rPr>
          <w:rFonts w:ascii="Times New Roman" w:hAnsi="Times New Roman" w:cs="Times New Roman"/>
        </w:rPr>
        <w:t xml:space="preserve"> numerical</w:t>
      </w:r>
      <w:r w:rsidR="00586AC4" w:rsidRPr="00586AC4">
        <w:rPr>
          <w:rFonts w:ascii="Times New Roman" w:hAnsi="Times New Roman" w:cs="Times New Roman"/>
        </w:rPr>
        <w:t xml:space="preserve"> representations of atmospheric </w:t>
      </w:r>
      <w:bookmarkStart w:id="6" w:name="_Hlk96967729"/>
      <w:r w:rsidR="00586AC4" w:rsidRPr="00586AC4">
        <w:rPr>
          <w:rFonts w:ascii="Times New Roman" w:hAnsi="Times New Roman" w:cs="Times New Roman"/>
        </w:rPr>
        <w:t>processes (e.g., Magnussen and Källén 2013</w:t>
      </w:r>
      <w:bookmarkEnd w:id="6"/>
      <w:r w:rsidR="00586AC4" w:rsidRPr="00586AC4">
        <w:rPr>
          <w:rFonts w:ascii="Times New Roman" w:hAnsi="Times New Roman" w:cs="Times New Roman"/>
        </w:rPr>
        <w:t>; Benjamin et al. 2019)</w:t>
      </w:r>
      <w:bookmarkEnd w:id="5"/>
      <w:r w:rsidR="00586AC4" w:rsidRPr="00586AC4">
        <w:rPr>
          <w:rFonts w:ascii="Times New Roman" w:hAnsi="Times New Roman" w:cs="Times New Roman"/>
        </w:rPr>
        <w:t xml:space="preserve">.   </w:t>
      </w:r>
      <w:bookmarkStart w:id="7" w:name="_Hlk96967685"/>
      <w:r w:rsidR="007C526B">
        <w:rPr>
          <w:rFonts w:ascii="Times New Roman" w:hAnsi="Times New Roman" w:cs="Times New Roman"/>
        </w:rPr>
        <w:t>Effective utilization of existing and new observations through the a</w:t>
      </w:r>
      <w:r w:rsidR="00586AC4" w:rsidRPr="00586AC4">
        <w:rPr>
          <w:rFonts w:ascii="Times New Roman" w:hAnsi="Times New Roman" w:cs="Times New Roman"/>
        </w:rPr>
        <w:t xml:space="preserve">dvancements in data assimilation </w:t>
      </w:r>
      <w:bookmarkEnd w:id="7"/>
      <w:r w:rsidR="00586AC4" w:rsidRPr="00586AC4">
        <w:rPr>
          <w:rFonts w:ascii="Times New Roman" w:hAnsi="Times New Roman" w:cs="Times New Roman"/>
        </w:rPr>
        <w:t xml:space="preserve">(DA) </w:t>
      </w:r>
      <w:r w:rsidR="00D47A49">
        <w:rPr>
          <w:rFonts w:ascii="Times New Roman" w:hAnsi="Times New Roman" w:cs="Times New Roman"/>
        </w:rPr>
        <w:t>have led</w:t>
      </w:r>
      <w:r w:rsidR="00D47A49" w:rsidRPr="00586AC4">
        <w:rPr>
          <w:rFonts w:ascii="Times New Roman" w:hAnsi="Times New Roman" w:cs="Times New Roman"/>
        </w:rPr>
        <w:t xml:space="preserve"> </w:t>
      </w:r>
      <w:r w:rsidR="00586AC4" w:rsidRPr="00586AC4">
        <w:rPr>
          <w:rFonts w:ascii="Times New Roman" w:hAnsi="Times New Roman" w:cs="Times New Roman"/>
        </w:rPr>
        <w:t xml:space="preserve">to more accurate initial conditions (ICs) for </w:t>
      </w:r>
      <w:r w:rsidR="00C4149B">
        <w:rPr>
          <w:rFonts w:ascii="Times New Roman" w:hAnsi="Times New Roman" w:cs="Times New Roman"/>
        </w:rPr>
        <w:t xml:space="preserve">numerical </w:t>
      </w:r>
      <w:r w:rsidR="00586AC4" w:rsidRPr="00586AC4">
        <w:rPr>
          <w:rFonts w:ascii="Times New Roman" w:hAnsi="Times New Roman" w:cs="Times New Roman"/>
        </w:rPr>
        <w:t>models</w:t>
      </w:r>
      <w:r w:rsidR="007C526B">
        <w:rPr>
          <w:rFonts w:ascii="Times New Roman" w:hAnsi="Times New Roman" w:cs="Times New Roman"/>
        </w:rPr>
        <w:t xml:space="preserve"> and therefore more accurate subsequent numerical forecasts</w:t>
      </w:r>
      <w:r w:rsidR="00586AC4" w:rsidRPr="00586AC4">
        <w:rPr>
          <w:rFonts w:ascii="Times New Roman" w:hAnsi="Times New Roman" w:cs="Times New Roman"/>
        </w:rPr>
        <w:t xml:space="preserve"> (e.g., Magnussen and Källén 2013</w:t>
      </w:r>
      <w:r w:rsidR="000D1A50">
        <w:rPr>
          <w:rFonts w:ascii="Times New Roman" w:hAnsi="Times New Roman" w:cs="Times New Roman"/>
        </w:rPr>
        <w:t>;</w:t>
      </w:r>
      <w:r w:rsidR="000D1A50" w:rsidRPr="000D1A50">
        <w:rPr>
          <w:rFonts w:ascii="Times New Roman" w:hAnsi="Times New Roman" w:cs="Times New Roman"/>
        </w:rPr>
        <w:t xml:space="preserve"> </w:t>
      </w:r>
      <w:r w:rsidR="000D1A50" w:rsidRPr="00586AC4">
        <w:rPr>
          <w:rFonts w:ascii="Times New Roman" w:hAnsi="Times New Roman" w:cs="Times New Roman"/>
        </w:rPr>
        <w:t>Magnusson et al. 2019; Chen et al. 2019</w:t>
      </w:r>
      <w:r w:rsidR="00586AC4" w:rsidRPr="00586AC4">
        <w:rPr>
          <w:rFonts w:ascii="Times New Roman" w:hAnsi="Times New Roman" w:cs="Times New Roman"/>
        </w:rPr>
        <w:t xml:space="preserve">).  </w:t>
      </w:r>
    </w:p>
    <w:p w14:paraId="418EAA6D" w14:textId="41C6B2A1" w:rsidR="00586AC4" w:rsidRPr="00586AC4" w:rsidRDefault="00586AC4">
      <w:pPr>
        <w:pStyle w:val="NoSpacing"/>
        <w:spacing w:line="480" w:lineRule="auto"/>
        <w:ind w:firstLine="720"/>
        <w:jc w:val="both"/>
        <w:rPr>
          <w:rFonts w:ascii="Times New Roman" w:hAnsi="Times New Roman" w:cs="Times New Roman"/>
        </w:rPr>
      </w:pPr>
      <w:bookmarkStart w:id="8" w:name="_Hlk96978517"/>
      <w:r w:rsidRPr="00586AC4">
        <w:rPr>
          <w:rFonts w:ascii="Times New Roman" w:hAnsi="Times New Roman" w:cs="Times New Roman"/>
        </w:rPr>
        <w:t xml:space="preserve">Recent </w:t>
      </w:r>
      <w:r w:rsidR="009B33AC">
        <w:rPr>
          <w:rFonts w:ascii="Times New Roman" w:hAnsi="Times New Roman" w:cs="Times New Roman"/>
        </w:rPr>
        <w:t xml:space="preserve">studies </w:t>
      </w:r>
      <w:r w:rsidR="004A6CC2">
        <w:rPr>
          <w:rFonts w:ascii="Times New Roman" w:hAnsi="Times New Roman" w:cs="Times New Roman"/>
        </w:rPr>
        <w:t xml:space="preserve">demonstrate the </w:t>
      </w:r>
      <w:r w:rsidRPr="00586AC4">
        <w:rPr>
          <w:rFonts w:ascii="Times New Roman" w:hAnsi="Times New Roman" w:cs="Times New Roman"/>
        </w:rPr>
        <w:t>advancements</w:t>
      </w:r>
      <w:r w:rsidR="00B151B0">
        <w:rPr>
          <w:rFonts w:ascii="Times New Roman" w:hAnsi="Times New Roman" w:cs="Times New Roman"/>
        </w:rPr>
        <w:t xml:space="preserve"> of model dynamics and physics</w:t>
      </w:r>
      <w:r w:rsidRPr="00586AC4">
        <w:rPr>
          <w:rFonts w:ascii="Times New Roman" w:hAnsi="Times New Roman" w:cs="Times New Roman"/>
        </w:rPr>
        <w:t xml:space="preserve"> in the </w:t>
      </w:r>
      <w:r w:rsidR="00DB79EC">
        <w:rPr>
          <w:rFonts w:ascii="Times New Roman" w:hAnsi="Times New Roman" w:cs="Times New Roman"/>
        </w:rPr>
        <w:t xml:space="preserve">US </w:t>
      </w:r>
      <w:r w:rsidRPr="00586AC4">
        <w:rPr>
          <w:rFonts w:ascii="Times New Roman" w:hAnsi="Times New Roman" w:cs="Times New Roman"/>
        </w:rPr>
        <w:t>Global Forecast System (GFS)</w:t>
      </w:r>
      <w:r w:rsidR="004A6CC2">
        <w:rPr>
          <w:rFonts w:ascii="Times New Roman" w:hAnsi="Times New Roman" w:cs="Times New Roman"/>
        </w:rPr>
        <w:t>.</w:t>
      </w:r>
      <w:r w:rsidRPr="00586AC4">
        <w:rPr>
          <w:rFonts w:ascii="Times New Roman" w:hAnsi="Times New Roman" w:cs="Times New Roman"/>
        </w:rPr>
        <w:t xml:space="preserve"> </w:t>
      </w:r>
      <w:r w:rsidR="004A6CC2">
        <w:rPr>
          <w:rFonts w:ascii="Times New Roman" w:hAnsi="Times New Roman" w:cs="Times New Roman"/>
        </w:rPr>
        <w:t xml:space="preserve"> </w:t>
      </w:r>
      <w:r w:rsidRPr="00586AC4">
        <w:rPr>
          <w:rFonts w:ascii="Times New Roman" w:hAnsi="Times New Roman" w:cs="Times New Roman"/>
        </w:rPr>
        <w:t xml:space="preserve">In June of 2019, the dynamical core </w:t>
      </w:r>
      <w:r w:rsidR="004A6CC2">
        <w:rPr>
          <w:rFonts w:ascii="Times New Roman" w:hAnsi="Times New Roman" w:cs="Times New Roman"/>
        </w:rPr>
        <w:t xml:space="preserve">of </w:t>
      </w:r>
      <w:r w:rsidR="004D5D3C">
        <w:rPr>
          <w:rFonts w:ascii="Times New Roman" w:hAnsi="Times New Roman" w:cs="Times New Roman"/>
        </w:rPr>
        <w:t xml:space="preserve">the </w:t>
      </w:r>
      <w:r w:rsidR="00CD0850">
        <w:rPr>
          <w:rFonts w:ascii="Times New Roman" w:hAnsi="Times New Roman" w:cs="Times New Roman"/>
        </w:rPr>
        <w:t xml:space="preserve">operational </w:t>
      </w:r>
      <w:r w:rsidR="004A6CC2">
        <w:rPr>
          <w:rFonts w:ascii="Times New Roman" w:hAnsi="Times New Roman" w:cs="Times New Roman"/>
        </w:rPr>
        <w:t xml:space="preserve">GFS </w:t>
      </w:r>
      <w:r w:rsidRPr="00586AC4">
        <w:rPr>
          <w:rFonts w:ascii="Times New Roman" w:hAnsi="Times New Roman" w:cs="Times New Roman"/>
        </w:rPr>
        <w:t>was updated from the Global Spectral Model (GSM) to the Finite-Volume Cubed Sphere (FV3; Lin and Rood 1997; Lin 2004; Putman and Lin 2007)</w:t>
      </w:r>
      <w:bookmarkEnd w:id="8"/>
      <w:r w:rsidRPr="00586AC4">
        <w:rPr>
          <w:rFonts w:ascii="Times New Roman" w:hAnsi="Times New Roman" w:cs="Times New Roman"/>
        </w:rPr>
        <w:t xml:space="preserve">.  FV3 </w:t>
      </w:r>
      <w:bookmarkStart w:id="9" w:name="_Hlk96978585"/>
      <w:r w:rsidRPr="00586AC4">
        <w:rPr>
          <w:rFonts w:ascii="Times New Roman" w:hAnsi="Times New Roman" w:cs="Times New Roman"/>
        </w:rPr>
        <w:t>uses a semi-Lagrangian flux form of the momentum equations defined over near-cubical volume grids</w:t>
      </w:r>
      <w:r w:rsidR="009D305E">
        <w:rPr>
          <w:rFonts w:ascii="Times New Roman" w:hAnsi="Times New Roman" w:cs="Times New Roman"/>
        </w:rPr>
        <w:t>,</w:t>
      </w:r>
      <w:r w:rsidRPr="00586AC4">
        <w:rPr>
          <w:rFonts w:ascii="Times New Roman" w:hAnsi="Times New Roman" w:cs="Times New Roman"/>
        </w:rPr>
        <w:t xml:space="preserve"> while the GSM used a wave form of the momentum equations defined </w:t>
      </w:r>
      <w:r w:rsidR="00EE5358">
        <w:rPr>
          <w:rFonts w:ascii="Times New Roman" w:hAnsi="Times New Roman" w:cs="Times New Roman"/>
        </w:rPr>
        <w:t>using spherical harmonic basis functions</w:t>
      </w:r>
      <w:r w:rsidR="00CD0850">
        <w:rPr>
          <w:rFonts w:ascii="Times New Roman" w:hAnsi="Times New Roman" w:cs="Times New Roman"/>
        </w:rPr>
        <w:t xml:space="preserve"> </w:t>
      </w:r>
      <w:r w:rsidRPr="00586AC4">
        <w:rPr>
          <w:rFonts w:ascii="Times New Roman" w:hAnsi="Times New Roman" w:cs="Times New Roman"/>
        </w:rPr>
        <w:t>(Lin and Rood 1996; Lin 1997; Putman and Lin 2007; Harris et al. 2021)</w:t>
      </w:r>
      <w:bookmarkEnd w:id="9"/>
      <w:r w:rsidRPr="00586AC4">
        <w:rPr>
          <w:rFonts w:ascii="Times New Roman" w:hAnsi="Times New Roman" w:cs="Times New Roman"/>
        </w:rPr>
        <w:t xml:space="preserve">.  Testing of the pre-operational FV3-based GFS (or FV3GFS) has shown that </w:t>
      </w:r>
      <w:bookmarkStart w:id="10" w:name="_Hlk96978696"/>
      <w:r w:rsidRPr="00586AC4">
        <w:rPr>
          <w:rFonts w:ascii="Times New Roman" w:hAnsi="Times New Roman" w:cs="Times New Roman"/>
        </w:rPr>
        <w:t>the updated dynamical core can match or improve global forecasts (</w:t>
      </w:r>
      <w:r w:rsidR="00565783">
        <w:rPr>
          <w:rFonts w:ascii="Times New Roman" w:hAnsi="Times New Roman" w:cs="Times New Roman"/>
        </w:rPr>
        <w:t>Ji 2016</w:t>
      </w:r>
      <w:r w:rsidRPr="00586AC4">
        <w:rPr>
          <w:rFonts w:ascii="Times New Roman" w:hAnsi="Times New Roman" w:cs="Times New Roman"/>
        </w:rPr>
        <w:t xml:space="preserve">; Magnusson et al. 2019) and improve tropical cyclone forecasts </w:t>
      </w:r>
      <w:r w:rsidR="00B151B0">
        <w:rPr>
          <w:rFonts w:ascii="Times New Roman" w:hAnsi="Times New Roman" w:cs="Times New Roman"/>
        </w:rPr>
        <w:t xml:space="preserve">relative </w:t>
      </w:r>
      <w:r w:rsidR="009D305E">
        <w:rPr>
          <w:rFonts w:ascii="Times New Roman" w:hAnsi="Times New Roman" w:cs="Times New Roman"/>
        </w:rPr>
        <w:t>to the</w:t>
      </w:r>
      <w:r w:rsidR="00B151B0">
        <w:rPr>
          <w:rFonts w:ascii="Times New Roman" w:hAnsi="Times New Roman" w:cs="Times New Roman"/>
        </w:rPr>
        <w:t xml:space="preserve"> GSM </w:t>
      </w:r>
      <w:r w:rsidRPr="00586AC4">
        <w:rPr>
          <w:rFonts w:ascii="Times New Roman" w:hAnsi="Times New Roman" w:cs="Times New Roman"/>
        </w:rPr>
        <w:t>(Chen et al. 2019)</w:t>
      </w:r>
      <w:bookmarkEnd w:id="10"/>
      <w:r w:rsidRPr="00586AC4">
        <w:rPr>
          <w:rFonts w:ascii="Times New Roman" w:hAnsi="Times New Roman" w:cs="Times New Roman"/>
        </w:rPr>
        <w:t xml:space="preserve">. </w:t>
      </w:r>
      <w:r w:rsidR="00F43844">
        <w:rPr>
          <w:rFonts w:ascii="Times New Roman" w:hAnsi="Times New Roman" w:cs="Times New Roman"/>
        </w:rPr>
        <w:t xml:space="preserve">The new </w:t>
      </w:r>
      <w:r w:rsidR="00E45384">
        <w:rPr>
          <w:rFonts w:ascii="Times New Roman" w:hAnsi="Times New Roman" w:cs="Times New Roman"/>
        </w:rPr>
        <w:t>GFS</w:t>
      </w:r>
      <w:r w:rsidR="00F43844">
        <w:rPr>
          <w:rFonts w:ascii="Times New Roman" w:hAnsi="Times New Roman" w:cs="Times New Roman"/>
        </w:rPr>
        <w:t xml:space="preserve"> </w:t>
      </w:r>
      <w:r w:rsidRPr="00586AC4">
        <w:rPr>
          <w:rFonts w:ascii="Times New Roman" w:hAnsi="Times New Roman" w:cs="Times New Roman"/>
        </w:rPr>
        <w:t>also utilize</w:t>
      </w:r>
      <w:r w:rsidR="00F43844">
        <w:rPr>
          <w:rFonts w:ascii="Times New Roman" w:hAnsi="Times New Roman" w:cs="Times New Roman"/>
        </w:rPr>
        <w:t>s</w:t>
      </w:r>
      <w:r w:rsidRPr="00586AC4">
        <w:rPr>
          <w:rFonts w:ascii="Times New Roman" w:hAnsi="Times New Roman" w:cs="Times New Roman"/>
        </w:rPr>
        <w:t xml:space="preserve"> a new physics package developed by the Geophysical Fluid Dynamics Laboratory (GFDL)</w:t>
      </w:r>
      <w:r w:rsidR="009D305E">
        <w:rPr>
          <w:rFonts w:ascii="Times New Roman" w:hAnsi="Times New Roman" w:cs="Times New Roman"/>
        </w:rPr>
        <w:t>. The package</w:t>
      </w:r>
      <w:r w:rsidRPr="00586AC4">
        <w:rPr>
          <w:rFonts w:ascii="Times New Roman" w:hAnsi="Times New Roman" w:cs="Times New Roman"/>
        </w:rPr>
        <w:t xml:space="preserve"> include</w:t>
      </w:r>
      <w:r w:rsidR="00EE5358">
        <w:rPr>
          <w:rFonts w:ascii="Times New Roman" w:hAnsi="Times New Roman" w:cs="Times New Roman"/>
        </w:rPr>
        <w:t>s</w:t>
      </w:r>
      <w:r w:rsidRPr="00586AC4">
        <w:rPr>
          <w:rFonts w:ascii="Times New Roman" w:hAnsi="Times New Roman" w:cs="Times New Roman"/>
        </w:rPr>
        <w:t xml:space="preserve"> an updated single-</w:t>
      </w:r>
      <w:r w:rsidRPr="00586AC4">
        <w:rPr>
          <w:rFonts w:ascii="Times New Roman" w:hAnsi="Times New Roman" w:cs="Times New Roman"/>
        </w:rPr>
        <w:lastRenderedPageBreak/>
        <w:t>moment 6-category cloud microphysics (Chen and Lin 2011, 2013)</w:t>
      </w:r>
      <w:r w:rsidR="009D305E">
        <w:rPr>
          <w:rFonts w:ascii="Times New Roman" w:hAnsi="Times New Roman" w:cs="Times New Roman"/>
        </w:rPr>
        <w:t>, which aims</w:t>
      </w:r>
      <w:r w:rsidRPr="00586AC4">
        <w:rPr>
          <w:rFonts w:ascii="Times New Roman" w:hAnsi="Times New Roman" w:cs="Times New Roman"/>
        </w:rPr>
        <w:t xml:space="preserve"> to improve upon the forecast of moist processes that could not be effectively parameterized in the previous Zhao-Carr microphysics scheme (Zhao and Carr 1997).  Zhou et al. (2019) demonstrated that this updated microphysics scheme </w:t>
      </w:r>
      <w:r w:rsidR="004B2420">
        <w:rPr>
          <w:rFonts w:ascii="Times New Roman" w:hAnsi="Times New Roman" w:cs="Times New Roman"/>
        </w:rPr>
        <w:t xml:space="preserve">improved the global forecast due to its ability to </w:t>
      </w:r>
      <w:r w:rsidR="003820C1">
        <w:rPr>
          <w:rFonts w:ascii="Times New Roman" w:hAnsi="Times New Roman" w:cs="Times New Roman"/>
        </w:rPr>
        <w:t>parameterize moist processes more accurately</w:t>
      </w:r>
      <w:r w:rsidR="004B2420">
        <w:rPr>
          <w:rFonts w:ascii="Times New Roman" w:hAnsi="Times New Roman" w:cs="Times New Roman"/>
        </w:rPr>
        <w:t xml:space="preserve"> at increased resolution</w:t>
      </w:r>
      <w:r w:rsidRPr="00586AC4">
        <w:rPr>
          <w:rFonts w:ascii="Times New Roman" w:hAnsi="Times New Roman" w:cs="Times New Roman"/>
        </w:rPr>
        <w:t>.</w:t>
      </w:r>
    </w:p>
    <w:p w14:paraId="192CF14A" w14:textId="0E00A492" w:rsidR="00586AC4" w:rsidRPr="00586AC4" w:rsidRDefault="00B72C94" w:rsidP="00EB6429">
      <w:pPr>
        <w:pStyle w:val="NoSpacing"/>
        <w:spacing w:line="480" w:lineRule="auto"/>
        <w:ind w:firstLine="720"/>
        <w:jc w:val="both"/>
        <w:rPr>
          <w:rFonts w:ascii="Times New Roman" w:hAnsi="Times New Roman" w:cs="Times New Roman"/>
        </w:rPr>
      </w:pPr>
      <w:r>
        <w:rPr>
          <w:rFonts w:ascii="Times New Roman" w:hAnsi="Times New Roman" w:cs="Times New Roman"/>
        </w:rPr>
        <w:t xml:space="preserve">Additionally, recent </w:t>
      </w:r>
      <w:r w:rsidR="00586AC4" w:rsidRPr="00586AC4">
        <w:rPr>
          <w:rFonts w:ascii="Times New Roman" w:hAnsi="Times New Roman" w:cs="Times New Roman"/>
        </w:rPr>
        <w:t>studies have</w:t>
      </w:r>
      <w:r w:rsidR="00F936D2">
        <w:rPr>
          <w:rFonts w:ascii="Times New Roman" w:hAnsi="Times New Roman" w:cs="Times New Roman"/>
        </w:rPr>
        <w:t xml:space="preserve"> </w:t>
      </w:r>
      <w:r w:rsidR="00586AC4" w:rsidRPr="00586AC4">
        <w:rPr>
          <w:rFonts w:ascii="Times New Roman" w:hAnsi="Times New Roman" w:cs="Times New Roman"/>
        </w:rPr>
        <w:t xml:space="preserve">shown </w:t>
      </w:r>
      <w:r w:rsidR="00F43844">
        <w:rPr>
          <w:rFonts w:ascii="Times New Roman" w:hAnsi="Times New Roman" w:cs="Times New Roman"/>
        </w:rPr>
        <w:t xml:space="preserve">the need to improve the GFS ICs </w:t>
      </w:r>
      <w:r w:rsidR="00586AC4" w:rsidRPr="00586AC4">
        <w:rPr>
          <w:rFonts w:ascii="Times New Roman" w:hAnsi="Times New Roman" w:cs="Times New Roman"/>
        </w:rPr>
        <w:t xml:space="preserve">(Magnusson et al. 2019; Chen et al. 2019). </w:t>
      </w:r>
      <w:r w:rsidR="003B1F4C">
        <w:rPr>
          <w:rFonts w:ascii="Times New Roman" w:hAnsi="Times New Roman" w:cs="Times New Roman"/>
        </w:rPr>
        <w:t xml:space="preserve"> </w:t>
      </w:r>
      <w:r w:rsidR="00586AC4" w:rsidRPr="00586AC4">
        <w:rPr>
          <w:rFonts w:ascii="Times New Roman" w:hAnsi="Times New Roman" w:cs="Times New Roman"/>
        </w:rPr>
        <w:t xml:space="preserve">Magnusson et al. (2019) compared forecasts for the </w:t>
      </w:r>
      <w:r w:rsidR="00B958B2">
        <w:rPr>
          <w:rFonts w:ascii="Times New Roman" w:hAnsi="Times New Roman" w:cs="Times New Roman"/>
        </w:rPr>
        <w:t>FV3GFS</w:t>
      </w:r>
      <w:r w:rsidR="000233EA">
        <w:rPr>
          <w:rFonts w:ascii="Times New Roman" w:hAnsi="Times New Roman" w:cs="Times New Roman"/>
        </w:rPr>
        <w:t>, legacy GFS, and ECMWF</w:t>
      </w:r>
      <w:r w:rsidR="003820C1">
        <w:rPr>
          <w:rFonts w:ascii="Times New Roman" w:hAnsi="Times New Roman" w:cs="Times New Roman"/>
        </w:rPr>
        <w:t xml:space="preserve"> using</w:t>
      </w:r>
      <w:r w:rsidR="00586AC4" w:rsidRPr="00586AC4">
        <w:rPr>
          <w:rFonts w:ascii="Times New Roman" w:hAnsi="Times New Roman" w:cs="Times New Roman"/>
        </w:rPr>
        <w:t xml:space="preserve"> ECM</w:t>
      </w:r>
      <w:r w:rsidR="009C1CA6">
        <w:rPr>
          <w:rFonts w:ascii="Times New Roman" w:hAnsi="Times New Roman" w:cs="Times New Roman"/>
        </w:rPr>
        <w:t xml:space="preserve">WF and </w:t>
      </w:r>
      <w:r w:rsidR="00586AC4" w:rsidRPr="00586AC4">
        <w:rPr>
          <w:rFonts w:ascii="Times New Roman" w:hAnsi="Times New Roman" w:cs="Times New Roman"/>
        </w:rPr>
        <w:t xml:space="preserve">GFS ICs.  </w:t>
      </w:r>
      <w:r w:rsidR="00BE5DB7">
        <w:rPr>
          <w:rFonts w:ascii="Times New Roman" w:hAnsi="Times New Roman" w:cs="Times New Roman"/>
        </w:rPr>
        <w:t xml:space="preserve">They found that 500-hPa height forecasts produced by the FV3GFS with ECMWF ICs had lower </w:t>
      </w:r>
      <w:r w:rsidR="00EE5358">
        <w:rPr>
          <w:rFonts w:ascii="Times New Roman" w:hAnsi="Times New Roman" w:cs="Times New Roman"/>
        </w:rPr>
        <w:t>root square mean error</w:t>
      </w:r>
      <w:r w:rsidR="00BE5DB7">
        <w:rPr>
          <w:rFonts w:ascii="Times New Roman" w:hAnsi="Times New Roman" w:cs="Times New Roman"/>
        </w:rPr>
        <w:t>s</w:t>
      </w:r>
      <w:r w:rsidR="00EE5358">
        <w:rPr>
          <w:rFonts w:ascii="Times New Roman" w:hAnsi="Times New Roman" w:cs="Times New Roman"/>
        </w:rPr>
        <w:t xml:space="preserve"> (RMSE</w:t>
      </w:r>
      <w:r w:rsidR="00BE5DB7">
        <w:rPr>
          <w:rFonts w:ascii="Times New Roman" w:hAnsi="Times New Roman" w:cs="Times New Roman"/>
        </w:rPr>
        <w:t>s</w:t>
      </w:r>
      <w:r w:rsidR="00EE5358">
        <w:rPr>
          <w:rFonts w:ascii="Times New Roman" w:hAnsi="Times New Roman" w:cs="Times New Roman"/>
        </w:rPr>
        <w:t xml:space="preserve">) </w:t>
      </w:r>
      <w:r w:rsidR="00BE5DB7">
        <w:rPr>
          <w:rFonts w:ascii="Times New Roman" w:hAnsi="Times New Roman" w:cs="Times New Roman"/>
        </w:rPr>
        <w:t xml:space="preserve">than </w:t>
      </w:r>
      <w:r w:rsidR="003820C1">
        <w:rPr>
          <w:rFonts w:ascii="Times New Roman" w:hAnsi="Times New Roman" w:cs="Times New Roman"/>
        </w:rPr>
        <w:t>that produced by using GFS ICs on average</w:t>
      </w:r>
      <w:r w:rsidR="00586AC4" w:rsidRPr="00586AC4">
        <w:rPr>
          <w:rFonts w:ascii="Times New Roman" w:hAnsi="Times New Roman" w:cs="Times New Roman"/>
        </w:rPr>
        <w:t xml:space="preserve">. </w:t>
      </w:r>
      <w:r w:rsidR="003214A4">
        <w:rPr>
          <w:rFonts w:ascii="Times New Roman" w:hAnsi="Times New Roman" w:cs="Times New Roman"/>
        </w:rPr>
        <w:t>They also</w:t>
      </w:r>
      <w:r w:rsidR="000233EA">
        <w:rPr>
          <w:rFonts w:ascii="Times New Roman" w:hAnsi="Times New Roman" w:cs="Times New Roman"/>
        </w:rPr>
        <w:t xml:space="preserve"> demonstrated that </w:t>
      </w:r>
      <w:r w:rsidR="003214A4">
        <w:rPr>
          <w:rFonts w:ascii="Times New Roman" w:hAnsi="Times New Roman" w:cs="Times New Roman"/>
        </w:rPr>
        <w:t xml:space="preserve">the difference in ICs played a larger role than model formulation in determining </w:t>
      </w:r>
      <w:r w:rsidR="00375854">
        <w:rPr>
          <w:rFonts w:ascii="Times New Roman" w:hAnsi="Times New Roman" w:cs="Times New Roman"/>
        </w:rPr>
        <w:t xml:space="preserve">these </w:t>
      </w:r>
      <w:r w:rsidR="003214A4">
        <w:rPr>
          <w:rFonts w:ascii="Times New Roman" w:hAnsi="Times New Roman" w:cs="Times New Roman"/>
        </w:rPr>
        <w:t xml:space="preserve">forecast RMSEs up to eight days in lead time. </w:t>
      </w:r>
      <w:r w:rsidR="00586AC4" w:rsidRPr="00586AC4">
        <w:rPr>
          <w:rFonts w:ascii="Times New Roman" w:hAnsi="Times New Roman" w:cs="Times New Roman"/>
        </w:rPr>
        <w:t xml:space="preserve">Chen et al. (2019) used a similar methodology to Magnusson et al. (2019) but with a focus on tropical cyclone forecasting. </w:t>
      </w:r>
      <w:r w:rsidR="004A6CA6">
        <w:rPr>
          <w:rFonts w:ascii="Times New Roman" w:hAnsi="Times New Roman" w:cs="Times New Roman"/>
        </w:rPr>
        <w:t>They determined</w:t>
      </w:r>
      <w:r w:rsidR="00B74D27">
        <w:rPr>
          <w:rFonts w:ascii="Times New Roman" w:hAnsi="Times New Roman" w:cs="Times New Roman"/>
        </w:rPr>
        <w:t xml:space="preserve"> that </w:t>
      </w:r>
      <w:r w:rsidR="0022139C">
        <w:rPr>
          <w:rFonts w:ascii="Times New Roman" w:hAnsi="Times New Roman" w:cs="Times New Roman"/>
        </w:rPr>
        <w:t xml:space="preserve">the </w:t>
      </w:r>
      <w:r w:rsidR="00586AC4" w:rsidRPr="00586AC4">
        <w:rPr>
          <w:rFonts w:ascii="Times New Roman" w:hAnsi="Times New Roman" w:cs="Times New Roman"/>
        </w:rPr>
        <w:t>FV3</w:t>
      </w:r>
      <w:r w:rsidR="00B74D27">
        <w:rPr>
          <w:rFonts w:ascii="Times New Roman" w:hAnsi="Times New Roman" w:cs="Times New Roman"/>
        </w:rPr>
        <w:t>GFS can have more skillful</w:t>
      </w:r>
      <w:r w:rsidR="00586AC4" w:rsidRPr="00586AC4">
        <w:rPr>
          <w:rFonts w:ascii="Times New Roman" w:hAnsi="Times New Roman" w:cs="Times New Roman"/>
        </w:rPr>
        <w:t xml:space="preserve"> tropical cyclones forecasts </w:t>
      </w:r>
      <w:r w:rsidR="00B74D27">
        <w:rPr>
          <w:rFonts w:ascii="Times New Roman" w:hAnsi="Times New Roman" w:cs="Times New Roman"/>
        </w:rPr>
        <w:t>relative to the</w:t>
      </w:r>
      <w:r w:rsidR="00586AC4" w:rsidRPr="00586AC4">
        <w:rPr>
          <w:rFonts w:ascii="Times New Roman" w:hAnsi="Times New Roman" w:cs="Times New Roman"/>
        </w:rPr>
        <w:t xml:space="preserve"> ECMWF </w:t>
      </w:r>
      <w:r w:rsidR="00B74D27">
        <w:rPr>
          <w:rFonts w:ascii="Times New Roman" w:hAnsi="Times New Roman" w:cs="Times New Roman"/>
        </w:rPr>
        <w:t>model</w:t>
      </w:r>
      <w:r w:rsidR="00586AC4" w:rsidRPr="00586AC4">
        <w:rPr>
          <w:rFonts w:ascii="Times New Roman" w:hAnsi="Times New Roman" w:cs="Times New Roman"/>
        </w:rPr>
        <w:t xml:space="preserve"> when the same ICs are used.  These studies demonstrate the importance of developing and utilizing advance DA techniques to improve the ICs</w:t>
      </w:r>
      <w:r w:rsidR="00B74D27">
        <w:rPr>
          <w:rFonts w:ascii="Times New Roman" w:hAnsi="Times New Roman" w:cs="Times New Roman"/>
        </w:rPr>
        <w:t xml:space="preserve"> for global numerical </w:t>
      </w:r>
      <w:r w:rsidR="00D92731">
        <w:rPr>
          <w:rFonts w:ascii="Times New Roman" w:hAnsi="Times New Roman" w:cs="Times New Roman"/>
        </w:rPr>
        <w:t xml:space="preserve">weather </w:t>
      </w:r>
      <w:r w:rsidR="00B74D27">
        <w:rPr>
          <w:rFonts w:ascii="Times New Roman" w:hAnsi="Times New Roman" w:cs="Times New Roman"/>
        </w:rPr>
        <w:t>prediction</w:t>
      </w:r>
      <w:r w:rsidR="00586AC4" w:rsidRPr="00586AC4">
        <w:rPr>
          <w:rFonts w:ascii="Times New Roman" w:hAnsi="Times New Roman" w:cs="Times New Roman"/>
        </w:rPr>
        <w:t>.</w:t>
      </w:r>
    </w:p>
    <w:p w14:paraId="6C31679E" w14:textId="5839DB48" w:rsidR="00586AC4" w:rsidRPr="00586AC4" w:rsidRDefault="00586AC4" w:rsidP="00EB6429">
      <w:pPr>
        <w:pStyle w:val="NoSpacing"/>
        <w:spacing w:line="480" w:lineRule="auto"/>
        <w:ind w:firstLine="720"/>
        <w:jc w:val="both"/>
        <w:rPr>
          <w:rFonts w:ascii="Times New Roman" w:hAnsi="Times New Roman" w:cs="Times New Roman"/>
        </w:rPr>
      </w:pPr>
      <w:bookmarkStart w:id="11" w:name="_Hlk96967801"/>
      <w:r w:rsidRPr="00586AC4">
        <w:rPr>
          <w:rFonts w:ascii="Times New Roman" w:hAnsi="Times New Roman" w:cs="Times New Roman"/>
        </w:rPr>
        <w:t>Operational</w:t>
      </w:r>
      <w:r w:rsidR="00FF2A51">
        <w:rPr>
          <w:rFonts w:ascii="Times New Roman" w:hAnsi="Times New Roman" w:cs="Times New Roman"/>
        </w:rPr>
        <w:t xml:space="preserve"> numerical prediction</w:t>
      </w:r>
      <w:r w:rsidRPr="00586AC4">
        <w:rPr>
          <w:rFonts w:ascii="Times New Roman" w:hAnsi="Times New Roman" w:cs="Times New Roman"/>
        </w:rPr>
        <w:t xml:space="preserve"> centers utilize various advanced DA techniques. One popular category includes </w:t>
      </w:r>
      <w:r w:rsidR="00FF2A51">
        <w:rPr>
          <w:rFonts w:ascii="Times New Roman" w:hAnsi="Times New Roman" w:cs="Times New Roman"/>
        </w:rPr>
        <w:t xml:space="preserve">the </w:t>
      </w:r>
      <w:r w:rsidRPr="00586AC4">
        <w:rPr>
          <w:rFonts w:ascii="Times New Roman" w:hAnsi="Times New Roman" w:cs="Times New Roman"/>
        </w:rPr>
        <w:t xml:space="preserve">ensemble-based DA approaches, such as various forms of ensemble Kalman filter (EnKF; e.g., Evensen 1994; Houtekamer and Mitchell 2001; Bishop et al. 2001; Anderson 2001; Whitaker and Hamill 2002; </w:t>
      </w:r>
      <w:r w:rsidR="00DA0FCA">
        <w:rPr>
          <w:rFonts w:ascii="Times New Roman" w:hAnsi="Times New Roman" w:cs="Times New Roman"/>
        </w:rPr>
        <w:t xml:space="preserve">Wang and Bishop 2003; Wang et al 2004; </w:t>
      </w:r>
      <w:r w:rsidRPr="00586AC4">
        <w:rPr>
          <w:rFonts w:ascii="Times New Roman" w:hAnsi="Times New Roman" w:cs="Times New Roman"/>
        </w:rPr>
        <w:t>Hunt et al. 2007) and hybrid ensemble-variational (EnVar; e.g., Hamill and Snyder 2000; Wang et al. 2007b; Wang 2010; Wang et al. 2013; Wang and Lei 2014) methods</w:t>
      </w:r>
      <w:bookmarkEnd w:id="11"/>
      <w:r w:rsidRPr="00586AC4">
        <w:rPr>
          <w:rFonts w:ascii="Times New Roman" w:hAnsi="Times New Roman" w:cs="Times New Roman"/>
        </w:rPr>
        <w:t xml:space="preserve">.  These </w:t>
      </w:r>
      <w:bookmarkStart w:id="12" w:name="_Hlk96967845"/>
      <w:r w:rsidRPr="00586AC4">
        <w:rPr>
          <w:rFonts w:ascii="Times New Roman" w:hAnsi="Times New Roman" w:cs="Times New Roman"/>
        </w:rPr>
        <w:t xml:space="preserve">approaches use a finite number of ensemble members to sample the background error covariance (BEC) of the short-term </w:t>
      </w:r>
      <w:r w:rsidRPr="00586AC4">
        <w:rPr>
          <w:rFonts w:ascii="Times New Roman" w:hAnsi="Times New Roman" w:cs="Times New Roman"/>
        </w:rPr>
        <w:lastRenderedPageBreak/>
        <w:t xml:space="preserve">forecast.  </w:t>
      </w:r>
      <w:bookmarkEnd w:id="12"/>
      <w:r w:rsidRPr="00586AC4">
        <w:rPr>
          <w:rFonts w:ascii="Times New Roman" w:hAnsi="Times New Roman" w:cs="Times New Roman"/>
        </w:rPr>
        <w:t xml:space="preserve">These BECs </w:t>
      </w:r>
      <w:r w:rsidR="00287B51">
        <w:rPr>
          <w:rFonts w:ascii="Times New Roman" w:hAnsi="Times New Roman" w:cs="Times New Roman"/>
        </w:rPr>
        <w:t xml:space="preserve">derived from the ensemble </w:t>
      </w:r>
      <w:r w:rsidRPr="00586AC4">
        <w:rPr>
          <w:rFonts w:ascii="Times New Roman" w:hAnsi="Times New Roman" w:cs="Times New Roman"/>
        </w:rPr>
        <w:t>are flow-dependent, which is particularly advantageous when compared to other common DA methods, such as pure variational methods, which use static BECs based on climatology (e.g., Fischer et al. 1998; Buehner et al. 2013; Wang et al. 2013; Wang and Lei 2014; Kleist and Ide 2015; Buehner et al. 2015).</w:t>
      </w:r>
    </w:p>
    <w:p w14:paraId="3E60FA08" w14:textId="58B99B82" w:rsidR="00586AC4" w:rsidRPr="00586AC4" w:rsidRDefault="009B0FED" w:rsidP="006D71A3">
      <w:pPr>
        <w:pStyle w:val="NoSpacing"/>
        <w:spacing w:line="480" w:lineRule="auto"/>
        <w:ind w:firstLine="720"/>
        <w:jc w:val="both"/>
        <w:rPr>
          <w:rFonts w:ascii="Times New Roman" w:hAnsi="Times New Roman" w:cs="Times New Roman"/>
        </w:rPr>
      </w:pPr>
      <w:r>
        <w:rPr>
          <w:rFonts w:ascii="Times New Roman" w:hAnsi="Times New Roman" w:cs="Times New Roman"/>
        </w:rPr>
        <w:t>Among the ensemble</w:t>
      </w:r>
      <w:r w:rsidR="0022139C">
        <w:rPr>
          <w:rFonts w:ascii="Times New Roman" w:hAnsi="Times New Roman" w:cs="Times New Roman"/>
        </w:rPr>
        <w:t>-</w:t>
      </w:r>
      <w:r>
        <w:rPr>
          <w:rFonts w:ascii="Times New Roman" w:hAnsi="Times New Roman" w:cs="Times New Roman"/>
        </w:rPr>
        <w:t xml:space="preserve">based DA methods, </w:t>
      </w:r>
      <w:r w:rsidR="00681ED9">
        <w:rPr>
          <w:rFonts w:ascii="Times New Roman" w:hAnsi="Times New Roman" w:cs="Times New Roman"/>
        </w:rPr>
        <w:t>both the legacy GFS and the FV3GFS use the</w:t>
      </w:r>
      <w:r w:rsidR="00586AC4" w:rsidRPr="00586AC4">
        <w:rPr>
          <w:rFonts w:ascii="Times New Roman" w:hAnsi="Times New Roman" w:cs="Times New Roman"/>
        </w:rPr>
        <w:t xml:space="preserve"> hybrid 4DEnVar method</w:t>
      </w:r>
      <w:r w:rsidR="00681ED9">
        <w:rPr>
          <w:rFonts w:ascii="Times New Roman" w:hAnsi="Times New Roman" w:cs="Times New Roman"/>
        </w:rPr>
        <w:t xml:space="preserve"> </w:t>
      </w:r>
      <w:r w:rsidR="00586AC4" w:rsidRPr="00586AC4">
        <w:rPr>
          <w:rFonts w:ascii="Times New Roman" w:hAnsi="Times New Roman" w:cs="Times New Roman"/>
        </w:rPr>
        <w:t>implemented in the gridpoint statistical interpolation (GSI) system</w:t>
      </w:r>
      <w:r w:rsidR="00681ED9">
        <w:rPr>
          <w:rFonts w:ascii="Times New Roman" w:hAnsi="Times New Roman" w:cs="Times New Roman"/>
        </w:rPr>
        <w:t xml:space="preserve"> (Wang and Lei 2014</w:t>
      </w:r>
      <w:r w:rsidR="00EE5358">
        <w:rPr>
          <w:rFonts w:ascii="Times New Roman" w:hAnsi="Times New Roman" w:cs="Times New Roman"/>
        </w:rPr>
        <w:t>;</w:t>
      </w:r>
      <w:r w:rsidR="00681ED9">
        <w:rPr>
          <w:rFonts w:ascii="Times New Roman" w:hAnsi="Times New Roman" w:cs="Times New Roman"/>
        </w:rPr>
        <w:t xml:space="preserve"> Kleist and Ide 2015)</w:t>
      </w:r>
      <w:r w:rsidR="004B1C44">
        <w:rPr>
          <w:rFonts w:ascii="Times New Roman" w:hAnsi="Times New Roman" w:cs="Times New Roman"/>
        </w:rPr>
        <w:t>.</w:t>
      </w:r>
      <w:r w:rsidR="00EE5358">
        <w:rPr>
          <w:rFonts w:ascii="Times New Roman" w:hAnsi="Times New Roman" w:cs="Times New Roman"/>
        </w:rPr>
        <w:t xml:space="preserve">  </w:t>
      </w:r>
      <w:r w:rsidR="00586AC4" w:rsidRPr="00586AC4">
        <w:rPr>
          <w:rFonts w:ascii="Times New Roman" w:hAnsi="Times New Roman" w:cs="Times New Roman"/>
        </w:rPr>
        <w:t xml:space="preserve">4DEnVar </w:t>
      </w:r>
      <w:bookmarkStart w:id="13" w:name="_Hlk96968020"/>
      <w:r w:rsidR="00586AC4" w:rsidRPr="00586AC4">
        <w:rPr>
          <w:rFonts w:ascii="Times New Roman" w:hAnsi="Times New Roman" w:cs="Times New Roman"/>
        </w:rPr>
        <w:t>is a 4D-extension of hybrid 3DEnVar (Wang et al. 2013)</w:t>
      </w:r>
      <w:r w:rsidR="00202CE7">
        <w:rPr>
          <w:rFonts w:ascii="Times New Roman" w:hAnsi="Times New Roman" w:cs="Times New Roman"/>
        </w:rPr>
        <w:t xml:space="preserve"> and has </w:t>
      </w:r>
      <w:r w:rsidR="00202CE7" w:rsidRPr="00586AC4">
        <w:rPr>
          <w:rFonts w:ascii="Times New Roman" w:hAnsi="Times New Roman" w:cs="Times New Roman"/>
        </w:rPr>
        <w:t>the benefit of not having to code a tangent linear model</w:t>
      </w:r>
      <w:r w:rsidR="00D92D9D">
        <w:rPr>
          <w:rFonts w:ascii="Times New Roman" w:hAnsi="Times New Roman" w:cs="Times New Roman"/>
        </w:rPr>
        <w:t xml:space="preserve"> compared to 4DVar</w:t>
      </w:r>
      <w:bookmarkEnd w:id="13"/>
      <w:r w:rsidR="00586AC4" w:rsidRPr="00586AC4">
        <w:rPr>
          <w:rFonts w:ascii="Times New Roman" w:hAnsi="Times New Roman" w:cs="Times New Roman"/>
        </w:rPr>
        <w:t xml:space="preserve">. </w:t>
      </w:r>
      <w:r w:rsidR="00D92D9D">
        <w:rPr>
          <w:rFonts w:ascii="Times New Roman" w:hAnsi="Times New Roman" w:cs="Times New Roman"/>
        </w:rPr>
        <w:t xml:space="preserve"> </w:t>
      </w:r>
      <w:r w:rsidR="00586AC4" w:rsidRPr="00586AC4">
        <w:rPr>
          <w:rFonts w:ascii="Times New Roman" w:hAnsi="Times New Roman" w:cs="Times New Roman"/>
        </w:rPr>
        <w:t>4DEnVar has been shown to improve upon both global- (Buehner et al. 2013; Wang and Lei 2014) and convective-scale (</w:t>
      </w:r>
      <w:r w:rsidR="00DD359E">
        <w:rPr>
          <w:rFonts w:ascii="Times New Roman" w:hAnsi="Times New Roman" w:cs="Times New Roman"/>
        </w:rPr>
        <w:t xml:space="preserve">Lu et al. 2017; </w:t>
      </w:r>
      <w:r w:rsidR="00586AC4" w:rsidRPr="00586AC4">
        <w:rPr>
          <w:rFonts w:ascii="Times New Roman" w:hAnsi="Times New Roman" w:cs="Times New Roman"/>
        </w:rPr>
        <w:t xml:space="preserve">Gao et al. 2021) forecasts when compared to 3DEnVar due to the 4DEnVar’s ability to </w:t>
      </w:r>
      <w:r w:rsidR="004B1C44">
        <w:rPr>
          <w:rFonts w:ascii="Times New Roman" w:hAnsi="Times New Roman" w:cs="Times New Roman"/>
        </w:rPr>
        <w:t>account for</w:t>
      </w:r>
      <w:r w:rsidR="00586AC4" w:rsidRPr="00586AC4">
        <w:rPr>
          <w:rFonts w:ascii="Times New Roman" w:hAnsi="Times New Roman" w:cs="Times New Roman"/>
        </w:rPr>
        <w:t xml:space="preserve"> the temporal change </w:t>
      </w:r>
      <w:r w:rsidR="004B1C44">
        <w:rPr>
          <w:rFonts w:ascii="Times New Roman" w:hAnsi="Times New Roman" w:cs="Times New Roman"/>
        </w:rPr>
        <w:t>of</w:t>
      </w:r>
      <w:r w:rsidR="00586AC4" w:rsidRPr="00586AC4">
        <w:rPr>
          <w:rFonts w:ascii="Times New Roman" w:hAnsi="Times New Roman" w:cs="Times New Roman"/>
        </w:rPr>
        <w:t xml:space="preserve"> </w:t>
      </w:r>
      <w:r w:rsidR="004B1C44">
        <w:rPr>
          <w:rFonts w:ascii="Times New Roman" w:hAnsi="Times New Roman" w:cs="Times New Roman"/>
        </w:rPr>
        <w:t xml:space="preserve">the </w:t>
      </w:r>
      <w:r w:rsidR="00586AC4" w:rsidRPr="00586AC4">
        <w:rPr>
          <w:rFonts w:ascii="Times New Roman" w:hAnsi="Times New Roman" w:cs="Times New Roman"/>
        </w:rPr>
        <w:t>ensemble BECs</w:t>
      </w:r>
      <w:r w:rsidR="004B1C44">
        <w:rPr>
          <w:rFonts w:ascii="Times New Roman" w:hAnsi="Times New Roman" w:cs="Times New Roman"/>
        </w:rPr>
        <w:t xml:space="preserve"> with</w:t>
      </w:r>
      <w:r w:rsidR="00BE13EB">
        <w:rPr>
          <w:rFonts w:ascii="Times New Roman" w:hAnsi="Times New Roman" w:cs="Times New Roman"/>
        </w:rPr>
        <w:t>in</w:t>
      </w:r>
      <w:r w:rsidR="004B1C44">
        <w:rPr>
          <w:rFonts w:ascii="Times New Roman" w:hAnsi="Times New Roman" w:cs="Times New Roman"/>
        </w:rPr>
        <w:t xml:space="preserve"> the DA window</w:t>
      </w:r>
      <w:r w:rsidR="00586AC4" w:rsidRPr="00586AC4">
        <w:rPr>
          <w:rFonts w:ascii="Times New Roman" w:hAnsi="Times New Roman" w:cs="Times New Roman"/>
        </w:rPr>
        <w:t>.</w:t>
      </w:r>
      <w:r w:rsidR="000D26A9">
        <w:rPr>
          <w:rFonts w:ascii="Times New Roman" w:hAnsi="Times New Roman" w:cs="Times New Roman"/>
        </w:rPr>
        <w:t xml:space="preserve">  </w:t>
      </w:r>
      <w:r w:rsidR="00947A91">
        <w:rPr>
          <w:rFonts w:ascii="Times New Roman" w:hAnsi="Times New Roman" w:cs="Times New Roman"/>
        </w:rPr>
        <w:t xml:space="preserve">Past studies also </w:t>
      </w:r>
      <w:r w:rsidR="003942BC">
        <w:rPr>
          <w:rFonts w:ascii="Times New Roman" w:hAnsi="Times New Roman" w:cs="Times New Roman"/>
        </w:rPr>
        <w:t>demonstrate that hybridizing a well</w:t>
      </w:r>
      <w:r w:rsidR="00871D25">
        <w:rPr>
          <w:rFonts w:ascii="Times New Roman" w:hAnsi="Times New Roman" w:cs="Times New Roman"/>
        </w:rPr>
        <w:t>-</w:t>
      </w:r>
      <w:r w:rsidR="003942BC">
        <w:rPr>
          <w:rFonts w:ascii="Times New Roman" w:hAnsi="Times New Roman" w:cs="Times New Roman"/>
        </w:rPr>
        <w:t xml:space="preserve">constructed </w:t>
      </w:r>
      <w:r w:rsidR="008755C0">
        <w:rPr>
          <w:rFonts w:ascii="Times New Roman" w:hAnsi="Times New Roman" w:cs="Times New Roman"/>
        </w:rPr>
        <w:t xml:space="preserve">static </w:t>
      </w:r>
      <w:r w:rsidR="003942BC">
        <w:rPr>
          <w:rFonts w:ascii="Times New Roman" w:hAnsi="Times New Roman" w:cs="Times New Roman"/>
        </w:rPr>
        <w:t>covariance in EnVar can improve upon a pure EnVar or pure EnKF for both global and convective</w:t>
      </w:r>
      <w:r w:rsidR="00EE5358">
        <w:rPr>
          <w:rFonts w:ascii="Times New Roman" w:hAnsi="Times New Roman" w:cs="Times New Roman"/>
        </w:rPr>
        <w:t>-</w:t>
      </w:r>
      <w:r w:rsidR="003942BC">
        <w:rPr>
          <w:rFonts w:ascii="Times New Roman" w:hAnsi="Times New Roman" w:cs="Times New Roman"/>
        </w:rPr>
        <w:t>scale application</w:t>
      </w:r>
      <w:r w:rsidR="00EE5358">
        <w:rPr>
          <w:rFonts w:ascii="Times New Roman" w:hAnsi="Times New Roman" w:cs="Times New Roman"/>
        </w:rPr>
        <w:t>s</w:t>
      </w:r>
      <w:r w:rsidR="003942BC">
        <w:rPr>
          <w:rFonts w:ascii="Times New Roman" w:hAnsi="Times New Roman" w:cs="Times New Roman"/>
        </w:rPr>
        <w:t xml:space="preserve"> given the ability of the static covariance </w:t>
      </w:r>
      <w:r w:rsidR="00EE5358">
        <w:rPr>
          <w:rFonts w:ascii="Times New Roman" w:hAnsi="Times New Roman" w:cs="Times New Roman"/>
        </w:rPr>
        <w:t>to</w:t>
      </w:r>
      <w:r w:rsidR="003942BC">
        <w:rPr>
          <w:rFonts w:ascii="Times New Roman" w:hAnsi="Times New Roman" w:cs="Times New Roman"/>
        </w:rPr>
        <w:t xml:space="preserve"> alleviat</w:t>
      </w:r>
      <w:r w:rsidR="00EE5358">
        <w:rPr>
          <w:rFonts w:ascii="Times New Roman" w:hAnsi="Times New Roman" w:cs="Times New Roman"/>
        </w:rPr>
        <w:t>e</w:t>
      </w:r>
      <w:r w:rsidR="003942BC">
        <w:rPr>
          <w:rFonts w:ascii="Times New Roman" w:hAnsi="Times New Roman" w:cs="Times New Roman"/>
        </w:rPr>
        <w:t xml:space="preserve"> the sampling error and </w:t>
      </w:r>
      <w:r w:rsidR="00EE5358">
        <w:rPr>
          <w:rFonts w:ascii="Times New Roman" w:hAnsi="Times New Roman" w:cs="Times New Roman"/>
        </w:rPr>
        <w:t>to</w:t>
      </w:r>
      <w:r w:rsidR="003942BC">
        <w:rPr>
          <w:rFonts w:ascii="Times New Roman" w:hAnsi="Times New Roman" w:cs="Times New Roman"/>
        </w:rPr>
        <w:t xml:space="preserve"> account for model errors </w:t>
      </w:r>
      <w:r w:rsidR="000D26A9" w:rsidRPr="00586AC4">
        <w:rPr>
          <w:rFonts w:ascii="Times New Roman" w:hAnsi="Times New Roman" w:cs="Times New Roman"/>
        </w:rPr>
        <w:t>(e.g., Lorenc 2003; Wang et al. 2007a; Wang et al. 2009</w:t>
      </w:r>
      <w:r w:rsidR="003942BC">
        <w:rPr>
          <w:rFonts w:ascii="Times New Roman" w:hAnsi="Times New Roman" w:cs="Times New Roman"/>
        </w:rPr>
        <w:t>; Wang and Wang 2021</w:t>
      </w:r>
      <w:r w:rsidR="000D26A9" w:rsidRPr="00586AC4">
        <w:rPr>
          <w:rFonts w:ascii="Times New Roman" w:hAnsi="Times New Roman" w:cs="Times New Roman"/>
        </w:rPr>
        <w:t xml:space="preserve">). </w:t>
      </w:r>
    </w:p>
    <w:p w14:paraId="549D6923" w14:textId="5A5B89E7" w:rsidR="00BF5F90" w:rsidRPr="00586AC4" w:rsidRDefault="00EE5358" w:rsidP="00BF5F90">
      <w:pPr>
        <w:pStyle w:val="NoSpacing"/>
        <w:spacing w:line="480" w:lineRule="auto"/>
        <w:ind w:firstLine="720"/>
        <w:jc w:val="both"/>
        <w:rPr>
          <w:rFonts w:ascii="Times New Roman" w:hAnsi="Times New Roman" w:cs="Times New Roman"/>
        </w:rPr>
      </w:pPr>
      <w:r>
        <w:rPr>
          <w:rFonts w:ascii="Times New Roman" w:hAnsi="Times New Roman" w:cs="Times New Roman"/>
        </w:rPr>
        <w:t xml:space="preserve">The </w:t>
      </w:r>
      <w:r w:rsidR="00C256CC" w:rsidRPr="00834BB9">
        <w:rPr>
          <w:rFonts w:ascii="Times New Roman" w:hAnsi="Times New Roman" w:cs="Times New Roman"/>
        </w:rPr>
        <w:t xml:space="preserve">current global 4DEnVar operational system </w:t>
      </w:r>
      <w:r>
        <w:rPr>
          <w:rFonts w:ascii="Times New Roman" w:hAnsi="Times New Roman" w:cs="Times New Roman"/>
        </w:rPr>
        <w:t xml:space="preserve">at the National Centers for Environmental Prediction (NCEP) </w:t>
      </w:r>
      <w:r w:rsidR="00C256CC" w:rsidRPr="00834BB9">
        <w:rPr>
          <w:rFonts w:ascii="Times New Roman" w:hAnsi="Times New Roman" w:cs="Times New Roman"/>
        </w:rPr>
        <w:t xml:space="preserve">uses a single control member at high-resolution and 80 ensemble members all at the same reduced resolution (JCSDA 2018). </w:t>
      </w:r>
      <w:r w:rsidR="003B40D7" w:rsidRPr="00C256CC">
        <w:rPr>
          <w:rFonts w:ascii="Times New Roman" w:hAnsi="Times New Roman" w:cs="Times New Roman"/>
        </w:rPr>
        <w:t>Given</w:t>
      </w:r>
      <w:r w:rsidR="003B40D7">
        <w:rPr>
          <w:rFonts w:ascii="Times New Roman" w:hAnsi="Times New Roman" w:cs="Times New Roman"/>
        </w:rPr>
        <w:t xml:space="preserve"> </w:t>
      </w:r>
      <w:r w:rsidR="00AA4952">
        <w:rPr>
          <w:rFonts w:ascii="Times New Roman" w:hAnsi="Times New Roman" w:cs="Times New Roman"/>
        </w:rPr>
        <w:t xml:space="preserve">the </w:t>
      </w:r>
      <w:r w:rsidR="00852EFA">
        <w:rPr>
          <w:rFonts w:ascii="Times New Roman" w:hAnsi="Times New Roman" w:cs="Times New Roman"/>
        </w:rPr>
        <w:t>limited</w:t>
      </w:r>
      <w:r w:rsidR="003B40D7">
        <w:rPr>
          <w:rFonts w:ascii="Times New Roman" w:hAnsi="Times New Roman" w:cs="Times New Roman"/>
        </w:rPr>
        <w:t xml:space="preserve"> computational resources, the optimal balance between model resolut</w:t>
      </w:r>
      <w:r w:rsidR="00852EFA">
        <w:rPr>
          <w:rFonts w:ascii="Times New Roman" w:hAnsi="Times New Roman" w:cs="Times New Roman"/>
        </w:rPr>
        <w:t>io</w:t>
      </w:r>
      <w:r w:rsidR="003B40D7">
        <w:rPr>
          <w:rFonts w:ascii="Times New Roman" w:hAnsi="Times New Roman" w:cs="Times New Roman"/>
        </w:rPr>
        <w:t>n and ensemble size</w:t>
      </w:r>
      <w:r w:rsidR="00701FC8">
        <w:rPr>
          <w:rFonts w:ascii="Times New Roman" w:hAnsi="Times New Roman" w:cs="Times New Roman"/>
        </w:rPr>
        <w:t xml:space="preserve"> in</w:t>
      </w:r>
      <w:r w:rsidR="000D5A2B">
        <w:rPr>
          <w:rFonts w:ascii="Times New Roman" w:hAnsi="Times New Roman" w:cs="Times New Roman"/>
        </w:rPr>
        <w:t xml:space="preserve"> the context of</w:t>
      </w:r>
      <w:r w:rsidR="00701FC8">
        <w:rPr>
          <w:rFonts w:ascii="Times New Roman" w:hAnsi="Times New Roman" w:cs="Times New Roman"/>
        </w:rPr>
        <w:t xml:space="preserve"> ensemble</w:t>
      </w:r>
      <w:r>
        <w:rPr>
          <w:rFonts w:ascii="Times New Roman" w:hAnsi="Times New Roman" w:cs="Times New Roman"/>
        </w:rPr>
        <w:t>-</w:t>
      </w:r>
      <w:r w:rsidR="00701FC8">
        <w:rPr>
          <w:rFonts w:ascii="Times New Roman" w:hAnsi="Times New Roman" w:cs="Times New Roman"/>
        </w:rPr>
        <w:t xml:space="preserve">based </w:t>
      </w:r>
      <w:r w:rsidR="0022139C">
        <w:rPr>
          <w:rFonts w:ascii="Times New Roman" w:hAnsi="Times New Roman" w:cs="Times New Roman"/>
        </w:rPr>
        <w:t>DA</w:t>
      </w:r>
      <w:r w:rsidR="004114AF">
        <w:rPr>
          <w:rFonts w:ascii="Times New Roman" w:hAnsi="Times New Roman" w:cs="Times New Roman"/>
        </w:rPr>
        <w:t xml:space="preserve">, </w:t>
      </w:r>
      <w:r w:rsidR="00636B22">
        <w:rPr>
          <w:rFonts w:ascii="Times New Roman" w:hAnsi="Times New Roman" w:cs="Times New Roman"/>
        </w:rPr>
        <w:t>therefore</w:t>
      </w:r>
      <w:r w:rsidR="004114AF">
        <w:rPr>
          <w:rFonts w:ascii="Times New Roman" w:hAnsi="Times New Roman" w:cs="Times New Roman"/>
        </w:rPr>
        <w:t>,</w:t>
      </w:r>
      <w:r w:rsidR="00636B22">
        <w:rPr>
          <w:rFonts w:ascii="Times New Roman" w:hAnsi="Times New Roman" w:cs="Times New Roman"/>
        </w:rPr>
        <w:t xml:space="preserve"> need</w:t>
      </w:r>
      <w:r w:rsidR="004114AF">
        <w:rPr>
          <w:rFonts w:ascii="Times New Roman" w:hAnsi="Times New Roman" w:cs="Times New Roman"/>
        </w:rPr>
        <w:t>s</w:t>
      </w:r>
      <w:r w:rsidR="00636B22">
        <w:rPr>
          <w:rFonts w:ascii="Times New Roman" w:hAnsi="Times New Roman" w:cs="Times New Roman"/>
        </w:rPr>
        <w:t xml:space="preserve"> to be examined</w:t>
      </w:r>
      <w:r w:rsidR="00852EFA">
        <w:rPr>
          <w:rFonts w:ascii="Times New Roman" w:hAnsi="Times New Roman" w:cs="Times New Roman"/>
        </w:rPr>
        <w:t xml:space="preserve">. </w:t>
      </w:r>
      <w:r w:rsidR="003E260E">
        <w:rPr>
          <w:rFonts w:ascii="Times New Roman" w:hAnsi="Times New Roman" w:cs="Times New Roman"/>
        </w:rPr>
        <w:t>On one hand, t</w:t>
      </w:r>
      <w:r w:rsidR="003E260E" w:rsidRPr="00586AC4">
        <w:rPr>
          <w:rFonts w:ascii="Times New Roman" w:hAnsi="Times New Roman" w:cs="Times New Roman"/>
        </w:rPr>
        <w:t>he use of a high-resolution ensemble may be important in resolv</w:t>
      </w:r>
      <w:r w:rsidR="00191F93">
        <w:rPr>
          <w:rFonts w:ascii="Times New Roman" w:hAnsi="Times New Roman" w:cs="Times New Roman"/>
        </w:rPr>
        <w:t>ing</w:t>
      </w:r>
      <w:r w:rsidR="003E260E" w:rsidRPr="00586AC4">
        <w:rPr>
          <w:rFonts w:ascii="Times New Roman" w:hAnsi="Times New Roman" w:cs="Times New Roman"/>
        </w:rPr>
        <w:t xml:space="preserve"> smaller-scale </w:t>
      </w:r>
      <w:r w:rsidR="00191F93">
        <w:rPr>
          <w:rFonts w:ascii="Times New Roman" w:hAnsi="Times New Roman" w:cs="Times New Roman"/>
        </w:rPr>
        <w:t>background errors</w:t>
      </w:r>
      <w:r w:rsidR="00E80D18">
        <w:rPr>
          <w:rFonts w:ascii="Times New Roman" w:hAnsi="Times New Roman" w:cs="Times New Roman"/>
        </w:rPr>
        <w:t xml:space="preserve"> (</w:t>
      </w:r>
      <w:r>
        <w:rPr>
          <w:rFonts w:ascii="Times New Roman" w:hAnsi="Times New Roman" w:cs="Times New Roman"/>
        </w:rPr>
        <w:t>e.g., Hamill and Whitaker 2005</w:t>
      </w:r>
      <w:r w:rsidR="00E80D18">
        <w:rPr>
          <w:rFonts w:ascii="Times New Roman" w:hAnsi="Times New Roman" w:cs="Times New Roman"/>
        </w:rPr>
        <w:t>)</w:t>
      </w:r>
      <w:r w:rsidR="003E260E">
        <w:rPr>
          <w:rFonts w:ascii="Times New Roman" w:hAnsi="Times New Roman" w:cs="Times New Roman"/>
        </w:rPr>
        <w:t xml:space="preserve">. On the other hand, </w:t>
      </w:r>
      <w:r w:rsidR="00047360">
        <w:rPr>
          <w:rFonts w:ascii="Times New Roman" w:hAnsi="Times New Roman" w:cs="Times New Roman"/>
        </w:rPr>
        <w:t xml:space="preserve">increasing the ensemble size </w:t>
      </w:r>
      <w:r w:rsidR="00BF5F90">
        <w:rPr>
          <w:rFonts w:ascii="Times New Roman" w:hAnsi="Times New Roman" w:cs="Times New Roman"/>
        </w:rPr>
        <w:t>will reduce the sampling error of the ensemble</w:t>
      </w:r>
      <w:r w:rsidR="0038098E">
        <w:rPr>
          <w:rFonts w:ascii="Times New Roman" w:hAnsi="Times New Roman" w:cs="Times New Roman"/>
        </w:rPr>
        <w:t>-</w:t>
      </w:r>
      <w:r w:rsidR="00BF5F90">
        <w:rPr>
          <w:rFonts w:ascii="Times New Roman" w:hAnsi="Times New Roman" w:cs="Times New Roman"/>
        </w:rPr>
        <w:t xml:space="preserve">estimated BECs. Specifically, </w:t>
      </w:r>
      <w:r w:rsidR="00E80D18">
        <w:rPr>
          <w:rFonts w:ascii="Times New Roman" w:hAnsi="Times New Roman" w:cs="Times New Roman"/>
        </w:rPr>
        <w:t>t</w:t>
      </w:r>
      <w:r w:rsidR="00BF5F90" w:rsidRPr="00586AC4">
        <w:rPr>
          <w:rFonts w:ascii="Times New Roman" w:hAnsi="Times New Roman" w:cs="Times New Roman"/>
        </w:rPr>
        <w:t xml:space="preserve">he </w:t>
      </w:r>
      <w:r w:rsidR="00E80D18">
        <w:rPr>
          <w:rFonts w:ascii="Times New Roman" w:hAnsi="Times New Roman" w:cs="Times New Roman"/>
        </w:rPr>
        <w:t xml:space="preserve">typical </w:t>
      </w:r>
      <w:r w:rsidR="00BF5F90" w:rsidRPr="00586AC4">
        <w:rPr>
          <w:rFonts w:ascii="Times New Roman" w:hAnsi="Times New Roman" w:cs="Times New Roman"/>
        </w:rPr>
        <w:t>ensemble size</w:t>
      </w:r>
      <w:r w:rsidR="00E80D18">
        <w:rPr>
          <w:rFonts w:ascii="Times New Roman" w:hAnsi="Times New Roman" w:cs="Times New Roman"/>
        </w:rPr>
        <w:t xml:space="preserve"> of </w:t>
      </w:r>
      <w:r w:rsidR="00BF5F90" w:rsidRPr="00586AC4">
        <w:rPr>
          <w:rFonts w:ascii="Times New Roman" w:hAnsi="Times New Roman" w:cs="Times New Roman"/>
        </w:rPr>
        <w:t>~</w:t>
      </w:r>
      <w:r w:rsidR="00BF5F90" w:rsidRPr="00586AC4">
        <w:rPr>
          <w:rFonts w:ascii="Times New Roman" w:hAnsi="Times New Roman" w:cs="Times New Roman"/>
          <w:i/>
          <w:iCs/>
        </w:rPr>
        <w:t>O</w:t>
      </w:r>
      <w:r w:rsidR="00BF5F90" w:rsidRPr="00586AC4">
        <w:rPr>
          <w:rFonts w:ascii="Times New Roman" w:hAnsi="Times New Roman" w:cs="Times New Roman"/>
        </w:rPr>
        <w:t>(100)</w:t>
      </w:r>
      <w:r w:rsidR="00E80D18">
        <w:rPr>
          <w:rFonts w:ascii="Times New Roman" w:hAnsi="Times New Roman" w:cs="Times New Roman"/>
        </w:rPr>
        <w:t xml:space="preserve"> is</w:t>
      </w:r>
      <w:r w:rsidR="00BF5F90" w:rsidRPr="00586AC4">
        <w:rPr>
          <w:rFonts w:ascii="Times New Roman" w:hAnsi="Times New Roman" w:cs="Times New Roman"/>
        </w:rPr>
        <w:t xml:space="preserve"> much smaller than the degrees of </w:t>
      </w:r>
      <w:r w:rsidR="00BF5F90" w:rsidRPr="00586AC4">
        <w:rPr>
          <w:rFonts w:ascii="Times New Roman" w:hAnsi="Times New Roman" w:cs="Times New Roman"/>
        </w:rPr>
        <w:lastRenderedPageBreak/>
        <w:t xml:space="preserve">freedom of the model (Houtekamer and Zhang 2016).  This discrepancy is often characterized by spurious distant </w:t>
      </w:r>
      <w:r w:rsidR="00E80D18">
        <w:rPr>
          <w:rFonts w:ascii="Times New Roman" w:hAnsi="Times New Roman" w:cs="Times New Roman"/>
        </w:rPr>
        <w:t xml:space="preserve">correlations </w:t>
      </w:r>
      <w:r w:rsidR="00BF5F90" w:rsidRPr="00586AC4">
        <w:rPr>
          <w:rFonts w:ascii="Times New Roman" w:hAnsi="Times New Roman" w:cs="Times New Roman"/>
        </w:rPr>
        <w:t>(e.g., Hamill 2006).  Various studies have shown that increasing the ensemble size lowers the sampling error and creates a more accurate representation of the BECs (e.g., Miyoshi et al. 2014; Huang and Wang 2018).</w:t>
      </w:r>
    </w:p>
    <w:p w14:paraId="61B46C13" w14:textId="47B62660" w:rsidR="00586AC4" w:rsidRPr="00586AC4" w:rsidRDefault="00BF5F90" w:rsidP="0008366C">
      <w:pPr>
        <w:pStyle w:val="NoSpacing"/>
        <w:spacing w:line="480" w:lineRule="auto"/>
        <w:ind w:firstLine="720"/>
        <w:jc w:val="both"/>
        <w:rPr>
          <w:rFonts w:ascii="Times New Roman" w:hAnsi="Times New Roman" w:cs="Times New Roman"/>
        </w:rPr>
      </w:pPr>
      <w:r>
        <w:rPr>
          <w:rFonts w:ascii="Times New Roman" w:hAnsi="Times New Roman" w:cs="Times New Roman"/>
        </w:rPr>
        <w:t xml:space="preserve"> </w:t>
      </w:r>
      <w:r w:rsidR="00636B22">
        <w:rPr>
          <w:rFonts w:ascii="Times New Roman" w:hAnsi="Times New Roman" w:cs="Times New Roman"/>
        </w:rPr>
        <w:t xml:space="preserve"> </w:t>
      </w:r>
      <w:r w:rsidR="003728A5">
        <w:rPr>
          <w:rFonts w:ascii="Times New Roman" w:hAnsi="Times New Roman" w:cs="Times New Roman"/>
        </w:rPr>
        <w:t>Lei and Whitaker (</w:t>
      </w:r>
      <w:r w:rsidR="00EE5358">
        <w:rPr>
          <w:rFonts w:ascii="Times New Roman" w:hAnsi="Times New Roman" w:cs="Times New Roman"/>
        </w:rPr>
        <w:t>2017</w:t>
      </w:r>
      <w:r w:rsidR="003728A5">
        <w:rPr>
          <w:rFonts w:ascii="Times New Roman" w:hAnsi="Times New Roman" w:cs="Times New Roman"/>
        </w:rPr>
        <w:t xml:space="preserve">) </w:t>
      </w:r>
      <w:r w:rsidR="00EE5358">
        <w:rPr>
          <w:rFonts w:ascii="Times New Roman" w:hAnsi="Times New Roman" w:cs="Times New Roman"/>
        </w:rPr>
        <w:t>used a given computational cost to examine either increasing ensemble size or ensemble resolution, utilizing 4DEnVar in the legacy GFS.  They found that though both provide some benefit, increasing ensemble resolution was more advantageous than increasing ensemble size due to the further reduction of errors at small scales.  When computational cost was not constrained, Houtekamer et al. (2014) and Hamrud et al. (2015) found benefit in increasing both ensemble size and ensemble resolution when using EnKF methods in global numerical prediction</w:t>
      </w:r>
      <w:r w:rsidR="003728A5">
        <w:rPr>
          <w:rFonts w:ascii="Times New Roman" w:hAnsi="Times New Roman" w:cs="Times New Roman"/>
        </w:rPr>
        <w:t>.</w:t>
      </w:r>
      <w:r w:rsidR="00EE5358">
        <w:rPr>
          <w:rFonts w:ascii="Times New Roman" w:hAnsi="Times New Roman" w:cs="Times New Roman"/>
        </w:rPr>
        <w:t xml:space="preserve"> </w:t>
      </w:r>
      <w:r w:rsidR="00915AFE">
        <w:rPr>
          <w:rFonts w:ascii="Times New Roman" w:hAnsi="Times New Roman" w:cs="Times New Roman"/>
        </w:rPr>
        <w:t xml:space="preserve">There is an even greater body of literatures </w:t>
      </w:r>
      <w:r w:rsidR="00D6442D">
        <w:rPr>
          <w:rFonts w:ascii="Times New Roman" w:hAnsi="Times New Roman" w:cs="Times New Roman"/>
        </w:rPr>
        <w:t>examining the tradeoff between ensemble size and model resolution in the ensemble forecast context (</w:t>
      </w:r>
      <w:r w:rsidR="00EE5358">
        <w:rPr>
          <w:rFonts w:ascii="Times New Roman" w:hAnsi="Times New Roman" w:cs="Times New Roman"/>
        </w:rPr>
        <w:t xml:space="preserve">Mullen and Buizza 2002; Reynolds et al. 2011; Ma et al. 2012; </w:t>
      </w:r>
      <w:r w:rsidR="0008366C">
        <w:rPr>
          <w:rFonts w:ascii="Times New Roman" w:hAnsi="Times New Roman" w:cs="Times New Roman"/>
        </w:rPr>
        <w:t>Raynaud and Bouttier 2017</w:t>
      </w:r>
      <w:r w:rsidR="00D6442D">
        <w:rPr>
          <w:rFonts w:ascii="Times New Roman" w:hAnsi="Times New Roman" w:cs="Times New Roman"/>
        </w:rPr>
        <w:t>).  These studies f</w:t>
      </w:r>
      <w:r w:rsidR="00364071">
        <w:rPr>
          <w:rFonts w:ascii="Times New Roman" w:hAnsi="Times New Roman" w:cs="Times New Roman"/>
        </w:rPr>
        <w:t>ou</w:t>
      </w:r>
      <w:r w:rsidR="00D6442D">
        <w:rPr>
          <w:rFonts w:ascii="Times New Roman" w:hAnsi="Times New Roman" w:cs="Times New Roman"/>
        </w:rPr>
        <w:t xml:space="preserve">nd </w:t>
      </w:r>
      <w:r w:rsidR="0059639E">
        <w:rPr>
          <w:rFonts w:ascii="Times New Roman" w:hAnsi="Times New Roman" w:cs="Times New Roman"/>
        </w:rPr>
        <w:t xml:space="preserve">that </w:t>
      </w:r>
      <w:r w:rsidR="00D6442D" w:rsidRPr="00586AC4">
        <w:rPr>
          <w:rFonts w:ascii="Times New Roman" w:hAnsi="Times New Roman" w:cs="Times New Roman"/>
        </w:rPr>
        <w:t>at a given computational cost</w:t>
      </w:r>
      <w:r w:rsidR="00D6442D">
        <w:rPr>
          <w:rFonts w:ascii="Times New Roman" w:hAnsi="Times New Roman" w:cs="Times New Roman"/>
        </w:rPr>
        <w:t xml:space="preserve"> the impact of</w:t>
      </w:r>
      <w:r w:rsidR="00D6442D" w:rsidRPr="00586AC4">
        <w:rPr>
          <w:rFonts w:ascii="Times New Roman" w:hAnsi="Times New Roman" w:cs="Times New Roman"/>
        </w:rPr>
        <w:t xml:space="preserve"> increasing the ensemble resolution </w:t>
      </w:r>
      <w:r w:rsidR="00D6442D">
        <w:rPr>
          <w:rFonts w:ascii="Times New Roman" w:hAnsi="Times New Roman" w:cs="Times New Roman"/>
        </w:rPr>
        <w:t>v</w:t>
      </w:r>
      <w:r w:rsidR="00364071">
        <w:rPr>
          <w:rFonts w:ascii="Times New Roman" w:hAnsi="Times New Roman" w:cs="Times New Roman"/>
        </w:rPr>
        <w:t>er</w:t>
      </w:r>
      <w:r w:rsidR="00D6442D">
        <w:rPr>
          <w:rFonts w:ascii="Times New Roman" w:hAnsi="Times New Roman" w:cs="Times New Roman"/>
        </w:rPr>
        <w:t>s</w:t>
      </w:r>
      <w:r w:rsidR="00364071">
        <w:rPr>
          <w:rFonts w:ascii="Times New Roman" w:hAnsi="Times New Roman" w:cs="Times New Roman"/>
        </w:rPr>
        <w:t>us</w:t>
      </w:r>
      <w:r w:rsidR="00D6442D" w:rsidRPr="00586AC4">
        <w:rPr>
          <w:rFonts w:ascii="Times New Roman" w:hAnsi="Times New Roman" w:cs="Times New Roman"/>
        </w:rPr>
        <w:t xml:space="preserve"> increasing the ensemble size of a low-resolution ensemble depend</w:t>
      </w:r>
      <w:r w:rsidR="00364071">
        <w:rPr>
          <w:rFonts w:ascii="Times New Roman" w:hAnsi="Times New Roman" w:cs="Times New Roman"/>
        </w:rPr>
        <w:t>ed</w:t>
      </w:r>
      <w:r w:rsidR="00D6442D" w:rsidRPr="00586AC4">
        <w:rPr>
          <w:rFonts w:ascii="Times New Roman" w:hAnsi="Times New Roman" w:cs="Times New Roman"/>
        </w:rPr>
        <w:t xml:space="preserve"> on </w:t>
      </w:r>
      <w:r w:rsidR="00D6442D">
        <w:rPr>
          <w:rFonts w:ascii="Times New Roman" w:hAnsi="Times New Roman" w:cs="Times New Roman"/>
        </w:rPr>
        <w:t xml:space="preserve">the </w:t>
      </w:r>
      <w:r w:rsidR="00D6442D" w:rsidRPr="00586AC4">
        <w:rPr>
          <w:rFonts w:ascii="Times New Roman" w:hAnsi="Times New Roman" w:cs="Times New Roman"/>
        </w:rPr>
        <w:t xml:space="preserve">features and </w:t>
      </w:r>
      <w:r w:rsidR="00D6442D">
        <w:rPr>
          <w:rFonts w:ascii="Times New Roman" w:hAnsi="Times New Roman" w:cs="Times New Roman"/>
        </w:rPr>
        <w:t xml:space="preserve">forecast lead </w:t>
      </w:r>
      <w:r w:rsidR="00D6442D" w:rsidRPr="00586AC4">
        <w:rPr>
          <w:rFonts w:ascii="Times New Roman" w:hAnsi="Times New Roman" w:cs="Times New Roman"/>
        </w:rPr>
        <w:t xml:space="preserve">time being examined.   </w:t>
      </w:r>
      <w:r w:rsidR="00D6442D">
        <w:rPr>
          <w:rFonts w:ascii="Times New Roman" w:hAnsi="Times New Roman" w:cs="Times New Roman"/>
        </w:rPr>
        <w:t xml:space="preserve">Despite </w:t>
      </w:r>
      <w:r w:rsidR="0008366C">
        <w:rPr>
          <w:rFonts w:ascii="Times New Roman" w:hAnsi="Times New Roman" w:cs="Times New Roman"/>
        </w:rPr>
        <w:t xml:space="preserve">their </w:t>
      </w:r>
      <w:r w:rsidR="00D6442D">
        <w:rPr>
          <w:rFonts w:ascii="Times New Roman" w:hAnsi="Times New Roman" w:cs="Times New Roman"/>
        </w:rPr>
        <w:t>focus o</w:t>
      </w:r>
      <w:r w:rsidR="0008366C">
        <w:rPr>
          <w:rFonts w:ascii="Times New Roman" w:hAnsi="Times New Roman" w:cs="Times New Roman"/>
        </w:rPr>
        <w:t>n</w:t>
      </w:r>
      <w:r w:rsidR="00D6442D">
        <w:rPr>
          <w:rFonts w:ascii="Times New Roman" w:hAnsi="Times New Roman" w:cs="Times New Roman"/>
        </w:rPr>
        <w:t xml:space="preserve"> ensemble forecasts, these results further motivate the need to study the model resolution and ensemble size tradeoff in the ensemble DA context.</w:t>
      </w:r>
    </w:p>
    <w:p w14:paraId="61A3091D" w14:textId="4ECDB344" w:rsidR="00586AC4" w:rsidRPr="00586AC4" w:rsidRDefault="00747740" w:rsidP="00EB6429">
      <w:pPr>
        <w:pStyle w:val="NoSpacing"/>
        <w:spacing w:line="480" w:lineRule="auto"/>
        <w:ind w:firstLine="720"/>
        <w:jc w:val="both"/>
        <w:rPr>
          <w:rFonts w:ascii="Times New Roman" w:hAnsi="Times New Roman" w:cs="Times New Roman"/>
        </w:rPr>
      </w:pPr>
      <w:r>
        <w:rPr>
          <w:rFonts w:ascii="Times New Roman" w:hAnsi="Times New Roman" w:cs="Times New Roman"/>
        </w:rPr>
        <w:t xml:space="preserve">In addition to </w:t>
      </w:r>
      <w:r w:rsidR="006A6060">
        <w:rPr>
          <w:rFonts w:ascii="Times New Roman" w:hAnsi="Times New Roman" w:cs="Times New Roman"/>
        </w:rPr>
        <w:t xml:space="preserve">universally increasing </w:t>
      </w:r>
      <w:r w:rsidR="00671537">
        <w:rPr>
          <w:rFonts w:ascii="Times New Roman" w:hAnsi="Times New Roman" w:cs="Times New Roman"/>
        </w:rPr>
        <w:t xml:space="preserve">resolution of all background ensemble members or </w:t>
      </w:r>
      <w:r w:rsidR="009A4850">
        <w:rPr>
          <w:rFonts w:ascii="Times New Roman" w:hAnsi="Times New Roman" w:cs="Times New Roman"/>
        </w:rPr>
        <w:t xml:space="preserve">directly </w:t>
      </w:r>
      <w:r w:rsidR="00671537">
        <w:rPr>
          <w:rFonts w:ascii="Times New Roman" w:hAnsi="Times New Roman" w:cs="Times New Roman"/>
        </w:rPr>
        <w:t>increasing the size</w:t>
      </w:r>
      <w:r w:rsidR="009A4850">
        <w:rPr>
          <w:rFonts w:ascii="Times New Roman" w:hAnsi="Times New Roman" w:cs="Times New Roman"/>
        </w:rPr>
        <w:t xml:space="preserve"> of the </w:t>
      </w:r>
      <w:r w:rsidR="0059639E">
        <w:rPr>
          <w:rFonts w:ascii="Times New Roman" w:hAnsi="Times New Roman" w:cs="Times New Roman"/>
        </w:rPr>
        <w:t xml:space="preserve">entire </w:t>
      </w:r>
      <w:r w:rsidR="009A4850">
        <w:rPr>
          <w:rFonts w:ascii="Times New Roman" w:hAnsi="Times New Roman" w:cs="Times New Roman"/>
        </w:rPr>
        <w:t>background ensemble members</w:t>
      </w:r>
      <w:r w:rsidR="002F3CAB">
        <w:rPr>
          <w:rFonts w:ascii="Times New Roman" w:hAnsi="Times New Roman" w:cs="Times New Roman"/>
        </w:rPr>
        <w:t>, s</w:t>
      </w:r>
      <w:r w:rsidR="0059639E">
        <w:rPr>
          <w:rFonts w:ascii="Times New Roman" w:hAnsi="Times New Roman" w:cs="Times New Roman"/>
        </w:rPr>
        <w:t xml:space="preserve">tudies have also explored the </w:t>
      </w:r>
      <w:r w:rsidR="00F2589E">
        <w:rPr>
          <w:rFonts w:ascii="Times New Roman" w:hAnsi="Times New Roman" w:cs="Times New Roman"/>
        </w:rPr>
        <w:t xml:space="preserve">optimal ensemble </w:t>
      </w:r>
      <w:r w:rsidR="001158A1">
        <w:rPr>
          <w:rFonts w:ascii="Times New Roman" w:hAnsi="Times New Roman" w:cs="Times New Roman"/>
        </w:rPr>
        <w:t xml:space="preserve">size and resolution for </w:t>
      </w:r>
      <w:r w:rsidR="00FA7A33">
        <w:rPr>
          <w:rFonts w:ascii="Times New Roman" w:hAnsi="Times New Roman" w:cs="Times New Roman"/>
        </w:rPr>
        <w:t xml:space="preserve">the </w:t>
      </w:r>
      <w:r w:rsidR="001158A1">
        <w:rPr>
          <w:rFonts w:ascii="Times New Roman" w:hAnsi="Times New Roman" w:cs="Times New Roman"/>
        </w:rPr>
        <w:t>ensemble</w:t>
      </w:r>
      <w:r w:rsidR="0008366C">
        <w:rPr>
          <w:rFonts w:ascii="Times New Roman" w:hAnsi="Times New Roman" w:cs="Times New Roman"/>
        </w:rPr>
        <w:t>-</w:t>
      </w:r>
      <w:r w:rsidR="001158A1">
        <w:rPr>
          <w:rFonts w:ascii="Times New Roman" w:hAnsi="Times New Roman" w:cs="Times New Roman"/>
        </w:rPr>
        <w:t xml:space="preserve">based DA using a </w:t>
      </w:r>
      <w:r w:rsidR="0059639E">
        <w:rPr>
          <w:rFonts w:ascii="Times New Roman" w:hAnsi="Times New Roman" w:cs="Times New Roman"/>
        </w:rPr>
        <w:t>multi-resolution background ensemble approach</w:t>
      </w:r>
      <w:r w:rsidR="00C256CC">
        <w:rPr>
          <w:rFonts w:ascii="Times New Roman" w:hAnsi="Times New Roman" w:cs="Times New Roman"/>
        </w:rPr>
        <w:t xml:space="preserve"> (MR-ENS, hereafter)</w:t>
      </w:r>
      <w:r w:rsidR="0059639E">
        <w:rPr>
          <w:rFonts w:ascii="Times New Roman" w:hAnsi="Times New Roman" w:cs="Times New Roman"/>
        </w:rPr>
        <w:t>.</w:t>
      </w:r>
      <w:r w:rsidR="0008366C">
        <w:rPr>
          <w:rFonts w:ascii="Times New Roman" w:hAnsi="Times New Roman" w:cs="Times New Roman"/>
        </w:rPr>
        <w:t xml:space="preserve"> </w:t>
      </w:r>
      <w:r w:rsidR="001158A1">
        <w:rPr>
          <w:rFonts w:ascii="Times New Roman" w:hAnsi="Times New Roman" w:cs="Times New Roman"/>
        </w:rPr>
        <w:t>In this approach,</w:t>
      </w:r>
      <w:r w:rsidR="00586AC4" w:rsidRPr="00586AC4">
        <w:rPr>
          <w:rFonts w:ascii="Times New Roman" w:hAnsi="Times New Roman" w:cs="Times New Roman"/>
        </w:rPr>
        <w:t xml:space="preserve"> some </w:t>
      </w:r>
      <w:r w:rsidR="008F51B1">
        <w:rPr>
          <w:rFonts w:ascii="Times New Roman" w:hAnsi="Times New Roman" w:cs="Times New Roman"/>
        </w:rPr>
        <w:t xml:space="preserve">background </w:t>
      </w:r>
      <w:r w:rsidR="00586AC4" w:rsidRPr="00586AC4">
        <w:rPr>
          <w:rFonts w:ascii="Times New Roman" w:hAnsi="Times New Roman" w:cs="Times New Roman"/>
        </w:rPr>
        <w:t>ensemble members are at a low</w:t>
      </w:r>
      <w:r w:rsidR="002F3CAB">
        <w:rPr>
          <w:rFonts w:ascii="Times New Roman" w:hAnsi="Times New Roman" w:cs="Times New Roman"/>
        </w:rPr>
        <w:t xml:space="preserve"> </w:t>
      </w:r>
      <w:r w:rsidR="00586AC4" w:rsidRPr="00586AC4">
        <w:rPr>
          <w:rFonts w:ascii="Times New Roman" w:hAnsi="Times New Roman" w:cs="Times New Roman"/>
        </w:rPr>
        <w:t>resolution and others are at a high</w:t>
      </w:r>
      <w:r w:rsidR="002F3CAB">
        <w:rPr>
          <w:rFonts w:ascii="Times New Roman" w:hAnsi="Times New Roman" w:cs="Times New Roman"/>
        </w:rPr>
        <w:t xml:space="preserve"> </w:t>
      </w:r>
      <w:r w:rsidR="00586AC4" w:rsidRPr="00586AC4">
        <w:rPr>
          <w:rFonts w:ascii="Times New Roman" w:hAnsi="Times New Roman" w:cs="Times New Roman"/>
        </w:rPr>
        <w:t>resolution</w:t>
      </w:r>
      <w:r w:rsidR="00021433">
        <w:rPr>
          <w:rFonts w:ascii="Times New Roman" w:hAnsi="Times New Roman" w:cs="Times New Roman"/>
        </w:rPr>
        <w:t xml:space="preserve">.  </w:t>
      </w:r>
      <w:bookmarkStart w:id="14" w:name="_Hlk96971928"/>
      <w:r w:rsidR="00586AC4" w:rsidRPr="00586AC4">
        <w:rPr>
          <w:rFonts w:ascii="Times New Roman" w:hAnsi="Times New Roman" w:cs="Times New Roman"/>
        </w:rPr>
        <w:t xml:space="preserve">Rainwater and Hunt (2013) </w:t>
      </w:r>
      <w:r w:rsidR="0059639E">
        <w:rPr>
          <w:rFonts w:ascii="Times New Roman" w:hAnsi="Times New Roman" w:cs="Times New Roman"/>
        </w:rPr>
        <w:t>examined</w:t>
      </w:r>
      <w:r w:rsidR="00586AC4" w:rsidRPr="00586AC4">
        <w:rPr>
          <w:rFonts w:ascii="Times New Roman" w:hAnsi="Times New Roman" w:cs="Times New Roman"/>
        </w:rPr>
        <w:t xml:space="preserve"> </w:t>
      </w:r>
      <w:r w:rsidR="0059639E">
        <w:rPr>
          <w:rFonts w:ascii="Times New Roman" w:hAnsi="Times New Roman" w:cs="Times New Roman"/>
        </w:rPr>
        <w:t>the</w:t>
      </w:r>
      <w:r w:rsidR="00586AC4" w:rsidRPr="00586AC4">
        <w:rPr>
          <w:rFonts w:ascii="Times New Roman" w:hAnsi="Times New Roman" w:cs="Times New Roman"/>
        </w:rPr>
        <w:t xml:space="preserve"> </w:t>
      </w:r>
      <w:r w:rsidR="009724B9">
        <w:rPr>
          <w:rFonts w:ascii="Times New Roman" w:hAnsi="Times New Roman" w:cs="Times New Roman"/>
        </w:rPr>
        <w:t>MR-ENS</w:t>
      </w:r>
      <w:r w:rsidR="0059639E">
        <w:rPr>
          <w:rFonts w:ascii="Times New Roman" w:hAnsi="Times New Roman" w:cs="Times New Roman"/>
        </w:rPr>
        <w:t xml:space="preserve"> approach in the </w:t>
      </w:r>
      <w:r w:rsidR="00586AC4" w:rsidRPr="00586AC4">
        <w:rPr>
          <w:rFonts w:ascii="Times New Roman" w:hAnsi="Times New Roman" w:cs="Times New Roman"/>
        </w:rPr>
        <w:t>local ensemble transform Kalman filter (LETKF)</w:t>
      </w:r>
      <w:r w:rsidR="0059639E">
        <w:rPr>
          <w:rFonts w:ascii="Times New Roman" w:hAnsi="Times New Roman" w:cs="Times New Roman"/>
        </w:rPr>
        <w:t xml:space="preserve"> </w:t>
      </w:r>
      <w:r w:rsidR="0059639E">
        <w:rPr>
          <w:rFonts w:ascii="Times New Roman" w:hAnsi="Times New Roman" w:cs="Times New Roman"/>
        </w:rPr>
        <w:lastRenderedPageBreak/>
        <w:t xml:space="preserve">using </w:t>
      </w:r>
      <w:r w:rsidR="00586AC4" w:rsidRPr="00586AC4">
        <w:rPr>
          <w:rFonts w:ascii="Times New Roman" w:hAnsi="Times New Roman" w:cs="Times New Roman"/>
        </w:rPr>
        <w:t>an idealized Lorenz model (Lorenz 1996).  The</w:t>
      </w:r>
      <w:r w:rsidR="00FA7A33">
        <w:rPr>
          <w:rFonts w:ascii="Times New Roman" w:hAnsi="Times New Roman" w:cs="Times New Roman"/>
        </w:rPr>
        <w:t>ir</w:t>
      </w:r>
      <w:r w:rsidR="00586AC4" w:rsidRPr="00586AC4">
        <w:rPr>
          <w:rFonts w:ascii="Times New Roman" w:hAnsi="Times New Roman" w:cs="Times New Roman"/>
        </w:rPr>
        <w:t xml:space="preserve"> study compared experiments using a </w:t>
      </w:r>
      <w:r w:rsidR="009724B9">
        <w:rPr>
          <w:rFonts w:ascii="Times New Roman" w:hAnsi="Times New Roman" w:cs="Times New Roman"/>
        </w:rPr>
        <w:t>MR-ENS</w:t>
      </w:r>
      <w:r w:rsidR="00586AC4" w:rsidRPr="00586AC4">
        <w:rPr>
          <w:rFonts w:ascii="Times New Roman" w:hAnsi="Times New Roman" w:cs="Times New Roman"/>
        </w:rPr>
        <w:t xml:space="preserve"> LETKF and a single-resolution ensemble LETKF </w:t>
      </w:r>
      <w:r w:rsidR="00FA7A33">
        <w:rPr>
          <w:rFonts w:ascii="Times New Roman" w:hAnsi="Times New Roman" w:cs="Times New Roman"/>
        </w:rPr>
        <w:t>at a</w:t>
      </w:r>
      <w:r w:rsidR="00586AC4" w:rsidRPr="00586AC4">
        <w:rPr>
          <w:rFonts w:ascii="Times New Roman" w:hAnsi="Times New Roman" w:cs="Times New Roman"/>
        </w:rPr>
        <w:t xml:space="preserve"> similar computational</w:t>
      </w:r>
      <w:r w:rsidR="00FA7A33">
        <w:rPr>
          <w:rFonts w:ascii="Times New Roman" w:hAnsi="Times New Roman" w:cs="Times New Roman"/>
        </w:rPr>
        <w:t xml:space="preserve"> cost</w:t>
      </w:r>
      <w:r w:rsidR="00186FFB">
        <w:rPr>
          <w:rFonts w:ascii="Times New Roman" w:hAnsi="Times New Roman" w:cs="Times New Roman"/>
        </w:rPr>
        <w:t xml:space="preserve"> for the forecast</w:t>
      </w:r>
      <w:r w:rsidR="00586AC4" w:rsidRPr="00586AC4">
        <w:rPr>
          <w:rFonts w:ascii="Times New Roman" w:hAnsi="Times New Roman" w:cs="Times New Roman"/>
        </w:rPr>
        <w:t xml:space="preserve">.  They found that the </w:t>
      </w:r>
      <w:r w:rsidR="009724B9">
        <w:rPr>
          <w:rFonts w:ascii="Times New Roman" w:hAnsi="Times New Roman" w:cs="Times New Roman"/>
        </w:rPr>
        <w:t>MR-ENS</w:t>
      </w:r>
      <w:r w:rsidR="00586AC4" w:rsidRPr="00586AC4">
        <w:rPr>
          <w:rFonts w:ascii="Times New Roman" w:hAnsi="Times New Roman" w:cs="Times New Roman"/>
        </w:rPr>
        <w:t xml:space="preserve"> LETKF </w:t>
      </w:r>
      <w:r w:rsidR="00186FFB">
        <w:rPr>
          <w:rFonts w:ascii="Times New Roman" w:hAnsi="Times New Roman" w:cs="Times New Roman"/>
        </w:rPr>
        <w:t>outperforms</w:t>
      </w:r>
      <w:r w:rsidR="00586AC4" w:rsidRPr="00586AC4">
        <w:rPr>
          <w:rFonts w:ascii="Times New Roman" w:hAnsi="Times New Roman" w:cs="Times New Roman"/>
        </w:rPr>
        <w:t xml:space="preserve"> the single-resolution </w:t>
      </w:r>
      <w:bookmarkEnd w:id="14"/>
      <w:r w:rsidR="0038098E">
        <w:rPr>
          <w:rFonts w:ascii="Times New Roman" w:hAnsi="Times New Roman" w:cs="Times New Roman"/>
        </w:rPr>
        <w:t xml:space="preserve">ensemble </w:t>
      </w:r>
      <w:r w:rsidR="00186FFB">
        <w:rPr>
          <w:rFonts w:ascii="Times New Roman" w:hAnsi="Times New Roman" w:cs="Times New Roman"/>
        </w:rPr>
        <w:t>LETKF</w:t>
      </w:r>
      <w:r w:rsidR="00586AC4" w:rsidRPr="00586AC4">
        <w:rPr>
          <w:rFonts w:ascii="Times New Roman" w:hAnsi="Times New Roman" w:cs="Times New Roman"/>
        </w:rPr>
        <w:t xml:space="preserve">.  However, there were limitations to this study.  For example, the study provided comparisons </w:t>
      </w:r>
      <w:r w:rsidR="00186FFB">
        <w:rPr>
          <w:rFonts w:ascii="Times New Roman" w:hAnsi="Times New Roman" w:cs="Times New Roman"/>
        </w:rPr>
        <w:t>with a constraint only on the</w:t>
      </w:r>
      <w:r w:rsidR="00586AC4" w:rsidRPr="00586AC4">
        <w:rPr>
          <w:rFonts w:ascii="Times New Roman" w:hAnsi="Times New Roman" w:cs="Times New Roman"/>
        </w:rPr>
        <w:t xml:space="preserve"> forecast computational time</w:t>
      </w:r>
      <w:r w:rsidR="00186FFB">
        <w:rPr>
          <w:rFonts w:ascii="Times New Roman" w:hAnsi="Times New Roman" w:cs="Times New Roman"/>
        </w:rPr>
        <w:t>, neglecting the computational cost for the DA steps</w:t>
      </w:r>
      <w:r w:rsidR="00586AC4" w:rsidRPr="00586AC4">
        <w:rPr>
          <w:rFonts w:ascii="Times New Roman" w:hAnsi="Times New Roman" w:cs="Times New Roman"/>
        </w:rPr>
        <w:t xml:space="preserve">.  Additionally, since the tests were conducted in a Lorenz model framework, little insights were given into the mechanisms driving the improvements in the </w:t>
      </w:r>
      <w:r w:rsidR="009724B9">
        <w:rPr>
          <w:rFonts w:ascii="Times New Roman" w:hAnsi="Times New Roman" w:cs="Times New Roman"/>
        </w:rPr>
        <w:t>MR-ENS</w:t>
      </w:r>
      <w:r w:rsidR="00586AC4" w:rsidRPr="00586AC4">
        <w:rPr>
          <w:rFonts w:ascii="Times New Roman" w:hAnsi="Times New Roman" w:cs="Times New Roman"/>
        </w:rPr>
        <w:t xml:space="preserve"> LETKF over its single-resolution counterpart.</w:t>
      </w:r>
    </w:p>
    <w:p w14:paraId="46A1932C" w14:textId="243671D5" w:rsidR="00586AC4" w:rsidRPr="00586AC4" w:rsidRDefault="00586AC4" w:rsidP="00EB6429">
      <w:pPr>
        <w:pStyle w:val="NoSpacing"/>
        <w:spacing w:line="480" w:lineRule="auto"/>
        <w:ind w:firstLine="720"/>
        <w:jc w:val="both"/>
        <w:rPr>
          <w:rFonts w:ascii="Times New Roman" w:hAnsi="Times New Roman" w:cs="Times New Roman"/>
        </w:rPr>
      </w:pPr>
      <w:r w:rsidRPr="00586AC4">
        <w:rPr>
          <w:rFonts w:ascii="Times New Roman" w:hAnsi="Times New Roman" w:cs="Times New Roman"/>
        </w:rPr>
        <w:t>Kay and Wang (2020) introduced a MR-ENS approach in GSI</w:t>
      </w:r>
      <w:r w:rsidR="00C162C7">
        <w:rPr>
          <w:rFonts w:ascii="Times New Roman" w:hAnsi="Times New Roman" w:cs="Times New Roman"/>
        </w:rPr>
        <w:t xml:space="preserve"> </w:t>
      </w:r>
      <w:r w:rsidRPr="00586AC4">
        <w:rPr>
          <w:rFonts w:ascii="Times New Roman" w:hAnsi="Times New Roman" w:cs="Times New Roman"/>
        </w:rPr>
        <w:t xml:space="preserve">4DEnVar with applications to </w:t>
      </w:r>
      <w:r w:rsidR="00C162C7">
        <w:rPr>
          <w:rFonts w:ascii="Times New Roman" w:hAnsi="Times New Roman" w:cs="Times New Roman"/>
        </w:rPr>
        <w:t xml:space="preserve">NCEP </w:t>
      </w:r>
      <w:r w:rsidRPr="00586AC4">
        <w:rPr>
          <w:rFonts w:ascii="Times New Roman" w:hAnsi="Times New Roman" w:cs="Times New Roman"/>
        </w:rPr>
        <w:t xml:space="preserve">GFS. </w:t>
      </w:r>
      <w:r w:rsidR="001E1E5A">
        <w:rPr>
          <w:rFonts w:ascii="Times New Roman" w:hAnsi="Times New Roman" w:cs="Times New Roman"/>
        </w:rPr>
        <w:t xml:space="preserve"> </w:t>
      </w:r>
      <w:r w:rsidRPr="00586AC4">
        <w:rPr>
          <w:rFonts w:ascii="Times New Roman" w:hAnsi="Times New Roman" w:cs="Times New Roman"/>
        </w:rPr>
        <w:t>Using the same number of ensemble members, they determined that the MR-ENS 4DEnVar with 40 high-resolution members and 40 low-resolution members improve</w:t>
      </w:r>
      <w:r w:rsidR="005379D5">
        <w:rPr>
          <w:rFonts w:ascii="Times New Roman" w:hAnsi="Times New Roman" w:cs="Times New Roman"/>
        </w:rPr>
        <w:t>d</w:t>
      </w:r>
      <w:r w:rsidRPr="00586AC4">
        <w:rPr>
          <w:rFonts w:ascii="Times New Roman" w:hAnsi="Times New Roman" w:cs="Times New Roman"/>
        </w:rPr>
        <w:t xml:space="preserve"> upon the analysis and forecast of a single-resolution ensemble 4DEnVar with 80 low-resolution members</w:t>
      </w:r>
      <w:r w:rsidR="00175C7A">
        <w:rPr>
          <w:rFonts w:ascii="Times New Roman" w:hAnsi="Times New Roman" w:cs="Times New Roman"/>
        </w:rPr>
        <w:t xml:space="preserve"> with </w:t>
      </w:r>
      <w:r w:rsidR="0008366C">
        <w:rPr>
          <w:rFonts w:ascii="Times New Roman" w:hAnsi="Times New Roman" w:cs="Times New Roman"/>
        </w:rPr>
        <w:t>a 181</w:t>
      </w:r>
      <w:r w:rsidR="00175C7A">
        <w:rPr>
          <w:rFonts w:ascii="Times New Roman" w:hAnsi="Times New Roman" w:cs="Times New Roman"/>
        </w:rPr>
        <w:t>% cost increase</w:t>
      </w:r>
      <w:r w:rsidRPr="00586AC4">
        <w:rPr>
          <w:rFonts w:ascii="Times New Roman" w:hAnsi="Times New Roman" w:cs="Times New Roman"/>
        </w:rPr>
        <w:t xml:space="preserve">.  Additionally, they found that forecast errors of the MR-ENS approach were much more comparable to a single-resolution ensemble 4DEnVar with 80 high-resolution members while </w:t>
      </w:r>
      <w:r w:rsidR="00666162">
        <w:rPr>
          <w:rFonts w:ascii="Times New Roman" w:hAnsi="Times New Roman" w:cs="Times New Roman"/>
        </w:rPr>
        <w:t xml:space="preserve">MR-ENS </w:t>
      </w:r>
      <w:r w:rsidR="0096486B">
        <w:rPr>
          <w:rFonts w:ascii="Times New Roman" w:hAnsi="Times New Roman" w:cs="Times New Roman"/>
        </w:rPr>
        <w:t>reduced</w:t>
      </w:r>
      <w:r w:rsidR="0096486B" w:rsidRPr="00586AC4">
        <w:rPr>
          <w:rFonts w:ascii="Times New Roman" w:hAnsi="Times New Roman" w:cs="Times New Roman"/>
        </w:rPr>
        <w:t xml:space="preserve"> </w:t>
      </w:r>
      <w:r w:rsidRPr="00586AC4">
        <w:rPr>
          <w:rFonts w:ascii="Times New Roman" w:hAnsi="Times New Roman" w:cs="Times New Roman"/>
        </w:rPr>
        <w:t xml:space="preserve">the computational cost by 40%.  Overall, the study demonstrated the potential for utilizing the </w:t>
      </w:r>
      <w:r w:rsidR="00543504">
        <w:rPr>
          <w:rFonts w:ascii="Times New Roman" w:hAnsi="Times New Roman" w:cs="Times New Roman"/>
        </w:rPr>
        <w:t xml:space="preserve">MR-ENS in </w:t>
      </w:r>
      <w:r w:rsidRPr="00586AC4">
        <w:rPr>
          <w:rFonts w:ascii="Times New Roman" w:hAnsi="Times New Roman" w:cs="Times New Roman"/>
        </w:rPr>
        <w:t>4DEnVar</w:t>
      </w:r>
      <w:r w:rsidR="00543504">
        <w:rPr>
          <w:rFonts w:ascii="Times New Roman" w:hAnsi="Times New Roman" w:cs="Times New Roman"/>
        </w:rPr>
        <w:t xml:space="preserve"> to improve global forecast</w:t>
      </w:r>
      <w:r w:rsidR="0096486B">
        <w:rPr>
          <w:rFonts w:ascii="Times New Roman" w:hAnsi="Times New Roman" w:cs="Times New Roman"/>
        </w:rPr>
        <w:t>s</w:t>
      </w:r>
      <w:r w:rsidRPr="00586AC4">
        <w:rPr>
          <w:rFonts w:ascii="Times New Roman" w:hAnsi="Times New Roman" w:cs="Times New Roman"/>
        </w:rPr>
        <w:t xml:space="preserve">.  However, </w:t>
      </w:r>
      <w:r w:rsidR="00543504">
        <w:rPr>
          <w:rFonts w:ascii="Times New Roman" w:hAnsi="Times New Roman" w:cs="Times New Roman"/>
        </w:rPr>
        <w:t xml:space="preserve">there are several limitations in the study of Kay and Wang (2020).  First, </w:t>
      </w:r>
      <w:r w:rsidR="00DD295E">
        <w:rPr>
          <w:rFonts w:ascii="Times New Roman" w:hAnsi="Times New Roman" w:cs="Times New Roman"/>
        </w:rPr>
        <w:t>their comparison did not constrain the computation cost.  Second,</w:t>
      </w:r>
      <w:r w:rsidR="0008366C">
        <w:rPr>
          <w:rFonts w:ascii="Times New Roman" w:hAnsi="Times New Roman" w:cs="Times New Roman"/>
        </w:rPr>
        <w:t xml:space="preserve"> their study utilized the same number of low- and high-resolution members in the MR-ENS background ensemble, which limited the ability to explore the effect of greater sampling at different scales of interest on the analysis and subsequent forecast</w:t>
      </w:r>
      <w:r w:rsidRPr="00586AC4">
        <w:rPr>
          <w:rFonts w:ascii="Times New Roman" w:hAnsi="Times New Roman" w:cs="Times New Roman"/>
        </w:rPr>
        <w:t xml:space="preserve">. </w:t>
      </w:r>
      <w:r w:rsidR="00DD295E">
        <w:rPr>
          <w:rFonts w:ascii="Times New Roman" w:hAnsi="Times New Roman" w:cs="Times New Roman"/>
        </w:rPr>
        <w:t xml:space="preserve">Third, </w:t>
      </w:r>
      <w:r w:rsidR="0008366C">
        <w:rPr>
          <w:rFonts w:ascii="Times New Roman" w:hAnsi="Times New Roman" w:cs="Times New Roman"/>
        </w:rPr>
        <w:t>they used the same covariance localization distance, or radius at which an observation can impact analysis error correlations, for the low- and high-resolution ensemble in the MR-ENS configuration, which limits the impact of estimating error covariances at multiple scales.</w:t>
      </w:r>
    </w:p>
    <w:p w14:paraId="3583246E" w14:textId="43D63E8C" w:rsidR="002235F1" w:rsidRDefault="00586AC4" w:rsidP="002C1888">
      <w:pPr>
        <w:pStyle w:val="NoSpacing"/>
        <w:spacing w:line="480" w:lineRule="auto"/>
        <w:ind w:firstLine="720"/>
        <w:jc w:val="both"/>
        <w:rPr>
          <w:rFonts w:ascii="Times New Roman" w:hAnsi="Times New Roman" w:cs="Times New Roman"/>
        </w:rPr>
      </w:pPr>
      <w:r w:rsidRPr="00586AC4">
        <w:rPr>
          <w:rFonts w:ascii="Times New Roman" w:hAnsi="Times New Roman" w:cs="Times New Roman"/>
        </w:rPr>
        <w:lastRenderedPageBreak/>
        <w:t xml:space="preserve">This study aims to </w:t>
      </w:r>
      <w:r w:rsidR="00545EB6">
        <w:rPr>
          <w:rFonts w:ascii="Times New Roman" w:hAnsi="Times New Roman" w:cs="Times New Roman"/>
        </w:rPr>
        <w:t xml:space="preserve">further develop </w:t>
      </w:r>
      <w:r w:rsidR="008F51B1">
        <w:rPr>
          <w:rFonts w:ascii="Times New Roman" w:hAnsi="Times New Roman" w:cs="Times New Roman"/>
        </w:rPr>
        <w:t xml:space="preserve">and explore </w:t>
      </w:r>
      <w:r w:rsidR="00545EB6">
        <w:rPr>
          <w:rFonts w:ascii="Times New Roman" w:hAnsi="Times New Roman" w:cs="Times New Roman"/>
        </w:rPr>
        <w:t>the MR-ENS approach</w:t>
      </w:r>
      <w:r w:rsidR="00545EB6" w:rsidRPr="00586AC4">
        <w:rPr>
          <w:rFonts w:ascii="Times New Roman" w:hAnsi="Times New Roman" w:cs="Times New Roman"/>
        </w:rPr>
        <w:t xml:space="preserve"> </w:t>
      </w:r>
      <w:r w:rsidR="00AB1B50">
        <w:rPr>
          <w:rFonts w:ascii="Times New Roman" w:hAnsi="Times New Roman" w:cs="Times New Roman"/>
        </w:rPr>
        <w:t>in 4DEnVar</w:t>
      </w:r>
      <w:r w:rsidR="008F51B1">
        <w:rPr>
          <w:rFonts w:ascii="Times New Roman" w:hAnsi="Times New Roman" w:cs="Times New Roman"/>
        </w:rPr>
        <w:t xml:space="preserve">.   </w:t>
      </w:r>
      <w:r w:rsidRPr="00586AC4">
        <w:rPr>
          <w:rFonts w:ascii="Times New Roman" w:hAnsi="Times New Roman" w:cs="Times New Roman"/>
        </w:rPr>
        <w:t xml:space="preserve">First, this study will further develop the </w:t>
      </w:r>
      <w:r w:rsidR="00FA6C18">
        <w:rPr>
          <w:rFonts w:ascii="Times New Roman" w:hAnsi="Times New Roman" w:cs="Times New Roman"/>
        </w:rPr>
        <w:t xml:space="preserve">MR-ENS </w:t>
      </w:r>
      <w:r w:rsidRPr="00586AC4">
        <w:rPr>
          <w:rFonts w:ascii="Times New Roman" w:hAnsi="Times New Roman" w:cs="Times New Roman"/>
        </w:rPr>
        <w:t xml:space="preserve">methodology of Kay and Wang (2020) to allow </w:t>
      </w:r>
      <w:r w:rsidR="003C63C9">
        <w:rPr>
          <w:rFonts w:ascii="Times New Roman" w:hAnsi="Times New Roman" w:cs="Times New Roman"/>
        </w:rPr>
        <w:t>the use of different</w:t>
      </w:r>
      <w:r w:rsidRPr="00586AC4">
        <w:rPr>
          <w:rFonts w:ascii="Times New Roman" w:hAnsi="Times New Roman" w:cs="Times New Roman"/>
        </w:rPr>
        <w:t xml:space="preserve"> ensemble size</w:t>
      </w:r>
      <w:r w:rsidR="003C63C9">
        <w:rPr>
          <w:rFonts w:ascii="Times New Roman" w:hAnsi="Times New Roman" w:cs="Times New Roman"/>
        </w:rPr>
        <w:t>s</w:t>
      </w:r>
      <w:r w:rsidRPr="00586AC4">
        <w:rPr>
          <w:rFonts w:ascii="Times New Roman" w:hAnsi="Times New Roman" w:cs="Times New Roman"/>
        </w:rPr>
        <w:t xml:space="preserve"> for </w:t>
      </w:r>
      <w:r w:rsidR="003C63C9">
        <w:rPr>
          <w:rFonts w:ascii="Times New Roman" w:hAnsi="Times New Roman" w:cs="Times New Roman"/>
        </w:rPr>
        <w:t>differ</w:t>
      </w:r>
      <w:r w:rsidR="000D0B42">
        <w:rPr>
          <w:rFonts w:ascii="Times New Roman" w:hAnsi="Times New Roman" w:cs="Times New Roman"/>
        </w:rPr>
        <w:t>ing</w:t>
      </w:r>
      <w:r w:rsidRPr="00586AC4">
        <w:rPr>
          <w:rFonts w:ascii="Times New Roman" w:hAnsi="Times New Roman" w:cs="Times New Roman"/>
        </w:rPr>
        <w:t xml:space="preserve"> resolution</w:t>
      </w:r>
      <w:r w:rsidR="003C63C9">
        <w:rPr>
          <w:rFonts w:ascii="Times New Roman" w:hAnsi="Times New Roman" w:cs="Times New Roman"/>
        </w:rPr>
        <w:t xml:space="preserve"> </w:t>
      </w:r>
      <w:r w:rsidR="000D0B42">
        <w:rPr>
          <w:rFonts w:ascii="Times New Roman" w:hAnsi="Times New Roman" w:cs="Times New Roman"/>
        </w:rPr>
        <w:t xml:space="preserve">in the </w:t>
      </w:r>
      <w:r w:rsidR="003C63C9">
        <w:rPr>
          <w:rFonts w:ascii="Times New Roman" w:hAnsi="Times New Roman" w:cs="Times New Roman"/>
        </w:rPr>
        <w:t xml:space="preserve">background ensemble. </w:t>
      </w:r>
      <w:r w:rsidRPr="00586AC4">
        <w:rPr>
          <w:rFonts w:ascii="Times New Roman" w:hAnsi="Times New Roman" w:cs="Times New Roman"/>
        </w:rPr>
        <w:t xml:space="preserve"> </w:t>
      </w:r>
      <w:r w:rsidR="0083528A">
        <w:rPr>
          <w:rFonts w:ascii="Times New Roman" w:hAnsi="Times New Roman" w:cs="Times New Roman"/>
        </w:rPr>
        <w:t>For example, a larger ensemble size can be assigned for the low</w:t>
      </w:r>
      <w:r w:rsidR="007A45C3">
        <w:rPr>
          <w:rFonts w:ascii="Times New Roman" w:hAnsi="Times New Roman" w:cs="Times New Roman"/>
        </w:rPr>
        <w:t>-</w:t>
      </w:r>
      <w:r w:rsidR="0083528A">
        <w:rPr>
          <w:rFonts w:ascii="Times New Roman" w:hAnsi="Times New Roman" w:cs="Times New Roman"/>
        </w:rPr>
        <w:t>resolution ensemble members than the high</w:t>
      </w:r>
      <w:r w:rsidR="0008366C">
        <w:rPr>
          <w:rFonts w:ascii="Times New Roman" w:hAnsi="Times New Roman" w:cs="Times New Roman"/>
        </w:rPr>
        <w:t>-</w:t>
      </w:r>
      <w:r w:rsidR="0083528A">
        <w:rPr>
          <w:rFonts w:ascii="Times New Roman" w:hAnsi="Times New Roman" w:cs="Times New Roman"/>
        </w:rPr>
        <w:t xml:space="preserve">resolution members and vice versa. Therefore, the new capability will allow </w:t>
      </w:r>
      <w:r w:rsidR="0008366C">
        <w:rPr>
          <w:rFonts w:ascii="Times New Roman" w:hAnsi="Times New Roman" w:cs="Times New Roman"/>
        </w:rPr>
        <w:t>for</w:t>
      </w:r>
      <w:r w:rsidR="0083528A">
        <w:rPr>
          <w:rFonts w:ascii="Times New Roman" w:hAnsi="Times New Roman" w:cs="Times New Roman"/>
        </w:rPr>
        <w:t xml:space="preserve"> flexible sampling of the scales of interest.</w:t>
      </w:r>
      <w:r w:rsidR="00161C99">
        <w:rPr>
          <w:rFonts w:ascii="Times New Roman" w:hAnsi="Times New Roman" w:cs="Times New Roman"/>
        </w:rPr>
        <w:t xml:space="preserve">  </w:t>
      </w:r>
      <w:r w:rsidR="00B97AD0">
        <w:rPr>
          <w:rFonts w:ascii="Times New Roman" w:hAnsi="Times New Roman" w:cs="Times New Roman"/>
        </w:rPr>
        <w:t xml:space="preserve">Second, </w:t>
      </w:r>
      <w:r w:rsidR="002C1888">
        <w:rPr>
          <w:rFonts w:ascii="Times New Roman" w:hAnsi="Times New Roman" w:cs="Times New Roman"/>
        </w:rPr>
        <w:t>the MR-ENS approach is further developed to allow the high</w:t>
      </w:r>
      <w:r w:rsidR="0008366C">
        <w:rPr>
          <w:rFonts w:ascii="Times New Roman" w:hAnsi="Times New Roman" w:cs="Times New Roman"/>
        </w:rPr>
        <w:t>-</w:t>
      </w:r>
      <w:r w:rsidR="002C1888">
        <w:rPr>
          <w:rFonts w:ascii="Times New Roman" w:hAnsi="Times New Roman" w:cs="Times New Roman"/>
        </w:rPr>
        <w:t xml:space="preserve"> and low</w:t>
      </w:r>
      <w:r w:rsidR="0008366C">
        <w:rPr>
          <w:rFonts w:ascii="Times New Roman" w:hAnsi="Times New Roman" w:cs="Times New Roman"/>
        </w:rPr>
        <w:t>-</w:t>
      </w:r>
      <w:r w:rsidR="002C1888">
        <w:rPr>
          <w:rFonts w:ascii="Times New Roman" w:hAnsi="Times New Roman" w:cs="Times New Roman"/>
        </w:rPr>
        <w:t>resolution members to use different covariance localization radii.  For example, the high</w:t>
      </w:r>
      <w:r w:rsidR="0008366C">
        <w:rPr>
          <w:rFonts w:ascii="Times New Roman" w:hAnsi="Times New Roman" w:cs="Times New Roman"/>
        </w:rPr>
        <w:t>-</w:t>
      </w:r>
      <w:r w:rsidR="002C1888">
        <w:rPr>
          <w:rFonts w:ascii="Times New Roman" w:hAnsi="Times New Roman" w:cs="Times New Roman"/>
        </w:rPr>
        <w:t>resolution member</w:t>
      </w:r>
      <w:r w:rsidR="0008366C">
        <w:rPr>
          <w:rFonts w:ascii="Times New Roman" w:hAnsi="Times New Roman" w:cs="Times New Roman"/>
        </w:rPr>
        <w:t>s</w:t>
      </w:r>
      <w:r w:rsidR="002C1888">
        <w:rPr>
          <w:rFonts w:ascii="Times New Roman" w:hAnsi="Times New Roman" w:cs="Times New Roman"/>
        </w:rPr>
        <w:t xml:space="preserve"> use a tighter localization than the low</w:t>
      </w:r>
      <w:r w:rsidR="0008366C">
        <w:rPr>
          <w:rFonts w:ascii="Times New Roman" w:hAnsi="Times New Roman" w:cs="Times New Roman"/>
        </w:rPr>
        <w:t>-</w:t>
      </w:r>
      <w:r w:rsidR="002C1888">
        <w:rPr>
          <w:rFonts w:ascii="Times New Roman" w:hAnsi="Times New Roman" w:cs="Times New Roman"/>
        </w:rPr>
        <w:t>resolution members</w:t>
      </w:r>
      <w:r w:rsidR="00D97891">
        <w:rPr>
          <w:rFonts w:ascii="Times New Roman" w:hAnsi="Times New Roman" w:cs="Times New Roman"/>
        </w:rPr>
        <w:t xml:space="preserve"> (e.g., Rainwater and Hunt 2013)</w:t>
      </w:r>
      <w:r w:rsidR="002C1888">
        <w:rPr>
          <w:rFonts w:ascii="Times New Roman" w:hAnsi="Times New Roman" w:cs="Times New Roman"/>
        </w:rPr>
        <w:t>.  This capability would allow the high</w:t>
      </w:r>
      <w:r w:rsidR="0008366C">
        <w:rPr>
          <w:rFonts w:ascii="Times New Roman" w:hAnsi="Times New Roman" w:cs="Times New Roman"/>
        </w:rPr>
        <w:t>-</w:t>
      </w:r>
      <w:r w:rsidR="002C1888">
        <w:rPr>
          <w:rFonts w:ascii="Times New Roman" w:hAnsi="Times New Roman" w:cs="Times New Roman"/>
        </w:rPr>
        <w:t>resolution member</w:t>
      </w:r>
      <w:r w:rsidR="0008366C">
        <w:rPr>
          <w:rFonts w:ascii="Times New Roman" w:hAnsi="Times New Roman" w:cs="Times New Roman"/>
        </w:rPr>
        <w:t>s</w:t>
      </w:r>
      <w:r w:rsidR="002C1888">
        <w:rPr>
          <w:rFonts w:ascii="Times New Roman" w:hAnsi="Times New Roman" w:cs="Times New Roman"/>
        </w:rPr>
        <w:t xml:space="preserve"> to focus on estimating the small</w:t>
      </w:r>
      <w:r w:rsidR="0008366C">
        <w:rPr>
          <w:rFonts w:ascii="Times New Roman" w:hAnsi="Times New Roman" w:cs="Times New Roman"/>
        </w:rPr>
        <w:t>-</w:t>
      </w:r>
      <w:r w:rsidR="002C1888">
        <w:rPr>
          <w:rFonts w:ascii="Times New Roman" w:hAnsi="Times New Roman" w:cs="Times New Roman"/>
        </w:rPr>
        <w:t>scale error covariance and the low</w:t>
      </w:r>
      <w:r w:rsidR="0008366C">
        <w:rPr>
          <w:rFonts w:ascii="Times New Roman" w:hAnsi="Times New Roman" w:cs="Times New Roman"/>
        </w:rPr>
        <w:t>-</w:t>
      </w:r>
      <w:r w:rsidR="002C1888">
        <w:rPr>
          <w:rFonts w:ascii="Times New Roman" w:hAnsi="Times New Roman" w:cs="Times New Roman"/>
        </w:rPr>
        <w:t>resolution member</w:t>
      </w:r>
      <w:r w:rsidR="0008366C">
        <w:rPr>
          <w:rFonts w:ascii="Times New Roman" w:hAnsi="Times New Roman" w:cs="Times New Roman"/>
        </w:rPr>
        <w:t>s</w:t>
      </w:r>
      <w:r w:rsidR="002C1888">
        <w:rPr>
          <w:rFonts w:ascii="Times New Roman" w:hAnsi="Times New Roman" w:cs="Times New Roman"/>
        </w:rPr>
        <w:t xml:space="preserve"> on </w:t>
      </w:r>
      <w:r w:rsidR="0008366C">
        <w:rPr>
          <w:rFonts w:ascii="Times New Roman" w:hAnsi="Times New Roman" w:cs="Times New Roman"/>
        </w:rPr>
        <w:t xml:space="preserve">the </w:t>
      </w:r>
      <w:r w:rsidR="002C1888">
        <w:rPr>
          <w:rFonts w:ascii="Times New Roman" w:hAnsi="Times New Roman" w:cs="Times New Roman"/>
        </w:rPr>
        <w:t>large</w:t>
      </w:r>
      <w:r w:rsidR="0008366C">
        <w:rPr>
          <w:rFonts w:ascii="Times New Roman" w:hAnsi="Times New Roman" w:cs="Times New Roman"/>
        </w:rPr>
        <w:t>-</w:t>
      </w:r>
      <w:r w:rsidR="002C1888">
        <w:rPr>
          <w:rFonts w:ascii="Times New Roman" w:hAnsi="Times New Roman" w:cs="Times New Roman"/>
        </w:rPr>
        <w:t>scale error covariance.</w:t>
      </w:r>
      <w:r w:rsidR="0008366C">
        <w:rPr>
          <w:rFonts w:ascii="Times New Roman" w:hAnsi="Times New Roman" w:cs="Times New Roman"/>
        </w:rPr>
        <w:t xml:space="preserve"> </w:t>
      </w:r>
      <w:r w:rsidR="00B97AD0">
        <w:rPr>
          <w:rFonts w:ascii="Times New Roman" w:hAnsi="Times New Roman" w:cs="Times New Roman"/>
        </w:rPr>
        <w:t>Third</w:t>
      </w:r>
      <w:r w:rsidR="00161C99">
        <w:rPr>
          <w:rFonts w:ascii="Times New Roman" w:hAnsi="Times New Roman" w:cs="Times New Roman"/>
        </w:rPr>
        <w:t xml:space="preserve">, </w:t>
      </w:r>
      <w:r w:rsidR="007A45C3">
        <w:rPr>
          <w:rFonts w:ascii="Times New Roman" w:hAnsi="Times New Roman" w:cs="Times New Roman"/>
        </w:rPr>
        <w:t>the MR-ENS experiments are configured to ensure</w:t>
      </w:r>
      <w:r w:rsidR="00161C99" w:rsidRPr="00586AC4">
        <w:rPr>
          <w:rFonts w:ascii="Times New Roman" w:hAnsi="Times New Roman" w:cs="Times New Roman"/>
        </w:rPr>
        <w:t xml:space="preserve"> the same computational cost, including both DA and forecast computational times, </w:t>
      </w:r>
      <w:r w:rsidR="007A45C3">
        <w:rPr>
          <w:rFonts w:ascii="Times New Roman" w:hAnsi="Times New Roman" w:cs="Times New Roman"/>
        </w:rPr>
        <w:t>as the 4</w:t>
      </w:r>
      <w:r w:rsidR="00161C99" w:rsidRPr="00586AC4">
        <w:rPr>
          <w:rFonts w:ascii="Times New Roman" w:hAnsi="Times New Roman" w:cs="Times New Roman"/>
        </w:rPr>
        <w:t>DEnVar experiment with an ensemble solely composed of high-resolution members</w:t>
      </w:r>
      <w:r w:rsidR="007E1556">
        <w:rPr>
          <w:rFonts w:ascii="Times New Roman" w:hAnsi="Times New Roman" w:cs="Times New Roman"/>
        </w:rPr>
        <w:t xml:space="preserve"> (SR-High, hereafter)</w:t>
      </w:r>
      <w:r w:rsidR="00161C99" w:rsidRPr="00586AC4">
        <w:rPr>
          <w:rFonts w:ascii="Times New Roman" w:hAnsi="Times New Roman" w:cs="Times New Roman"/>
        </w:rPr>
        <w:t>.</w:t>
      </w:r>
      <w:r w:rsidR="007A45C3">
        <w:rPr>
          <w:rFonts w:ascii="Times New Roman" w:hAnsi="Times New Roman" w:cs="Times New Roman"/>
        </w:rPr>
        <w:t xml:space="preserve">  In this experiment design, </w:t>
      </w:r>
      <w:r w:rsidR="007E573A">
        <w:rPr>
          <w:rFonts w:ascii="Times New Roman" w:hAnsi="Times New Roman" w:cs="Times New Roman"/>
        </w:rPr>
        <w:t xml:space="preserve">the total number of ensemble members </w:t>
      </w:r>
      <w:r w:rsidR="007E1556">
        <w:rPr>
          <w:rFonts w:ascii="Times New Roman" w:hAnsi="Times New Roman" w:cs="Times New Roman"/>
        </w:rPr>
        <w:t>in MR-ENS that can resolve large</w:t>
      </w:r>
      <w:r w:rsidR="006E5A8B">
        <w:rPr>
          <w:rFonts w:ascii="Times New Roman" w:hAnsi="Times New Roman" w:cs="Times New Roman"/>
        </w:rPr>
        <w:t>-</w:t>
      </w:r>
      <w:r w:rsidR="007E1556">
        <w:rPr>
          <w:rFonts w:ascii="Times New Roman" w:hAnsi="Times New Roman" w:cs="Times New Roman"/>
        </w:rPr>
        <w:t xml:space="preserve">scale background errors is increased compared </w:t>
      </w:r>
      <w:r w:rsidR="004D290E">
        <w:rPr>
          <w:rFonts w:ascii="Times New Roman" w:hAnsi="Times New Roman" w:cs="Times New Roman"/>
        </w:rPr>
        <w:t>with</w:t>
      </w:r>
      <w:r w:rsidR="007E1556">
        <w:rPr>
          <w:rFonts w:ascii="Times New Roman" w:hAnsi="Times New Roman" w:cs="Times New Roman"/>
        </w:rPr>
        <w:t xml:space="preserve"> SR-High.  </w:t>
      </w:r>
      <w:r w:rsidR="0008366C">
        <w:rPr>
          <w:rFonts w:ascii="Times New Roman" w:hAnsi="Times New Roman" w:cs="Times New Roman"/>
        </w:rPr>
        <w:t>Correspondingly, t</w:t>
      </w:r>
      <w:r w:rsidR="007E1556">
        <w:rPr>
          <w:rFonts w:ascii="Times New Roman" w:hAnsi="Times New Roman" w:cs="Times New Roman"/>
        </w:rPr>
        <w:t>he total number of ensemble members in MR-ENS that can resolve small scales is decreased</w:t>
      </w:r>
      <w:r w:rsidR="00973E57">
        <w:rPr>
          <w:rFonts w:ascii="Times New Roman" w:hAnsi="Times New Roman" w:cs="Times New Roman"/>
        </w:rPr>
        <w:t xml:space="preserve"> relative to SR-High</w:t>
      </w:r>
      <w:r w:rsidR="007E1556">
        <w:rPr>
          <w:rFonts w:ascii="Times New Roman" w:hAnsi="Times New Roman" w:cs="Times New Roman"/>
        </w:rPr>
        <w:t xml:space="preserve">. </w:t>
      </w:r>
      <w:r w:rsidR="00973E57">
        <w:rPr>
          <w:rFonts w:ascii="Times New Roman" w:hAnsi="Times New Roman" w:cs="Times New Roman"/>
        </w:rPr>
        <w:t xml:space="preserve"> </w:t>
      </w:r>
      <w:r w:rsidR="00CE5606">
        <w:rPr>
          <w:rFonts w:ascii="Times New Roman" w:hAnsi="Times New Roman" w:cs="Times New Roman"/>
        </w:rPr>
        <w:t xml:space="preserve">This experiment setup allows to address the following questions:  how </w:t>
      </w:r>
      <w:r w:rsidR="00B42404">
        <w:rPr>
          <w:rFonts w:ascii="Times New Roman" w:hAnsi="Times New Roman" w:cs="Times New Roman"/>
        </w:rPr>
        <w:t>doe</w:t>
      </w:r>
      <w:r w:rsidR="00CE5606">
        <w:rPr>
          <w:rFonts w:ascii="Times New Roman" w:hAnsi="Times New Roman" w:cs="Times New Roman"/>
        </w:rPr>
        <w:t>s the use of more low</w:t>
      </w:r>
      <w:r w:rsidR="00851785">
        <w:rPr>
          <w:rFonts w:ascii="Times New Roman" w:hAnsi="Times New Roman" w:cs="Times New Roman"/>
        </w:rPr>
        <w:t>-</w:t>
      </w:r>
      <w:r w:rsidR="00CE5606">
        <w:rPr>
          <w:rFonts w:ascii="Times New Roman" w:hAnsi="Times New Roman" w:cs="Times New Roman"/>
        </w:rPr>
        <w:t xml:space="preserve">resolution </w:t>
      </w:r>
      <w:r w:rsidR="00A23BBA">
        <w:rPr>
          <w:rFonts w:ascii="Times New Roman" w:hAnsi="Times New Roman" w:cs="Times New Roman"/>
        </w:rPr>
        <w:t xml:space="preserve">background ensemble </w:t>
      </w:r>
      <w:r w:rsidR="00CE5606">
        <w:rPr>
          <w:rFonts w:ascii="Times New Roman" w:hAnsi="Times New Roman" w:cs="Times New Roman"/>
        </w:rPr>
        <w:t>member</w:t>
      </w:r>
      <w:r w:rsidR="00D51799">
        <w:rPr>
          <w:rFonts w:ascii="Times New Roman" w:hAnsi="Times New Roman" w:cs="Times New Roman"/>
        </w:rPr>
        <w:t>s</w:t>
      </w:r>
      <w:r w:rsidR="00CE5606">
        <w:rPr>
          <w:rFonts w:ascii="Times New Roman" w:hAnsi="Times New Roman" w:cs="Times New Roman"/>
        </w:rPr>
        <w:t xml:space="preserve"> and</w:t>
      </w:r>
      <w:r w:rsidR="00D51799">
        <w:rPr>
          <w:rFonts w:ascii="Times New Roman" w:hAnsi="Times New Roman" w:cs="Times New Roman"/>
        </w:rPr>
        <w:t xml:space="preserve"> fewer</w:t>
      </w:r>
      <w:r w:rsidR="00CE5606">
        <w:rPr>
          <w:rFonts w:ascii="Times New Roman" w:hAnsi="Times New Roman" w:cs="Times New Roman"/>
        </w:rPr>
        <w:t xml:space="preserve"> high</w:t>
      </w:r>
      <w:r w:rsidR="00D51799">
        <w:rPr>
          <w:rFonts w:ascii="Times New Roman" w:hAnsi="Times New Roman" w:cs="Times New Roman"/>
        </w:rPr>
        <w:t>-</w:t>
      </w:r>
      <w:r w:rsidR="00CE5606">
        <w:rPr>
          <w:rFonts w:ascii="Times New Roman" w:hAnsi="Times New Roman" w:cs="Times New Roman"/>
        </w:rPr>
        <w:t xml:space="preserve">resolution </w:t>
      </w:r>
      <w:r w:rsidR="00A23BBA">
        <w:rPr>
          <w:rFonts w:ascii="Times New Roman" w:hAnsi="Times New Roman" w:cs="Times New Roman"/>
        </w:rPr>
        <w:t xml:space="preserve">background ensemble </w:t>
      </w:r>
      <w:r w:rsidR="00CE5606">
        <w:rPr>
          <w:rFonts w:ascii="Times New Roman" w:hAnsi="Times New Roman" w:cs="Times New Roman"/>
        </w:rPr>
        <w:t>member</w:t>
      </w:r>
      <w:r w:rsidR="00D51799">
        <w:rPr>
          <w:rFonts w:ascii="Times New Roman" w:hAnsi="Times New Roman" w:cs="Times New Roman"/>
        </w:rPr>
        <w:t>s</w:t>
      </w:r>
      <w:r w:rsidR="00CE5606">
        <w:rPr>
          <w:rFonts w:ascii="Times New Roman" w:hAnsi="Times New Roman" w:cs="Times New Roman"/>
        </w:rPr>
        <w:t xml:space="preserve"> impact the global analysis and subsequent global forecast?  </w:t>
      </w:r>
      <w:r w:rsidR="00116F10">
        <w:rPr>
          <w:rFonts w:ascii="Times New Roman" w:hAnsi="Times New Roman" w:cs="Times New Roman"/>
        </w:rPr>
        <w:t xml:space="preserve">In which regions and </w:t>
      </w:r>
      <w:r w:rsidR="0007480D">
        <w:rPr>
          <w:rFonts w:ascii="Times New Roman" w:hAnsi="Times New Roman" w:cs="Times New Roman"/>
        </w:rPr>
        <w:t xml:space="preserve">associated with </w:t>
      </w:r>
      <w:r w:rsidR="00116F10">
        <w:rPr>
          <w:rFonts w:ascii="Times New Roman" w:hAnsi="Times New Roman" w:cs="Times New Roman"/>
        </w:rPr>
        <w:t xml:space="preserve">which meteorological features are the greatest impacts occurring?  </w:t>
      </w:r>
      <w:r w:rsidR="00795A93">
        <w:rPr>
          <w:rFonts w:ascii="Times New Roman" w:hAnsi="Times New Roman" w:cs="Times New Roman"/>
        </w:rPr>
        <w:t>How does th</w:t>
      </w:r>
      <w:r w:rsidR="00116F10">
        <w:rPr>
          <w:rFonts w:ascii="Times New Roman" w:hAnsi="Times New Roman" w:cs="Times New Roman"/>
        </w:rPr>
        <w:t>e</w:t>
      </w:r>
      <w:r w:rsidR="00795A93">
        <w:rPr>
          <w:rFonts w:ascii="Times New Roman" w:hAnsi="Times New Roman" w:cs="Times New Roman"/>
        </w:rPr>
        <w:t xml:space="preserve"> impact on the analysis and forecast change for large, medi</w:t>
      </w:r>
      <w:r w:rsidR="00BF0392">
        <w:rPr>
          <w:rFonts w:ascii="Times New Roman" w:hAnsi="Times New Roman" w:cs="Times New Roman"/>
        </w:rPr>
        <w:t>um</w:t>
      </w:r>
      <w:r w:rsidR="00795A93">
        <w:rPr>
          <w:rFonts w:ascii="Times New Roman" w:hAnsi="Times New Roman" w:cs="Times New Roman"/>
        </w:rPr>
        <w:t>, and small</w:t>
      </w:r>
      <w:r w:rsidR="00BF0392">
        <w:rPr>
          <w:rFonts w:ascii="Times New Roman" w:hAnsi="Times New Roman" w:cs="Times New Roman"/>
        </w:rPr>
        <w:t xml:space="preserve"> </w:t>
      </w:r>
      <w:r w:rsidR="00795A93">
        <w:rPr>
          <w:rFonts w:ascii="Times New Roman" w:hAnsi="Times New Roman" w:cs="Times New Roman"/>
        </w:rPr>
        <w:t>scales?</w:t>
      </w:r>
      <w:r w:rsidR="00614F69">
        <w:rPr>
          <w:rFonts w:ascii="Times New Roman" w:hAnsi="Times New Roman" w:cs="Times New Roman"/>
        </w:rPr>
        <w:t xml:space="preserve">  Addressing these questions </w:t>
      </w:r>
      <w:r w:rsidR="00EB5709">
        <w:rPr>
          <w:rFonts w:ascii="Times New Roman" w:hAnsi="Times New Roman" w:cs="Times New Roman"/>
        </w:rPr>
        <w:t xml:space="preserve">using the further developed MR-ENS 4DEnVar </w:t>
      </w:r>
      <w:r w:rsidR="0008366C">
        <w:rPr>
          <w:rFonts w:ascii="Times New Roman" w:hAnsi="Times New Roman" w:cs="Times New Roman"/>
        </w:rPr>
        <w:t xml:space="preserve">is </w:t>
      </w:r>
      <w:r w:rsidR="007E1850">
        <w:rPr>
          <w:rFonts w:ascii="Times New Roman" w:hAnsi="Times New Roman" w:cs="Times New Roman"/>
        </w:rPr>
        <w:t>one step toward</w:t>
      </w:r>
      <w:r w:rsidR="00711E2F">
        <w:rPr>
          <w:rFonts w:ascii="Times New Roman" w:hAnsi="Times New Roman" w:cs="Times New Roman"/>
        </w:rPr>
        <w:t xml:space="preserve"> achieving the ultimate </w:t>
      </w:r>
      <w:r w:rsidR="007E1850">
        <w:rPr>
          <w:rFonts w:ascii="Times New Roman" w:hAnsi="Times New Roman" w:cs="Times New Roman"/>
        </w:rPr>
        <w:t xml:space="preserve">effective </w:t>
      </w:r>
      <w:r w:rsidR="00711E2F">
        <w:rPr>
          <w:rFonts w:ascii="Times New Roman" w:hAnsi="Times New Roman" w:cs="Times New Roman"/>
        </w:rPr>
        <w:t xml:space="preserve">multiscale data assimilation </w:t>
      </w:r>
      <w:r w:rsidR="007E1850">
        <w:rPr>
          <w:rFonts w:ascii="Times New Roman" w:hAnsi="Times New Roman" w:cs="Times New Roman"/>
        </w:rPr>
        <w:t xml:space="preserve">for </w:t>
      </w:r>
      <w:r w:rsidR="00AE55BE">
        <w:rPr>
          <w:rFonts w:ascii="Times New Roman" w:hAnsi="Times New Roman" w:cs="Times New Roman"/>
        </w:rPr>
        <w:t>the next</w:t>
      </w:r>
      <w:r w:rsidR="00BF0392">
        <w:rPr>
          <w:rFonts w:ascii="Times New Roman" w:hAnsi="Times New Roman" w:cs="Times New Roman"/>
        </w:rPr>
        <w:t>-</w:t>
      </w:r>
      <w:r w:rsidR="00AE55BE">
        <w:rPr>
          <w:rFonts w:ascii="Times New Roman" w:hAnsi="Times New Roman" w:cs="Times New Roman"/>
        </w:rPr>
        <w:t xml:space="preserve">generation </w:t>
      </w:r>
      <w:r w:rsidR="007E1850">
        <w:rPr>
          <w:rFonts w:ascii="Times New Roman" w:hAnsi="Times New Roman" w:cs="Times New Roman"/>
        </w:rPr>
        <w:t xml:space="preserve">global NWP </w:t>
      </w:r>
      <w:r w:rsidR="00711E2F">
        <w:rPr>
          <w:rFonts w:ascii="Times New Roman" w:hAnsi="Times New Roman" w:cs="Times New Roman"/>
        </w:rPr>
        <w:t>(e.g. Wang et al. 2021)</w:t>
      </w:r>
      <w:r w:rsidR="0038098E">
        <w:rPr>
          <w:rFonts w:ascii="Times New Roman" w:hAnsi="Times New Roman" w:cs="Times New Roman"/>
        </w:rPr>
        <w:t>.</w:t>
      </w:r>
      <w:r w:rsidR="00614F69">
        <w:rPr>
          <w:rFonts w:ascii="Times New Roman" w:hAnsi="Times New Roman" w:cs="Times New Roman"/>
        </w:rPr>
        <w:t xml:space="preserve"> </w:t>
      </w:r>
    </w:p>
    <w:p w14:paraId="671EE3FE" w14:textId="22A55100" w:rsidR="001B380C" w:rsidRDefault="00586AC4" w:rsidP="0008366C">
      <w:pPr>
        <w:pStyle w:val="NoSpacing"/>
        <w:spacing w:line="480" w:lineRule="auto"/>
        <w:ind w:firstLine="720"/>
        <w:jc w:val="both"/>
        <w:rPr>
          <w:rFonts w:ascii="Times New Roman" w:hAnsi="Times New Roman" w:cs="Times New Roman"/>
        </w:rPr>
      </w:pPr>
      <w:r w:rsidRPr="00586AC4">
        <w:rPr>
          <w:rFonts w:ascii="Times New Roman" w:hAnsi="Times New Roman" w:cs="Times New Roman"/>
        </w:rPr>
        <w:lastRenderedPageBreak/>
        <w:t xml:space="preserve">The rest of this </w:t>
      </w:r>
      <w:r w:rsidR="00A6181C">
        <w:rPr>
          <w:rFonts w:ascii="Times New Roman" w:hAnsi="Times New Roman" w:cs="Times New Roman"/>
        </w:rPr>
        <w:t>thesis</w:t>
      </w:r>
      <w:r w:rsidRPr="00586AC4">
        <w:rPr>
          <w:rFonts w:ascii="Times New Roman" w:hAnsi="Times New Roman" w:cs="Times New Roman"/>
        </w:rPr>
        <w:t xml:space="preserve"> is organized as follows.  Section 2 describes the formulation of</w:t>
      </w:r>
      <w:r w:rsidR="000B223A">
        <w:rPr>
          <w:rFonts w:ascii="Times New Roman" w:hAnsi="Times New Roman" w:cs="Times New Roman"/>
        </w:rPr>
        <w:t xml:space="preserve"> the</w:t>
      </w:r>
      <w:r w:rsidRPr="00586AC4">
        <w:rPr>
          <w:rFonts w:ascii="Times New Roman" w:hAnsi="Times New Roman" w:cs="Times New Roman"/>
        </w:rPr>
        <w:t xml:space="preserve"> single-</w:t>
      </w:r>
      <w:r w:rsidR="00DE759A">
        <w:rPr>
          <w:rFonts w:ascii="Times New Roman" w:hAnsi="Times New Roman" w:cs="Times New Roman"/>
        </w:rPr>
        <w:t xml:space="preserve">resolution hybrid 4DEnVar </w:t>
      </w:r>
      <w:r w:rsidRPr="00586AC4">
        <w:rPr>
          <w:rFonts w:ascii="Times New Roman" w:hAnsi="Times New Roman" w:cs="Times New Roman"/>
        </w:rPr>
        <w:t xml:space="preserve">and </w:t>
      </w:r>
      <w:r w:rsidR="00DE759A">
        <w:rPr>
          <w:rFonts w:ascii="Times New Roman" w:hAnsi="Times New Roman" w:cs="Times New Roman"/>
        </w:rPr>
        <w:t xml:space="preserve">the newly extended </w:t>
      </w:r>
      <w:r w:rsidRPr="00586AC4">
        <w:rPr>
          <w:rFonts w:ascii="Times New Roman" w:hAnsi="Times New Roman" w:cs="Times New Roman"/>
        </w:rPr>
        <w:t xml:space="preserve">multi-resolution ensemble hybrid 4DEnVar.  Section 3 describes configurations of the single- and multi-resolution ensemble experiments, including DA and model parameters.  Results comparing </w:t>
      </w:r>
      <w:r w:rsidR="00705331">
        <w:rPr>
          <w:rFonts w:ascii="Times New Roman" w:hAnsi="Times New Roman" w:cs="Times New Roman"/>
        </w:rPr>
        <w:t>the</w:t>
      </w:r>
      <w:r w:rsidRPr="00586AC4">
        <w:rPr>
          <w:rFonts w:ascii="Times New Roman" w:hAnsi="Times New Roman" w:cs="Times New Roman"/>
        </w:rPr>
        <w:t xml:space="preserve"> multi-resolution ensemble </w:t>
      </w:r>
      <w:r w:rsidR="00705331">
        <w:rPr>
          <w:rFonts w:ascii="Times New Roman" w:hAnsi="Times New Roman" w:cs="Times New Roman"/>
        </w:rPr>
        <w:t>4DEnVar</w:t>
      </w:r>
      <w:r w:rsidRPr="00586AC4">
        <w:rPr>
          <w:rFonts w:ascii="Times New Roman" w:hAnsi="Times New Roman" w:cs="Times New Roman"/>
        </w:rPr>
        <w:t xml:space="preserve"> and</w:t>
      </w:r>
      <w:r w:rsidR="00705331">
        <w:rPr>
          <w:rFonts w:ascii="Times New Roman" w:hAnsi="Times New Roman" w:cs="Times New Roman"/>
        </w:rPr>
        <w:t xml:space="preserve"> </w:t>
      </w:r>
      <w:r w:rsidRPr="00586AC4">
        <w:rPr>
          <w:rFonts w:ascii="Times New Roman" w:hAnsi="Times New Roman" w:cs="Times New Roman"/>
        </w:rPr>
        <w:t>single</w:t>
      </w:r>
      <w:r w:rsidR="00705331">
        <w:rPr>
          <w:rFonts w:ascii="Times New Roman" w:hAnsi="Times New Roman" w:cs="Times New Roman"/>
        </w:rPr>
        <w:t xml:space="preserve"> high</w:t>
      </w:r>
      <w:r w:rsidR="0008366C">
        <w:rPr>
          <w:rFonts w:ascii="Times New Roman" w:hAnsi="Times New Roman" w:cs="Times New Roman"/>
        </w:rPr>
        <w:t>-</w:t>
      </w:r>
      <w:r w:rsidRPr="00586AC4">
        <w:rPr>
          <w:rFonts w:ascii="Times New Roman" w:hAnsi="Times New Roman" w:cs="Times New Roman"/>
        </w:rPr>
        <w:t>resolution ensem</w:t>
      </w:r>
      <w:r w:rsidR="00705331">
        <w:rPr>
          <w:rFonts w:ascii="Times New Roman" w:hAnsi="Times New Roman" w:cs="Times New Roman"/>
        </w:rPr>
        <w:t>ble 4DEnVar</w:t>
      </w:r>
      <w:r w:rsidRPr="00586AC4">
        <w:rPr>
          <w:rFonts w:ascii="Times New Roman" w:hAnsi="Times New Roman" w:cs="Times New Roman"/>
        </w:rPr>
        <w:t xml:space="preserve"> are discussed in section 4.  The main conclusions are summarized and potential areas for future work are given in section 5.</w:t>
      </w:r>
    </w:p>
    <w:p w14:paraId="4C526DF2" w14:textId="3A582143" w:rsidR="0008366C" w:rsidRDefault="0008366C">
      <w:pPr>
        <w:rPr>
          <w:rFonts w:eastAsiaTheme="minorHAnsi"/>
          <w:b/>
          <w:bCs/>
        </w:rPr>
      </w:pPr>
    </w:p>
    <w:p w14:paraId="27B87E13" w14:textId="77777777" w:rsidR="0008366C" w:rsidRDefault="0008366C">
      <w:pPr>
        <w:rPr>
          <w:rFonts w:eastAsiaTheme="minorHAnsi"/>
          <w:b/>
          <w:bCs/>
        </w:rPr>
      </w:pPr>
      <w:r>
        <w:rPr>
          <w:b/>
          <w:bCs/>
        </w:rPr>
        <w:br w:type="page"/>
      </w:r>
    </w:p>
    <w:p w14:paraId="1F2DC194" w14:textId="0A819186" w:rsidR="0022717D" w:rsidRDefault="0022717D" w:rsidP="00A80A0D">
      <w:pPr>
        <w:pStyle w:val="NoSpacing"/>
        <w:spacing w:line="480" w:lineRule="auto"/>
        <w:jc w:val="both"/>
        <w:rPr>
          <w:rFonts w:ascii="Times New Roman" w:hAnsi="Times New Roman" w:cs="Times New Roman"/>
          <w:b/>
          <w:bCs/>
        </w:rPr>
      </w:pPr>
      <w:r w:rsidRPr="00313305">
        <w:rPr>
          <w:rFonts w:ascii="Times New Roman" w:hAnsi="Times New Roman" w:cs="Times New Roman"/>
          <w:b/>
          <w:bCs/>
        </w:rPr>
        <w:lastRenderedPageBreak/>
        <w:t xml:space="preserve">2.  </w:t>
      </w:r>
      <w:r w:rsidR="00586AC4" w:rsidRPr="00586AC4">
        <w:rPr>
          <w:rFonts w:ascii="Times New Roman" w:hAnsi="Times New Roman" w:cs="Times New Roman"/>
          <w:b/>
          <w:bCs/>
        </w:rPr>
        <w:t>Formulation of single- and multi-resolution ensemble hybrid 4DEnVar</w:t>
      </w:r>
    </w:p>
    <w:p w14:paraId="6501A8A9" w14:textId="464AD498" w:rsidR="0022717D" w:rsidRPr="00313305" w:rsidRDefault="00586AC4" w:rsidP="00A80A0D">
      <w:pPr>
        <w:pStyle w:val="NoSpacing"/>
        <w:spacing w:line="480" w:lineRule="auto"/>
        <w:jc w:val="both"/>
        <w:rPr>
          <w:rFonts w:ascii="Times New Roman" w:hAnsi="Times New Roman" w:cs="Times New Roman"/>
        </w:rPr>
      </w:pPr>
      <w:r>
        <w:rPr>
          <w:rFonts w:ascii="Times New Roman" w:hAnsi="Times New Roman" w:cs="Times New Roman"/>
          <w:b/>
          <w:bCs/>
        </w:rPr>
        <w:tab/>
      </w:r>
      <w:r w:rsidRPr="00586AC4">
        <w:rPr>
          <w:rFonts w:ascii="Times New Roman" w:hAnsi="Times New Roman" w:cs="Times New Roman"/>
        </w:rPr>
        <w:t>The following describes the 4DEnVar formulations using the notations of Wang (2010), Wang and Lei (2014), and Kay and Wang (2020).</w:t>
      </w:r>
    </w:p>
    <w:p w14:paraId="0BB04306" w14:textId="71DA14CD" w:rsidR="00726C3B" w:rsidRPr="00313305" w:rsidRDefault="00304E51" w:rsidP="00A80A0D">
      <w:pPr>
        <w:pStyle w:val="NoSpacing"/>
        <w:spacing w:line="480" w:lineRule="auto"/>
        <w:jc w:val="both"/>
        <w:rPr>
          <w:rFonts w:ascii="Times New Roman" w:hAnsi="Times New Roman" w:cs="Times New Roman"/>
          <w:i/>
          <w:iCs/>
        </w:rPr>
      </w:pPr>
      <w:r w:rsidRPr="00313305">
        <w:rPr>
          <w:rFonts w:ascii="Times New Roman" w:hAnsi="Times New Roman" w:cs="Times New Roman"/>
          <w:i/>
          <w:iCs/>
        </w:rPr>
        <w:t xml:space="preserve">a.  </w:t>
      </w:r>
      <w:r w:rsidR="00586AC4" w:rsidRPr="00586AC4">
        <w:rPr>
          <w:rFonts w:ascii="Times New Roman" w:hAnsi="Times New Roman" w:cs="Times New Roman"/>
          <w:i/>
          <w:iCs/>
        </w:rPr>
        <w:t>Single-resolution ensemble hybrid 4DEnVar</w:t>
      </w:r>
    </w:p>
    <w:p w14:paraId="45F62822" w14:textId="3CBF0E20" w:rsidR="00151E5F" w:rsidRDefault="00586AC4" w:rsidP="00151E5F">
      <w:pPr>
        <w:spacing w:line="480" w:lineRule="auto"/>
        <w:ind w:firstLine="720"/>
        <w:jc w:val="both"/>
        <w:rPr>
          <w:rFonts w:eastAsiaTheme="minorEastAsia" w:cstheme="minorBidi"/>
          <w:szCs w:val="22"/>
        </w:rPr>
      </w:pPr>
      <w:r w:rsidRPr="00586AC4">
        <w:rPr>
          <w:rFonts w:eastAsiaTheme="minorHAnsi" w:cstheme="minorBidi"/>
          <w:szCs w:val="22"/>
        </w:rPr>
        <w:t xml:space="preserve">The hybrid 4DEnVar method described in Wang and Lei (2014) and used in operational systems creates an analysis increment </w:t>
      </w:r>
      <w:bookmarkStart w:id="15" w:name="_Hlk100394764"/>
      <m:oMath>
        <m:sSubSup>
          <m:sSubSupPr>
            <m:ctrlPr>
              <w:rPr>
                <w:rFonts w:ascii="Cambria Math" w:eastAsiaTheme="minorHAnsi" w:hAnsi="Cambria Math" w:cstheme="minorBidi"/>
                <w:b/>
                <w:bCs/>
                <w:iCs/>
                <w:szCs w:val="22"/>
              </w:rPr>
            </m:ctrlPr>
          </m:sSubSupPr>
          <m:e>
            <m:r>
              <m:rPr>
                <m:sty m:val="b"/>
              </m:rPr>
              <w:rPr>
                <w:rFonts w:ascii="Cambria Math" w:eastAsiaTheme="minorHAnsi" w:hAnsi="Cambria Math" w:cstheme="minorBidi"/>
                <w:szCs w:val="22"/>
              </w:rPr>
              <m:t>x</m:t>
            </m:r>
          </m:e>
          <m:sub>
            <m:r>
              <m:rPr>
                <m:sty m:val="p"/>
              </m:rPr>
              <w:rPr>
                <w:rFonts w:ascii="Cambria Math" w:eastAsiaTheme="minorHAnsi" w:hAnsi="Cambria Math" w:cstheme="minorBidi"/>
                <w:szCs w:val="22"/>
              </w:rPr>
              <m:t>t</m:t>
            </m:r>
          </m:sub>
          <m:sup>
            <m:r>
              <m:rPr>
                <m:sty m:val="p"/>
              </m:rPr>
              <w:rPr>
                <w:rFonts w:ascii="Cambria Math" w:eastAsiaTheme="minorHAnsi" w:hAnsi="Cambria Math" w:cstheme="minorBidi"/>
                <w:szCs w:val="22"/>
              </w:rPr>
              <m:t>'</m:t>
            </m:r>
          </m:sup>
        </m:sSubSup>
      </m:oMath>
      <w:bookmarkEnd w:id="15"/>
      <w:r w:rsidRPr="00586AC4">
        <w:rPr>
          <w:rFonts w:eastAsiaTheme="minorHAnsi" w:cstheme="minorBidi"/>
          <w:szCs w:val="22"/>
        </w:rPr>
        <w:t xml:space="preserve">, </w:t>
      </w:r>
      <w:r w:rsidR="00F8379F">
        <w:rPr>
          <w:rFonts w:eastAsiaTheme="minorHAnsi" w:cstheme="minorBidi"/>
          <w:szCs w:val="22"/>
        </w:rPr>
        <w:t xml:space="preserve">or </w:t>
      </w:r>
      <w:r w:rsidRPr="00586AC4">
        <w:rPr>
          <w:rFonts w:eastAsiaTheme="minorHAnsi" w:cstheme="minorBidi"/>
          <w:szCs w:val="22"/>
        </w:rPr>
        <w:t xml:space="preserve">the difference between the analysis and the background forecast, for the control member at times </w:t>
      </w:r>
      <m:oMath>
        <m:r>
          <w:rPr>
            <w:rFonts w:ascii="Cambria Math" w:eastAsiaTheme="minorHAnsi" w:hAnsi="Cambria Math" w:cstheme="minorBidi"/>
            <w:szCs w:val="22"/>
          </w:rPr>
          <m:t>t=1,…,L</m:t>
        </m:r>
      </m:oMath>
      <w:r w:rsidR="00F8379F">
        <w:rPr>
          <w:rFonts w:eastAsiaTheme="minorEastAsia" w:cstheme="minorBidi"/>
          <w:szCs w:val="22"/>
        </w:rPr>
        <w:t>.</w:t>
      </w:r>
      <w:r w:rsidRPr="00586AC4">
        <w:rPr>
          <w:rFonts w:eastAsiaTheme="minorEastAsia" w:cstheme="minorBidi"/>
          <w:szCs w:val="22"/>
        </w:rPr>
        <w:t xml:space="preserve"> </w:t>
      </w:r>
      <w:r w:rsidR="00F8379F">
        <w:rPr>
          <w:rFonts w:eastAsiaTheme="minorEastAsia" w:cstheme="minorBidi"/>
          <w:szCs w:val="22"/>
        </w:rPr>
        <w:t xml:space="preserve"> The analysis increments are defined as</w:t>
      </w:r>
    </w:p>
    <w:p w14:paraId="0C5A970E" w14:textId="77777777" w:rsidR="009B4220" w:rsidRDefault="00151E5F" w:rsidP="00126F00">
      <w:pPr>
        <w:spacing w:line="480" w:lineRule="auto"/>
        <w:jc w:val="both"/>
        <w:rPr>
          <w:rFonts w:eastAsiaTheme="minorEastAsia" w:cstheme="minorBidi"/>
          <w:szCs w:val="22"/>
        </w:rPr>
      </w:pPr>
      <w:r>
        <w:rPr>
          <w:rFonts w:eastAsiaTheme="minorEastAsia" w:cstheme="minorBidi"/>
          <w:szCs w:val="22"/>
        </w:rPr>
        <w:t>(1)</w:t>
      </w:r>
    </w:p>
    <w:p w14:paraId="5E8644F1" w14:textId="47C2844F" w:rsidR="00151E5F" w:rsidRPr="00952952" w:rsidRDefault="008E5179" w:rsidP="00126F00">
      <w:pPr>
        <w:spacing w:line="480" w:lineRule="auto"/>
        <w:jc w:val="both"/>
        <w:rPr>
          <w:rFonts w:eastAsiaTheme="minorEastAsia" w:cstheme="minorBidi"/>
          <w:szCs w:val="22"/>
        </w:rPr>
      </w:pPr>
      <m:oMathPara>
        <m:oMath>
          <m:sSubSup>
            <m:sSubSupPr>
              <m:ctrlPr>
                <w:rPr>
                  <w:rFonts w:ascii="Cambria Math" w:eastAsiaTheme="minorHAnsi" w:hAnsi="Cambria Math" w:cstheme="minorBidi"/>
                  <w:b/>
                  <w:bCs/>
                  <w:iCs/>
                  <w:szCs w:val="22"/>
                </w:rPr>
              </m:ctrlPr>
            </m:sSubSupPr>
            <m:e>
              <m:r>
                <m:rPr>
                  <m:sty m:val="b"/>
                </m:rPr>
                <w:rPr>
                  <w:rFonts w:ascii="Cambria Math" w:eastAsiaTheme="minorHAnsi" w:hAnsi="Cambria Math" w:cstheme="minorBidi"/>
                  <w:szCs w:val="22"/>
                </w:rPr>
                <m:t>x</m:t>
              </m:r>
            </m:e>
            <m:sub>
              <m:r>
                <m:rPr>
                  <m:sty m:val="p"/>
                </m:rPr>
                <w:rPr>
                  <w:rFonts w:ascii="Cambria Math" w:eastAsiaTheme="minorHAnsi" w:hAnsi="Cambria Math" w:cstheme="minorBidi"/>
                  <w:szCs w:val="22"/>
                </w:rPr>
                <m:t>t</m:t>
              </m:r>
            </m:sub>
            <m:sup>
              <m:r>
                <m:rPr>
                  <m:sty m:val="p"/>
                </m:rPr>
                <w:rPr>
                  <w:rFonts w:ascii="Cambria Math" w:eastAsiaTheme="minorHAnsi" w:hAnsi="Cambria Math" w:cstheme="minorBidi"/>
                  <w:szCs w:val="22"/>
                </w:rPr>
                <m:t>'</m:t>
              </m:r>
            </m:sup>
          </m:sSubSup>
          <m:r>
            <m:rPr>
              <m:sty m:val="bi"/>
            </m:rPr>
            <w:rPr>
              <w:rFonts w:ascii="Cambria Math" w:eastAsiaTheme="minorHAnsi" w:hAnsi="Cambria Math" w:cstheme="minorBidi"/>
              <w:szCs w:val="22"/>
            </w:rPr>
            <m:t>=</m:t>
          </m:r>
          <m:r>
            <m:rPr>
              <m:sty m:val="b"/>
            </m:rPr>
            <w:rPr>
              <w:rFonts w:ascii="Cambria Math" w:eastAsiaTheme="minorHAnsi" w:hAnsi="Cambria Math" w:cstheme="minorBidi"/>
              <w:szCs w:val="22"/>
            </w:rPr>
            <m:t>u</m:t>
          </m:r>
          <m:r>
            <m:rPr>
              <m:sty m:val="bi"/>
            </m:rPr>
            <w:rPr>
              <w:rFonts w:ascii="Cambria Math" w:eastAsiaTheme="minorHAnsi" w:hAnsi="Cambria Math" w:cstheme="minorBidi"/>
              <w:szCs w:val="22"/>
            </w:rPr>
            <m:t>{</m:t>
          </m:r>
          <m:sSub>
            <m:sSubPr>
              <m:ctrlPr>
                <w:rPr>
                  <w:rFonts w:ascii="Cambria Math" w:eastAsiaTheme="minorEastAsia" w:hAnsi="Cambria Math"/>
                  <w:i/>
                </w:rPr>
              </m:ctrlPr>
            </m:sSubPr>
            <m:e>
              <m:d>
                <m:dPr>
                  <m:ctrlPr>
                    <w:rPr>
                      <w:rFonts w:ascii="Cambria Math" w:eastAsiaTheme="minorEastAsia" w:hAnsi="Cambria Math"/>
                      <w:i/>
                    </w:rPr>
                  </m:ctrlPr>
                </m:dPr>
                <m:e>
                  <m:sSubSup>
                    <m:sSubSupPr>
                      <m:ctrlPr>
                        <w:rPr>
                          <w:rFonts w:ascii="Cambria Math" w:eastAsiaTheme="minorEastAsia" w:hAnsi="Cambria Math"/>
                          <w:i/>
                        </w:rPr>
                      </m:ctrlPr>
                    </m:sSubSupPr>
                    <m:e>
                      <m:r>
                        <m:rPr>
                          <m:sty m:val="b"/>
                        </m:rPr>
                        <w:rPr>
                          <w:rFonts w:ascii="Cambria Math" w:eastAsiaTheme="minorEastAsia" w:hAnsi="Cambria Math"/>
                        </w:rPr>
                        <m:t>x</m:t>
                      </m:r>
                    </m:e>
                    <m:sub>
                      <m:r>
                        <w:rPr>
                          <w:rFonts w:ascii="Cambria Math" w:eastAsiaTheme="minorEastAsia" w:hAnsi="Cambria Math"/>
                        </w:rPr>
                        <m:t>1</m:t>
                      </m:r>
                    </m:sub>
                    <m:sup>
                      <m:r>
                        <w:rPr>
                          <w:rFonts w:ascii="Cambria Math" w:eastAsiaTheme="minorEastAsia" w:hAnsi="Cambria Math"/>
                        </w:rPr>
                        <m:t>'</m:t>
                      </m:r>
                    </m:sup>
                  </m:sSubSup>
                </m:e>
              </m:d>
            </m:e>
            <m:sub>
              <m:r>
                <w:rPr>
                  <w:rFonts w:ascii="Cambria Math" w:eastAsiaTheme="minorEastAsia" w:hAnsi="Cambria Math"/>
                </w:rPr>
                <m:t>t</m:t>
              </m:r>
            </m:sub>
          </m:sSub>
          <m:r>
            <w:rPr>
              <w:rFonts w:ascii="Cambria Math" w:eastAsiaTheme="minorEastAsia" w:hAnsi="Cambria Math"/>
            </w:rPr>
            <m:t>+</m:t>
          </m:r>
          <m:nary>
            <m:naryPr>
              <m:chr m:val="∑"/>
              <m:ctrlPr>
                <w:rPr>
                  <w:rFonts w:ascii="Cambria Math" w:eastAsiaTheme="minorEastAsia" w:hAnsi="Cambria Math"/>
                </w:rPr>
              </m:ctrlPr>
            </m:naryPr>
            <m:sub>
              <m:r>
                <w:rPr>
                  <w:rFonts w:ascii="Cambria Math" w:eastAsiaTheme="minorEastAsia" w:hAnsi="Cambria Math"/>
                </w:rPr>
                <m:t>k=1</m:t>
              </m:r>
              <m:ctrlPr>
                <w:rPr>
                  <w:rFonts w:ascii="Cambria Math" w:eastAsiaTheme="minorEastAsia" w:hAnsi="Cambria Math"/>
                  <w:i/>
                </w:rPr>
              </m:ctrlPr>
            </m:sub>
            <m:sup>
              <m:r>
                <w:rPr>
                  <w:rFonts w:ascii="Cambria Math" w:eastAsiaTheme="minorEastAsia" w:hAnsi="Cambria Math"/>
                </w:rPr>
                <m:t>K</m:t>
              </m:r>
              <m:ctrlPr>
                <w:rPr>
                  <w:rFonts w:ascii="Cambria Math" w:eastAsiaTheme="minorEastAsia" w:hAnsi="Cambria Math"/>
                  <w:i/>
                </w:rPr>
              </m:ctrlPr>
            </m:sup>
            <m:e>
              <m:r>
                <w:rPr>
                  <w:rFonts w:ascii="Cambria Math" w:eastAsiaTheme="minorEastAsia" w:hAnsi="Cambria Math"/>
                </w:rPr>
                <m:t>[</m:t>
              </m:r>
              <m:ctrlPr>
                <w:rPr>
                  <w:rFonts w:ascii="Cambria Math" w:eastAsiaTheme="minorEastAsia" w:hAnsi="Cambria Math"/>
                  <w:i/>
                </w:rPr>
              </m:ctrlPr>
            </m:e>
          </m:nary>
          <m:sSub>
            <m:sSubPr>
              <m:ctrlPr>
                <w:rPr>
                  <w:rFonts w:ascii="Cambria Math" w:eastAsiaTheme="minorEastAsia" w:hAnsi="Cambria Math"/>
                  <w:i/>
                </w:rPr>
              </m:ctrlPr>
            </m:sSubPr>
            <m:e>
              <m:r>
                <m:rPr>
                  <m:sty m:val="bi"/>
                </m:rPr>
                <w:rPr>
                  <w:rFonts w:ascii="Cambria Math" w:eastAsiaTheme="minorEastAsia" w:hAnsi="Cambria Math"/>
                </w:rPr>
                <m:t>α</m:t>
              </m:r>
            </m:e>
            <m:sub>
              <m:r>
                <w:rPr>
                  <w:rFonts w:ascii="Cambria Math" w:eastAsiaTheme="minorEastAsia" w:hAnsi="Cambria Math"/>
                </w:rPr>
                <m:t>k</m:t>
              </m:r>
            </m:sub>
          </m:sSub>
          <m:r>
            <w:rPr>
              <w:rFonts w:ascii="Cambria Math" w:eastAsiaTheme="minorEastAsia" w:hAnsi="Cambria Math"/>
            </w:rPr>
            <m:t>+</m:t>
          </m:r>
          <m:sSub>
            <m:sSubPr>
              <m:ctrlPr>
                <w:rPr>
                  <w:rFonts w:ascii="Cambria Math" w:eastAsiaTheme="minorEastAsia" w:hAnsi="Cambria Math"/>
                  <w:i/>
                </w:rPr>
              </m:ctrlPr>
            </m:sSubPr>
            <m:e>
              <m:d>
                <m:dPr>
                  <m:ctrlPr>
                    <w:rPr>
                      <w:rFonts w:ascii="Cambria Math" w:eastAsiaTheme="minorEastAsia" w:hAnsi="Cambria Math"/>
                      <w:i/>
                    </w:rPr>
                  </m:ctrlPr>
                </m:dPr>
                <m:e>
                  <m:sSubSup>
                    <m:sSubSupPr>
                      <m:ctrlPr>
                        <w:rPr>
                          <w:rFonts w:ascii="Cambria Math" w:eastAsiaTheme="minorEastAsia" w:hAnsi="Cambria Math"/>
                          <w:i/>
                        </w:rPr>
                      </m:ctrlPr>
                    </m:sSubSupPr>
                    <m:e>
                      <m:r>
                        <m:rPr>
                          <m:sty m:val="bi"/>
                        </m:rPr>
                        <w:rPr>
                          <w:rFonts w:ascii="Cambria Math" w:eastAsiaTheme="minorEastAsia" w:hAnsi="Cambria Math"/>
                        </w:rPr>
                        <m:t>x</m:t>
                      </m:r>
                    </m:e>
                    <m:sub>
                      <m:r>
                        <w:rPr>
                          <w:rFonts w:ascii="Cambria Math" w:eastAsiaTheme="minorEastAsia" w:hAnsi="Cambria Math"/>
                        </w:rPr>
                        <m:t>k</m:t>
                      </m:r>
                    </m:sub>
                    <m:sup>
                      <m:r>
                        <w:rPr>
                          <w:rFonts w:ascii="Cambria Math" w:eastAsiaTheme="minorEastAsia" w:hAnsi="Cambria Math"/>
                        </w:rPr>
                        <m:t>e</m:t>
                      </m:r>
                    </m:sup>
                  </m:sSubSup>
                </m:e>
              </m:d>
            </m:e>
            <m:sub>
              <m:r>
                <w:rPr>
                  <w:rFonts w:ascii="Cambria Math" w:eastAsiaTheme="minorEastAsia" w:hAnsi="Cambria Math"/>
                </w:rPr>
                <m:t>t</m:t>
              </m:r>
            </m:sub>
          </m:sSub>
          <m:r>
            <w:rPr>
              <w:rFonts w:ascii="Cambria Math" w:eastAsiaTheme="minorEastAsia" w:hAnsi="Cambria Math"/>
            </w:rPr>
            <m:t>]}</m:t>
          </m:r>
        </m:oMath>
      </m:oMathPara>
    </w:p>
    <w:p w14:paraId="205E4FF2" w14:textId="0DD2B870" w:rsidR="00151E5F" w:rsidRPr="00743B31" w:rsidRDefault="00151E5F" w:rsidP="00834BB9">
      <w:pPr>
        <w:spacing w:line="480" w:lineRule="auto"/>
        <w:jc w:val="both"/>
        <w:rPr>
          <w:rFonts w:eastAsiaTheme="minorEastAsia" w:cstheme="minorBidi"/>
        </w:rPr>
      </w:pPr>
      <w:r>
        <w:rPr>
          <w:rFonts w:eastAsiaTheme="minorEastAsia" w:cstheme="minorBidi"/>
        </w:rPr>
        <w:t xml:space="preserve">where </w:t>
      </w:r>
      <m:oMath>
        <m:r>
          <m:rPr>
            <m:sty m:val="b"/>
          </m:rPr>
          <w:rPr>
            <w:rFonts w:ascii="Cambria Math" w:eastAsiaTheme="minorHAnsi" w:hAnsi="Cambria Math" w:cstheme="minorBidi"/>
            <w:szCs w:val="22"/>
          </w:rPr>
          <m:t>u</m:t>
        </m:r>
      </m:oMath>
      <w:r>
        <w:rPr>
          <w:rFonts w:eastAsiaTheme="minorEastAsia" w:cstheme="minorBidi"/>
          <w:b/>
          <w:bCs/>
          <w:iCs/>
          <w:szCs w:val="22"/>
        </w:rPr>
        <w:t xml:space="preserve"> </w:t>
      </w:r>
      <w:r>
        <w:rPr>
          <w:rFonts w:eastAsiaTheme="minorEastAsia" w:cstheme="minorBidi"/>
          <w:iCs/>
          <w:szCs w:val="22"/>
        </w:rPr>
        <w:t>interp</w:t>
      </w:r>
      <w:r w:rsidR="000529A8">
        <w:rPr>
          <w:rFonts w:eastAsiaTheme="minorEastAsia" w:cstheme="minorBidi"/>
          <w:iCs/>
          <w:szCs w:val="22"/>
        </w:rPr>
        <w:t xml:space="preserve">olates low-resolution grids to high-resolution.  If all components are at the same resolution, </w:t>
      </w:r>
      <m:oMath>
        <m:r>
          <m:rPr>
            <m:sty m:val="b"/>
          </m:rPr>
          <w:rPr>
            <w:rFonts w:ascii="Cambria Math" w:eastAsiaTheme="minorHAnsi" w:hAnsi="Cambria Math" w:cstheme="minorBidi"/>
            <w:szCs w:val="22"/>
          </w:rPr>
          <m:t>u</m:t>
        </m:r>
      </m:oMath>
      <w:r w:rsidR="000529A8">
        <w:rPr>
          <w:rFonts w:eastAsiaTheme="minorEastAsia" w:cstheme="minorBidi"/>
          <w:b/>
          <w:bCs/>
          <w:iCs/>
          <w:szCs w:val="22"/>
        </w:rPr>
        <w:t xml:space="preserve"> </w:t>
      </w:r>
      <w:r w:rsidR="000529A8">
        <w:rPr>
          <w:rFonts w:eastAsiaTheme="minorEastAsia" w:cstheme="minorBidi"/>
          <w:iCs/>
          <w:szCs w:val="22"/>
        </w:rPr>
        <w:t xml:space="preserve">is an identity matrix.  </w:t>
      </w:r>
      <m:oMath>
        <m:sSub>
          <m:sSubPr>
            <m:ctrlPr>
              <w:rPr>
                <w:rFonts w:ascii="Cambria Math" w:eastAsiaTheme="minorEastAsia" w:hAnsi="Cambria Math"/>
                <w:i/>
              </w:rPr>
            </m:ctrlPr>
          </m:sSubPr>
          <m:e>
            <m:d>
              <m:dPr>
                <m:ctrlPr>
                  <w:rPr>
                    <w:rFonts w:ascii="Cambria Math" w:eastAsiaTheme="minorEastAsia" w:hAnsi="Cambria Math"/>
                    <w:i/>
                  </w:rPr>
                </m:ctrlPr>
              </m:dPr>
              <m:e>
                <m:sSubSup>
                  <m:sSubSupPr>
                    <m:ctrlPr>
                      <w:rPr>
                        <w:rFonts w:ascii="Cambria Math" w:eastAsiaTheme="minorEastAsia" w:hAnsi="Cambria Math"/>
                        <w:i/>
                      </w:rPr>
                    </m:ctrlPr>
                  </m:sSubSupPr>
                  <m:e>
                    <m:r>
                      <m:rPr>
                        <m:sty m:val="b"/>
                      </m:rPr>
                      <w:rPr>
                        <w:rFonts w:ascii="Cambria Math" w:eastAsiaTheme="minorEastAsia" w:hAnsi="Cambria Math"/>
                      </w:rPr>
                      <m:t>x</m:t>
                    </m:r>
                  </m:e>
                  <m:sub>
                    <m:r>
                      <w:rPr>
                        <w:rFonts w:ascii="Cambria Math" w:eastAsiaTheme="minorEastAsia" w:hAnsi="Cambria Math"/>
                      </w:rPr>
                      <m:t>1</m:t>
                    </m:r>
                  </m:sub>
                  <m:sup>
                    <m:r>
                      <w:rPr>
                        <w:rFonts w:ascii="Cambria Math" w:eastAsiaTheme="minorEastAsia" w:hAnsi="Cambria Math"/>
                      </w:rPr>
                      <m:t>'</m:t>
                    </m:r>
                  </m:sup>
                </m:sSubSup>
              </m:e>
            </m:d>
          </m:e>
          <m:sub>
            <m:r>
              <w:rPr>
                <w:rFonts w:ascii="Cambria Math" w:eastAsiaTheme="minorEastAsia" w:hAnsi="Cambria Math"/>
              </w:rPr>
              <m:t>t</m:t>
            </m:r>
          </m:sub>
        </m:sSub>
      </m:oMath>
      <w:r w:rsidR="000529A8">
        <w:rPr>
          <w:rFonts w:eastAsiaTheme="minorEastAsia" w:cstheme="minorBidi"/>
        </w:rPr>
        <w:t xml:space="preserve"> is the analysis increment associated with the static error covariance.  </w:t>
      </w:r>
      <m:oMath>
        <m:sSub>
          <m:sSubPr>
            <m:ctrlPr>
              <w:rPr>
                <w:rFonts w:ascii="Cambria Math" w:eastAsiaTheme="minorEastAsia" w:hAnsi="Cambria Math"/>
                <w:i/>
              </w:rPr>
            </m:ctrlPr>
          </m:sSubPr>
          <m:e>
            <m:r>
              <m:rPr>
                <m:sty m:val="bi"/>
              </m:rPr>
              <w:rPr>
                <w:rFonts w:ascii="Cambria Math" w:eastAsiaTheme="minorEastAsia" w:hAnsi="Cambria Math"/>
              </w:rPr>
              <m:t>α</m:t>
            </m:r>
          </m:e>
          <m:sub>
            <m:r>
              <w:rPr>
                <w:rFonts w:ascii="Cambria Math" w:eastAsiaTheme="minorEastAsia" w:hAnsi="Cambria Math"/>
              </w:rPr>
              <m:t>k</m:t>
            </m:r>
          </m:sub>
        </m:sSub>
      </m:oMath>
      <w:r w:rsidR="000529A8">
        <w:rPr>
          <w:rFonts w:eastAsiaTheme="minorEastAsia" w:cstheme="minorBidi"/>
        </w:rPr>
        <w:t xml:space="preserve"> is the </w:t>
      </w:r>
      <m:oMath>
        <m:r>
          <w:rPr>
            <w:rFonts w:ascii="Cambria Math" w:eastAsiaTheme="minorEastAsia" w:hAnsi="Cambria Math"/>
          </w:rPr>
          <m:t>k</m:t>
        </m:r>
      </m:oMath>
      <w:r w:rsidR="000529A8">
        <w:rPr>
          <w:rFonts w:eastAsiaTheme="minorEastAsia" w:cstheme="minorBidi"/>
        </w:rPr>
        <w:t xml:space="preserve">th augmented control vector (Wang 2010), where </w:t>
      </w:r>
      <m:oMath>
        <m:r>
          <w:rPr>
            <w:rFonts w:ascii="Cambria Math" w:eastAsiaTheme="minorEastAsia" w:hAnsi="Cambria Math"/>
          </w:rPr>
          <m:t>k</m:t>
        </m:r>
      </m:oMath>
      <w:r w:rsidR="000529A8">
        <w:rPr>
          <w:rFonts w:eastAsiaTheme="minorEastAsia" w:cstheme="minorBidi"/>
        </w:rPr>
        <w:t xml:space="preserve"> is a member of an ensemble with size </w:t>
      </w:r>
      <m:oMath>
        <m:r>
          <w:rPr>
            <w:rFonts w:ascii="Cambria Math" w:eastAsiaTheme="minorEastAsia" w:hAnsi="Cambria Math"/>
          </w:rPr>
          <m:t>K</m:t>
        </m:r>
      </m:oMath>
      <w:r w:rsidR="000529A8">
        <w:rPr>
          <w:rFonts w:eastAsiaTheme="minorEastAsia" w:cstheme="minorBidi"/>
        </w:rPr>
        <w:t xml:space="preserve">. </w:t>
      </w:r>
      <m:oMath>
        <m:sSub>
          <m:sSubPr>
            <m:ctrlPr>
              <w:rPr>
                <w:rFonts w:ascii="Cambria Math" w:eastAsiaTheme="minorEastAsia" w:hAnsi="Cambria Math"/>
                <w:i/>
              </w:rPr>
            </m:ctrlPr>
          </m:sSubPr>
          <m:e>
            <m:d>
              <m:dPr>
                <m:ctrlPr>
                  <w:rPr>
                    <w:rFonts w:ascii="Cambria Math" w:eastAsiaTheme="minorEastAsia" w:hAnsi="Cambria Math"/>
                    <w:i/>
                  </w:rPr>
                </m:ctrlPr>
              </m:dPr>
              <m:e>
                <m:sSubSup>
                  <m:sSubSupPr>
                    <m:ctrlPr>
                      <w:rPr>
                        <w:rFonts w:ascii="Cambria Math" w:eastAsiaTheme="minorEastAsia" w:hAnsi="Cambria Math"/>
                        <w:i/>
                      </w:rPr>
                    </m:ctrlPr>
                  </m:sSubSupPr>
                  <m:e>
                    <m:r>
                      <m:rPr>
                        <m:sty m:val="bi"/>
                      </m:rPr>
                      <w:rPr>
                        <w:rFonts w:ascii="Cambria Math" w:eastAsiaTheme="minorEastAsia" w:hAnsi="Cambria Math"/>
                      </w:rPr>
                      <m:t>x</m:t>
                    </m:r>
                  </m:e>
                  <m:sub>
                    <m:r>
                      <w:rPr>
                        <w:rFonts w:ascii="Cambria Math" w:eastAsiaTheme="minorEastAsia" w:hAnsi="Cambria Math"/>
                      </w:rPr>
                      <m:t>k</m:t>
                    </m:r>
                  </m:sub>
                  <m:sup>
                    <m:r>
                      <w:rPr>
                        <w:rFonts w:ascii="Cambria Math" w:eastAsiaTheme="minorEastAsia" w:hAnsi="Cambria Math"/>
                      </w:rPr>
                      <m:t>e</m:t>
                    </m:r>
                  </m:sup>
                </m:sSubSup>
              </m:e>
            </m:d>
          </m:e>
          <m:sub>
            <m:r>
              <w:rPr>
                <w:rFonts w:ascii="Cambria Math" w:eastAsiaTheme="minorEastAsia" w:hAnsi="Cambria Math"/>
              </w:rPr>
              <m:t>t</m:t>
            </m:r>
          </m:sub>
        </m:sSub>
      </m:oMath>
      <w:r w:rsidR="00E96E27">
        <w:rPr>
          <w:rFonts w:eastAsiaTheme="minorEastAsia" w:cstheme="minorBidi"/>
        </w:rPr>
        <w:t xml:space="preserve"> is the </w:t>
      </w:r>
      <m:oMath>
        <m:r>
          <w:rPr>
            <w:rFonts w:ascii="Cambria Math" w:eastAsiaTheme="minorEastAsia" w:hAnsi="Cambria Math"/>
          </w:rPr>
          <m:t>k</m:t>
        </m:r>
      </m:oMath>
      <w:r w:rsidR="00E96E27">
        <w:rPr>
          <w:rFonts w:eastAsiaTheme="minorEastAsia" w:cstheme="minorBidi"/>
        </w:rPr>
        <w:t xml:space="preserve">th background ensemble </w:t>
      </w:r>
      <w:r w:rsidR="00EA2BD9">
        <w:rPr>
          <w:rFonts w:eastAsiaTheme="minorEastAsia" w:cstheme="minorBidi"/>
        </w:rPr>
        <w:t xml:space="preserve">perturbation normalized by </w:t>
      </w:r>
      <m:oMath>
        <m:rad>
          <m:radPr>
            <m:degHide m:val="1"/>
            <m:ctrlPr>
              <w:rPr>
                <w:rFonts w:ascii="Cambria Math" w:eastAsiaTheme="minorEastAsia" w:hAnsi="Cambria Math" w:cstheme="minorBidi"/>
                <w:i/>
              </w:rPr>
            </m:ctrlPr>
          </m:radPr>
          <m:deg/>
          <m:e>
            <m:r>
              <w:rPr>
                <w:rFonts w:ascii="Cambria Math" w:eastAsiaTheme="minorEastAsia" w:hAnsi="Cambria Math" w:cstheme="minorBidi"/>
              </w:rPr>
              <m:t>K-1</m:t>
            </m:r>
          </m:e>
        </m:rad>
      </m:oMath>
      <w:r w:rsidR="00E96E27">
        <w:rPr>
          <w:rFonts w:eastAsiaTheme="minorEastAsia" w:cstheme="minorBidi"/>
        </w:rPr>
        <w:t xml:space="preserve"> at time </w:t>
      </w:r>
      <m:oMath>
        <m:r>
          <w:rPr>
            <w:rFonts w:ascii="Cambria Math" w:eastAsiaTheme="minorHAnsi" w:hAnsi="Cambria Math" w:cstheme="minorBidi"/>
            <w:szCs w:val="22"/>
          </w:rPr>
          <m:t>t</m:t>
        </m:r>
      </m:oMath>
      <w:r w:rsidR="00E96E27">
        <w:rPr>
          <w:rFonts w:eastAsiaTheme="minorEastAsia" w:cstheme="minorBidi"/>
          <w:szCs w:val="22"/>
        </w:rPr>
        <w:t>.</w:t>
      </w:r>
    </w:p>
    <w:p w14:paraId="2E25A2C2" w14:textId="088DA73D" w:rsidR="00586AC4" w:rsidRDefault="00E96E27" w:rsidP="00A80A0D">
      <w:pPr>
        <w:spacing w:line="480" w:lineRule="auto"/>
        <w:ind w:firstLine="720"/>
        <w:jc w:val="both"/>
        <w:rPr>
          <w:rFonts w:eastAsiaTheme="minorHAnsi" w:cstheme="minorBidi"/>
          <w:szCs w:val="22"/>
        </w:rPr>
      </w:pPr>
      <w:r>
        <w:rPr>
          <w:rFonts w:eastAsiaTheme="minorHAnsi" w:cstheme="minorBidi"/>
          <w:szCs w:val="22"/>
        </w:rPr>
        <w:t xml:space="preserve">The analysis increments are found </w:t>
      </w:r>
      <w:r w:rsidR="00586AC4" w:rsidRPr="00586AC4">
        <w:rPr>
          <w:rFonts w:eastAsiaTheme="minorHAnsi" w:cstheme="minorBidi"/>
          <w:szCs w:val="22"/>
        </w:rPr>
        <w:t xml:space="preserve">by the minimization of a cost function </w:t>
      </w:r>
      <m:oMath>
        <m:r>
          <w:rPr>
            <w:rFonts w:ascii="Cambria Math" w:eastAsiaTheme="minorEastAsia" w:hAnsi="Cambria Math" w:cstheme="minorBidi"/>
            <w:szCs w:val="22"/>
          </w:rPr>
          <m:t>J</m:t>
        </m:r>
      </m:oMath>
      <w:r w:rsidR="00586AC4" w:rsidRPr="00586AC4">
        <w:rPr>
          <w:rFonts w:eastAsiaTheme="minorHAnsi" w:cstheme="minorBidi"/>
          <w:szCs w:val="22"/>
        </w:rPr>
        <w:t xml:space="preserve"> with respect to augmented control vectors representing the static and ensemble BECs as follows:</w:t>
      </w:r>
    </w:p>
    <w:p w14:paraId="720A8F3D" w14:textId="3CC37A61" w:rsidR="00151E5F" w:rsidRDefault="00151E5F" w:rsidP="00834BB9">
      <w:pPr>
        <w:spacing w:line="480" w:lineRule="auto"/>
        <w:jc w:val="both"/>
        <w:rPr>
          <w:rFonts w:eastAsiaTheme="minorHAnsi" w:cstheme="minorBidi"/>
          <w:szCs w:val="22"/>
        </w:rPr>
      </w:pPr>
      <w:r>
        <w:rPr>
          <w:rFonts w:eastAsiaTheme="minorHAnsi" w:cstheme="minorBidi"/>
          <w:szCs w:val="22"/>
        </w:rPr>
        <w:t>(2)</w:t>
      </w:r>
    </w:p>
    <w:p w14:paraId="721C8F27" w14:textId="57FF462D" w:rsidR="00586AC4" w:rsidRPr="00586AC4" w:rsidRDefault="00586AC4" w:rsidP="00A80A0D">
      <w:pPr>
        <w:jc w:val="both"/>
        <w:rPr>
          <w:rFonts w:eastAsiaTheme="minorEastAsia" w:cstheme="minorBidi"/>
        </w:rPr>
      </w:pPr>
      <m:oMathPara>
        <m:oMath>
          <m:r>
            <w:rPr>
              <w:rFonts w:ascii="Cambria Math" w:hAnsi="Cambria Math"/>
            </w:rPr>
            <m:t xml:space="preserve">    </m:t>
          </m:r>
          <m:r>
            <w:rPr>
              <w:rFonts w:ascii="Cambria Math" w:eastAsiaTheme="minorEastAsia" w:hAnsi="Cambria Math"/>
            </w:rPr>
            <m:t>J</m:t>
          </m:r>
          <m:d>
            <m:dPr>
              <m:begChr m:val="["/>
              <m:endChr m:val="]"/>
              <m:ctrlPr>
                <w:rPr>
                  <w:rFonts w:ascii="Cambria Math" w:eastAsiaTheme="minorEastAsia" w:hAnsi="Cambria Math"/>
                  <w:i/>
                </w:rPr>
              </m:ctrlPr>
            </m:dPr>
            <m:e>
              <m:sSub>
                <m:sSubPr>
                  <m:ctrlPr>
                    <w:rPr>
                      <w:rFonts w:ascii="Cambria Math" w:eastAsiaTheme="minorEastAsia" w:hAnsi="Cambria Math"/>
                      <w:i/>
                    </w:rPr>
                  </m:ctrlPr>
                </m:sSubPr>
                <m:e>
                  <m:d>
                    <m:dPr>
                      <m:ctrlPr>
                        <w:rPr>
                          <w:rFonts w:ascii="Cambria Math" w:eastAsiaTheme="minorEastAsia" w:hAnsi="Cambria Math"/>
                          <w:i/>
                        </w:rPr>
                      </m:ctrlPr>
                    </m:dPr>
                    <m:e>
                      <m:sSubSup>
                        <m:sSubSupPr>
                          <m:ctrlPr>
                            <w:rPr>
                              <w:rFonts w:ascii="Cambria Math" w:eastAsiaTheme="minorEastAsia" w:hAnsi="Cambria Math"/>
                              <w:i/>
                            </w:rPr>
                          </m:ctrlPr>
                        </m:sSubSupPr>
                        <m:e>
                          <m:r>
                            <m:rPr>
                              <m:sty m:val="b"/>
                            </m:rPr>
                            <w:rPr>
                              <w:rFonts w:ascii="Cambria Math" w:eastAsiaTheme="minorEastAsia" w:hAnsi="Cambria Math"/>
                            </w:rPr>
                            <m:t>x</m:t>
                          </m:r>
                        </m:e>
                        <m:sub>
                          <m:r>
                            <w:rPr>
                              <w:rFonts w:ascii="Cambria Math" w:eastAsiaTheme="minorEastAsia" w:hAnsi="Cambria Math"/>
                            </w:rPr>
                            <m:t>1</m:t>
                          </m:r>
                        </m:sub>
                        <m:sup>
                          <m:r>
                            <m:rPr>
                              <m:sty m:val="p"/>
                            </m:rPr>
                            <w:rPr>
                              <w:rFonts w:ascii="Cambria Math" w:eastAsiaTheme="minorEastAsia" w:hAnsi="Cambria Math"/>
                            </w:rPr>
                            <m:t>'</m:t>
                          </m:r>
                        </m:sup>
                      </m:sSubSup>
                    </m:e>
                  </m:d>
                </m:e>
                <m:sub>
                  <m:r>
                    <w:rPr>
                      <w:rFonts w:ascii="Cambria Math" w:eastAsiaTheme="minorEastAsia" w:hAnsi="Cambria Math"/>
                    </w:rPr>
                    <m:t>t</m:t>
                  </m:r>
                </m:sub>
              </m:sSub>
              <m:r>
                <w:rPr>
                  <w:rFonts w:ascii="Cambria Math" w:eastAsiaTheme="minorEastAsia" w:hAnsi="Cambria Math"/>
                </w:rPr>
                <m:t>,</m:t>
              </m:r>
              <m:r>
                <m:rPr>
                  <m:sty m:val="bi"/>
                </m:rPr>
                <w:rPr>
                  <w:rFonts w:ascii="Cambria Math" w:eastAsiaTheme="minorEastAsia" w:hAnsi="Cambria Math"/>
                </w:rPr>
                <m:t>α</m:t>
              </m:r>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1</m:t>
              </m:r>
            </m:sub>
          </m:sSub>
          <m:sSub>
            <m:sSubPr>
              <m:ctrlPr>
                <w:rPr>
                  <w:rFonts w:ascii="Cambria Math" w:eastAsiaTheme="minorEastAsia" w:hAnsi="Cambria Math"/>
                  <w:i/>
                </w:rPr>
              </m:ctrlPr>
            </m:sSubPr>
            <m:e>
              <m:r>
                <w:rPr>
                  <w:rFonts w:ascii="Cambria Math" w:eastAsiaTheme="minorEastAsia" w:hAnsi="Cambria Math"/>
                </w:rPr>
                <m:t>J</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e</m:t>
              </m:r>
            </m:sub>
          </m:sSub>
          <m:sSub>
            <m:sSubPr>
              <m:ctrlPr>
                <w:rPr>
                  <w:rFonts w:ascii="Cambria Math" w:eastAsiaTheme="minorEastAsia" w:hAnsi="Cambria Math"/>
                  <w:i/>
                </w:rPr>
              </m:ctrlPr>
            </m:sSubPr>
            <m:e>
              <m:r>
                <w:rPr>
                  <w:rFonts w:ascii="Cambria Math" w:eastAsiaTheme="minorEastAsia" w:hAnsi="Cambria Math"/>
                </w:rPr>
                <m:t>J</m:t>
              </m:r>
            </m:e>
            <m:sub>
              <m:r>
                <w:rPr>
                  <w:rFonts w:ascii="Cambria Math" w:eastAsiaTheme="minorEastAsia" w:hAnsi="Cambria Math"/>
                </w:rPr>
                <m:t>e</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J</m:t>
              </m:r>
            </m:e>
            <m:sub>
              <m:r>
                <w:rPr>
                  <w:rFonts w:ascii="Cambria Math" w:eastAsiaTheme="minorEastAsia" w:hAnsi="Cambria Math"/>
                </w:rPr>
                <m:t>o</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Sub>
            <m:sSubPr>
              <m:ctrlPr>
                <w:rPr>
                  <w:rFonts w:ascii="Cambria Math" w:eastAsiaTheme="minorEastAsia" w:hAnsi="Cambria Math"/>
                  <w:i/>
                </w:rPr>
              </m:ctrlPr>
            </m:sSubPr>
            <m:e>
              <m:r>
                <w:rPr>
                  <w:rFonts w:ascii="Cambria Math" w:eastAsiaTheme="minorEastAsia" w:hAnsi="Cambria Math"/>
                </w:rPr>
                <m:t>β</m:t>
              </m:r>
              <m:ctrlPr>
                <w:rPr>
                  <w:rFonts w:ascii="Cambria Math" w:eastAsiaTheme="minorEastAsia" w:hAnsi="Cambria Math"/>
                </w:rPr>
              </m:ctrlPr>
            </m:e>
            <m:sub>
              <m:r>
                <w:rPr>
                  <w:rFonts w:ascii="Cambria Math" w:eastAsiaTheme="minorEastAsia" w:hAnsi="Cambria Math"/>
                </w:rPr>
                <m:t>1</m:t>
              </m:r>
            </m:sub>
          </m:sSub>
          <m:sSubSup>
            <m:sSubSupPr>
              <m:ctrlPr>
                <w:rPr>
                  <w:rFonts w:ascii="Cambria Math" w:eastAsiaTheme="minorEastAsia" w:hAnsi="Cambria Math"/>
                  <w:i/>
                </w:rPr>
              </m:ctrlPr>
            </m:sSubSupPr>
            <m:e>
              <m:d>
                <m:dPr>
                  <m:ctrlPr>
                    <w:rPr>
                      <w:rFonts w:ascii="Cambria Math" w:eastAsiaTheme="minorEastAsia" w:hAnsi="Cambria Math"/>
                      <w:i/>
                    </w:rPr>
                  </m:ctrlPr>
                </m:dPr>
                <m:e>
                  <m:sSubSup>
                    <m:sSubSupPr>
                      <m:ctrlPr>
                        <w:rPr>
                          <w:rFonts w:ascii="Cambria Math" w:eastAsiaTheme="minorEastAsia" w:hAnsi="Cambria Math"/>
                          <w:i/>
                        </w:rPr>
                      </m:ctrlPr>
                    </m:sSubSupPr>
                    <m:e>
                      <m:r>
                        <m:rPr>
                          <m:sty m:val="b"/>
                        </m:rPr>
                        <w:rPr>
                          <w:rFonts w:ascii="Cambria Math" w:eastAsiaTheme="minorEastAsia" w:hAnsi="Cambria Math"/>
                        </w:rPr>
                        <m:t>x</m:t>
                      </m:r>
                    </m:e>
                    <m:sub>
                      <m:r>
                        <w:rPr>
                          <w:rFonts w:ascii="Cambria Math" w:eastAsiaTheme="minorEastAsia" w:hAnsi="Cambria Math"/>
                        </w:rPr>
                        <m:t>1</m:t>
                      </m:r>
                    </m:sub>
                    <m:sup>
                      <m:r>
                        <w:rPr>
                          <w:rFonts w:ascii="Cambria Math" w:eastAsiaTheme="minorEastAsia" w:hAnsi="Cambria Math"/>
                        </w:rPr>
                        <m:t>'</m:t>
                      </m:r>
                    </m:sup>
                  </m:sSubSup>
                </m:e>
              </m:d>
            </m:e>
            <m:sub>
              <m:r>
                <w:rPr>
                  <w:rFonts w:ascii="Cambria Math" w:eastAsiaTheme="minorEastAsia" w:hAnsi="Cambria Math"/>
                </w:rPr>
                <m:t>t</m:t>
              </m:r>
            </m:sub>
            <m:sup>
              <m:r>
                <m:rPr>
                  <m:sty m:val="p"/>
                </m:rPr>
                <w:rPr>
                  <w:rFonts w:ascii="Cambria Math" w:eastAsiaTheme="minorEastAsia" w:hAnsi="Cambria Math"/>
                </w:rPr>
                <m:t>T</m:t>
              </m:r>
            </m:sup>
          </m:sSubSup>
          <m:sSubSup>
            <m:sSubSupPr>
              <m:ctrlPr>
                <w:rPr>
                  <w:rFonts w:ascii="Cambria Math" w:eastAsiaTheme="minorEastAsia" w:hAnsi="Cambria Math"/>
                  <w:i/>
                </w:rPr>
              </m:ctrlPr>
            </m:sSubSupPr>
            <m:e>
              <m:r>
                <m:rPr>
                  <m:sty m:val="b"/>
                </m:rPr>
                <w:rPr>
                  <w:rFonts w:ascii="Cambria Math" w:eastAsiaTheme="minorEastAsia" w:hAnsi="Cambria Math"/>
                </w:rPr>
                <m:t>B</m:t>
              </m:r>
            </m:e>
            <m:sub>
              <m:r>
                <w:rPr>
                  <w:rFonts w:ascii="Cambria Math" w:eastAsiaTheme="minorEastAsia" w:hAnsi="Cambria Math"/>
                </w:rPr>
                <m:t>1</m:t>
              </m:r>
            </m:sub>
            <m:sup>
              <m:r>
                <w:rPr>
                  <w:rFonts w:ascii="Cambria Math" w:eastAsiaTheme="minorEastAsia" w:hAnsi="Cambria Math"/>
                </w:rPr>
                <m:t>-1</m:t>
              </m:r>
            </m:sup>
          </m:sSubSup>
          <w:bookmarkStart w:id="16" w:name="_Hlk100394802"/>
          <m:sSub>
            <m:sSubPr>
              <m:ctrlPr>
                <w:rPr>
                  <w:rFonts w:ascii="Cambria Math" w:eastAsiaTheme="minorEastAsia" w:hAnsi="Cambria Math"/>
                  <w:i/>
                </w:rPr>
              </m:ctrlPr>
            </m:sSubPr>
            <m:e>
              <m:d>
                <m:dPr>
                  <m:ctrlPr>
                    <w:rPr>
                      <w:rFonts w:ascii="Cambria Math" w:eastAsiaTheme="minorEastAsia" w:hAnsi="Cambria Math"/>
                      <w:i/>
                    </w:rPr>
                  </m:ctrlPr>
                </m:dPr>
                <m:e>
                  <m:sSubSup>
                    <m:sSubSupPr>
                      <m:ctrlPr>
                        <w:rPr>
                          <w:rFonts w:ascii="Cambria Math" w:eastAsiaTheme="minorEastAsia" w:hAnsi="Cambria Math"/>
                          <w:i/>
                        </w:rPr>
                      </m:ctrlPr>
                    </m:sSubSupPr>
                    <m:e>
                      <m:r>
                        <m:rPr>
                          <m:sty m:val="b"/>
                        </m:rPr>
                        <w:rPr>
                          <w:rFonts w:ascii="Cambria Math" w:eastAsiaTheme="minorEastAsia" w:hAnsi="Cambria Math"/>
                        </w:rPr>
                        <m:t>x</m:t>
                      </m:r>
                    </m:e>
                    <m:sub>
                      <m:r>
                        <w:rPr>
                          <w:rFonts w:ascii="Cambria Math" w:eastAsiaTheme="minorEastAsia" w:hAnsi="Cambria Math"/>
                        </w:rPr>
                        <m:t>1</m:t>
                      </m:r>
                    </m:sub>
                    <m:sup>
                      <m:r>
                        <w:rPr>
                          <w:rFonts w:ascii="Cambria Math" w:eastAsiaTheme="minorEastAsia" w:hAnsi="Cambria Math"/>
                        </w:rPr>
                        <m:t>'</m:t>
                      </m:r>
                    </m:sup>
                  </m:sSubSup>
                </m:e>
              </m:d>
            </m:e>
            <m:sub>
              <m:r>
                <w:rPr>
                  <w:rFonts w:ascii="Cambria Math" w:eastAsiaTheme="minorEastAsia" w:hAnsi="Cambria Math"/>
                </w:rPr>
                <m:t>t</m:t>
              </m:r>
            </m:sub>
          </m:sSub>
          <w:bookmarkEnd w:id="16"/>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Sub>
            <m:sSubPr>
              <m:ctrlPr>
                <w:rPr>
                  <w:rFonts w:ascii="Cambria Math" w:eastAsiaTheme="minorEastAsia" w:hAnsi="Cambria Math"/>
                  <w:i/>
                </w:rPr>
              </m:ctrlPr>
            </m:sSubPr>
            <m:e>
              <m:r>
                <w:rPr>
                  <w:rFonts w:ascii="Cambria Math" w:eastAsiaTheme="minorEastAsia" w:hAnsi="Cambria Math"/>
                </w:rPr>
                <m:t>β</m:t>
              </m:r>
              <m:ctrlPr>
                <w:rPr>
                  <w:rFonts w:ascii="Cambria Math" w:eastAsiaTheme="minorEastAsia" w:hAnsi="Cambria Math"/>
                </w:rPr>
              </m:ctrlPr>
            </m:e>
            <m:sub>
              <m:r>
                <w:rPr>
                  <w:rFonts w:ascii="Cambria Math" w:eastAsiaTheme="minorEastAsia" w:hAnsi="Cambria Math"/>
                </w:rPr>
                <m:t>e</m:t>
              </m:r>
            </m:sub>
          </m:sSub>
          <m:sSup>
            <m:sSupPr>
              <m:ctrlPr>
                <w:rPr>
                  <w:rFonts w:ascii="Cambria Math" w:eastAsiaTheme="minorEastAsia" w:hAnsi="Cambria Math"/>
                  <w:i/>
                </w:rPr>
              </m:ctrlPr>
            </m:sSupPr>
            <m:e>
              <m:d>
                <m:dPr>
                  <m:ctrlPr>
                    <w:rPr>
                      <w:rFonts w:ascii="Cambria Math" w:eastAsiaTheme="minorEastAsia" w:hAnsi="Cambria Math"/>
                      <w:i/>
                    </w:rPr>
                  </m:ctrlPr>
                </m:dPr>
                <m:e>
                  <m:r>
                    <m:rPr>
                      <m:sty m:val="bi"/>
                    </m:rPr>
                    <w:rPr>
                      <w:rFonts w:ascii="Cambria Math" w:eastAsiaTheme="minorEastAsia" w:hAnsi="Cambria Math"/>
                    </w:rPr>
                    <m:t>α</m:t>
                  </m:r>
                </m:e>
              </m:d>
            </m:e>
            <m:sup>
              <m:r>
                <m:rPr>
                  <m:sty m:val="p"/>
                </m:rPr>
                <w:rPr>
                  <w:rFonts w:ascii="Cambria Math" w:eastAsiaTheme="minorEastAsia" w:hAnsi="Cambria Math"/>
                </w:rPr>
                <m:t>T</m:t>
              </m:r>
            </m:sup>
          </m:sSup>
          <m:sSup>
            <m:sSupPr>
              <m:ctrlPr>
                <w:rPr>
                  <w:rFonts w:ascii="Cambria Math" w:eastAsiaTheme="minorEastAsia" w:hAnsi="Cambria Math"/>
                  <w:i/>
                </w:rPr>
              </m:ctrlPr>
            </m:sSupPr>
            <m:e>
              <m:r>
                <m:rPr>
                  <m:sty m:val="b"/>
                </m:rPr>
                <w:rPr>
                  <w:rFonts w:ascii="Cambria Math" w:eastAsiaTheme="minorEastAsia" w:hAnsi="Cambria Math"/>
                </w:rPr>
                <m:t>A</m:t>
              </m:r>
            </m:e>
            <m:sup>
              <m:r>
                <w:rPr>
                  <w:rFonts w:ascii="Cambria Math" w:eastAsiaTheme="minorEastAsia" w:hAnsi="Cambria Math"/>
                </w:rPr>
                <m:t>-1</m:t>
              </m:r>
            </m:sup>
          </m:sSup>
          <m:d>
            <m:dPr>
              <m:ctrlPr>
                <w:rPr>
                  <w:rFonts w:ascii="Cambria Math" w:eastAsiaTheme="minorEastAsia" w:hAnsi="Cambria Math"/>
                  <w:i/>
                </w:rPr>
              </m:ctrlPr>
            </m:dPr>
            <m:e>
              <m:r>
                <m:rPr>
                  <m:sty m:val="bi"/>
                </m:rPr>
                <w:rPr>
                  <w:rFonts w:ascii="Cambria Math" w:eastAsiaTheme="minorEastAsia" w:hAnsi="Cambria Math"/>
                </w:rPr>
                <m:t>α</m:t>
              </m:r>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w:bookmarkStart w:id="17" w:name="_Hlk100395212"/>
          <m:nary>
            <m:naryPr>
              <m:chr m:val="∑"/>
              <m:ctrlPr>
                <w:rPr>
                  <w:rFonts w:ascii="Cambria Math" w:eastAsiaTheme="minorEastAsia" w:hAnsi="Cambria Math"/>
                </w:rPr>
              </m:ctrlPr>
            </m:naryPr>
            <m:sub>
              <m:r>
                <w:rPr>
                  <w:rFonts w:ascii="Cambria Math" w:eastAsiaTheme="minorEastAsia" w:hAnsi="Cambria Math"/>
                </w:rPr>
                <m:t>t=1</m:t>
              </m:r>
              <m:ctrlPr>
                <w:rPr>
                  <w:rFonts w:ascii="Cambria Math" w:eastAsiaTheme="minorEastAsia" w:hAnsi="Cambria Math"/>
                  <w:i/>
                </w:rPr>
              </m:ctrlPr>
            </m:sub>
            <m:sup>
              <m:r>
                <w:rPr>
                  <w:rFonts w:ascii="Cambria Math" w:eastAsiaTheme="minorEastAsia" w:hAnsi="Cambria Math"/>
                </w:rPr>
                <m:t>L</m:t>
              </m:r>
              <m:ctrlPr>
                <w:rPr>
                  <w:rFonts w:ascii="Cambria Math" w:eastAsiaTheme="minorEastAsia" w:hAnsi="Cambria Math"/>
                  <w:i/>
                </w:rPr>
              </m:ctrlPr>
            </m:sup>
            <m:e>
              <m:sSup>
                <m:sSupPr>
                  <m:ctrlPr>
                    <w:rPr>
                      <w:rFonts w:ascii="Cambria Math" w:eastAsiaTheme="minorEastAsia" w:hAnsi="Cambria Math"/>
                      <w:i/>
                    </w:rPr>
                  </m:ctrlPr>
                </m:sSupPr>
                <m:e>
                  <m:d>
                    <m:dPr>
                      <m:ctrlPr>
                        <w:rPr>
                          <w:rFonts w:ascii="Cambria Math" w:eastAsiaTheme="minorEastAsia" w:hAnsi="Cambria Math"/>
                          <w:i/>
                        </w:rPr>
                      </m:ctrlPr>
                    </m:dPr>
                    <m:e>
                      <m:r>
                        <m:rPr>
                          <m:sty m:val="b"/>
                        </m:rPr>
                        <w:rPr>
                          <w:rFonts w:ascii="Cambria Math" w:eastAsiaTheme="minorEastAsia" w:hAnsi="Cambria Math"/>
                        </w:rPr>
                        <m:t>H</m:t>
                      </m:r>
                      <m:sSubSup>
                        <m:sSubSupPr>
                          <m:ctrlPr>
                            <w:rPr>
                              <w:rFonts w:ascii="Cambria Math" w:eastAsiaTheme="minorEastAsia" w:hAnsi="Cambria Math"/>
                              <w:i/>
                            </w:rPr>
                          </m:ctrlPr>
                        </m:sSubSupPr>
                        <m:e>
                          <m:r>
                            <m:rPr>
                              <m:sty m:val="b"/>
                            </m:rPr>
                            <w:rPr>
                              <w:rFonts w:ascii="Cambria Math" w:eastAsiaTheme="minorEastAsia" w:hAnsi="Cambria Math"/>
                            </w:rPr>
                            <m:t>x</m:t>
                          </m:r>
                        </m:e>
                        <m:sub>
                          <m:r>
                            <w:rPr>
                              <w:rFonts w:ascii="Cambria Math" w:eastAsiaTheme="minorEastAsia" w:hAnsi="Cambria Math"/>
                            </w:rPr>
                            <m:t>t</m:t>
                          </m:r>
                        </m:sub>
                        <m:sup>
                          <m:r>
                            <w:rPr>
                              <w:rFonts w:ascii="Cambria Math" w:eastAsiaTheme="minorEastAsia" w:hAnsi="Cambria Math"/>
                            </w:rPr>
                            <m:t>'</m:t>
                          </m:r>
                        </m:sup>
                      </m:sSubSup>
                      <m:r>
                        <w:rPr>
                          <w:rFonts w:ascii="Cambria Math" w:eastAsiaTheme="minorEastAsia" w:hAnsi="Cambria Math"/>
                        </w:rPr>
                        <m:t>-</m:t>
                      </m:r>
                      <m:sSubSup>
                        <m:sSubSupPr>
                          <m:ctrlPr>
                            <w:rPr>
                              <w:rFonts w:ascii="Cambria Math" w:eastAsiaTheme="minorEastAsia" w:hAnsi="Cambria Math"/>
                              <w:i/>
                            </w:rPr>
                          </m:ctrlPr>
                        </m:sSubSupPr>
                        <m:e>
                          <m:r>
                            <m:rPr>
                              <m:sty m:val="b"/>
                            </m:rPr>
                            <w:rPr>
                              <w:rFonts w:ascii="Cambria Math" w:eastAsiaTheme="minorEastAsia" w:hAnsi="Cambria Math"/>
                            </w:rPr>
                            <m:t>y</m:t>
                          </m:r>
                        </m:e>
                        <m:sub>
                          <m:r>
                            <w:rPr>
                              <w:rFonts w:ascii="Cambria Math" w:eastAsiaTheme="minorEastAsia" w:hAnsi="Cambria Math"/>
                            </w:rPr>
                            <m:t>t</m:t>
                          </m:r>
                        </m:sub>
                        <m:sup>
                          <m:r>
                            <w:rPr>
                              <w:rFonts w:ascii="Cambria Math" w:eastAsiaTheme="minorEastAsia" w:hAnsi="Cambria Math"/>
                            </w:rPr>
                            <m:t>o</m:t>
                          </m:r>
                        </m:sup>
                      </m:sSubSup>
                    </m:e>
                  </m:d>
                </m:e>
                <m:sup>
                  <m:r>
                    <m:rPr>
                      <m:sty m:val="p"/>
                    </m:rPr>
                    <w:rPr>
                      <w:rFonts w:ascii="Cambria Math" w:eastAsiaTheme="minorEastAsia" w:hAnsi="Cambria Math"/>
                    </w:rPr>
                    <m:t>T</m:t>
                  </m:r>
                </m:sup>
              </m:sSup>
              <m:ctrlPr>
                <w:rPr>
                  <w:rFonts w:ascii="Cambria Math" w:eastAsiaTheme="minorEastAsia" w:hAnsi="Cambria Math"/>
                  <w:i/>
                </w:rPr>
              </m:ctrlPr>
            </m:e>
          </m:nary>
          <w:bookmarkEnd w:id="17"/>
          <m:sSup>
            <m:sSupPr>
              <m:ctrlPr>
                <w:rPr>
                  <w:rFonts w:ascii="Cambria Math" w:eastAsiaTheme="minorEastAsia" w:hAnsi="Cambria Math"/>
                  <w:i/>
                </w:rPr>
              </m:ctrlPr>
            </m:sSupPr>
            <m:e>
              <m:r>
                <m:rPr>
                  <m:sty m:val="b"/>
                </m:rPr>
                <w:rPr>
                  <w:rFonts w:ascii="Cambria Math" w:eastAsiaTheme="minorEastAsia" w:hAnsi="Cambria Math"/>
                </w:rPr>
                <m:t>R</m:t>
              </m:r>
            </m:e>
            <m:sup>
              <m:r>
                <w:rPr>
                  <w:rFonts w:ascii="Cambria Math" w:eastAsiaTheme="minorEastAsia" w:hAnsi="Cambria Math"/>
                </w:rPr>
                <m:t>-1</m:t>
              </m:r>
            </m:sup>
          </m:sSup>
          <m:d>
            <m:dPr>
              <m:ctrlPr>
                <w:rPr>
                  <w:rFonts w:ascii="Cambria Math" w:eastAsiaTheme="minorEastAsia" w:hAnsi="Cambria Math"/>
                  <w:i/>
                </w:rPr>
              </m:ctrlPr>
            </m:dPr>
            <m:e>
              <m:r>
                <m:rPr>
                  <m:sty m:val="b"/>
                </m:rPr>
                <w:rPr>
                  <w:rFonts w:ascii="Cambria Math" w:eastAsiaTheme="minorEastAsia" w:hAnsi="Cambria Math"/>
                </w:rPr>
                <m:t>H</m:t>
              </m:r>
              <m:sSubSup>
                <m:sSubSupPr>
                  <m:ctrlPr>
                    <w:rPr>
                      <w:rFonts w:ascii="Cambria Math" w:eastAsiaTheme="minorEastAsia" w:hAnsi="Cambria Math"/>
                      <w:i/>
                    </w:rPr>
                  </m:ctrlPr>
                </m:sSubSupPr>
                <m:e>
                  <m:r>
                    <m:rPr>
                      <m:sty m:val="b"/>
                    </m:rPr>
                    <w:rPr>
                      <w:rFonts w:ascii="Cambria Math" w:eastAsiaTheme="minorEastAsia" w:hAnsi="Cambria Math"/>
                    </w:rPr>
                    <m:t>x</m:t>
                  </m:r>
                </m:e>
                <m:sub>
                  <m:r>
                    <w:rPr>
                      <w:rFonts w:ascii="Cambria Math" w:eastAsiaTheme="minorEastAsia" w:hAnsi="Cambria Math"/>
                    </w:rPr>
                    <m:t>t</m:t>
                  </m:r>
                </m:sub>
                <m:sup>
                  <m:r>
                    <w:rPr>
                      <w:rFonts w:ascii="Cambria Math" w:eastAsiaTheme="minorEastAsia" w:hAnsi="Cambria Math"/>
                    </w:rPr>
                    <m:t>'</m:t>
                  </m:r>
                </m:sup>
              </m:sSubSup>
              <m:r>
                <w:rPr>
                  <w:rFonts w:ascii="Cambria Math" w:eastAsiaTheme="minorEastAsia" w:hAnsi="Cambria Math"/>
                </w:rPr>
                <m:t>-</m:t>
              </m:r>
              <m:sSubSup>
                <m:sSubSupPr>
                  <m:ctrlPr>
                    <w:rPr>
                      <w:rFonts w:ascii="Cambria Math" w:eastAsiaTheme="minorEastAsia" w:hAnsi="Cambria Math"/>
                      <w:i/>
                    </w:rPr>
                  </m:ctrlPr>
                </m:sSubSupPr>
                <m:e>
                  <m:r>
                    <m:rPr>
                      <m:sty m:val="b"/>
                    </m:rPr>
                    <w:rPr>
                      <w:rFonts w:ascii="Cambria Math" w:eastAsiaTheme="minorEastAsia" w:hAnsi="Cambria Math"/>
                    </w:rPr>
                    <m:t>y</m:t>
                  </m:r>
                </m:e>
                <m:sub>
                  <m:r>
                    <w:rPr>
                      <w:rFonts w:ascii="Cambria Math" w:eastAsiaTheme="minorEastAsia" w:hAnsi="Cambria Math"/>
                    </w:rPr>
                    <m:t>t</m:t>
                  </m:r>
                </m:sub>
                <m:sup>
                  <m:r>
                    <w:rPr>
                      <w:rFonts w:ascii="Cambria Math" w:eastAsiaTheme="minorEastAsia" w:hAnsi="Cambria Math"/>
                    </w:rPr>
                    <m:t>o</m:t>
                  </m:r>
                </m:sup>
              </m:sSubSup>
            </m:e>
          </m:d>
          <m:r>
            <w:rPr>
              <w:rFonts w:ascii="Cambria Math" w:eastAsiaTheme="minorEastAsia" w:hAnsi="Cambria Math"/>
            </w:rPr>
            <m:t xml:space="preserve">  </m:t>
          </m:r>
        </m:oMath>
      </m:oMathPara>
    </w:p>
    <w:p w14:paraId="528FCF9D" w14:textId="2C760F08" w:rsidR="00586AC4" w:rsidRPr="00586AC4" w:rsidRDefault="00586AC4" w:rsidP="00A80A0D">
      <w:pPr>
        <w:spacing w:line="480" w:lineRule="auto"/>
        <w:jc w:val="both"/>
        <w:rPr>
          <w:rFonts w:eastAsiaTheme="minorEastAsia" w:cstheme="minorBidi"/>
          <w:iCs/>
          <w:szCs w:val="22"/>
        </w:rPr>
      </w:pPr>
      <w:r w:rsidRPr="00586AC4">
        <w:rPr>
          <w:rFonts w:eastAsiaTheme="minorEastAsia" w:cstheme="minorBidi"/>
          <w:szCs w:val="22"/>
        </w:rPr>
        <w:t xml:space="preserve">The static BEC </w:t>
      </w:r>
      <m:oMath>
        <m:sSub>
          <m:sSubPr>
            <m:ctrlPr>
              <w:rPr>
                <w:rFonts w:ascii="Cambria Math" w:eastAsiaTheme="minorEastAsia" w:hAnsi="Cambria Math" w:cstheme="minorBidi"/>
                <w:i/>
                <w:szCs w:val="22"/>
              </w:rPr>
            </m:ctrlPr>
          </m:sSubPr>
          <m:e>
            <m:r>
              <m:rPr>
                <m:sty m:val="b"/>
              </m:rPr>
              <w:rPr>
                <w:rFonts w:ascii="Cambria Math" w:eastAsiaTheme="minorEastAsia" w:hAnsi="Cambria Math" w:cstheme="minorBidi"/>
                <w:szCs w:val="22"/>
              </w:rPr>
              <m:t>B</m:t>
            </m:r>
          </m:e>
          <m:sub>
            <m:r>
              <w:rPr>
                <w:rFonts w:ascii="Cambria Math" w:eastAsiaTheme="minorEastAsia" w:hAnsi="Cambria Math" w:cstheme="minorBidi"/>
                <w:szCs w:val="22"/>
              </w:rPr>
              <m:t>1</m:t>
            </m:r>
          </m:sub>
        </m:sSub>
      </m:oMath>
      <w:r w:rsidR="007C295D">
        <w:rPr>
          <w:rFonts w:eastAsiaTheme="minorEastAsia" w:cstheme="minorBidi"/>
          <w:szCs w:val="22"/>
        </w:rPr>
        <w:t xml:space="preserve">, </w:t>
      </w:r>
      <w:r w:rsidRPr="00586AC4">
        <w:rPr>
          <w:rFonts w:eastAsiaTheme="minorEastAsia" w:cstheme="minorBidi"/>
          <w:szCs w:val="22"/>
        </w:rPr>
        <w:t>as traditionally used in GSI 3DVar</w:t>
      </w:r>
      <w:r w:rsidR="007C295D">
        <w:rPr>
          <w:rFonts w:eastAsiaTheme="minorEastAsia" w:cstheme="minorBidi"/>
          <w:szCs w:val="22"/>
        </w:rPr>
        <w:t xml:space="preserve">, </w:t>
      </w:r>
      <w:r w:rsidRPr="00586AC4">
        <w:rPr>
          <w:rFonts w:eastAsiaTheme="minorEastAsia" w:cstheme="minorBidi"/>
          <w:szCs w:val="22"/>
        </w:rPr>
        <w:t xml:space="preserve">is associated with the analysis increment </w:t>
      </w:r>
      <m:oMath>
        <m:sSub>
          <m:sSubPr>
            <m:ctrlPr>
              <w:rPr>
                <w:rFonts w:ascii="Cambria Math" w:eastAsiaTheme="minorEastAsia" w:hAnsi="Cambria Math" w:cstheme="minorBidi"/>
                <w:i/>
                <w:szCs w:val="22"/>
              </w:rPr>
            </m:ctrlPr>
          </m:sSubPr>
          <m:e>
            <m:d>
              <m:dPr>
                <m:ctrlPr>
                  <w:rPr>
                    <w:rFonts w:ascii="Cambria Math" w:eastAsiaTheme="minorEastAsia" w:hAnsi="Cambria Math" w:cstheme="minorBidi"/>
                    <w:i/>
                    <w:szCs w:val="22"/>
                  </w:rPr>
                </m:ctrlPr>
              </m:dPr>
              <m:e>
                <m:sSubSup>
                  <m:sSubSupPr>
                    <m:ctrlPr>
                      <w:rPr>
                        <w:rFonts w:ascii="Cambria Math" w:eastAsiaTheme="minorEastAsia" w:hAnsi="Cambria Math" w:cstheme="minorBidi"/>
                        <w:i/>
                        <w:szCs w:val="22"/>
                      </w:rPr>
                    </m:ctrlPr>
                  </m:sSubSupPr>
                  <m:e>
                    <m:r>
                      <m:rPr>
                        <m:sty m:val="b"/>
                      </m:rPr>
                      <w:rPr>
                        <w:rFonts w:ascii="Cambria Math" w:eastAsiaTheme="minorEastAsia" w:hAnsi="Cambria Math" w:cstheme="minorBidi"/>
                        <w:szCs w:val="22"/>
                      </w:rPr>
                      <m:t>x</m:t>
                    </m:r>
                  </m:e>
                  <m:sub>
                    <m:r>
                      <w:rPr>
                        <w:rFonts w:ascii="Cambria Math" w:eastAsiaTheme="minorEastAsia" w:hAnsi="Cambria Math" w:cstheme="minorBidi"/>
                        <w:szCs w:val="22"/>
                      </w:rPr>
                      <m:t>1</m:t>
                    </m:r>
                  </m:sub>
                  <m:sup>
                    <m:r>
                      <w:rPr>
                        <w:rFonts w:ascii="Cambria Math" w:eastAsiaTheme="minorEastAsia" w:hAnsi="Cambria Math" w:cstheme="minorBidi"/>
                        <w:szCs w:val="22"/>
                      </w:rPr>
                      <m:t>'</m:t>
                    </m:r>
                  </m:sup>
                </m:sSubSup>
              </m:e>
            </m:d>
          </m:e>
          <m:sub>
            <m:r>
              <w:rPr>
                <w:rFonts w:ascii="Cambria Math" w:eastAsiaTheme="minorEastAsia" w:hAnsi="Cambria Math" w:cstheme="minorBidi"/>
                <w:szCs w:val="22"/>
              </w:rPr>
              <m:t>t</m:t>
            </m:r>
          </m:sub>
        </m:sSub>
      </m:oMath>
      <w:r w:rsidRPr="00586AC4">
        <w:rPr>
          <w:rFonts w:eastAsiaTheme="minorEastAsia" w:cstheme="minorBidi"/>
          <w:szCs w:val="22"/>
        </w:rPr>
        <w:t xml:space="preserve">.  </w:t>
      </w:r>
      <m:oMath>
        <m:r>
          <m:rPr>
            <m:sty m:val="bi"/>
          </m:rPr>
          <w:rPr>
            <w:rFonts w:ascii="Cambria Math" w:eastAsiaTheme="minorEastAsia" w:hAnsi="Cambria Math" w:cstheme="minorBidi"/>
            <w:szCs w:val="22"/>
          </w:rPr>
          <m:t>α</m:t>
        </m:r>
      </m:oMath>
      <w:r w:rsidRPr="00586AC4">
        <w:rPr>
          <w:rFonts w:eastAsiaTheme="minorEastAsia" w:cstheme="minorBidi"/>
          <w:b/>
          <w:bCs/>
          <w:iCs/>
          <w:szCs w:val="22"/>
        </w:rPr>
        <w:t xml:space="preserve"> </w:t>
      </w:r>
      <w:r w:rsidRPr="00586AC4">
        <w:rPr>
          <w:rFonts w:eastAsiaTheme="minorEastAsia" w:cstheme="minorBidi"/>
          <w:iCs/>
          <w:szCs w:val="22"/>
        </w:rPr>
        <w:t>is a concatenation of augmented control vectors over all ensemble members</w:t>
      </w:r>
      <w:r w:rsidR="007C295D">
        <w:rPr>
          <w:rFonts w:eastAsiaTheme="minorEastAsia" w:cstheme="minorBidi"/>
          <w:iCs/>
          <w:szCs w:val="22"/>
        </w:rPr>
        <w:t xml:space="preserve"> and</w:t>
      </w:r>
      <w:r w:rsidRPr="00586AC4">
        <w:rPr>
          <w:rFonts w:eastAsiaTheme="minorEastAsia" w:cstheme="minorBidi"/>
          <w:iCs/>
          <w:szCs w:val="22"/>
        </w:rPr>
        <w:t xml:space="preserve"> is </w:t>
      </w:r>
      <w:r w:rsidRPr="00586AC4">
        <w:rPr>
          <w:rFonts w:eastAsiaTheme="minorEastAsia" w:cstheme="minorBidi"/>
          <w:iCs/>
          <w:szCs w:val="22"/>
        </w:rPr>
        <w:lastRenderedPageBreak/>
        <w:t xml:space="preserve">constrained by the block-diagonal matrix </w:t>
      </w:r>
      <m:oMath>
        <m:r>
          <m:rPr>
            <m:sty m:val="b"/>
          </m:rPr>
          <w:rPr>
            <w:rFonts w:ascii="Cambria Math" w:eastAsiaTheme="minorEastAsia" w:hAnsi="Cambria Math" w:cstheme="minorBidi"/>
            <w:szCs w:val="22"/>
          </w:rPr>
          <m:t>A</m:t>
        </m:r>
      </m:oMath>
      <w:r w:rsidRPr="00586AC4">
        <w:rPr>
          <w:rFonts w:eastAsiaTheme="minorEastAsia" w:cstheme="minorBidi"/>
          <w:iCs/>
          <w:szCs w:val="22"/>
        </w:rPr>
        <w:t xml:space="preserve">, which is used to localize the covariance of the ensemble. </w:t>
      </w:r>
      <m:oMath>
        <m:r>
          <m:rPr>
            <m:sty m:val="b"/>
          </m:rPr>
          <w:rPr>
            <w:rFonts w:ascii="Cambria Math" w:eastAsiaTheme="minorEastAsia" w:hAnsi="Cambria Math" w:cstheme="minorBidi"/>
            <w:szCs w:val="22"/>
          </w:rPr>
          <m:t>A</m:t>
        </m:r>
      </m:oMath>
      <w:r w:rsidRPr="00586AC4">
        <w:rPr>
          <w:rFonts w:eastAsiaTheme="minorEastAsia" w:cstheme="minorBidi"/>
          <w:b/>
          <w:bCs/>
          <w:iCs/>
          <w:szCs w:val="22"/>
        </w:rPr>
        <w:t xml:space="preserve"> </w:t>
      </w:r>
      <w:r w:rsidRPr="00586AC4">
        <w:rPr>
          <w:rFonts w:eastAsiaTheme="minorEastAsia" w:cstheme="minorBidi"/>
          <w:iCs/>
          <w:szCs w:val="22"/>
        </w:rPr>
        <w:t xml:space="preserve">consists of two parts: </w:t>
      </w:r>
      <m:oMath>
        <m:sSub>
          <m:sSubPr>
            <m:ctrlPr>
              <w:rPr>
                <w:rFonts w:ascii="Cambria Math" w:eastAsiaTheme="minorEastAsia" w:hAnsi="Cambria Math" w:cstheme="minorBidi"/>
                <w:b/>
                <w:bCs/>
                <w:iCs/>
                <w:szCs w:val="22"/>
              </w:rPr>
            </m:ctrlPr>
          </m:sSubPr>
          <m:e>
            <m:r>
              <m:rPr>
                <m:sty m:val="b"/>
              </m:rPr>
              <w:rPr>
                <w:rFonts w:ascii="Cambria Math" w:eastAsiaTheme="minorEastAsia" w:hAnsi="Cambria Math" w:cstheme="minorBidi"/>
                <w:szCs w:val="22"/>
              </w:rPr>
              <m:t>A</m:t>
            </m:r>
          </m:e>
          <m:sub>
            <m:r>
              <m:rPr>
                <m:sty m:val="b"/>
              </m:rPr>
              <w:rPr>
                <w:rFonts w:ascii="Cambria Math" w:eastAsiaTheme="minorEastAsia" w:hAnsi="Cambria Math" w:cstheme="minorBidi"/>
                <w:szCs w:val="22"/>
              </w:rPr>
              <m:t>h</m:t>
            </m:r>
          </m:sub>
        </m:sSub>
      </m:oMath>
      <w:r w:rsidRPr="00586AC4">
        <w:rPr>
          <w:rFonts w:eastAsiaTheme="minorEastAsia" w:cstheme="minorBidi"/>
          <w:b/>
          <w:bCs/>
          <w:iCs/>
          <w:szCs w:val="22"/>
        </w:rPr>
        <w:t xml:space="preserve"> </w:t>
      </w:r>
      <w:r w:rsidRPr="00586AC4">
        <w:rPr>
          <w:rFonts w:eastAsiaTheme="minorEastAsia" w:cstheme="minorBidi"/>
          <w:iCs/>
          <w:szCs w:val="22"/>
        </w:rPr>
        <w:t xml:space="preserve">and </w:t>
      </w:r>
      <m:oMath>
        <m:sSub>
          <m:sSubPr>
            <m:ctrlPr>
              <w:rPr>
                <w:rFonts w:ascii="Cambria Math" w:eastAsiaTheme="minorEastAsia" w:hAnsi="Cambria Math" w:cstheme="minorBidi"/>
                <w:b/>
                <w:bCs/>
                <w:iCs/>
                <w:szCs w:val="22"/>
              </w:rPr>
            </m:ctrlPr>
          </m:sSubPr>
          <m:e>
            <m:r>
              <m:rPr>
                <m:sty m:val="b"/>
              </m:rPr>
              <w:rPr>
                <w:rFonts w:ascii="Cambria Math" w:eastAsiaTheme="minorEastAsia" w:hAnsi="Cambria Math" w:cstheme="minorBidi"/>
                <w:szCs w:val="22"/>
              </w:rPr>
              <m:t>A</m:t>
            </m:r>
          </m:e>
          <m:sub>
            <m:r>
              <m:rPr>
                <m:sty m:val="b"/>
              </m:rPr>
              <w:rPr>
                <w:rFonts w:ascii="Cambria Math" w:eastAsiaTheme="minorEastAsia" w:hAnsi="Cambria Math" w:cstheme="minorBidi"/>
                <w:szCs w:val="22"/>
              </w:rPr>
              <m:t>v</m:t>
            </m:r>
          </m:sub>
        </m:sSub>
      </m:oMath>
      <w:r w:rsidRPr="00586AC4">
        <w:rPr>
          <w:rFonts w:eastAsiaTheme="minorEastAsia" w:cstheme="minorBidi"/>
          <w:iCs/>
          <w:szCs w:val="22"/>
        </w:rPr>
        <w:t xml:space="preserve">.  </w:t>
      </w:r>
      <m:oMath>
        <m:sSub>
          <m:sSubPr>
            <m:ctrlPr>
              <w:rPr>
                <w:rFonts w:ascii="Cambria Math" w:eastAsiaTheme="minorEastAsia" w:hAnsi="Cambria Math" w:cstheme="minorBidi"/>
                <w:b/>
                <w:bCs/>
                <w:iCs/>
                <w:szCs w:val="22"/>
              </w:rPr>
            </m:ctrlPr>
          </m:sSubPr>
          <m:e>
            <m:r>
              <m:rPr>
                <m:sty m:val="b"/>
              </m:rPr>
              <w:rPr>
                <w:rFonts w:ascii="Cambria Math" w:eastAsiaTheme="minorEastAsia" w:hAnsi="Cambria Math" w:cstheme="minorBidi"/>
                <w:szCs w:val="22"/>
              </w:rPr>
              <m:t>A</m:t>
            </m:r>
          </m:e>
          <m:sub>
            <m:r>
              <m:rPr>
                <m:sty m:val="b"/>
              </m:rPr>
              <w:rPr>
                <w:rFonts w:ascii="Cambria Math" w:eastAsiaTheme="minorEastAsia" w:hAnsi="Cambria Math" w:cstheme="minorBidi"/>
                <w:szCs w:val="22"/>
              </w:rPr>
              <m:t>h</m:t>
            </m:r>
          </m:sub>
        </m:sSub>
      </m:oMath>
      <w:r w:rsidRPr="00586AC4">
        <w:rPr>
          <w:rFonts w:eastAsiaTheme="minorEastAsia" w:cstheme="minorBidi"/>
          <w:b/>
          <w:bCs/>
          <w:iCs/>
          <w:szCs w:val="22"/>
        </w:rPr>
        <w:t xml:space="preserve"> </w:t>
      </w:r>
      <w:r w:rsidRPr="00586AC4">
        <w:rPr>
          <w:rFonts w:eastAsiaTheme="minorEastAsia" w:cstheme="minorBidi"/>
          <w:iCs/>
          <w:szCs w:val="22"/>
        </w:rPr>
        <w:t>represents the horizontal covariance localization, which is a Gaspari and Cohn (1999) function with a set e-folding distance that varies with the vertical level</w:t>
      </w:r>
      <w:r w:rsidR="00F61E4D">
        <w:rPr>
          <w:rFonts w:eastAsiaTheme="minorEastAsia" w:cstheme="minorBidi"/>
          <w:iCs/>
          <w:szCs w:val="22"/>
        </w:rPr>
        <w:t xml:space="preserve"> of the model</w:t>
      </w:r>
      <w:r w:rsidRPr="00586AC4">
        <w:rPr>
          <w:rFonts w:eastAsiaTheme="minorEastAsia" w:cstheme="minorBidi"/>
          <w:iCs/>
          <w:szCs w:val="22"/>
        </w:rPr>
        <w:t xml:space="preserve"> as in the operational configuration (e.g., Wang and Lei 2014; Kleist and Ide 2015; Lei and Whitaker 2017; Huang and Wang 2018; Kay and Wang 2020). The vertical covariance localization </w:t>
      </w:r>
      <m:oMath>
        <m:sSub>
          <m:sSubPr>
            <m:ctrlPr>
              <w:rPr>
                <w:rFonts w:ascii="Cambria Math" w:eastAsiaTheme="minorEastAsia" w:hAnsi="Cambria Math" w:cstheme="minorBidi"/>
                <w:b/>
                <w:bCs/>
                <w:iCs/>
                <w:szCs w:val="22"/>
              </w:rPr>
            </m:ctrlPr>
          </m:sSubPr>
          <m:e>
            <m:r>
              <m:rPr>
                <m:sty m:val="b"/>
              </m:rPr>
              <w:rPr>
                <w:rFonts w:ascii="Cambria Math" w:eastAsiaTheme="minorEastAsia" w:hAnsi="Cambria Math" w:cstheme="minorBidi"/>
                <w:szCs w:val="22"/>
              </w:rPr>
              <m:t>A</m:t>
            </m:r>
          </m:e>
          <m:sub>
            <m:r>
              <m:rPr>
                <m:sty m:val="b"/>
              </m:rPr>
              <w:rPr>
                <w:rFonts w:ascii="Cambria Math" w:eastAsiaTheme="minorEastAsia" w:hAnsi="Cambria Math" w:cstheme="minorBidi"/>
                <w:szCs w:val="22"/>
              </w:rPr>
              <m:t>v</m:t>
            </m:r>
          </m:sub>
        </m:sSub>
      </m:oMath>
      <w:r w:rsidRPr="00586AC4">
        <w:rPr>
          <w:rFonts w:eastAsiaTheme="minorEastAsia" w:cstheme="minorBidi"/>
          <w:b/>
          <w:bCs/>
          <w:iCs/>
          <w:szCs w:val="22"/>
        </w:rPr>
        <w:t xml:space="preserve"> </w:t>
      </w:r>
      <w:r w:rsidRPr="00586AC4">
        <w:rPr>
          <w:rFonts w:eastAsiaTheme="minorEastAsia" w:cstheme="minorBidi"/>
          <w:iCs/>
          <w:szCs w:val="22"/>
        </w:rPr>
        <w:t xml:space="preserve">is applied through a recursive filter transform (Hayden and Purser 1995) and is </w:t>
      </w:r>
      <w:r w:rsidR="00ED0DEC">
        <w:rPr>
          <w:rFonts w:eastAsiaTheme="minorEastAsia" w:cstheme="minorBidi"/>
          <w:iCs/>
          <w:szCs w:val="22"/>
        </w:rPr>
        <w:t xml:space="preserve">given as </w:t>
      </w:r>
      <w:r w:rsidRPr="00586AC4">
        <w:rPr>
          <w:rFonts w:eastAsiaTheme="minorEastAsia" w:cstheme="minorBidi"/>
          <w:iCs/>
          <w:szCs w:val="22"/>
        </w:rPr>
        <w:t xml:space="preserve">a fixed level-invariant length scale. </w:t>
      </w:r>
      <m:oMath>
        <m:sSub>
          <m:sSubPr>
            <m:ctrlPr>
              <w:rPr>
                <w:rFonts w:ascii="Cambria Math" w:eastAsiaTheme="minorEastAsia" w:hAnsi="Cambria Math" w:cstheme="minorBidi"/>
                <w:i/>
                <w:szCs w:val="22"/>
              </w:rPr>
            </m:ctrlPr>
          </m:sSubPr>
          <m:e>
            <m:r>
              <m:rPr>
                <m:sty m:val="p"/>
              </m:rPr>
              <w:rPr>
                <w:rFonts w:ascii="Cambria Math" w:eastAsiaTheme="minorEastAsia" w:hAnsi="Cambria Math" w:cstheme="minorBidi"/>
                <w:szCs w:val="22"/>
              </w:rPr>
              <m:t>β</m:t>
            </m:r>
            <m:ctrlPr>
              <w:rPr>
                <w:rFonts w:ascii="Cambria Math" w:eastAsiaTheme="minorEastAsia" w:hAnsi="Cambria Math" w:cstheme="minorBidi"/>
                <w:szCs w:val="22"/>
              </w:rPr>
            </m:ctrlPr>
          </m:e>
          <m:sub>
            <m:r>
              <w:rPr>
                <w:rFonts w:ascii="Cambria Math" w:eastAsiaTheme="minorEastAsia" w:hAnsi="Cambria Math" w:cstheme="minorBidi"/>
                <w:szCs w:val="22"/>
              </w:rPr>
              <m:t>1</m:t>
            </m:r>
          </m:sub>
        </m:sSub>
      </m:oMath>
      <w:r w:rsidRPr="00586AC4">
        <w:rPr>
          <w:rFonts w:eastAsiaTheme="minorEastAsia" w:cstheme="minorBidi"/>
          <w:szCs w:val="22"/>
        </w:rPr>
        <w:t xml:space="preserve"> and </w:t>
      </w:r>
      <m:oMath>
        <m:sSub>
          <m:sSubPr>
            <m:ctrlPr>
              <w:rPr>
                <w:rFonts w:ascii="Cambria Math" w:eastAsiaTheme="minorEastAsia" w:hAnsi="Cambria Math" w:cstheme="minorBidi"/>
                <w:i/>
                <w:szCs w:val="22"/>
              </w:rPr>
            </m:ctrlPr>
          </m:sSubPr>
          <m:e>
            <m:r>
              <m:rPr>
                <m:sty m:val="p"/>
              </m:rPr>
              <w:rPr>
                <w:rFonts w:ascii="Cambria Math" w:eastAsiaTheme="minorEastAsia" w:hAnsi="Cambria Math" w:cstheme="minorBidi"/>
                <w:szCs w:val="22"/>
              </w:rPr>
              <m:t>β</m:t>
            </m:r>
            <m:ctrlPr>
              <w:rPr>
                <w:rFonts w:ascii="Cambria Math" w:eastAsiaTheme="minorEastAsia" w:hAnsi="Cambria Math" w:cstheme="minorBidi"/>
                <w:szCs w:val="22"/>
              </w:rPr>
            </m:ctrlPr>
          </m:e>
          <m:sub>
            <m:r>
              <w:rPr>
                <w:rFonts w:ascii="Cambria Math" w:eastAsiaTheme="minorEastAsia" w:hAnsi="Cambria Math" w:cstheme="minorBidi"/>
                <w:szCs w:val="22"/>
              </w:rPr>
              <m:t>e</m:t>
            </m:r>
          </m:sub>
        </m:sSub>
      </m:oMath>
      <w:r w:rsidRPr="00586AC4">
        <w:rPr>
          <w:rFonts w:eastAsiaTheme="minorEastAsia" w:cstheme="minorBidi"/>
          <w:szCs w:val="22"/>
        </w:rPr>
        <w:t xml:space="preserve"> are the weights given to the static and ensemble BECs respectively, such that </w:t>
      </w:r>
      <m:oMath>
        <m:r>
          <w:rPr>
            <w:rFonts w:ascii="Cambria Math" w:eastAsiaTheme="minorEastAsia" w:hAnsi="Cambria Math" w:cstheme="minorBidi"/>
            <w:szCs w:val="22"/>
          </w:rPr>
          <m:t>1/</m:t>
        </m:r>
        <m:sSub>
          <m:sSubPr>
            <m:ctrlPr>
              <w:rPr>
                <w:rFonts w:ascii="Cambria Math" w:eastAsiaTheme="minorEastAsia" w:hAnsi="Cambria Math" w:cstheme="minorBidi"/>
                <w:i/>
                <w:szCs w:val="22"/>
              </w:rPr>
            </m:ctrlPr>
          </m:sSubPr>
          <m:e>
            <m:r>
              <m:rPr>
                <m:sty m:val="p"/>
              </m:rPr>
              <w:rPr>
                <w:rFonts w:ascii="Cambria Math" w:eastAsiaTheme="minorEastAsia" w:hAnsi="Cambria Math" w:cstheme="minorBidi"/>
                <w:szCs w:val="22"/>
              </w:rPr>
              <m:t>β</m:t>
            </m:r>
            <m:ctrlPr>
              <w:rPr>
                <w:rFonts w:ascii="Cambria Math" w:eastAsiaTheme="minorEastAsia" w:hAnsi="Cambria Math" w:cstheme="minorBidi"/>
                <w:szCs w:val="22"/>
              </w:rPr>
            </m:ctrlPr>
          </m:e>
          <m:sub>
            <m:r>
              <w:rPr>
                <w:rFonts w:ascii="Cambria Math" w:eastAsiaTheme="minorEastAsia" w:hAnsi="Cambria Math" w:cstheme="minorBidi"/>
                <w:szCs w:val="22"/>
              </w:rPr>
              <m:t>1</m:t>
            </m:r>
          </m:sub>
        </m:sSub>
        <m:r>
          <w:rPr>
            <w:rFonts w:ascii="Cambria Math" w:eastAsiaTheme="minorEastAsia" w:hAnsi="Cambria Math" w:cstheme="minorBidi"/>
            <w:szCs w:val="22"/>
          </w:rPr>
          <m:t>+1/</m:t>
        </m:r>
        <m:sSub>
          <m:sSubPr>
            <m:ctrlPr>
              <w:rPr>
                <w:rFonts w:ascii="Cambria Math" w:eastAsiaTheme="minorEastAsia" w:hAnsi="Cambria Math" w:cstheme="minorBidi"/>
                <w:i/>
                <w:szCs w:val="22"/>
              </w:rPr>
            </m:ctrlPr>
          </m:sSubPr>
          <m:e>
            <m:r>
              <m:rPr>
                <m:sty m:val="p"/>
              </m:rPr>
              <w:rPr>
                <w:rFonts w:ascii="Cambria Math" w:eastAsiaTheme="minorEastAsia" w:hAnsi="Cambria Math" w:cstheme="minorBidi"/>
                <w:szCs w:val="22"/>
              </w:rPr>
              <m:t>β</m:t>
            </m:r>
            <m:ctrlPr>
              <w:rPr>
                <w:rFonts w:ascii="Cambria Math" w:eastAsiaTheme="minorEastAsia" w:hAnsi="Cambria Math" w:cstheme="minorBidi"/>
                <w:szCs w:val="22"/>
              </w:rPr>
            </m:ctrlPr>
          </m:e>
          <m:sub>
            <m:r>
              <w:rPr>
                <w:rFonts w:ascii="Cambria Math" w:eastAsiaTheme="minorEastAsia" w:hAnsi="Cambria Math" w:cstheme="minorBidi"/>
                <w:szCs w:val="22"/>
              </w:rPr>
              <m:t>e</m:t>
            </m:r>
          </m:sub>
        </m:sSub>
        <m:r>
          <w:rPr>
            <w:rFonts w:ascii="Cambria Math" w:eastAsiaTheme="minorEastAsia" w:hAnsi="Cambria Math" w:cstheme="minorBidi"/>
            <w:szCs w:val="22"/>
          </w:rPr>
          <m:t>=1</m:t>
        </m:r>
      </m:oMath>
      <w:r w:rsidRPr="00586AC4">
        <w:rPr>
          <w:rFonts w:eastAsiaTheme="minorEastAsia" w:cstheme="minorBidi"/>
          <w:szCs w:val="22"/>
        </w:rPr>
        <w:t xml:space="preserve"> (Wang et al. 2013). </w:t>
      </w:r>
      <m:oMath>
        <m:r>
          <m:rPr>
            <m:sty m:val="b"/>
          </m:rPr>
          <w:rPr>
            <w:rFonts w:ascii="Cambria Math" w:eastAsiaTheme="minorEastAsia" w:hAnsi="Cambria Math" w:cstheme="minorBidi"/>
            <w:szCs w:val="22"/>
          </w:rPr>
          <m:t>H</m:t>
        </m:r>
      </m:oMath>
      <w:r w:rsidRPr="00586AC4">
        <w:rPr>
          <w:rFonts w:eastAsiaTheme="minorEastAsia" w:cstheme="minorBidi"/>
          <w:b/>
          <w:bCs/>
          <w:iCs/>
          <w:szCs w:val="22"/>
        </w:rPr>
        <w:t xml:space="preserve"> </w:t>
      </w:r>
      <w:r w:rsidRPr="00586AC4">
        <w:rPr>
          <w:rFonts w:eastAsiaTheme="minorEastAsia" w:cstheme="minorBidi"/>
          <w:iCs/>
          <w:szCs w:val="22"/>
        </w:rPr>
        <w:t>is the linearized observation operator</w:t>
      </w:r>
      <w:r w:rsidR="007C295D">
        <w:rPr>
          <w:rFonts w:eastAsiaTheme="minorEastAsia" w:cstheme="minorBidi"/>
          <w:iCs/>
          <w:szCs w:val="22"/>
        </w:rPr>
        <w:t>,</w:t>
      </w:r>
      <w:r w:rsidRPr="00586AC4">
        <w:rPr>
          <w:rFonts w:eastAsiaTheme="minorEastAsia" w:cstheme="minorBidi"/>
          <w:iCs/>
          <w:szCs w:val="22"/>
        </w:rPr>
        <w:t xml:space="preserve"> which maps the analysis increment from model space to observation space. </w:t>
      </w:r>
      <m:oMath>
        <m:sSubSup>
          <m:sSubSupPr>
            <m:ctrlPr>
              <w:rPr>
                <w:rFonts w:ascii="Cambria Math" w:eastAsiaTheme="minorEastAsia" w:hAnsi="Cambria Math" w:cstheme="minorBidi"/>
                <w:i/>
                <w:szCs w:val="22"/>
              </w:rPr>
            </m:ctrlPr>
          </m:sSubSupPr>
          <m:e>
            <m:r>
              <m:rPr>
                <m:sty m:val="b"/>
              </m:rPr>
              <w:rPr>
                <w:rFonts w:ascii="Cambria Math" w:eastAsiaTheme="minorEastAsia" w:hAnsi="Cambria Math" w:cstheme="minorBidi"/>
                <w:szCs w:val="22"/>
              </w:rPr>
              <m:t>y</m:t>
            </m:r>
          </m:e>
          <m:sub>
            <m:r>
              <w:rPr>
                <w:rFonts w:ascii="Cambria Math" w:eastAsiaTheme="minorEastAsia" w:hAnsi="Cambria Math" w:cstheme="minorBidi"/>
                <w:szCs w:val="22"/>
              </w:rPr>
              <m:t>t</m:t>
            </m:r>
          </m:sub>
          <m:sup>
            <m:r>
              <w:rPr>
                <w:rFonts w:ascii="Cambria Math" w:eastAsiaTheme="minorEastAsia" w:hAnsi="Cambria Math" w:cstheme="minorBidi"/>
                <w:szCs w:val="22"/>
              </w:rPr>
              <m:t>o</m:t>
            </m:r>
          </m:sup>
        </m:sSubSup>
      </m:oMath>
      <w:r w:rsidRPr="00586AC4">
        <w:rPr>
          <w:rFonts w:eastAsiaTheme="minorEastAsia" w:cstheme="minorBidi"/>
          <w:szCs w:val="22"/>
        </w:rPr>
        <w:t xml:space="preserve"> is the innovation vector, which is the difference between the observation and background forecast, at time </w:t>
      </w:r>
      <m:oMath>
        <m:r>
          <w:rPr>
            <w:rFonts w:ascii="Cambria Math" w:eastAsiaTheme="minorEastAsia" w:hAnsi="Cambria Math" w:cstheme="minorBidi"/>
            <w:szCs w:val="22"/>
          </w:rPr>
          <m:t>t</m:t>
        </m:r>
      </m:oMath>
      <w:r w:rsidR="00D121A8">
        <w:rPr>
          <w:rFonts w:eastAsiaTheme="minorEastAsia" w:cstheme="minorBidi"/>
          <w:szCs w:val="22"/>
        </w:rPr>
        <w:t>.</w:t>
      </w:r>
      <w:r w:rsidRPr="00586AC4">
        <w:rPr>
          <w:rFonts w:eastAsiaTheme="minorEastAsia" w:cstheme="minorBidi"/>
          <w:szCs w:val="22"/>
        </w:rPr>
        <w:t xml:space="preserve"> </w:t>
      </w:r>
      <m:oMath>
        <m:r>
          <m:rPr>
            <m:sty m:val="b"/>
          </m:rPr>
          <w:rPr>
            <w:rFonts w:ascii="Cambria Math" w:eastAsiaTheme="minorEastAsia" w:hAnsi="Cambria Math" w:cstheme="minorBidi"/>
            <w:szCs w:val="22"/>
          </w:rPr>
          <m:t>R</m:t>
        </m:r>
      </m:oMath>
      <w:r w:rsidRPr="00586AC4">
        <w:rPr>
          <w:rFonts w:eastAsiaTheme="minorEastAsia" w:cstheme="minorBidi"/>
          <w:b/>
          <w:bCs/>
          <w:iCs/>
          <w:szCs w:val="22"/>
        </w:rPr>
        <w:t xml:space="preserve"> </w:t>
      </w:r>
      <w:r w:rsidRPr="00586AC4">
        <w:rPr>
          <w:rFonts w:eastAsiaTheme="minorEastAsia" w:cstheme="minorBidi"/>
          <w:iCs/>
          <w:szCs w:val="22"/>
        </w:rPr>
        <w:t>is the observation error covariance matrix.</w:t>
      </w:r>
    </w:p>
    <w:p w14:paraId="40DBC0DE" w14:textId="28C77718" w:rsidR="00304E51" w:rsidRPr="00313305" w:rsidRDefault="00304E51" w:rsidP="00A80A0D">
      <w:pPr>
        <w:pStyle w:val="NoSpacing"/>
        <w:spacing w:line="480" w:lineRule="auto"/>
        <w:jc w:val="both"/>
        <w:rPr>
          <w:rFonts w:ascii="Times New Roman" w:hAnsi="Times New Roman" w:cs="Times New Roman"/>
          <w:i/>
          <w:iCs/>
        </w:rPr>
      </w:pPr>
      <w:r w:rsidRPr="00313305">
        <w:rPr>
          <w:rFonts w:ascii="Times New Roman" w:hAnsi="Times New Roman" w:cs="Times New Roman"/>
          <w:i/>
          <w:iCs/>
        </w:rPr>
        <w:t xml:space="preserve">b.  </w:t>
      </w:r>
      <w:r w:rsidR="00586AC4" w:rsidRPr="00586AC4">
        <w:rPr>
          <w:rFonts w:ascii="Times New Roman" w:hAnsi="Times New Roman" w:cs="Times New Roman"/>
          <w:i/>
          <w:iCs/>
        </w:rPr>
        <w:t>Multi-resolution ensemble (MR-ENS) hybrid 4DEnVar</w:t>
      </w:r>
    </w:p>
    <w:p w14:paraId="4982CB15" w14:textId="72601893" w:rsidR="00304E51" w:rsidRDefault="00586AC4" w:rsidP="00A80A0D">
      <w:pPr>
        <w:spacing w:line="480" w:lineRule="auto"/>
        <w:ind w:firstLine="720"/>
        <w:jc w:val="both"/>
        <w:rPr>
          <w:rFonts w:eastAsiaTheme="minorEastAsia" w:cstheme="minorBidi"/>
          <w:szCs w:val="22"/>
        </w:rPr>
      </w:pPr>
      <w:r w:rsidRPr="00EB6429">
        <w:rPr>
          <w:rFonts w:eastAsiaTheme="minorEastAsia" w:cstheme="minorBidi"/>
          <w:szCs w:val="22"/>
        </w:rPr>
        <w:t xml:space="preserve">The multi-resolution ensemble (MR-ENS) 4DEnVar method as described in Kay and Wang (2020) extends the hybrid 4DEnVar formulation to incorporate BECs from a multi-resolution ensemble, rather than the single-resolution formulation used in Wang and Lei (2014).  The variables representing the low- and high-resolution ensembles will be represented by </w:t>
      </w:r>
      <m:oMath>
        <m:r>
          <w:rPr>
            <w:rFonts w:ascii="Cambria Math" w:eastAsiaTheme="minorEastAsia" w:hAnsi="Cambria Math" w:cstheme="minorBidi"/>
            <w:szCs w:val="22"/>
          </w:rPr>
          <m:t>L</m:t>
        </m:r>
      </m:oMath>
      <w:r w:rsidRPr="00EB6429">
        <w:rPr>
          <w:rFonts w:eastAsiaTheme="minorEastAsia" w:cstheme="minorBidi"/>
          <w:szCs w:val="22"/>
        </w:rPr>
        <w:t xml:space="preserve"> and </w:t>
      </w:r>
      <m:oMath>
        <m:r>
          <w:rPr>
            <w:rFonts w:ascii="Cambria Math" w:eastAsiaTheme="minorEastAsia" w:hAnsi="Cambria Math" w:cstheme="minorBidi"/>
            <w:szCs w:val="22"/>
          </w:rPr>
          <m:t>H</m:t>
        </m:r>
      </m:oMath>
      <w:r w:rsidRPr="00EB6429">
        <w:rPr>
          <w:rFonts w:eastAsiaTheme="minorEastAsia" w:cstheme="minorBidi"/>
          <w:szCs w:val="22"/>
        </w:rPr>
        <w:t xml:space="preserve"> respectively.</w:t>
      </w:r>
      <w:r w:rsidR="00560F02">
        <w:rPr>
          <w:rFonts w:eastAsiaTheme="minorEastAsia" w:cstheme="minorBidi"/>
          <w:szCs w:val="22"/>
        </w:rPr>
        <w:t xml:space="preserve">  For this formulation, the analysis increments are defined by</w:t>
      </w:r>
    </w:p>
    <w:p w14:paraId="6B9BA5E7" w14:textId="7A38F390" w:rsidR="00560F02" w:rsidRDefault="00560F02" w:rsidP="00560F02">
      <w:pPr>
        <w:spacing w:line="480" w:lineRule="auto"/>
        <w:jc w:val="both"/>
        <w:rPr>
          <w:rFonts w:eastAsiaTheme="minorEastAsia" w:cstheme="minorBidi"/>
          <w:szCs w:val="22"/>
        </w:rPr>
      </w:pPr>
      <w:r>
        <w:rPr>
          <w:rFonts w:eastAsiaTheme="minorEastAsia" w:cstheme="minorBidi"/>
          <w:szCs w:val="22"/>
        </w:rPr>
        <w:t>(3)</w:t>
      </w:r>
    </w:p>
    <w:p w14:paraId="75E4D6CB" w14:textId="5B5CBE14" w:rsidR="00560F02" w:rsidRPr="00952952" w:rsidRDefault="008E5179" w:rsidP="00560F02">
      <w:pPr>
        <w:spacing w:line="480" w:lineRule="auto"/>
        <w:jc w:val="both"/>
        <w:rPr>
          <w:rFonts w:eastAsiaTheme="minorEastAsia" w:cstheme="minorBidi"/>
        </w:rPr>
      </w:pPr>
      <m:oMathPara>
        <m:oMath>
          <m:sSubSup>
            <m:sSubSupPr>
              <m:ctrlPr>
                <w:rPr>
                  <w:rFonts w:ascii="Cambria Math" w:eastAsiaTheme="minorHAnsi" w:hAnsi="Cambria Math" w:cstheme="minorBidi"/>
                  <w:b/>
                  <w:bCs/>
                  <w:iCs/>
                  <w:szCs w:val="22"/>
                </w:rPr>
              </m:ctrlPr>
            </m:sSubSupPr>
            <m:e>
              <m:r>
                <m:rPr>
                  <m:sty m:val="b"/>
                </m:rPr>
                <w:rPr>
                  <w:rFonts w:ascii="Cambria Math" w:eastAsiaTheme="minorHAnsi" w:hAnsi="Cambria Math" w:cstheme="minorBidi"/>
                  <w:szCs w:val="22"/>
                </w:rPr>
                <m:t>x</m:t>
              </m:r>
            </m:e>
            <m:sub>
              <m:r>
                <m:rPr>
                  <m:sty m:val="p"/>
                </m:rPr>
                <w:rPr>
                  <w:rFonts w:ascii="Cambria Math" w:eastAsiaTheme="minorHAnsi" w:hAnsi="Cambria Math" w:cstheme="minorBidi"/>
                  <w:szCs w:val="22"/>
                </w:rPr>
                <m:t>t</m:t>
              </m:r>
            </m:sub>
            <m:sup>
              <m:r>
                <m:rPr>
                  <m:sty m:val="p"/>
                </m:rPr>
                <w:rPr>
                  <w:rFonts w:ascii="Cambria Math" w:eastAsiaTheme="minorHAnsi" w:hAnsi="Cambria Math" w:cstheme="minorBidi"/>
                  <w:szCs w:val="22"/>
                </w:rPr>
                <m:t>'</m:t>
              </m:r>
            </m:sup>
          </m:sSubSup>
          <m:r>
            <m:rPr>
              <m:sty m:val="bi"/>
            </m:rPr>
            <w:rPr>
              <w:rFonts w:ascii="Cambria Math" w:eastAsiaTheme="minorHAnsi" w:hAnsi="Cambria Math" w:cstheme="minorBidi"/>
              <w:szCs w:val="22"/>
            </w:rPr>
            <m:t>=</m:t>
          </m:r>
          <m:sSub>
            <m:sSubPr>
              <m:ctrlPr>
                <w:rPr>
                  <w:rFonts w:ascii="Cambria Math" w:eastAsiaTheme="minorEastAsia" w:hAnsi="Cambria Math"/>
                  <w:i/>
                </w:rPr>
              </m:ctrlPr>
            </m:sSubPr>
            <m:e>
              <m:d>
                <m:dPr>
                  <m:ctrlPr>
                    <w:rPr>
                      <w:rFonts w:ascii="Cambria Math" w:eastAsiaTheme="minorEastAsia" w:hAnsi="Cambria Math"/>
                      <w:i/>
                    </w:rPr>
                  </m:ctrlPr>
                </m:dPr>
                <m:e>
                  <m:sSubSup>
                    <m:sSubSupPr>
                      <m:ctrlPr>
                        <w:rPr>
                          <w:rFonts w:ascii="Cambria Math" w:eastAsiaTheme="minorEastAsia" w:hAnsi="Cambria Math"/>
                          <w:i/>
                        </w:rPr>
                      </m:ctrlPr>
                    </m:sSubSupPr>
                    <m:e>
                      <m:r>
                        <m:rPr>
                          <m:sty m:val="b"/>
                        </m:rPr>
                        <w:rPr>
                          <w:rFonts w:ascii="Cambria Math" w:eastAsiaTheme="minorEastAsia" w:hAnsi="Cambria Math"/>
                        </w:rPr>
                        <m:t>x</m:t>
                      </m:r>
                    </m:e>
                    <m:sub>
                      <m:r>
                        <w:rPr>
                          <w:rFonts w:ascii="Cambria Math" w:eastAsiaTheme="minorEastAsia" w:hAnsi="Cambria Math"/>
                        </w:rPr>
                        <m:t>1</m:t>
                      </m:r>
                    </m:sub>
                    <m:sup>
                      <m:r>
                        <w:rPr>
                          <w:rFonts w:ascii="Cambria Math" w:eastAsiaTheme="minorEastAsia" w:hAnsi="Cambria Math"/>
                        </w:rPr>
                        <m:t>'</m:t>
                      </m:r>
                    </m:sup>
                  </m:sSubSup>
                </m:e>
              </m:d>
            </m:e>
            <m:sub>
              <m:r>
                <w:rPr>
                  <w:rFonts w:ascii="Cambria Math" w:eastAsiaTheme="minorEastAsia" w:hAnsi="Cambria Math"/>
                </w:rPr>
                <m:t>t</m:t>
              </m:r>
            </m:sub>
          </m:sSub>
          <m:r>
            <w:rPr>
              <w:rFonts w:ascii="Cambria Math" w:eastAsiaTheme="minorEastAsia" w:hAnsi="Cambria Math"/>
            </w:rPr>
            <m:t>+</m:t>
          </m:r>
          <m:r>
            <m:rPr>
              <m:sty m:val="b"/>
            </m:rPr>
            <w:rPr>
              <w:rFonts w:ascii="Cambria Math" w:eastAsiaTheme="minorEastAsia" w:hAnsi="Cambria Math"/>
            </w:rPr>
            <m:t>u</m:t>
          </m:r>
          <m:nary>
            <m:naryPr>
              <m:chr m:val="∑"/>
              <m:ctrlPr>
                <w:rPr>
                  <w:rFonts w:ascii="Cambria Math" w:eastAsiaTheme="minorEastAsia" w:hAnsi="Cambria Math"/>
                </w:rPr>
              </m:ctrlPr>
            </m:naryPr>
            <m:sub>
              <m:r>
                <w:rPr>
                  <w:rFonts w:ascii="Cambria Math" w:eastAsiaTheme="minorEastAsia" w:hAnsi="Cambria Math"/>
                </w:rPr>
                <m:t>k=1</m:t>
              </m:r>
              <m:ctrlPr>
                <w:rPr>
                  <w:rFonts w:ascii="Cambria Math" w:eastAsiaTheme="minorEastAsia" w:hAnsi="Cambria Math"/>
                  <w:i/>
                </w:rPr>
              </m:ctrlPr>
            </m:sub>
            <m:sup>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L</m:t>
                  </m:r>
                </m:sub>
              </m:sSub>
              <m:ctrlPr>
                <w:rPr>
                  <w:rFonts w:ascii="Cambria Math" w:eastAsiaTheme="minorEastAsia" w:hAnsi="Cambria Math"/>
                  <w:i/>
                </w:rPr>
              </m:ctrlPr>
            </m:sup>
            <m:e>
              <m:r>
                <w:rPr>
                  <w:rFonts w:ascii="Cambria Math" w:eastAsiaTheme="minorEastAsia" w:hAnsi="Cambria Math"/>
                </w:rPr>
                <m:t>[</m:t>
              </m:r>
              <m:ctrlPr>
                <w:rPr>
                  <w:rFonts w:ascii="Cambria Math" w:eastAsiaTheme="minorEastAsia" w:hAnsi="Cambria Math"/>
                  <w:i/>
                </w:rPr>
              </m:ctrlPr>
            </m:e>
          </m:nary>
          <m:sSubSup>
            <m:sSubSupPr>
              <m:ctrlPr>
                <w:rPr>
                  <w:rFonts w:ascii="Cambria Math" w:eastAsiaTheme="minorEastAsia" w:hAnsi="Cambria Math"/>
                  <w:i/>
                </w:rPr>
              </m:ctrlPr>
            </m:sSubSupPr>
            <m:e>
              <m:r>
                <m:rPr>
                  <m:sty m:val="bi"/>
                </m:rPr>
                <w:rPr>
                  <w:rFonts w:ascii="Cambria Math" w:eastAsiaTheme="minorEastAsia" w:hAnsi="Cambria Math"/>
                </w:rPr>
                <m:t>α</m:t>
              </m:r>
            </m:e>
            <m:sub>
              <m:r>
                <w:rPr>
                  <w:rFonts w:ascii="Cambria Math" w:eastAsiaTheme="minorEastAsia" w:hAnsi="Cambria Math"/>
                </w:rPr>
                <m:t>k</m:t>
              </m:r>
            </m:sub>
            <m:sup>
              <m:r>
                <w:rPr>
                  <w:rFonts w:ascii="Cambria Math" w:eastAsiaTheme="minorEastAsia" w:hAnsi="Cambria Math"/>
                </w:rPr>
                <m:t>L</m:t>
              </m:r>
            </m:sup>
          </m:sSubSup>
          <m:r>
            <w:rPr>
              <w:rFonts w:ascii="Cambria Math" w:eastAsiaTheme="minorEastAsia" w:hAnsi="Cambria Math"/>
            </w:rPr>
            <m:t>+</m:t>
          </m:r>
          <m:sSub>
            <m:sSubPr>
              <m:ctrlPr>
                <w:rPr>
                  <w:rFonts w:ascii="Cambria Math" w:eastAsiaTheme="minorEastAsia" w:hAnsi="Cambria Math"/>
                  <w:i/>
                </w:rPr>
              </m:ctrlPr>
            </m:sSubPr>
            <m:e>
              <m:d>
                <m:dPr>
                  <m:ctrlPr>
                    <w:rPr>
                      <w:rFonts w:ascii="Cambria Math" w:eastAsiaTheme="minorEastAsia" w:hAnsi="Cambria Math"/>
                      <w:i/>
                    </w:rPr>
                  </m:ctrlPr>
                </m:dPr>
                <m:e>
                  <m:sSubSup>
                    <m:sSubSupPr>
                      <m:ctrlPr>
                        <w:rPr>
                          <w:rFonts w:ascii="Cambria Math" w:eastAsiaTheme="minorEastAsia" w:hAnsi="Cambria Math"/>
                          <w:i/>
                        </w:rPr>
                      </m:ctrlPr>
                    </m:sSubSupPr>
                    <m:e>
                      <m:r>
                        <m:rPr>
                          <m:sty m:val="bi"/>
                        </m:rPr>
                        <w:rPr>
                          <w:rFonts w:ascii="Cambria Math" w:eastAsiaTheme="minorEastAsia" w:hAnsi="Cambria Math"/>
                        </w:rPr>
                        <m:t>x</m:t>
                      </m:r>
                    </m:e>
                    <m:sub>
                      <m:r>
                        <w:rPr>
                          <w:rFonts w:ascii="Cambria Math" w:eastAsiaTheme="minorEastAsia" w:hAnsi="Cambria Math"/>
                        </w:rPr>
                        <m:t>k</m:t>
                      </m:r>
                    </m:sub>
                    <m:sup>
                      <m:r>
                        <w:rPr>
                          <w:rFonts w:ascii="Cambria Math" w:eastAsiaTheme="minorEastAsia" w:hAnsi="Cambria Math"/>
                        </w:rPr>
                        <m:t>eL</m:t>
                      </m:r>
                    </m:sup>
                  </m:sSubSup>
                </m:e>
              </m:d>
            </m:e>
            <m:sub>
              <m:r>
                <w:rPr>
                  <w:rFonts w:ascii="Cambria Math" w:eastAsiaTheme="minorEastAsia" w:hAnsi="Cambria Math"/>
                </w:rPr>
                <m:t>t</m:t>
              </m:r>
            </m:sub>
          </m:sSub>
          <m:r>
            <w:rPr>
              <w:rFonts w:ascii="Cambria Math" w:eastAsiaTheme="minorEastAsia" w:hAnsi="Cambria Math"/>
            </w:rPr>
            <m:t>]+</m:t>
          </m:r>
          <m:nary>
            <m:naryPr>
              <m:chr m:val="∑"/>
              <m:ctrlPr>
                <w:rPr>
                  <w:rFonts w:ascii="Cambria Math" w:eastAsiaTheme="minorEastAsia" w:hAnsi="Cambria Math"/>
                </w:rPr>
              </m:ctrlPr>
            </m:naryPr>
            <m:sub>
              <m:r>
                <w:rPr>
                  <w:rFonts w:ascii="Cambria Math" w:eastAsiaTheme="minorEastAsia" w:hAnsi="Cambria Math"/>
                </w:rPr>
                <m:t>k=1</m:t>
              </m:r>
              <m:ctrlPr>
                <w:rPr>
                  <w:rFonts w:ascii="Cambria Math" w:eastAsiaTheme="minorEastAsia" w:hAnsi="Cambria Math"/>
                  <w:i/>
                </w:rPr>
              </m:ctrlPr>
            </m:sub>
            <m:sup>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H</m:t>
                  </m:r>
                </m:sub>
              </m:sSub>
              <m:ctrlPr>
                <w:rPr>
                  <w:rFonts w:ascii="Cambria Math" w:eastAsiaTheme="minorEastAsia" w:hAnsi="Cambria Math"/>
                  <w:i/>
                </w:rPr>
              </m:ctrlPr>
            </m:sup>
            <m:e>
              <m:r>
                <w:rPr>
                  <w:rFonts w:ascii="Cambria Math" w:eastAsiaTheme="minorEastAsia" w:hAnsi="Cambria Math"/>
                </w:rPr>
                <m:t>[</m:t>
              </m:r>
              <m:ctrlPr>
                <w:rPr>
                  <w:rFonts w:ascii="Cambria Math" w:eastAsiaTheme="minorEastAsia" w:hAnsi="Cambria Math"/>
                  <w:i/>
                </w:rPr>
              </m:ctrlPr>
            </m:e>
          </m:nary>
          <m:sSubSup>
            <m:sSubSupPr>
              <m:ctrlPr>
                <w:rPr>
                  <w:rFonts w:ascii="Cambria Math" w:eastAsiaTheme="minorEastAsia" w:hAnsi="Cambria Math"/>
                  <w:i/>
                </w:rPr>
              </m:ctrlPr>
            </m:sSubSupPr>
            <m:e>
              <m:r>
                <m:rPr>
                  <m:sty m:val="bi"/>
                </m:rPr>
                <w:rPr>
                  <w:rFonts w:ascii="Cambria Math" w:eastAsiaTheme="minorEastAsia" w:hAnsi="Cambria Math"/>
                </w:rPr>
                <m:t>α</m:t>
              </m:r>
            </m:e>
            <m:sub>
              <m:r>
                <w:rPr>
                  <w:rFonts w:ascii="Cambria Math" w:eastAsiaTheme="minorEastAsia" w:hAnsi="Cambria Math"/>
                </w:rPr>
                <m:t>k</m:t>
              </m:r>
            </m:sub>
            <m:sup>
              <m:r>
                <w:rPr>
                  <w:rFonts w:ascii="Cambria Math" w:eastAsiaTheme="minorEastAsia" w:hAnsi="Cambria Math"/>
                </w:rPr>
                <m:t>H</m:t>
              </m:r>
            </m:sup>
          </m:sSubSup>
          <m:r>
            <w:rPr>
              <w:rFonts w:ascii="Cambria Math" w:eastAsiaTheme="minorEastAsia" w:hAnsi="Cambria Math"/>
            </w:rPr>
            <m:t>+</m:t>
          </m:r>
          <m:sSub>
            <m:sSubPr>
              <m:ctrlPr>
                <w:rPr>
                  <w:rFonts w:ascii="Cambria Math" w:eastAsiaTheme="minorEastAsia" w:hAnsi="Cambria Math"/>
                  <w:i/>
                </w:rPr>
              </m:ctrlPr>
            </m:sSubPr>
            <m:e>
              <m:d>
                <m:dPr>
                  <m:ctrlPr>
                    <w:rPr>
                      <w:rFonts w:ascii="Cambria Math" w:eastAsiaTheme="minorEastAsia" w:hAnsi="Cambria Math"/>
                      <w:i/>
                    </w:rPr>
                  </m:ctrlPr>
                </m:dPr>
                <m:e>
                  <m:sSubSup>
                    <m:sSubSupPr>
                      <m:ctrlPr>
                        <w:rPr>
                          <w:rFonts w:ascii="Cambria Math" w:eastAsiaTheme="minorEastAsia" w:hAnsi="Cambria Math"/>
                          <w:i/>
                        </w:rPr>
                      </m:ctrlPr>
                    </m:sSubSupPr>
                    <m:e>
                      <m:r>
                        <m:rPr>
                          <m:sty m:val="bi"/>
                        </m:rPr>
                        <w:rPr>
                          <w:rFonts w:ascii="Cambria Math" w:eastAsiaTheme="minorEastAsia" w:hAnsi="Cambria Math"/>
                        </w:rPr>
                        <m:t>x</m:t>
                      </m:r>
                    </m:e>
                    <m:sub>
                      <m:r>
                        <w:rPr>
                          <w:rFonts w:ascii="Cambria Math" w:eastAsiaTheme="minorEastAsia" w:hAnsi="Cambria Math"/>
                        </w:rPr>
                        <m:t>k</m:t>
                      </m:r>
                    </m:sub>
                    <m:sup>
                      <m:r>
                        <w:rPr>
                          <w:rFonts w:ascii="Cambria Math" w:eastAsiaTheme="minorEastAsia" w:hAnsi="Cambria Math"/>
                        </w:rPr>
                        <m:t>eH</m:t>
                      </m:r>
                    </m:sup>
                  </m:sSubSup>
                </m:e>
              </m:d>
            </m:e>
            <m:sub>
              <m:r>
                <w:rPr>
                  <w:rFonts w:ascii="Cambria Math" w:eastAsiaTheme="minorEastAsia" w:hAnsi="Cambria Math"/>
                </w:rPr>
                <m:t>t</m:t>
              </m:r>
            </m:sub>
          </m:sSub>
          <m:r>
            <w:rPr>
              <w:rFonts w:ascii="Cambria Math" w:eastAsiaTheme="minorEastAsia" w:hAnsi="Cambria Math"/>
            </w:rPr>
            <m:t>]</m:t>
          </m:r>
        </m:oMath>
      </m:oMathPara>
    </w:p>
    <w:p w14:paraId="0FF4D9F0" w14:textId="1F51DBE6" w:rsidR="00EA2BD9" w:rsidRDefault="008E5179" w:rsidP="00560F02">
      <w:pPr>
        <w:spacing w:line="480" w:lineRule="auto"/>
        <w:jc w:val="both"/>
        <w:rPr>
          <w:rFonts w:eastAsiaTheme="minorEastAsia" w:cstheme="minorBidi"/>
        </w:rPr>
      </w:pPr>
      <m:oMath>
        <m:sSubSup>
          <m:sSubSupPr>
            <m:ctrlPr>
              <w:rPr>
                <w:rFonts w:ascii="Cambria Math" w:eastAsiaTheme="minorEastAsia" w:hAnsi="Cambria Math"/>
                <w:i/>
              </w:rPr>
            </m:ctrlPr>
          </m:sSubSupPr>
          <m:e>
            <m:r>
              <m:rPr>
                <m:sty m:val="bi"/>
              </m:rPr>
              <w:rPr>
                <w:rFonts w:ascii="Cambria Math" w:eastAsiaTheme="minorEastAsia" w:hAnsi="Cambria Math"/>
              </w:rPr>
              <m:t>α</m:t>
            </m:r>
          </m:e>
          <m:sub>
            <m:r>
              <w:rPr>
                <w:rFonts w:ascii="Cambria Math" w:eastAsiaTheme="minorEastAsia" w:hAnsi="Cambria Math"/>
              </w:rPr>
              <m:t>k</m:t>
            </m:r>
          </m:sub>
          <m:sup>
            <m:r>
              <w:rPr>
                <w:rFonts w:ascii="Cambria Math" w:eastAsiaTheme="minorEastAsia" w:hAnsi="Cambria Math"/>
              </w:rPr>
              <m:t>L</m:t>
            </m:r>
          </m:sup>
        </m:sSubSup>
      </m:oMath>
      <w:r w:rsidR="00EA2BD9">
        <w:rPr>
          <w:rFonts w:eastAsiaTheme="minorEastAsia" w:cstheme="minorBidi"/>
        </w:rPr>
        <w:t xml:space="preserve"> and </w:t>
      </w:r>
      <m:oMath>
        <m:sSubSup>
          <m:sSubSupPr>
            <m:ctrlPr>
              <w:rPr>
                <w:rFonts w:ascii="Cambria Math" w:eastAsiaTheme="minorEastAsia" w:hAnsi="Cambria Math"/>
                <w:i/>
              </w:rPr>
            </m:ctrlPr>
          </m:sSubSupPr>
          <m:e>
            <m:r>
              <m:rPr>
                <m:sty m:val="bi"/>
              </m:rPr>
              <w:rPr>
                <w:rFonts w:ascii="Cambria Math" w:eastAsiaTheme="minorEastAsia" w:hAnsi="Cambria Math"/>
              </w:rPr>
              <m:t>α</m:t>
            </m:r>
          </m:e>
          <m:sub>
            <m:r>
              <w:rPr>
                <w:rFonts w:ascii="Cambria Math" w:eastAsiaTheme="minorEastAsia" w:hAnsi="Cambria Math"/>
              </w:rPr>
              <m:t>k</m:t>
            </m:r>
          </m:sub>
          <m:sup>
            <m:r>
              <w:rPr>
                <w:rFonts w:ascii="Cambria Math" w:eastAsiaTheme="minorEastAsia" w:hAnsi="Cambria Math"/>
              </w:rPr>
              <m:t>H</m:t>
            </m:r>
          </m:sup>
        </m:sSubSup>
      </m:oMath>
      <w:r w:rsidR="00EA2BD9">
        <w:rPr>
          <w:rFonts w:eastAsiaTheme="minorEastAsia" w:cstheme="minorBidi"/>
        </w:rPr>
        <w:t xml:space="preserve"> are the </w:t>
      </w:r>
      <m:oMath>
        <m:r>
          <w:rPr>
            <w:rFonts w:ascii="Cambria Math" w:eastAsiaTheme="minorEastAsia" w:hAnsi="Cambria Math"/>
          </w:rPr>
          <m:t>k</m:t>
        </m:r>
      </m:oMath>
      <w:r w:rsidR="00EA2BD9">
        <w:rPr>
          <w:rFonts w:eastAsiaTheme="minorEastAsia" w:cstheme="minorBidi"/>
        </w:rPr>
        <w:t xml:space="preserve">th augmented control vectors for the low- and high-resolution ensembles respectively. </w:t>
      </w:r>
      <m:oMath>
        <m:sSub>
          <m:sSubPr>
            <m:ctrlPr>
              <w:rPr>
                <w:rFonts w:ascii="Cambria Math" w:eastAsiaTheme="minorEastAsia" w:hAnsi="Cambria Math"/>
                <w:i/>
              </w:rPr>
            </m:ctrlPr>
          </m:sSubPr>
          <m:e>
            <m:d>
              <m:dPr>
                <m:ctrlPr>
                  <w:rPr>
                    <w:rFonts w:ascii="Cambria Math" w:eastAsiaTheme="minorEastAsia" w:hAnsi="Cambria Math"/>
                    <w:i/>
                  </w:rPr>
                </m:ctrlPr>
              </m:dPr>
              <m:e>
                <m:sSubSup>
                  <m:sSubSupPr>
                    <m:ctrlPr>
                      <w:rPr>
                        <w:rFonts w:ascii="Cambria Math" w:eastAsiaTheme="minorEastAsia" w:hAnsi="Cambria Math"/>
                        <w:i/>
                      </w:rPr>
                    </m:ctrlPr>
                  </m:sSubSupPr>
                  <m:e>
                    <m:r>
                      <m:rPr>
                        <m:sty m:val="bi"/>
                      </m:rPr>
                      <w:rPr>
                        <w:rFonts w:ascii="Cambria Math" w:eastAsiaTheme="minorEastAsia" w:hAnsi="Cambria Math"/>
                      </w:rPr>
                      <m:t>x</m:t>
                    </m:r>
                  </m:e>
                  <m:sub>
                    <m:r>
                      <w:rPr>
                        <w:rFonts w:ascii="Cambria Math" w:eastAsiaTheme="minorEastAsia" w:hAnsi="Cambria Math"/>
                      </w:rPr>
                      <m:t>k</m:t>
                    </m:r>
                  </m:sub>
                  <m:sup>
                    <m:r>
                      <w:rPr>
                        <w:rFonts w:ascii="Cambria Math" w:eastAsiaTheme="minorEastAsia" w:hAnsi="Cambria Math"/>
                      </w:rPr>
                      <m:t>eL</m:t>
                    </m:r>
                  </m:sup>
                </m:sSubSup>
              </m:e>
            </m:d>
          </m:e>
          <m:sub>
            <m:r>
              <w:rPr>
                <w:rFonts w:ascii="Cambria Math" w:eastAsiaTheme="minorEastAsia" w:hAnsi="Cambria Math"/>
              </w:rPr>
              <m:t>t</m:t>
            </m:r>
          </m:sub>
        </m:sSub>
      </m:oMath>
      <w:r w:rsidR="00EA2BD9">
        <w:rPr>
          <w:rFonts w:eastAsiaTheme="minorEastAsia" w:cstheme="minorBidi"/>
        </w:rPr>
        <w:t xml:space="preserve"> and </w:t>
      </w:r>
      <m:oMath>
        <m:sSub>
          <m:sSubPr>
            <m:ctrlPr>
              <w:rPr>
                <w:rFonts w:ascii="Cambria Math" w:eastAsiaTheme="minorEastAsia" w:hAnsi="Cambria Math"/>
                <w:i/>
              </w:rPr>
            </m:ctrlPr>
          </m:sSubPr>
          <m:e>
            <m:d>
              <m:dPr>
                <m:ctrlPr>
                  <w:rPr>
                    <w:rFonts w:ascii="Cambria Math" w:eastAsiaTheme="minorEastAsia" w:hAnsi="Cambria Math"/>
                    <w:i/>
                  </w:rPr>
                </m:ctrlPr>
              </m:dPr>
              <m:e>
                <m:sSubSup>
                  <m:sSubSupPr>
                    <m:ctrlPr>
                      <w:rPr>
                        <w:rFonts w:ascii="Cambria Math" w:eastAsiaTheme="minorEastAsia" w:hAnsi="Cambria Math"/>
                        <w:i/>
                      </w:rPr>
                    </m:ctrlPr>
                  </m:sSubSupPr>
                  <m:e>
                    <m:r>
                      <m:rPr>
                        <m:sty m:val="bi"/>
                      </m:rPr>
                      <w:rPr>
                        <w:rFonts w:ascii="Cambria Math" w:eastAsiaTheme="minorEastAsia" w:hAnsi="Cambria Math"/>
                      </w:rPr>
                      <m:t>x</m:t>
                    </m:r>
                  </m:e>
                  <m:sub>
                    <m:r>
                      <w:rPr>
                        <w:rFonts w:ascii="Cambria Math" w:eastAsiaTheme="minorEastAsia" w:hAnsi="Cambria Math"/>
                      </w:rPr>
                      <m:t>k</m:t>
                    </m:r>
                  </m:sub>
                  <m:sup>
                    <m:r>
                      <w:rPr>
                        <w:rFonts w:ascii="Cambria Math" w:eastAsiaTheme="minorEastAsia" w:hAnsi="Cambria Math"/>
                      </w:rPr>
                      <m:t>eH</m:t>
                    </m:r>
                  </m:sup>
                </m:sSubSup>
              </m:e>
            </m:d>
          </m:e>
          <m:sub>
            <m:r>
              <w:rPr>
                <w:rFonts w:ascii="Cambria Math" w:eastAsiaTheme="minorEastAsia" w:hAnsi="Cambria Math"/>
              </w:rPr>
              <m:t>t</m:t>
            </m:r>
          </m:sub>
        </m:sSub>
      </m:oMath>
      <w:r w:rsidR="00EA2BD9">
        <w:rPr>
          <w:rFonts w:eastAsiaTheme="minorEastAsia" w:cstheme="minorBidi"/>
        </w:rPr>
        <w:t xml:space="preserve"> are the </w:t>
      </w:r>
      <m:oMath>
        <m:r>
          <w:rPr>
            <w:rFonts w:ascii="Cambria Math" w:eastAsiaTheme="minorEastAsia" w:hAnsi="Cambria Math"/>
          </w:rPr>
          <m:t>k</m:t>
        </m:r>
      </m:oMath>
      <w:r w:rsidR="00EA2BD9">
        <w:rPr>
          <w:rFonts w:eastAsiaTheme="minorEastAsia" w:cstheme="minorBidi"/>
        </w:rPr>
        <w:t xml:space="preserve">th background ensemble perturbations normalized by </w:t>
      </w:r>
      <m:oMath>
        <m:rad>
          <m:radPr>
            <m:degHide m:val="1"/>
            <m:ctrlPr>
              <w:rPr>
                <w:rFonts w:ascii="Cambria Math" w:eastAsiaTheme="minorEastAsia" w:hAnsi="Cambria Math" w:cstheme="minorBidi"/>
                <w:i/>
              </w:rPr>
            </m:ctrlPr>
          </m:radPr>
          <m:deg/>
          <m:e>
            <m:sSub>
              <m:sSubPr>
                <m:ctrlPr>
                  <w:rPr>
                    <w:rFonts w:ascii="Cambria Math" w:eastAsiaTheme="minorEastAsia" w:hAnsi="Cambria Math" w:cstheme="minorBidi"/>
                    <w:i/>
                  </w:rPr>
                </m:ctrlPr>
              </m:sSubPr>
              <m:e>
                <m:r>
                  <w:rPr>
                    <w:rFonts w:ascii="Cambria Math" w:eastAsiaTheme="minorEastAsia" w:hAnsi="Cambria Math" w:cstheme="minorBidi"/>
                  </w:rPr>
                  <m:t>K</m:t>
                </m:r>
              </m:e>
              <m:sub>
                <m:r>
                  <w:rPr>
                    <w:rFonts w:ascii="Cambria Math" w:eastAsiaTheme="minorEastAsia" w:hAnsi="Cambria Math" w:cstheme="minorBidi"/>
                  </w:rPr>
                  <m:t>L</m:t>
                </m:r>
              </m:sub>
            </m:sSub>
            <m:r>
              <w:rPr>
                <w:rFonts w:ascii="Cambria Math" w:eastAsiaTheme="minorEastAsia" w:hAnsi="Cambria Math" w:cstheme="minorBidi"/>
              </w:rPr>
              <m:t>-1</m:t>
            </m:r>
          </m:e>
        </m:rad>
      </m:oMath>
      <w:r w:rsidR="00EA2BD9">
        <w:rPr>
          <w:rFonts w:eastAsiaTheme="minorEastAsia" w:cstheme="minorBidi"/>
        </w:rPr>
        <w:t xml:space="preserve"> and </w:t>
      </w:r>
      <m:oMath>
        <m:rad>
          <m:radPr>
            <m:degHide m:val="1"/>
            <m:ctrlPr>
              <w:rPr>
                <w:rFonts w:ascii="Cambria Math" w:eastAsiaTheme="minorEastAsia" w:hAnsi="Cambria Math" w:cstheme="minorBidi"/>
                <w:i/>
              </w:rPr>
            </m:ctrlPr>
          </m:radPr>
          <m:deg/>
          <m:e>
            <m:sSub>
              <m:sSubPr>
                <m:ctrlPr>
                  <w:rPr>
                    <w:rFonts w:ascii="Cambria Math" w:eastAsiaTheme="minorEastAsia" w:hAnsi="Cambria Math" w:cstheme="minorBidi"/>
                    <w:i/>
                  </w:rPr>
                </m:ctrlPr>
              </m:sSubPr>
              <m:e>
                <m:r>
                  <w:rPr>
                    <w:rFonts w:ascii="Cambria Math" w:eastAsiaTheme="minorEastAsia" w:hAnsi="Cambria Math" w:cstheme="minorBidi"/>
                  </w:rPr>
                  <m:t>K</m:t>
                </m:r>
              </m:e>
              <m:sub>
                <m:r>
                  <w:rPr>
                    <w:rFonts w:ascii="Cambria Math" w:eastAsiaTheme="minorEastAsia" w:hAnsi="Cambria Math" w:cstheme="minorBidi"/>
                  </w:rPr>
                  <m:t>H</m:t>
                </m:r>
              </m:sub>
            </m:sSub>
            <m:r>
              <w:rPr>
                <w:rFonts w:ascii="Cambria Math" w:eastAsiaTheme="minorEastAsia" w:hAnsi="Cambria Math" w:cstheme="minorBidi"/>
              </w:rPr>
              <m:t>-1</m:t>
            </m:r>
          </m:e>
        </m:rad>
      </m:oMath>
      <w:r w:rsidR="00851E8E">
        <w:rPr>
          <w:rFonts w:eastAsiaTheme="minorEastAsia" w:cstheme="minorBidi"/>
        </w:rPr>
        <w:t xml:space="preserve">, where </w:t>
      </w:r>
      <m:oMath>
        <m:sSub>
          <m:sSubPr>
            <m:ctrlPr>
              <w:rPr>
                <w:rFonts w:ascii="Cambria Math" w:eastAsiaTheme="minorEastAsia" w:hAnsi="Cambria Math" w:cstheme="minorBidi"/>
                <w:i/>
              </w:rPr>
            </m:ctrlPr>
          </m:sSubPr>
          <m:e>
            <m:r>
              <w:rPr>
                <w:rFonts w:ascii="Cambria Math" w:eastAsiaTheme="minorEastAsia" w:hAnsi="Cambria Math" w:cstheme="minorBidi"/>
              </w:rPr>
              <m:t>K</m:t>
            </m:r>
          </m:e>
          <m:sub>
            <m:r>
              <w:rPr>
                <w:rFonts w:ascii="Cambria Math" w:eastAsiaTheme="minorEastAsia" w:hAnsi="Cambria Math" w:cstheme="minorBidi"/>
              </w:rPr>
              <m:t>L</m:t>
            </m:r>
          </m:sub>
        </m:sSub>
      </m:oMath>
      <w:r w:rsidR="00851E8E">
        <w:rPr>
          <w:rFonts w:eastAsiaTheme="minorEastAsia" w:cstheme="minorBidi"/>
        </w:rPr>
        <w:t xml:space="preserve"> and </w:t>
      </w:r>
      <m:oMath>
        <m:sSub>
          <m:sSubPr>
            <m:ctrlPr>
              <w:rPr>
                <w:rFonts w:ascii="Cambria Math" w:eastAsiaTheme="minorEastAsia" w:hAnsi="Cambria Math" w:cstheme="minorBidi"/>
                <w:i/>
              </w:rPr>
            </m:ctrlPr>
          </m:sSubPr>
          <m:e>
            <m:r>
              <w:rPr>
                <w:rFonts w:ascii="Cambria Math" w:eastAsiaTheme="minorEastAsia" w:hAnsi="Cambria Math" w:cstheme="minorBidi"/>
              </w:rPr>
              <m:t>K</m:t>
            </m:r>
          </m:e>
          <m:sub>
            <m:r>
              <w:rPr>
                <w:rFonts w:ascii="Cambria Math" w:eastAsiaTheme="minorEastAsia" w:hAnsi="Cambria Math" w:cstheme="minorBidi"/>
              </w:rPr>
              <m:t>H</m:t>
            </m:r>
          </m:sub>
        </m:sSub>
      </m:oMath>
      <w:r w:rsidR="00851E8E">
        <w:rPr>
          <w:rFonts w:eastAsiaTheme="minorEastAsia" w:cstheme="minorBidi"/>
        </w:rPr>
        <w:t xml:space="preserve"> are the sizes of the low- and high-resolution ensembles.</w:t>
      </w:r>
      <w:r w:rsidR="00AC2482">
        <w:rPr>
          <w:rFonts w:eastAsiaTheme="minorEastAsia" w:cstheme="minorBidi"/>
        </w:rPr>
        <w:t xml:space="preserve"> </w:t>
      </w:r>
      <m:oMath>
        <m:sSub>
          <m:sSubPr>
            <m:ctrlPr>
              <w:rPr>
                <w:rFonts w:ascii="Cambria Math" w:eastAsiaTheme="minorEastAsia" w:hAnsi="Cambria Math" w:cstheme="minorBidi"/>
                <w:i/>
                <w:iCs/>
                <w:szCs w:val="22"/>
              </w:rPr>
            </m:ctrlPr>
          </m:sSubPr>
          <m:e>
            <m:r>
              <w:rPr>
                <w:rFonts w:ascii="Cambria Math" w:eastAsiaTheme="minorEastAsia" w:hAnsi="Cambria Math" w:cstheme="minorBidi"/>
                <w:szCs w:val="22"/>
              </w:rPr>
              <m:t>K</m:t>
            </m:r>
          </m:e>
          <m:sub>
            <m:r>
              <w:rPr>
                <w:rFonts w:ascii="Cambria Math" w:eastAsiaTheme="minorEastAsia" w:hAnsi="Cambria Math" w:cstheme="minorBidi"/>
                <w:szCs w:val="22"/>
              </w:rPr>
              <m:t>L</m:t>
            </m:r>
          </m:sub>
        </m:sSub>
      </m:oMath>
      <w:r w:rsidR="00AC2482" w:rsidRPr="00EB6429">
        <w:rPr>
          <w:rFonts w:eastAsiaTheme="minorEastAsia" w:cstheme="minorBidi"/>
          <w:iCs/>
          <w:szCs w:val="22"/>
        </w:rPr>
        <w:t xml:space="preserve"> and </w:t>
      </w:r>
      <m:oMath>
        <m:sSub>
          <m:sSubPr>
            <m:ctrlPr>
              <w:rPr>
                <w:rFonts w:ascii="Cambria Math" w:eastAsiaTheme="minorEastAsia" w:hAnsi="Cambria Math" w:cstheme="minorBidi"/>
                <w:i/>
                <w:iCs/>
                <w:szCs w:val="22"/>
              </w:rPr>
            </m:ctrlPr>
          </m:sSubPr>
          <m:e>
            <m:r>
              <w:rPr>
                <w:rFonts w:ascii="Cambria Math" w:eastAsiaTheme="minorEastAsia" w:hAnsi="Cambria Math" w:cstheme="minorBidi"/>
                <w:szCs w:val="22"/>
              </w:rPr>
              <m:t>K</m:t>
            </m:r>
          </m:e>
          <m:sub>
            <m:r>
              <w:rPr>
                <w:rFonts w:ascii="Cambria Math" w:eastAsiaTheme="minorEastAsia" w:hAnsi="Cambria Math" w:cstheme="minorBidi"/>
                <w:szCs w:val="22"/>
              </w:rPr>
              <m:t>H</m:t>
            </m:r>
          </m:sub>
        </m:sSub>
      </m:oMath>
      <w:r w:rsidR="00AC2482" w:rsidRPr="00EB6429">
        <w:rPr>
          <w:rFonts w:eastAsiaTheme="minorEastAsia" w:cstheme="minorBidi"/>
          <w:iCs/>
          <w:szCs w:val="22"/>
        </w:rPr>
        <w:t xml:space="preserve"> may have the same or different values.  However, in Kay and Wang (2020), </w:t>
      </w:r>
      <m:oMath>
        <m:sSub>
          <m:sSubPr>
            <m:ctrlPr>
              <w:rPr>
                <w:rFonts w:ascii="Cambria Math" w:eastAsiaTheme="minorEastAsia" w:hAnsi="Cambria Math" w:cstheme="minorBidi"/>
                <w:i/>
                <w:iCs/>
                <w:szCs w:val="22"/>
              </w:rPr>
            </m:ctrlPr>
          </m:sSubPr>
          <m:e>
            <m:r>
              <w:rPr>
                <w:rFonts w:ascii="Cambria Math" w:eastAsiaTheme="minorEastAsia" w:hAnsi="Cambria Math" w:cstheme="minorBidi"/>
                <w:szCs w:val="22"/>
              </w:rPr>
              <m:t>K</m:t>
            </m:r>
          </m:e>
          <m:sub>
            <m:r>
              <w:rPr>
                <w:rFonts w:ascii="Cambria Math" w:eastAsiaTheme="minorEastAsia" w:hAnsi="Cambria Math" w:cstheme="minorBidi"/>
                <w:szCs w:val="22"/>
              </w:rPr>
              <m:t>L</m:t>
            </m:r>
          </m:sub>
        </m:sSub>
      </m:oMath>
      <w:r w:rsidR="00AC2482" w:rsidRPr="00EB6429">
        <w:rPr>
          <w:rFonts w:eastAsiaTheme="minorEastAsia" w:cstheme="minorBidi"/>
          <w:iCs/>
          <w:szCs w:val="22"/>
        </w:rPr>
        <w:t xml:space="preserve"> and </w:t>
      </w:r>
      <m:oMath>
        <m:sSub>
          <m:sSubPr>
            <m:ctrlPr>
              <w:rPr>
                <w:rFonts w:ascii="Cambria Math" w:eastAsiaTheme="minorEastAsia" w:hAnsi="Cambria Math" w:cstheme="minorBidi"/>
                <w:i/>
                <w:iCs/>
                <w:szCs w:val="22"/>
              </w:rPr>
            </m:ctrlPr>
          </m:sSubPr>
          <m:e>
            <m:r>
              <w:rPr>
                <w:rFonts w:ascii="Cambria Math" w:eastAsiaTheme="minorEastAsia" w:hAnsi="Cambria Math" w:cstheme="minorBidi"/>
                <w:szCs w:val="22"/>
              </w:rPr>
              <m:t>K</m:t>
            </m:r>
          </m:e>
          <m:sub>
            <m:r>
              <w:rPr>
                <w:rFonts w:ascii="Cambria Math" w:eastAsiaTheme="minorEastAsia" w:hAnsi="Cambria Math" w:cstheme="minorBidi"/>
                <w:szCs w:val="22"/>
              </w:rPr>
              <m:t>H</m:t>
            </m:r>
          </m:sub>
        </m:sSub>
      </m:oMath>
      <w:r w:rsidR="00AC2482" w:rsidRPr="00EB6429">
        <w:rPr>
          <w:rFonts w:eastAsiaTheme="minorEastAsia" w:cstheme="minorBidi"/>
          <w:iCs/>
          <w:szCs w:val="22"/>
        </w:rPr>
        <w:t xml:space="preserve"> were both 40.  </w:t>
      </w:r>
    </w:p>
    <w:p w14:paraId="4457F4A1" w14:textId="2AC9D435" w:rsidR="00851E8E" w:rsidRPr="00952952" w:rsidRDefault="00851E8E" w:rsidP="00834BB9">
      <w:pPr>
        <w:spacing w:line="480" w:lineRule="auto"/>
        <w:jc w:val="both"/>
        <w:rPr>
          <w:rFonts w:eastAsiaTheme="minorEastAsia" w:cstheme="minorBidi"/>
        </w:rPr>
      </w:pPr>
      <w:r>
        <w:rPr>
          <w:rFonts w:eastAsiaTheme="minorEastAsia" w:cstheme="minorBidi"/>
        </w:rPr>
        <w:tab/>
      </w:r>
      <w:r w:rsidR="00230ED5">
        <w:rPr>
          <w:rFonts w:eastAsiaTheme="minorEastAsia" w:cstheme="minorBidi"/>
        </w:rPr>
        <w:t xml:space="preserve">As </w:t>
      </w:r>
      <w:r w:rsidR="00403C8A">
        <w:rPr>
          <w:rFonts w:eastAsiaTheme="minorEastAsia" w:cstheme="minorBidi"/>
        </w:rPr>
        <w:t xml:space="preserve">with </w:t>
      </w:r>
      <w:r w:rsidR="00230ED5">
        <w:rPr>
          <w:rFonts w:eastAsiaTheme="minorEastAsia" w:cstheme="minorBidi"/>
        </w:rPr>
        <w:t>the single-resolution ensemble, the analysis increments are found by minim</w:t>
      </w:r>
      <w:r w:rsidR="0001359F">
        <w:rPr>
          <w:rFonts w:eastAsiaTheme="minorEastAsia" w:cstheme="minorBidi"/>
        </w:rPr>
        <w:t>izing the hybrid cost function as follows:</w:t>
      </w:r>
    </w:p>
    <w:p w14:paraId="041974EC" w14:textId="70C7AB53" w:rsidR="0084396E" w:rsidRPr="00586AC4" w:rsidRDefault="0084396E" w:rsidP="00834BB9">
      <w:pPr>
        <w:spacing w:line="480" w:lineRule="auto"/>
        <w:jc w:val="both"/>
        <w:rPr>
          <w:rFonts w:eastAsiaTheme="minorEastAsia" w:cstheme="minorBidi"/>
          <w:szCs w:val="22"/>
        </w:rPr>
      </w:pPr>
      <w:r>
        <w:rPr>
          <w:rFonts w:eastAsiaTheme="minorEastAsia" w:cstheme="minorBidi"/>
          <w:szCs w:val="22"/>
        </w:rPr>
        <w:t>(4)</w:t>
      </w:r>
    </w:p>
    <w:p w14:paraId="39B5B494" w14:textId="1F534180" w:rsidR="00F23210" w:rsidRPr="00313305" w:rsidRDefault="00EB6429" w:rsidP="00834BB9">
      <w:pPr>
        <w:jc w:val="both"/>
      </w:pPr>
      <m:oMathPara>
        <m:oMath>
          <m:r>
            <w:rPr>
              <w:rFonts w:ascii="Cambria Math" w:eastAsiaTheme="minorEastAsia" w:hAnsi="Cambria Math"/>
            </w:rPr>
            <m:t>J</m:t>
          </m:r>
          <m:d>
            <m:dPr>
              <m:begChr m:val="["/>
              <m:endChr m:val="]"/>
              <m:ctrlPr>
                <w:rPr>
                  <w:rFonts w:ascii="Cambria Math" w:eastAsiaTheme="minorEastAsia" w:hAnsi="Cambria Math"/>
                  <w:i/>
                </w:rPr>
              </m:ctrlPr>
            </m:dPr>
            <m:e>
              <m:sSub>
                <m:sSubPr>
                  <m:ctrlPr>
                    <w:rPr>
                      <w:rFonts w:ascii="Cambria Math" w:eastAsiaTheme="minorEastAsia" w:hAnsi="Cambria Math"/>
                      <w:i/>
                    </w:rPr>
                  </m:ctrlPr>
                </m:sSubPr>
                <m:e>
                  <m:d>
                    <m:dPr>
                      <m:ctrlPr>
                        <w:rPr>
                          <w:rFonts w:ascii="Cambria Math" w:eastAsiaTheme="minorEastAsia" w:hAnsi="Cambria Math"/>
                          <w:i/>
                        </w:rPr>
                      </m:ctrlPr>
                    </m:dPr>
                    <m:e>
                      <m:sSubSup>
                        <m:sSubSupPr>
                          <m:ctrlPr>
                            <w:rPr>
                              <w:rFonts w:ascii="Cambria Math" w:eastAsiaTheme="minorEastAsia" w:hAnsi="Cambria Math"/>
                              <w:i/>
                            </w:rPr>
                          </m:ctrlPr>
                        </m:sSubSupPr>
                        <m:e>
                          <m:r>
                            <m:rPr>
                              <m:sty m:val="b"/>
                            </m:rPr>
                            <w:rPr>
                              <w:rFonts w:ascii="Cambria Math" w:eastAsiaTheme="minorEastAsia" w:hAnsi="Cambria Math"/>
                            </w:rPr>
                            <m:t>x</m:t>
                          </m:r>
                        </m:e>
                        <m:sub>
                          <m:r>
                            <w:rPr>
                              <w:rFonts w:ascii="Cambria Math" w:eastAsiaTheme="minorEastAsia" w:hAnsi="Cambria Math"/>
                            </w:rPr>
                            <m:t>1</m:t>
                          </m:r>
                        </m:sub>
                        <m:sup>
                          <m:r>
                            <m:rPr>
                              <m:sty m:val="p"/>
                            </m:rPr>
                            <w:rPr>
                              <w:rFonts w:ascii="Cambria Math" w:eastAsiaTheme="minorEastAsia" w:hAnsi="Cambria Math"/>
                            </w:rPr>
                            <m:t>'</m:t>
                          </m:r>
                        </m:sup>
                      </m:sSubSup>
                    </m:e>
                  </m:d>
                </m:e>
                <m:sub>
                  <m:r>
                    <w:rPr>
                      <w:rFonts w:ascii="Cambria Math" w:eastAsiaTheme="minorEastAsia" w:hAnsi="Cambria Math"/>
                    </w:rPr>
                    <m:t>t</m:t>
                  </m:r>
                </m:sub>
              </m:sSub>
              <m:r>
                <w:rPr>
                  <w:rFonts w:ascii="Cambria Math" w:eastAsiaTheme="minorEastAsia" w:hAnsi="Cambria Math"/>
                </w:rPr>
                <m:t>,</m:t>
              </m:r>
              <m:sSup>
                <m:sSupPr>
                  <m:ctrlPr>
                    <w:rPr>
                      <w:rFonts w:ascii="Cambria Math" w:eastAsiaTheme="minorEastAsia" w:hAnsi="Cambria Math"/>
                      <w:b/>
                      <w:bCs/>
                      <w:i/>
                      <w:iCs/>
                    </w:rPr>
                  </m:ctrlPr>
                </m:sSupPr>
                <m:e>
                  <m:r>
                    <m:rPr>
                      <m:sty m:val="bi"/>
                    </m:rPr>
                    <w:rPr>
                      <w:rFonts w:ascii="Cambria Math" w:eastAsiaTheme="minorEastAsia" w:hAnsi="Cambria Math"/>
                    </w:rPr>
                    <m:t>α</m:t>
                  </m:r>
                </m:e>
                <m:sup>
                  <m:r>
                    <w:rPr>
                      <w:rFonts w:ascii="Cambria Math" w:eastAsiaTheme="minorEastAsia" w:hAnsi="Cambria Math"/>
                    </w:rPr>
                    <m:t>L</m:t>
                  </m:r>
                </m:sup>
              </m:sSup>
              <m:r>
                <m:rPr>
                  <m:sty m:val="bi"/>
                </m:rPr>
                <w:rPr>
                  <w:rFonts w:ascii="Cambria Math" w:eastAsiaTheme="minorEastAsia" w:hAnsi="Cambria Math"/>
                </w:rPr>
                <m:t>,</m:t>
              </m:r>
              <m:sSup>
                <m:sSupPr>
                  <m:ctrlPr>
                    <w:rPr>
                      <w:rFonts w:ascii="Cambria Math" w:eastAsiaTheme="minorEastAsia" w:hAnsi="Cambria Math"/>
                      <w:b/>
                      <w:bCs/>
                      <w:i/>
                      <w:iCs/>
                    </w:rPr>
                  </m:ctrlPr>
                </m:sSupPr>
                <m:e>
                  <m:r>
                    <m:rPr>
                      <m:sty m:val="bi"/>
                    </m:rPr>
                    <w:rPr>
                      <w:rFonts w:ascii="Cambria Math" w:eastAsiaTheme="minorEastAsia" w:hAnsi="Cambria Math"/>
                    </w:rPr>
                    <m:t>α</m:t>
                  </m:r>
                </m:e>
                <m:sup>
                  <m:r>
                    <w:rPr>
                      <w:rFonts w:ascii="Cambria Math" w:eastAsiaTheme="minorEastAsia" w:hAnsi="Cambria Math"/>
                    </w:rPr>
                    <m:t>H</m:t>
                  </m:r>
                </m:sup>
              </m:sSup>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1</m:t>
              </m:r>
            </m:sub>
          </m:sSub>
          <m:sSub>
            <m:sSubPr>
              <m:ctrlPr>
                <w:rPr>
                  <w:rFonts w:ascii="Cambria Math" w:eastAsiaTheme="minorEastAsia" w:hAnsi="Cambria Math"/>
                  <w:i/>
                </w:rPr>
              </m:ctrlPr>
            </m:sSubPr>
            <m:e>
              <m:r>
                <w:rPr>
                  <w:rFonts w:ascii="Cambria Math" w:eastAsiaTheme="minorEastAsia" w:hAnsi="Cambria Math"/>
                </w:rPr>
                <m:t>J</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L</m:t>
              </m:r>
            </m:sub>
          </m:sSub>
          <m:sSubSup>
            <m:sSubSupPr>
              <m:ctrlPr>
                <w:rPr>
                  <w:rFonts w:ascii="Cambria Math" w:eastAsiaTheme="minorEastAsia" w:hAnsi="Cambria Math"/>
                  <w:i/>
                </w:rPr>
              </m:ctrlPr>
            </m:sSubSupPr>
            <m:e>
              <m:r>
                <w:rPr>
                  <w:rFonts w:ascii="Cambria Math" w:eastAsiaTheme="minorEastAsia" w:hAnsi="Cambria Math"/>
                </w:rPr>
                <m:t>J</m:t>
              </m:r>
            </m:e>
            <m:sub>
              <m:r>
                <w:rPr>
                  <w:rFonts w:ascii="Cambria Math" w:eastAsiaTheme="minorEastAsia" w:hAnsi="Cambria Math"/>
                </w:rPr>
                <m:t>e</m:t>
              </m:r>
            </m:sub>
            <m:sup>
              <m:r>
                <w:rPr>
                  <w:rFonts w:ascii="Cambria Math" w:eastAsiaTheme="minorEastAsia" w:hAnsi="Cambria Math"/>
                </w:rPr>
                <m:t>L</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H</m:t>
              </m:r>
            </m:sub>
          </m:sSub>
          <m:sSubSup>
            <m:sSubSupPr>
              <m:ctrlPr>
                <w:rPr>
                  <w:rFonts w:ascii="Cambria Math" w:eastAsiaTheme="minorEastAsia" w:hAnsi="Cambria Math"/>
                  <w:i/>
                </w:rPr>
              </m:ctrlPr>
            </m:sSubSupPr>
            <m:e>
              <m:r>
                <w:rPr>
                  <w:rFonts w:ascii="Cambria Math" w:eastAsiaTheme="minorEastAsia" w:hAnsi="Cambria Math"/>
                </w:rPr>
                <m:t>J</m:t>
              </m:r>
            </m:e>
            <m:sub>
              <m:r>
                <w:rPr>
                  <w:rFonts w:ascii="Cambria Math" w:eastAsiaTheme="minorEastAsia" w:hAnsi="Cambria Math"/>
                </w:rPr>
                <m:t>e</m:t>
              </m:r>
            </m:sub>
            <m:sup>
              <m:r>
                <w:rPr>
                  <w:rFonts w:ascii="Cambria Math" w:eastAsiaTheme="minorEastAsia" w:hAnsi="Cambria Math"/>
                </w:rPr>
                <m:t>H</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J</m:t>
              </m:r>
            </m:e>
            <m:sub>
              <m:r>
                <w:rPr>
                  <w:rFonts w:ascii="Cambria Math" w:eastAsiaTheme="minorEastAsia" w:hAnsi="Cambria Math"/>
                </w:rPr>
                <m:t>o</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Sub>
            <m:sSubPr>
              <m:ctrlPr>
                <w:rPr>
                  <w:rFonts w:ascii="Cambria Math" w:eastAsiaTheme="minorEastAsia" w:hAnsi="Cambria Math"/>
                  <w:i/>
                </w:rPr>
              </m:ctrlPr>
            </m:sSubPr>
            <m:e>
              <m:r>
                <w:rPr>
                  <w:rFonts w:ascii="Cambria Math" w:eastAsiaTheme="minorEastAsia" w:hAnsi="Cambria Math"/>
                </w:rPr>
                <m:t>β</m:t>
              </m:r>
              <m:ctrlPr>
                <w:rPr>
                  <w:rFonts w:ascii="Cambria Math" w:eastAsiaTheme="minorEastAsia" w:hAnsi="Cambria Math"/>
                </w:rPr>
              </m:ctrlPr>
            </m:e>
            <m:sub>
              <m:r>
                <w:rPr>
                  <w:rFonts w:ascii="Cambria Math" w:eastAsiaTheme="minorEastAsia" w:hAnsi="Cambria Math"/>
                </w:rPr>
                <m:t>1</m:t>
              </m:r>
            </m:sub>
          </m:sSub>
          <m:sSubSup>
            <m:sSubSupPr>
              <m:ctrlPr>
                <w:rPr>
                  <w:rFonts w:ascii="Cambria Math" w:eastAsiaTheme="minorEastAsia" w:hAnsi="Cambria Math"/>
                  <w:i/>
                </w:rPr>
              </m:ctrlPr>
            </m:sSubSupPr>
            <m:e>
              <m:d>
                <m:dPr>
                  <m:ctrlPr>
                    <w:rPr>
                      <w:rFonts w:ascii="Cambria Math" w:eastAsiaTheme="minorEastAsia" w:hAnsi="Cambria Math"/>
                      <w:i/>
                    </w:rPr>
                  </m:ctrlPr>
                </m:dPr>
                <m:e>
                  <m:sSubSup>
                    <m:sSubSupPr>
                      <m:ctrlPr>
                        <w:rPr>
                          <w:rFonts w:ascii="Cambria Math" w:eastAsiaTheme="minorEastAsia" w:hAnsi="Cambria Math"/>
                          <w:i/>
                        </w:rPr>
                      </m:ctrlPr>
                    </m:sSubSupPr>
                    <m:e>
                      <m:r>
                        <m:rPr>
                          <m:sty m:val="b"/>
                        </m:rPr>
                        <w:rPr>
                          <w:rFonts w:ascii="Cambria Math" w:eastAsiaTheme="minorEastAsia" w:hAnsi="Cambria Math"/>
                        </w:rPr>
                        <m:t>x</m:t>
                      </m:r>
                    </m:e>
                    <m:sub>
                      <m:r>
                        <w:rPr>
                          <w:rFonts w:ascii="Cambria Math" w:eastAsiaTheme="minorEastAsia" w:hAnsi="Cambria Math"/>
                        </w:rPr>
                        <m:t>1</m:t>
                      </m:r>
                    </m:sub>
                    <m:sup>
                      <m:r>
                        <w:rPr>
                          <w:rFonts w:ascii="Cambria Math" w:eastAsiaTheme="minorEastAsia" w:hAnsi="Cambria Math"/>
                        </w:rPr>
                        <m:t>'</m:t>
                      </m:r>
                    </m:sup>
                  </m:sSubSup>
                </m:e>
              </m:d>
            </m:e>
            <m:sub>
              <m:r>
                <w:rPr>
                  <w:rFonts w:ascii="Cambria Math" w:eastAsiaTheme="minorEastAsia" w:hAnsi="Cambria Math"/>
                </w:rPr>
                <m:t>t</m:t>
              </m:r>
            </m:sub>
            <m:sup>
              <m:r>
                <m:rPr>
                  <m:sty m:val="p"/>
                </m:rPr>
                <w:rPr>
                  <w:rFonts w:ascii="Cambria Math" w:eastAsiaTheme="minorEastAsia" w:hAnsi="Cambria Math"/>
                </w:rPr>
                <m:t>T</m:t>
              </m:r>
            </m:sup>
          </m:sSubSup>
          <m:sSubSup>
            <m:sSubSupPr>
              <m:ctrlPr>
                <w:rPr>
                  <w:rFonts w:ascii="Cambria Math" w:eastAsiaTheme="minorEastAsia" w:hAnsi="Cambria Math"/>
                  <w:i/>
                </w:rPr>
              </m:ctrlPr>
            </m:sSubSupPr>
            <m:e>
              <m:r>
                <m:rPr>
                  <m:sty m:val="b"/>
                </m:rPr>
                <w:rPr>
                  <w:rFonts w:ascii="Cambria Math" w:eastAsiaTheme="minorEastAsia" w:hAnsi="Cambria Math"/>
                </w:rPr>
                <m:t>B</m:t>
              </m:r>
            </m:e>
            <m:sub>
              <m:r>
                <w:rPr>
                  <w:rFonts w:ascii="Cambria Math" w:eastAsiaTheme="minorEastAsia" w:hAnsi="Cambria Math"/>
                </w:rPr>
                <m:t>1</m:t>
              </m:r>
            </m:sub>
            <m:sup>
              <m:r>
                <w:rPr>
                  <w:rFonts w:ascii="Cambria Math" w:eastAsiaTheme="minorEastAsia" w:hAnsi="Cambria Math"/>
                </w:rPr>
                <m:t>-1</m:t>
              </m:r>
            </m:sup>
          </m:sSubSup>
          <m:sSub>
            <m:sSubPr>
              <m:ctrlPr>
                <w:rPr>
                  <w:rFonts w:ascii="Cambria Math" w:eastAsiaTheme="minorEastAsia" w:hAnsi="Cambria Math"/>
                  <w:i/>
                </w:rPr>
              </m:ctrlPr>
            </m:sSubPr>
            <m:e>
              <m:d>
                <m:dPr>
                  <m:ctrlPr>
                    <w:rPr>
                      <w:rFonts w:ascii="Cambria Math" w:eastAsiaTheme="minorEastAsia" w:hAnsi="Cambria Math"/>
                      <w:i/>
                    </w:rPr>
                  </m:ctrlPr>
                </m:dPr>
                <m:e>
                  <m:sSubSup>
                    <m:sSubSupPr>
                      <m:ctrlPr>
                        <w:rPr>
                          <w:rFonts w:ascii="Cambria Math" w:eastAsiaTheme="minorEastAsia" w:hAnsi="Cambria Math"/>
                          <w:i/>
                        </w:rPr>
                      </m:ctrlPr>
                    </m:sSubSupPr>
                    <m:e>
                      <m:r>
                        <m:rPr>
                          <m:sty m:val="b"/>
                        </m:rPr>
                        <w:rPr>
                          <w:rFonts w:ascii="Cambria Math" w:eastAsiaTheme="minorEastAsia" w:hAnsi="Cambria Math"/>
                        </w:rPr>
                        <m:t>x</m:t>
                      </m:r>
                    </m:e>
                    <m:sub>
                      <m:r>
                        <w:rPr>
                          <w:rFonts w:ascii="Cambria Math" w:eastAsiaTheme="minorEastAsia" w:hAnsi="Cambria Math"/>
                        </w:rPr>
                        <m:t>1</m:t>
                      </m:r>
                    </m:sub>
                    <m:sup>
                      <m:r>
                        <w:rPr>
                          <w:rFonts w:ascii="Cambria Math" w:eastAsiaTheme="minorEastAsia" w:hAnsi="Cambria Math"/>
                        </w:rPr>
                        <m:t>'</m:t>
                      </m:r>
                    </m:sup>
                  </m:sSubSup>
                </m:e>
              </m:d>
            </m:e>
            <m:sub>
              <m:r>
                <w:rPr>
                  <w:rFonts w:ascii="Cambria Math" w:eastAsiaTheme="minorEastAsia" w:hAnsi="Cambria Math"/>
                </w:rPr>
                <m:t>t</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Sub>
            <m:sSubPr>
              <m:ctrlPr>
                <w:rPr>
                  <w:rFonts w:ascii="Cambria Math" w:eastAsiaTheme="minorEastAsia" w:hAnsi="Cambria Math"/>
                  <w:i/>
                </w:rPr>
              </m:ctrlPr>
            </m:sSubPr>
            <m:e>
              <m:r>
                <w:rPr>
                  <w:rFonts w:ascii="Cambria Math" w:eastAsiaTheme="minorEastAsia" w:hAnsi="Cambria Math"/>
                </w:rPr>
                <m:t>β</m:t>
              </m:r>
              <m:ctrlPr>
                <w:rPr>
                  <w:rFonts w:ascii="Cambria Math" w:eastAsiaTheme="minorEastAsia" w:hAnsi="Cambria Math"/>
                </w:rPr>
              </m:ctrlPr>
            </m:e>
            <m:sub>
              <w:bookmarkStart w:id="18" w:name="_Hlk94783942"/>
              <m:r>
                <w:rPr>
                  <w:rFonts w:ascii="Cambria Math" w:eastAsiaTheme="minorEastAsia" w:hAnsi="Cambria Math"/>
                </w:rPr>
                <m:t>L</m:t>
              </m:r>
              <w:bookmarkEnd w:id="18"/>
            </m:sub>
          </m:sSub>
          <m:sSup>
            <m:sSupPr>
              <m:ctrlPr>
                <w:rPr>
                  <w:rFonts w:ascii="Cambria Math" w:eastAsiaTheme="minorEastAsia" w:hAnsi="Cambria Math"/>
                  <w:i/>
                </w:rPr>
              </m:ctrlPr>
            </m:sSupPr>
            <m:e>
              <m:d>
                <m:dPr>
                  <m:ctrlPr>
                    <w:rPr>
                      <w:rFonts w:ascii="Cambria Math" w:eastAsiaTheme="minorEastAsia" w:hAnsi="Cambria Math"/>
                      <w:i/>
                    </w:rPr>
                  </m:ctrlPr>
                </m:dPr>
                <m:e>
                  <m:sSup>
                    <m:sSupPr>
                      <m:ctrlPr>
                        <w:rPr>
                          <w:rFonts w:ascii="Cambria Math" w:eastAsiaTheme="minorEastAsia" w:hAnsi="Cambria Math"/>
                          <w:b/>
                          <w:bCs/>
                          <w:i/>
                          <w:iCs/>
                        </w:rPr>
                      </m:ctrlPr>
                    </m:sSupPr>
                    <m:e>
                      <m:r>
                        <m:rPr>
                          <m:sty m:val="bi"/>
                        </m:rPr>
                        <w:rPr>
                          <w:rFonts w:ascii="Cambria Math" w:eastAsiaTheme="minorEastAsia" w:hAnsi="Cambria Math"/>
                        </w:rPr>
                        <m:t>α</m:t>
                      </m:r>
                    </m:e>
                    <m:sup>
                      <m:r>
                        <w:rPr>
                          <w:rFonts w:ascii="Cambria Math" w:eastAsiaTheme="minorEastAsia" w:hAnsi="Cambria Math"/>
                        </w:rPr>
                        <m:t>L</m:t>
                      </m:r>
                    </m:sup>
                  </m:sSup>
                </m:e>
              </m:d>
            </m:e>
            <m:sup>
              <m:r>
                <m:rPr>
                  <m:sty m:val="p"/>
                </m:rPr>
                <w:rPr>
                  <w:rFonts w:ascii="Cambria Math" w:eastAsiaTheme="minorEastAsia" w:hAnsi="Cambria Math"/>
                </w:rPr>
                <m:t>T</m:t>
              </m:r>
            </m:sup>
          </m:sSup>
          <m:sSubSup>
            <m:sSubSupPr>
              <m:ctrlPr>
                <w:rPr>
                  <w:rFonts w:ascii="Cambria Math" w:eastAsiaTheme="minorEastAsia" w:hAnsi="Cambria Math"/>
                  <w:i/>
                </w:rPr>
              </m:ctrlPr>
            </m:sSubSupPr>
            <m:e>
              <m:r>
                <m:rPr>
                  <m:sty m:val="b"/>
                </m:rPr>
                <w:rPr>
                  <w:rFonts w:ascii="Cambria Math" w:eastAsiaTheme="minorEastAsia" w:hAnsi="Cambria Math"/>
                </w:rPr>
                <m:t>A</m:t>
              </m:r>
            </m:e>
            <m:sub>
              <m:r>
                <w:rPr>
                  <w:rFonts w:ascii="Cambria Math" w:eastAsiaTheme="minorEastAsia" w:hAnsi="Cambria Math"/>
                </w:rPr>
                <m:t>L</m:t>
              </m:r>
            </m:sub>
            <m:sup>
              <m:r>
                <w:rPr>
                  <w:rFonts w:ascii="Cambria Math" w:eastAsiaTheme="minorEastAsia" w:hAnsi="Cambria Math"/>
                </w:rPr>
                <m:t>-1</m:t>
              </m:r>
            </m:sup>
          </m:sSubSup>
          <m:d>
            <m:dPr>
              <m:ctrlPr>
                <w:rPr>
                  <w:rFonts w:ascii="Cambria Math" w:eastAsiaTheme="minorEastAsia" w:hAnsi="Cambria Math"/>
                  <w:i/>
                </w:rPr>
              </m:ctrlPr>
            </m:dPr>
            <m:e>
              <m:sSup>
                <m:sSupPr>
                  <m:ctrlPr>
                    <w:rPr>
                      <w:rFonts w:ascii="Cambria Math" w:eastAsiaTheme="minorEastAsia" w:hAnsi="Cambria Math"/>
                      <w:b/>
                      <w:bCs/>
                      <w:i/>
                      <w:iCs/>
                    </w:rPr>
                  </m:ctrlPr>
                </m:sSupPr>
                <m:e>
                  <m:r>
                    <m:rPr>
                      <m:sty m:val="bi"/>
                    </m:rPr>
                    <w:rPr>
                      <w:rFonts w:ascii="Cambria Math" w:eastAsiaTheme="minorEastAsia" w:hAnsi="Cambria Math"/>
                    </w:rPr>
                    <m:t>α</m:t>
                  </m:r>
                </m:e>
                <m:sup>
                  <m:r>
                    <w:rPr>
                      <w:rFonts w:ascii="Cambria Math" w:eastAsiaTheme="minorEastAsia" w:hAnsi="Cambria Math"/>
                    </w:rPr>
                    <m:t>L</m:t>
                  </m:r>
                </m:sup>
              </m:sSup>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H</m:t>
              </m:r>
            </m:sub>
          </m:sSub>
          <m:sSup>
            <m:sSupPr>
              <m:ctrlPr>
                <w:rPr>
                  <w:rFonts w:ascii="Cambria Math" w:eastAsiaTheme="minorEastAsia" w:hAnsi="Cambria Math"/>
                  <w:i/>
                </w:rPr>
              </m:ctrlPr>
            </m:sSupPr>
            <m:e>
              <m:d>
                <m:dPr>
                  <m:ctrlPr>
                    <w:rPr>
                      <w:rFonts w:ascii="Cambria Math" w:eastAsiaTheme="minorEastAsia" w:hAnsi="Cambria Math"/>
                      <w:i/>
                    </w:rPr>
                  </m:ctrlPr>
                </m:dPr>
                <m:e>
                  <m:sSup>
                    <m:sSupPr>
                      <m:ctrlPr>
                        <w:rPr>
                          <w:rFonts w:ascii="Cambria Math" w:eastAsiaTheme="minorEastAsia" w:hAnsi="Cambria Math"/>
                          <w:b/>
                          <w:bCs/>
                          <w:i/>
                          <w:iCs/>
                        </w:rPr>
                      </m:ctrlPr>
                    </m:sSupPr>
                    <m:e>
                      <m:r>
                        <m:rPr>
                          <m:sty m:val="bi"/>
                        </m:rPr>
                        <w:rPr>
                          <w:rFonts w:ascii="Cambria Math" w:eastAsiaTheme="minorEastAsia" w:hAnsi="Cambria Math"/>
                        </w:rPr>
                        <m:t>α</m:t>
                      </m:r>
                    </m:e>
                    <m:sup>
                      <m:r>
                        <w:rPr>
                          <w:rFonts w:ascii="Cambria Math" w:eastAsiaTheme="minorEastAsia" w:hAnsi="Cambria Math"/>
                        </w:rPr>
                        <m:t>H</m:t>
                      </m:r>
                    </m:sup>
                  </m:sSup>
                </m:e>
              </m:d>
            </m:e>
            <m:sup>
              <m:r>
                <m:rPr>
                  <m:sty m:val="p"/>
                </m:rPr>
                <w:rPr>
                  <w:rFonts w:ascii="Cambria Math" w:eastAsiaTheme="minorEastAsia" w:hAnsi="Cambria Math"/>
                </w:rPr>
                <m:t>T</m:t>
              </m:r>
            </m:sup>
          </m:sSup>
          <m:sSubSup>
            <m:sSubSupPr>
              <m:ctrlPr>
                <w:rPr>
                  <w:rFonts w:ascii="Cambria Math" w:eastAsiaTheme="minorEastAsia" w:hAnsi="Cambria Math"/>
                  <w:i/>
                </w:rPr>
              </m:ctrlPr>
            </m:sSubSupPr>
            <m:e>
              <m:r>
                <m:rPr>
                  <m:sty m:val="b"/>
                </m:rPr>
                <w:rPr>
                  <w:rFonts w:ascii="Cambria Math" w:eastAsiaTheme="minorEastAsia" w:hAnsi="Cambria Math"/>
                </w:rPr>
                <m:t>A</m:t>
              </m:r>
            </m:e>
            <m:sub>
              <m:r>
                <w:rPr>
                  <w:rFonts w:ascii="Cambria Math" w:eastAsiaTheme="minorEastAsia" w:hAnsi="Cambria Math"/>
                </w:rPr>
                <m:t>H</m:t>
              </m:r>
            </m:sub>
            <m:sup>
              <m:r>
                <w:rPr>
                  <w:rFonts w:ascii="Cambria Math" w:eastAsiaTheme="minorEastAsia" w:hAnsi="Cambria Math"/>
                </w:rPr>
                <m:t>-1</m:t>
              </m:r>
            </m:sup>
          </m:sSubSup>
          <m:d>
            <m:dPr>
              <m:ctrlPr>
                <w:rPr>
                  <w:rFonts w:ascii="Cambria Math" w:eastAsiaTheme="minorEastAsia" w:hAnsi="Cambria Math"/>
                  <w:i/>
                </w:rPr>
              </m:ctrlPr>
            </m:dPr>
            <m:e>
              <m:sSup>
                <m:sSupPr>
                  <m:ctrlPr>
                    <w:rPr>
                      <w:rFonts w:ascii="Cambria Math" w:eastAsiaTheme="minorEastAsia" w:hAnsi="Cambria Math"/>
                      <w:b/>
                      <w:bCs/>
                      <w:i/>
                      <w:iCs/>
                    </w:rPr>
                  </m:ctrlPr>
                </m:sSupPr>
                <m:e>
                  <m:r>
                    <m:rPr>
                      <m:sty m:val="bi"/>
                    </m:rPr>
                    <w:rPr>
                      <w:rFonts w:ascii="Cambria Math" w:eastAsiaTheme="minorEastAsia" w:hAnsi="Cambria Math"/>
                    </w:rPr>
                    <m:t>α</m:t>
                  </m:r>
                </m:e>
                <m:sup>
                  <m:r>
                    <w:rPr>
                      <w:rFonts w:ascii="Cambria Math" w:eastAsiaTheme="minorEastAsia" w:hAnsi="Cambria Math"/>
                    </w:rPr>
                    <m:t>H</m:t>
                  </m:r>
                </m:sup>
              </m:sSup>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nary>
            <m:naryPr>
              <m:chr m:val="∑"/>
              <m:ctrlPr>
                <w:rPr>
                  <w:rFonts w:ascii="Cambria Math" w:eastAsiaTheme="minorEastAsia" w:hAnsi="Cambria Math"/>
                </w:rPr>
              </m:ctrlPr>
            </m:naryPr>
            <m:sub>
              <m:r>
                <w:rPr>
                  <w:rFonts w:ascii="Cambria Math" w:eastAsiaTheme="minorEastAsia" w:hAnsi="Cambria Math"/>
                </w:rPr>
                <m:t>t=1</m:t>
              </m:r>
              <m:ctrlPr>
                <w:rPr>
                  <w:rFonts w:ascii="Cambria Math" w:eastAsiaTheme="minorEastAsia" w:hAnsi="Cambria Math"/>
                  <w:i/>
                </w:rPr>
              </m:ctrlPr>
            </m:sub>
            <m:sup>
              <m:r>
                <w:rPr>
                  <w:rFonts w:ascii="Cambria Math" w:eastAsiaTheme="minorEastAsia" w:hAnsi="Cambria Math"/>
                </w:rPr>
                <m:t>L</m:t>
              </m:r>
              <m:ctrlPr>
                <w:rPr>
                  <w:rFonts w:ascii="Cambria Math" w:eastAsiaTheme="minorEastAsia" w:hAnsi="Cambria Math"/>
                  <w:i/>
                </w:rPr>
              </m:ctrlPr>
            </m:sup>
            <m:e>
              <m:sSup>
                <m:sSupPr>
                  <m:ctrlPr>
                    <w:rPr>
                      <w:rFonts w:ascii="Cambria Math" w:eastAsiaTheme="minorEastAsia" w:hAnsi="Cambria Math"/>
                      <w:i/>
                    </w:rPr>
                  </m:ctrlPr>
                </m:sSupPr>
                <m:e>
                  <m:d>
                    <m:dPr>
                      <m:ctrlPr>
                        <w:rPr>
                          <w:rFonts w:ascii="Cambria Math" w:eastAsiaTheme="minorEastAsia" w:hAnsi="Cambria Math"/>
                          <w:i/>
                        </w:rPr>
                      </m:ctrlPr>
                    </m:dPr>
                    <m:e>
                      <m:r>
                        <m:rPr>
                          <m:sty m:val="b"/>
                        </m:rPr>
                        <w:rPr>
                          <w:rFonts w:ascii="Cambria Math" w:eastAsiaTheme="minorEastAsia" w:hAnsi="Cambria Math"/>
                        </w:rPr>
                        <m:t>H</m:t>
                      </m:r>
                      <m:sSubSup>
                        <m:sSubSupPr>
                          <m:ctrlPr>
                            <w:rPr>
                              <w:rFonts w:ascii="Cambria Math" w:eastAsiaTheme="minorEastAsia" w:hAnsi="Cambria Math"/>
                              <w:i/>
                            </w:rPr>
                          </m:ctrlPr>
                        </m:sSubSupPr>
                        <m:e>
                          <m:r>
                            <m:rPr>
                              <m:sty m:val="b"/>
                            </m:rPr>
                            <w:rPr>
                              <w:rFonts w:ascii="Cambria Math" w:eastAsiaTheme="minorEastAsia" w:hAnsi="Cambria Math"/>
                            </w:rPr>
                            <m:t>x</m:t>
                          </m:r>
                        </m:e>
                        <m:sub>
                          <m:r>
                            <w:rPr>
                              <w:rFonts w:ascii="Cambria Math" w:eastAsiaTheme="minorEastAsia" w:hAnsi="Cambria Math"/>
                            </w:rPr>
                            <m:t>t</m:t>
                          </m:r>
                        </m:sub>
                        <m:sup>
                          <m:r>
                            <w:rPr>
                              <w:rFonts w:ascii="Cambria Math" w:eastAsiaTheme="minorEastAsia" w:hAnsi="Cambria Math"/>
                            </w:rPr>
                            <m:t>'</m:t>
                          </m:r>
                        </m:sup>
                      </m:sSubSup>
                      <m:r>
                        <w:rPr>
                          <w:rFonts w:ascii="Cambria Math" w:eastAsiaTheme="minorEastAsia" w:hAnsi="Cambria Math"/>
                        </w:rPr>
                        <m:t>-</m:t>
                      </m:r>
                      <m:sSubSup>
                        <m:sSubSupPr>
                          <m:ctrlPr>
                            <w:rPr>
                              <w:rFonts w:ascii="Cambria Math" w:eastAsiaTheme="minorEastAsia" w:hAnsi="Cambria Math"/>
                              <w:i/>
                            </w:rPr>
                          </m:ctrlPr>
                        </m:sSubSupPr>
                        <m:e>
                          <m:r>
                            <m:rPr>
                              <m:sty m:val="b"/>
                            </m:rPr>
                            <w:rPr>
                              <w:rFonts w:ascii="Cambria Math" w:eastAsiaTheme="minorEastAsia" w:hAnsi="Cambria Math"/>
                            </w:rPr>
                            <m:t>y</m:t>
                          </m:r>
                        </m:e>
                        <m:sub>
                          <m:r>
                            <w:rPr>
                              <w:rFonts w:ascii="Cambria Math" w:eastAsiaTheme="minorEastAsia" w:hAnsi="Cambria Math"/>
                            </w:rPr>
                            <m:t>t</m:t>
                          </m:r>
                        </m:sub>
                        <m:sup>
                          <m:r>
                            <w:rPr>
                              <w:rFonts w:ascii="Cambria Math" w:eastAsiaTheme="minorEastAsia" w:hAnsi="Cambria Math"/>
                            </w:rPr>
                            <m:t>o</m:t>
                          </m:r>
                        </m:sup>
                      </m:sSubSup>
                    </m:e>
                  </m:d>
                </m:e>
                <m:sup>
                  <m:r>
                    <m:rPr>
                      <m:sty m:val="p"/>
                    </m:rPr>
                    <w:rPr>
                      <w:rFonts w:ascii="Cambria Math" w:eastAsiaTheme="minorEastAsia" w:hAnsi="Cambria Math"/>
                    </w:rPr>
                    <m:t>T</m:t>
                  </m:r>
                </m:sup>
              </m:sSup>
              <m:ctrlPr>
                <w:rPr>
                  <w:rFonts w:ascii="Cambria Math" w:eastAsiaTheme="minorEastAsia" w:hAnsi="Cambria Math"/>
                  <w:i/>
                </w:rPr>
              </m:ctrlPr>
            </m:e>
          </m:nary>
          <m:sSup>
            <m:sSupPr>
              <m:ctrlPr>
                <w:rPr>
                  <w:rFonts w:ascii="Cambria Math" w:eastAsiaTheme="minorEastAsia" w:hAnsi="Cambria Math"/>
                  <w:i/>
                </w:rPr>
              </m:ctrlPr>
            </m:sSupPr>
            <m:e>
              <m:r>
                <m:rPr>
                  <m:sty m:val="b"/>
                </m:rPr>
                <w:rPr>
                  <w:rFonts w:ascii="Cambria Math" w:eastAsiaTheme="minorEastAsia" w:hAnsi="Cambria Math"/>
                </w:rPr>
                <m:t>R</m:t>
              </m:r>
            </m:e>
            <m:sup>
              <m:r>
                <w:rPr>
                  <w:rFonts w:ascii="Cambria Math" w:eastAsiaTheme="minorEastAsia" w:hAnsi="Cambria Math"/>
                </w:rPr>
                <m:t>-1</m:t>
              </m:r>
            </m:sup>
          </m:sSup>
          <m:d>
            <m:dPr>
              <m:ctrlPr>
                <w:rPr>
                  <w:rFonts w:ascii="Cambria Math" w:eastAsiaTheme="minorEastAsia" w:hAnsi="Cambria Math"/>
                  <w:i/>
                </w:rPr>
              </m:ctrlPr>
            </m:dPr>
            <m:e>
              <m:r>
                <m:rPr>
                  <m:sty m:val="b"/>
                </m:rPr>
                <w:rPr>
                  <w:rFonts w:ascii="Cambria Math" w:eastAsiaTheme="minorEastAsia" w:hAnsi="Cambria Math"/>
                </w:rPr>
                <m:t>H</m:t>
              </m:r>
              <m:sSubSup>
                <m:sSubSupPr>
                  <m:ctrlPr>
                    <w:rPr>
                      <w:rFonts w:ascii="Cambria Math" w:eastAsiaTheme="minorEastAsia" w:hAnsi="Cambria Math"/>
                      <w:i/>
                    </w:rPr>
                  </m:ctrlPr>
                </m:sSubSupPr>
                <m:e>
                  <m:r>
                    <m:rPr>
                      <m:sty m:val="b"/>
                    </m:rPr>
                    <w:rPr>
                      <w:rFonts w:ascii="Cambria Math" w:eastAsiaTheme="minorEastAsia" w:hAnsi="Cambria Math"/>
                    </w:rPr>
                    <m:t>x</m:t>
                  </m:r>
                </m:e>
                <m:sub>
                  <m:r>
                    <w:rPr>
                      <w:rFonts w:ascii="Cambria Math" w:eastAsiaTheme="minorEastAsia" w:hAnsi="Cambria Math"/>
                    </w:rPr>
                    <m:t>t</m:t>
                  </m:r>
                </m:sub>
                <m:sup>
                  <m:r>
                    <w:rPr>
                      <w:rFonts w:ascii="Cambria Math" w:eastAsiaTheme="minorEastAsia" w:hAnsi="Cambria Math"/>
                    </w:rPr>
                    <m:t>'</m:t>
                  </m:r>
                </m:sup>
              </m:sSubSup>
              <m:r>
                <w:rPr>
                  <w:rFonts w:ascii="Cambria Math" w:eastAsiaTheme="minorEastAsia" w:hAnsi="Cambria Math"/>
                </w:rPr>
                <m:t>-</m:t>
              </m:r>
              <m:sSubSup>
                <m:sSubSupPr>
                  <m:ctrlPr>
                    <w:rPr>
                      <w:rFonts w:ascii="Cambria Math" w:eastAsiaTheme="minorEastAsia" w:hAnsi="Cambria Math"/>
                      <w:i/>
                    </w:rPr>
                  </m:ctrlPr>
                </m:sSubSupPr>
                <m:e>
                  <m:r>
                    <m:rPr>
                      <m:sty m:val="b"/>
                    </m:rPr>
                    <w:rPr>
                      <w:rFonts w:ascii="Cambria Math" w:eastAsiaTheme="minorEastAsia" w:hAnsi="Cambria Math"/>
                    </w:rPr>
                    <m:t>y</m:t>
                  </m:r>
                </m:e>
                <m:sub>
                  <m:r>
                    <w:rPr>
                      <w:rFonts w:ascii="Cambria Math" w:eastAsiaTheme="minorEastAsia" w:hAnsi="Cambria Math"/>
                    </w:rPr>
                    <m:t>t</m:t>
                  </m:r>
                </m:sub>
                <m:sup>
                  <m:r>
                    <w:rPr>
                      <w:rFonts w:ascii="Cambria Math" w:eastAsiaTheme="minorEastAsia" w:hAnsi="Cambria Math"/>
                    </w:rPr>
                    <m:t>o</m:t>
                  </m:r>
                </m:sup>
              </m:sSubSup>
            </m:e>
          </m:d>
        </m:oMath>
      </m:oMathPara>
    </w:p>
    <w:p w14:paraId="42ADB20A" w14:textId="474C3900" w:rsidR="00EB6429" w:rsidRPr="00EB6429" w:rsidRDefault="008E5179" w:rsidP="00A80A0D">
      <w:pPr>
        <w:spacing w:after="160" w:line="480" w:lineRule="auto"/>
        <w:jc w:val="both"/>
        <w:rPr>
          <w:rFonts w:eastAsiaTheme="minorEastAsia" w:cstheme="minorBidi"/>
          <w:iCs/>
          <w:szCs w:val="22"/>
        </w:rPr>
      </w:pPr>
      <m:oMath>
        <m:sSup>
          <m:sSupPr>
            <m:ctrlPr>
              <w:rPr>
                <w:rFonts w:ascii="Cambria Math" w:eastAsiaTheme="minorEastAsia" w:hAnsi="Cambria Math" w:cstheme="minorBidi"/>
                <w:b/>
                <w:bCs/>
                <w:i/>
                <w:iCs/>
                <w:szCs w:val="22"/>
              </w:rPr>
            </m:ctrlPr>
          </m:sSupPr>
          <m:e>
            <m:r>
              <m:rPr>
                <m:sty m:val="bi"/>
              </m:rPr>
              <w:rPr>
                <w:rFonts w:ascii="Cambria Math" w:eastAsiaTheme="minorEastAsia" w:hAnsi="Cambria Math" w:cstheme="minorBidi"/>
                <w:szCs w:val="22"/>
              </w:rPr>
              <m:t>α</m:t>
            </m:r>
          </m:e>
          <m:sup>
            <m:r>
              <m:rPr>
                <m:sty m:val="bi"/>
              </m:rPr>
              <w:rPr>
                <w:rFonts w:ascii="Cambria Math" w:eastAsiaTheme="minorEastAsia" w:hAnsi="Cambria Math" w:cstheme="minorBidi"/>
                <w:szCs w:val="22"/>
              </w:rPr>
              <m:t>L</m:t>
            </m:r>
          </m:sup>
        </m:sSup>
      </m:oMath>
      <w:r w:rsidR="00EB6429" w:rsidRPr="00EB6429">
        <w:rPr>
          <w:rFonts w:eastAsiaTheme="minorEastAsia" w:cstheme="minorBidi"/>
          <w:b/>
          <w:bCs/>
          <w:iCs/>
          <w:szCs w:val="22"/>
        </w:rPr>
        <w:t xml:space="preserve"> </w:t>
      </w:r>
      <w:r w:rsidR="00EB6429" w:rsidRPr="00EB6429">
        <w:rPr>
          <w:rFonts w:eastAsiaTheme="minorEastAsia" w:cstheme="minorBidi"/>
          <w:iCs/>
          <w:szCs w:val="22"/>
        </w:rPr>
        <w:t xml:space="preserve">and </w:t>
      </w:r>
      <m:oMath>
        <m:sSup>
          <m:sSupPr>
            <m:ctrlPr>
              <w:rPr>
                <w:rFonts w:ascii="Cambria Math" w:eastAsiaTheme="minorEastAsia" w:hAnsi="Cambria Math" w:cstheme="minorBidi"/>
                <w:b/>
                <w:bCs/>
                <w:i/>
                <w:iCs/>
                <w:szCs w:val="22"/>
              </w:rPr>
            </m:ctrlPr>
          </m:sSupPr>
          <m:e>
            <m:r>
              <m:rPr>
                <m:sty m:val="bi"/>
              </m:rPr>
              <w:rPr>
                <w:rFonts w:ascii="Cambria Math" w:eastAsiaTheme="minorEastAsia" w:hAnsi="Cambria Math" w:cstheme="minorBidi"/>
                <w:szCs w:val="22"/>
              </w:rPr>
              <m:t>α</m:t>
            </m:r>
          </m:e>
          <m:sup>
            <m:r>
              <w:rPr>
                <w:rFonts w:ascii="Cambria Math" w:eastAsiaTheme="minorEastAsia" w:hAnsi="Cambria Math" w:cstheme="minorBidi"/>
                <w:szCs w:val="22"/>
              </w:rPr>
              <m:t>H</m:t>
            </m:r>
          </m:sup>
        </m:sSup>
      </m:oMath>
      <w:r w:rsidR="00EB6429" w:rsidRPr="00EB6429">
        <w:rPr>
          <w:rFonts w:eastAsiaTheme="minorEastAsia" w:cstheme="minorBidi"/>
          <w:b/>
          <w:bCs/>
          <w:iCs/>
          <w:szCs w:val="22"/>
        </w:rPr>
        <w:t xml:space="preserve"> </w:t>
      </w:r>
      <w:r w:rsidR="00EB6429" w:rsidRPr="00EB6429">
        <w:rPr>
          <w:rFonts w:eastAsiaTheme="minorEastAsia" w:cstheme="minorBidi"/>
          <w:iCs/>
          <w:szCs w:val="22"/>
        </w:rPr>
        <w:t xml:space="preserve">are the concatenation of augmented control vectors for the low- and high-resolution ensembles with </w:t>
      </w:r>
      <m:oMath>
        <m:sSub>
          <m:sSubPr>
            <m:ctrlPr>
              <w:rPr>
                <w:rFonts w:ascii="Cambria Math" w:eastAsiaTheme="minorEastAsia" w:hAnsi="Cambria Math" w:cstheme="minorBidi"/>
                <w:i/>
                <w:iCs/>
                <w:szCs w:val="22"/>
              </w:rPr>
            </m:ctrlPr>
          </m:sSubPr>
          <m:e>
            <m:r>
              <w:rPr>
                <w:rFonts w:ascii="Cambria Math" w:eastAsiaTheme="minorEastAsia" w:hAnsi="Cambria Math" w:cstheme="minorBidi"/>
                <w:szCs w:val="22"/>
              </w:rPr>
              <m:t>K</m:t>
            </m:r>
          </m:e>
          <m:sub>
            <m:r>
              <w:rPr>
                <w:rFonts w:ascii="Cambria Math" w:eastAsiaTheme="minorEastAsia" w:hAnsi="Cambria Math" w:cstheme="minorBidi"/>
                <w:szCs w:val="22"/>
              </w:rPr>
              <m:t>L</m:t>
            </m:r>
          </m:sub>
        </m:sSub>
      </m:oMath>
      <w:r w:rsidR="00EB6429" w:rsidRPr="00EB6429">
        <w:rPr>
          <w:rFonts w:eastAsiaTheme="minorEastAsia" w:cstheme="minorBidi"/>
          <w:iCs/>
          <w:szCs w:val="22"/>
        </w:rPr>
        <w:t xml:space="preserve"> and </w:t>
      </w:r>
      <m:oMath>
        <m:sSub>
          <m:sSubPr>
            <m:ctrlPr>
              <w:rPr>
                <w:rFonts w:ascii="Cambria Math" w:eastAsiaTheme="minorEastAsia" w:hAnsi="Cambria Math" w:cstheme="minorBidi"/>
                <w:i/>
                <w:iCs/>
                <w:szCs w:val="22"/>
              </w:rPr>
            </m:ctrlPr>
          </m:sSubPr>
          <m:e>
            <m:r>
              <w:rPr>
                <w:rFonts w:ascii="Cambria Math" w:eastAsiaTheme="minorEastAsia" w:hAnsi="Cambria Math" w:cstheme="minorBidi"/>
                <w:szCs w:val="22"/>
              </w:rPr>
              <m:t>K</m:t>
            </m:r>
          </m:e>
          <m:sub>
            <m:r>
              <w:rPr>
                <w:rFonts w:ascii="Cambria Math" w:eastAsiaTheme="minorEastAsia" w:hAnsi="Cambria Math" w:cstheme="minorBidi"/>
                <w:szCs w:val="22"/>
              </w:rPr>
              <m:t>H</m:t>
            </m:r>
          </m:sub>
        </m:sSub>
      </m:oMath>
      <w:r w:rsidR="00EB6429" w:rsidRPr="00EB6429">
        <w:rPr>
          <w:rFonts w:eastAsiaTheme="minorEastAsia" w:cstheme="minorBidi"/>
          <w:iCs/>
          <w:szCs w:val="22"/>
        </w:rPr>
        <w:t xml:space="preserve"> members respectively.  </w:t>
      </w:r>
      <m:oMath>
        <m:sSub>
          <m:sSubPr>
            <m:ctrlPr>
              <w:rPr>
                <w:rFonts w:ascii="Cambria Math" w:eastAsiaTheme="minorEastAsia" w:hAnsi="Cambria Math" w:cstheme="minorBidi"/>
                <w:i/>
                <w:iCs/>
                <w:szCs w:val="22"/>
              </w:rPr>
            </m:ctrlPr>
          </m:sSubPr>
          <m:e>
            <m:r>
              <m:rPr>
                <m:sty m:val="b"/>
              </m:rPr>
              <w:rPr>
                <w:rFonts w:ascii="Cambria Math" w:eastAsiaTheme="minorEastAsia" w:hAnsi="Cambria Math" w:cstheme="minorBidi"/>
                <w:szCs w:val="22"/>
              </w:rPr>
              <m:t>A</m:t>
            </m:r>
          </m:e>
          <m:sub>
            <m:r>
              <w:rPr>
                <w:rFonts w:ascii="Cambria Math" w:eastAsiaTheme="minorEastAsia" w:hAnsi="Cambria Math" w:cstheme="minorBidi"/>
                <w:szCs w:val="22"/>
              </w:rPr>
              <m:t>L</m:t>
            </m:r>
          </m:sub>
        </m:sSub>
      </m:oMath>
      <w:r w:rsidR="00EB6429" w:rsidRPr="00EB6429">
        <w:rPr>
          <w:rFonts w:eastAsiaTheme="minorEastAsia" w:cstheme="minorBidi"/>
          <w:iCs/>
          <w:szCs w:val="22"/>
        </w:rPr>
        <w:t xml:space="preserve"> and </w:t>
      </w:r>
      <m:oMath>
        <m:sSub>
          <m:sSubPr>
            <m:ctrlPr>
              <w:rPr>
                <w:rFonts w:ascii="Cambria Math" w:eastAsiaTheme="minorEastAsia" w:hAnsi="Cambria Math" w:cstheme="minorBidi"/>
                <w:i/>
                <w:iCs/>
                <w:szCs w:val="22"/>
              </w:rPr>
            </m:ctrlPr>
          </m:sSubPr>
          <m:e>
            <m:r>
              <m:rPr>
                <m:sty m:val="b"/>
              </m:rPr>
              <w:rPr>
                <w:rFonts w:ascii="Cambria Math" w:eastAsiaTheme="minorEastAsia" w:hAnsi="Cambria Math" w:cstheme="minorBidi"/>
                <w:szCs w:val="22"/>
              </w:rPr>
              <m:t>A</m:t>
            </m:r>
          </m:e>
          <m:sub>
            <m:r>
              <w:rPr>
                <w:rFonts w:ascii="Cambria Math" w:eastAsiaTheme="minorEastAsia" w:hAnsi="Cambria Math" w:cstheme="minorBidi"/>
                <w:szCs w:val="22"/>
              </w:rPr>
              <m:t>H</m:t>
            </m:r>
          </m:sub>
        </m:sSub>
      </m:oMath>
      <w:r w:rsidR="00EB6429" w:rsidRPr="00EB6429">
        <w:rPr>
          <w:rFonts w:eastAsiaTheme="minorEastAsia" w:cstheme="minorBidi"/>
          <w:iCs/>
          <w:szCs w:val="22"/>
        </w:rPr>
        <w:t xml:space="preserve"> are used to determine the covariance localization in the horizontal and vertical for the low- and high-resolution ensembles respectively. As with the number of ensemble members, the covariance localization may also vary between the low- and high-resolution ensembles, but in Kay and Wang (2020), the localization was kept the same.  </w:t>
      </w:r>
      <m:oMath>
        <m:sSub>
          <m:sSubPr>
            <m:ctrlPr>
              <w:rPr>
                <w:rFonts w:ascii="Cambria Math" w:eastAsiaTheme="minorEastAsia" w:hAnsi="Cambria Math" w:cstheme="minorBidi"/>
                <w:i/>
                <w:szCs w:val="22"/>
              </w:rPr>
            </m:ctrlPr>
          </m:sSubPr>
          <m:e>
            <m:r>
              <w:rPr>
                <w:rFonts w:ascii="Cambria Math" w:eastAsiaTheme="minorEastAsia" w:hAnsi="Cambria Math" w:cstheme="minorBidi"/>
                <w:szCs w:val="22"/>
              </w:rPr>
              <m:t>β</m:t>
            </m:r>
            <m:ctrlPr>
              <w:rPr>
                <w:rFonts w:ascii="Cambria Math" w:eastAsiaTheme="minorEastAsia" w:hAnsi="Cambria Math" w:cstheme="minorBidi"/>
                <w:szCs w:val="22"/>
              </w:rPr>
            </m:ctrlPr>
          </m:e>
          <m:sub>
            <m:r>
              <w:rPr>
                <w:rFonts w:ascii="Cambria Math" w:eastAsiaTheme="minorEastAsia" w:hAnsi="Cambria Math" w:cstheme="minorBidi"/>
                <w:szCs w:val="22"/>
              </w:rPr>
              <m:t>L</m:t>
            </m:r>
          </m:sub>
        </m:sSub>
      </m:oMath>
      <w:r w:rsidR="00EB6429" w:rsidRPr="00EB6429">
        <w:rPr>
          <w:rFonts w:eastAsiaTheme="minorEastAsia" w:cstheme="minorBidi"/>
          <w:szCs w:val="22"/>
        </w:rPr>
        <w:t xml:space="preserve"> and </w:t>
      </w:r>
      <m:oMath>
        <m:sSub>
          <m:sSubPr>
            <m:ctrlPr>
              <w:rPr>
                <w:rFonts w:ascii="Cambria Math" w:eastAsiaTheme="minorEastAsia" w:hAnsi="Cambria Math" w:cstheme="minorBidi"/>
                <w:i/>
                <w:szCs w:val="22"/>
              </w:rPr>
            </m:ctrlPr>
          </m:sSubPr>
          <m:e>
            <m:r>
              <w:rPr>
                <w:rFonts w:ascii="Cambria Math" w:eastAsiaTheme="minorEastAsia" w:hAnsi="Cambria Math" w:cstheme="minorBidi"/>
                <w:szCs w:val="22"/>
              </w:rPr>
              <m:t>β</m:t>
            </m:r>
          </m:e>
          <m:sub>
            <m:r>
              <w:rPr>
                <w:rFonts w:ascii="Cambria Math" w:eastAsiaTheme="minorEastAsia" w:hAnsi="Cambria Math" w:cstheme="minorBidi"/>
                <w:szCs w:val="22"/>
              </w:rPr>
              <m:t>H</m:t>
            </m:r>
          </m:sub>
        </m:sSub>
      </m:oMath>
      <w:r w:rsidR="00EB6429" w:rsidRPr="00EB6429">
        <w:rPr>
          <w:rFonts w:eastAsiaTheme="minorEastAsia" w:cstheme="minorBidi"/>
          <w:szCs w:val="22"/>
        </w:rPr>
        <w:t xml:space="preserve"> are the weights given to the low- and high-resolution ensemble BECs and are constrained by </w:t>
      </w:r>
      <m:oMath>
        <m:r>
          <w:rPr>
            <w:rFonts w:ascii="Cambria Math" w:eastAsiaTheme="minorEastAsia" w:hAnsi="Cambria Math" w:cstheme="minorBidi"/>
            <w:szCs w:val="22"/>
          </w:rPr>
          <m:t>1/</m:t>
        </m:r>
        <m:sSub>
          <m:sSubPr>
            <m:ctrlPr>
              <w:rPr>
                <w:rFonts w:ascii="Cambria Math" w:eastAsiaTheme="minorEastAsia" w:hAnsi="Cambria Math" w:cstheme="minorBidi"/>
                <w:i/>
                <w:szCs w:val="22"/>
              </w:rPr>
            </m:ctrlPr>
          </m:sSubPr>
          <m:e>
            <m:r>
              <w:rPr>
                <w:rFonts w:ascii="Cambria Math" w:eastAsiaTheme="minorEastAsia" w:hAnsi="Cambria Math" w:cstheme="minorBidi"/>
                <w:szCs w:val="22"/>
              </w:rPr>
              <m:t>β</m:t>
            </m:r>
          </m:e>
          <m:sub>
            <m:r>
              <w:rPr>
                <w:rFonts w:ascii="Cambria Math" w:eastAsiaTheme="minorEastAsia" w:hAnsi="Cambria Math" w:cstheme="minorBidi"/>
                <w:szCs w:val="22"/>
              </w:rPr>
              <m:t>1</m:t>
            </m:r>
          </m:sub>
        </m:sSub>
        <m:r>
          <w:rPr>
            <w:rFonts w:ascii="Cambria Math" w:eastAsiaTheme="minorEastAsia" w:hAnsi="Cambria Math" w:cstheme="minorBidi"/>
            <w:szCs w:val="22"/>
          </w:rPr>
          <m:t>+1/</m:t>
        </m:r>
        <m:sSub>
          <m:sSubPr>
            <m:ctrlPr>
              <w:rPr>
                <w:rFonts w:ascii="Cambria Math" w:eastAsiaTheme="minorEastAsia" w:hAnsi="Cambria Math" w:cstheme="minorBidi"/>
                <w:i/>
                <w:szCs w:val="22"/>
              </w:rPr>
            </m:ctrlPr>
          </m:sSubPr>
          <m:e>
            <m:r>
              <w:rPr>
                <w:rFonts w:ascii="Cambria Math" w:eastAsiaTheme="minorEastAsia" w:hAnsi="Cambria Math" w:cstheme="minorBidi"/>
                <w:szCs w:val="22"/>
              </w:rPr>
              <m:t>β</m:t>
            </m:r>
            <m:ctrlPr>
              <w:rPr>
                <w:rFonts w:ascii="Cambria Math" w:eastAsiaTheme="minorEastAsia" w:hAnsi="Cambria Math" w:cstheme="minorBidi"/>
                <w:szCs w:val="22"/>
              </w:rPr>
            </m:ctrlPr>
          </m:e>
          <m:sub>
            <m:r>
              <w:rPr>
                <w:rFonts w:ascii="Cambria Math" w:eastAsiaTheme="minorEastAsia" w:hAnsi="Cambria Math" w:cstheme="minorBidi"/>
                <w:szCs w:val="22"/>
              </w:rPr>
              <m:t>L</m:t>
            </m:r>
          </m:sub>
        </m:sSub>
        <m:r>
          <w:rPr>
            <w:rFonts w:ascii="Cambria Math" w:eastAsiaTheme="minorEastAsia" w:hAnsi="Cambria Math" w:cstheme="minorBidi"/>
            <w:szCs w:val="22"/>
          </w:rPr>
          <m:t>+1/</m:t>
        </m:r>
        <m:sSub>
          <m:sSubPr>
            <m:ctrlPr>
              <w:rPr>
                <w:rFonts w:ascii="Cambria Math" w:eastAsiaTheme="minorEastAsia" w:hAnsi="Cambria Math" w:cstheme="minorBidi"/>
                <w:i/>
                <w:szCs w:val="22"/>
              </w:rPr>
            </m:ctrlPr>
          </m:sSubPr>
          <m:e>
            <m:r>
              <w:rPr>
                <w:rFonts w:ascii="Cambria Math" w:eastAsiaTheme="minorEastAsia" w:hAnsi="Cambria Math" w:cstheme="minorBidi"/>
                <w:szCs w:val="22"/>
              </w:rPr>
              <m:t>β</m:t>
            </m:r>
          </m:e>
          <m:sub>
            <m:r>
              <w:rPr>
                <w:rFonts w:ascii="Cambria Math" w:eastAsiaTheme="minorEastAsia" w:hAnsi="Cambria Math" w:cstheme="minorBidi"/>
                <w:szCs w:val="22"/>
              </w:rPr>
              <m:t>H</m:t>
            </m:r>
          </m:sub>
        </m:sSub>
        <m:r>
          <w:rPr>
            <w:rFonts w:ascii="Cambria Math" w:eastAsiaTheme="minorEastAsia" w:hAnsi="Cambria Math" w:cstheme="minorBidi"/>
            <w:szCs w:val="22"/>
          </w:rPr>
          <m:t>=1</m:t>
        </m:r>
      </m:oMath>
      <w:r w:rsidR="00EB6429" w:rsidRPr="00EB6429">
        <w:rPr>
          <w:rFonts w:eastAsiaTheme="minorEastAsia" w:cstheme="minorBidi"/>
          <w:szCs w:val="22"/>
        </w:rPr>
        <w:t>.</w:t>
      </w:r>
    </w:p>
    <w:p w14:paraId="485BACE3" w14:textId="77777777" w:rsidR="009051BB" w:rsidRPr="00313305" w:rsidRDefault="002305C7" w:rsidP="00A80A0D">
      <w:pPr>
        <w:jc w:val="both"/>
        <w:rPr>
          <w:rFonts w:eastAsiaTheme="minorHAnsi"/>
        </w:rPr>
      </w:pPr>
      <w:r w:rsidRPr="00313305">
        <w:br w:type="page"/>
      </w:r>
    </w:p>
    <w:p w14:paraId="00046266" w14:textId="1DB406EB" w:rsidR="009145B6" w:rsidRDefault="0022717D" w:rsidP="00A80A0D">
      <w:pPr>
        <w:pStyle w:val="NoSpacing"/>
        <w:spacing w:line="480" w:lineRule="auto"/>
        <w:jc w:val="both"/>
        <w:rPr>
          <w:rFonts w:ascii="Times New Roman" w:hAnsi="Times New Roman" w:cs="Times New Roman"/>
          <w:b/>
          <w:bCs/>
        </w:rPr>
      </w:pPr>
      <w:r w:rsidRPr="00313305">
        <w:rPr>
          <w:rFonts w:ascii="Times New Roman" w:hAnsi="Times New Roman" w:cs="Times New Roman"/>
          <w:b/>
          <w:bCs/>
        </w:rPr>
        <w:lastRenderedPageBreak/>
        <w:t xml:space="preserve">3.  </w:t>
      </w:r>
      <w:r w:rsidR="009145B6" w:rsidRPr="00313305">
        <w:rPr>
          <w:rFonts w:ascii="Times New Roman" w:hAnsi="Times New Roman" w:cs="Times New Roman"/>
          <w:b/>
          <w:bCs/>
        </w:rPr>
        <w:t xml:space="preserve">Experimental </w:t>
      </w:r>
      <w:r w:rsidR="00304E51" w:rsidRPr="00313305">
        <w:rPr>
          <w:rFonts w:ascii="Times New Roman" w:hAnsi="Times New Roman" w:cs="Times New Roman"/>
          <w:b/>
          <w:bCs/>
        </w:rPr>
        <w:t>design</w:t>
      </w:r>
    </w:p>
    <w:p w14:paraId="1E7A24D6" w14:textId="1E01D0B5" w:rsidR="00EB6429" w:rsidRPr="00EB6429" w:rsidRDefault="00EB6429" w:rsidP="00A80A0D">
      <w:pPr>
        <w:pStyle w:val="NoSpacing"/>
        <w:spacing w:line="480" w:lineRule="auto"/>
        <w:ind w:firstLine="720"/>
        <w:jc w:val="both"/>
        <w:rPr>
          <w:rFonts w:ascii="Times New Roman" w:hAnsi="Times New Roman" w:cs="Times New Roman"/>
        </w:rPr>
      </w:pPr>
      <w:r w:rsidRPr="00EB6429">
        <w:rPr>
          <w:rFonts w:ascii="Times New Roman" w:hAnsi="Times New Roman" w:cs="Times New Roman"/>
        </w:rPr>
        <w:t xml:space="preserve">The GSI-based 4DEnVar DA system and FV3GFS forecasts were cycled every six hours for a five-week period—from </w:t>
      </w:r>
      <w:r>
        <w:rPr>
          <w:rFonts w:ascii="Times New Roman" w:hAnsi="Times New Roman" w:cs="Times New Roman"/>
        </w:rPr>
        <w:t xml:space="preserve">25 </w:t>
      </w:r>
      <w:r w:rsidRPr="00EB6429">
        <w:rPr>
          <w:rFonts w:ascii="Times New Roman" w:hAnsi="Times New Roman" w:cs="Times New Roman"/>
        </w:rPr>
        <w:t xml:space="preserve">August 2017 at 1800 UTC to </w:t>
      </w:r>
      <w:r>
        <w:rPr>
          <w:rFonts w:ascii="Times New Roman" w:hAnsi="Times New Roman" w:cs="Times New Roman"/>
        </w:rPr>
        <w:t xml:space="preserve">29 </w:t>
      </w:r>
      <w:r w:rsidRPr="00EB6429">
        <w:rPr>
          <w:rFonts w:ascii="Times New Roman" w:hAnsi="Times New Roman" w:cs="Times New Roman"/>
        </w:rPr>
        <w:t xml:space="preserve">September 2017 at 1200 UTC.  </w:t>
      </w:r>
      <w:r w:rsidR="00DC65A2">
        <w:rPr>
          <w:rFonts w:ascii="Times New Roman" w:hAnsi="Times New Roman" w:cs="Times New Roman"/>
        </w:rPr>
        <w:t xml:space="preserve">This </w:t>
      </w:r>
      <w:r w:rsidR="00E23EC8">
        <w:rPr>
          <w:rFonts w:ascii="Times New Roman" w:hAnsi="Times New Roman" w:cs="Times New Roman"/>
        </w:rPr>
        <w:t>period</w:t>
      </w:r>
      <w:r w:rsidR="00DC65A2">
        <w:rPr>
          <w:rFonts w:ascii="Times New Roman" w:hAnsi="Times New Roman" w:cs="Times New Roman"/>
        </w:rPr>
        <w:t xml:space="preserve"> was chosen, in part, </w:t>
      </w:r>
      <w:r w:rsidR="00E23EC8">
        <w:rPr>
          <w:rFonts w:ascii="Times New Roman" w:hAnsi="Times New Roman" w:cs="Times New Roman"/>
        </w:rPr>
        <w:t>so that a portion of the diagnostics could focus on the</w:t>
      </w:r>
      <w:r w:rsidR="00DC65A2">
        <w:rPr>
          <w:rFonts w:ascii="Times New Roman" w:hAnsi="Times New Roman" w:cs="Times New Roman"/>
        </w:rPr>
        <w:t xml:space="preserve"> substantial number of tropical cyclones that occurred during this month, including </w:t>
      </w:r>
      <w:r w:rsidR="00E23EC8">
        <w:rPr>
          <w:rFonts w:ascii="Times New Roman" w:hAnsi="Times New Roman" w:cs="Times New Roman"/>
        </w:rPr>
        <w:t xml:space="preserve">multiple </w:t>
      </w:r>
      <w:r w:rsidR="00DC65A2">
        <w:rPr>
          <w:rFonts w:ascii="Times New Roman" w:hAnsi="Times New Roman" w:cs="Times New Roman"/>
        </w:rPr>
        <w:t xml:space="preserve">high-intensity </w:t>
      </w:r>
      <w:r w:rsidR="00E23EC8">
        <w:rPr>
          <w:rFonts w:ascii="Times New Roman" w:hAnsi="Times New Roman" w:cs="Times New Roman"/>
        </w:rPr>
        <w:t xml:space="preserve">storms in the Atlantic basin. </w:t>
      </w:r>
      <w:r w:rsidRPr="00EB6429">
        <w:rPr>
          <w:rFonts w:ascii="Times New Roman" w:hAnsi="Times New Roman" w:cs="Times New Roman"/>
        </w:rPr>
        <w:t>In all diagnostics, the first week of this period was removed to account for spin-up time</w:t>
      </w:r>
      <w:r w:rsidR="00DC65A2">
        <w:rPr>
          <w:rFonts w:ascii="Times New Roman" w:hAnsi="Times New Roman" w:cs="Times New Roman"/>
        </w:rPr>
        <w:t>, as in Kay and Wang (2020),</w:t>
      </w:r>
      <w:r w:rsidR="004340AC">
        <w:rPr>
          <w:rFonts w:ascii="Times New Roman" w:hAnsi="Times New Roman" w:cs="Times New Roman"/>
        </w:rPr>
        <w:t xml:space="preserve"> so that the results were not biased by the choice of the initial ensemble</w:t>
      </w:r>
      <w:r w:rsidRPr="00EB6429">
        <w:rPr>
          <w:rFonts w:ascii="Times New Roman" w:hAnsi="Times New Roman" w:cs="Times New Roman"/>
        </w:rPr>
        <w:t>.  The system assimilates the N</w:t>
      </w:r>
      <w:r w:rsidR="005A5D20">
        <w:rPr>
          <w:rFonts w:ascii="Times New Roman" w:hAnsi="Times New Roman" w:cs="Times New Roman"/>
        </w:rPr>
        <w:t xml:space="preserve">CEP </w:t>
      </w:r>
      <w:r w:rsidRPr="00EB6429">
        <w:rPr>
          <w:rFonts w:ascii="Times New Roman" w:hAnsi="Times New Roman" w:cs="Times New Roman"/>
        </w:rPr>
        <w:t>operational global conventional and satellite observations</w:t>
      </w:r>
      <w:r>
        <w:rPr>
          <w:rStyle w:val="FootnoteReference"/>
          <w:rFonts w:ascii="Times New Roman" w:hAnsi="Times New Roman" w:cs="Times New Roman"/>
        </w:rPr>
        <w:footnoteReference w:id="1"/>
      </w:r>
      <w:r w:rsidRPr="00EB6429">
        <w:rPr>
          <w:rFonts w:ascii="Times New Roman" w:hAnsi="Times New Roman" w:cs="Times New Roman"/>
        </w:rPr>
        <w:t xml:space="preserve"> over a six-hour DA window.</w:t>
      </w:r>
    </w:p>
    <w:p w14:paraId="433FA60A" w14:textId="0F241A73" w:rsidR="00726C3B" w:rsidRPr="00313305" w:rsidRDefault="00304E51" w:rsidP="00A80A0D">
      <w:pPr>
        <w:pStyle w:val="NoSpacing"/>
        <w:spacing w:line="480" w:lineRule="auto"/>
        <w:jc w:val="both"/>
        <w:rPr>
          <w:rFonts w:ascii="Times New Roman" w:hAnsi="Times New Roman" w:cs="Times New Roman"/>
          <w:i/>
          <w:iCs/>
        </w:rPr>
      </w:pPr>
      <w:r w:rsidRPr="00313305">
        <w:rPr>
          <w:rFonts w:ascii="Times New Roman" w:hAnsi="Times New Roman" w:cs="Times New Roman"/>
          <w:i/>
          <w:iCs/>
        </w:rPr>
        <w:t xml:space="preserve">a.  </w:t>
      </w:r>
      <w:r w:rsidR="00EB6429" w:rsidRPr="00EB6429">
        <w:rPr>
          <w:rFonts w:ascii="Times New Roman" w:hAnsi="Times New Roman" w:cs="Times New Roman"/>
          <w:i/>
          <w:iCs/>
        </w:rPr>
        <w:t>Single high-resolution (SR-High) experiment</w:t>
      </w:r>
    </w:p>
    <w:p w14:paraId="332AAACF" w14:textId="51DA588B" w:rsidR="00886E17" w:rsidRPr="00886E17" w:rsidRDefault="00886E17" w:rsidP="00A80A0D">
      <w:pPr>
        <w:spacing w:line="480" w:lineRule="auto"/>
        <w:ind w:firstLine="720"/>
        <w:jc w:val="both"/>
        <w:rPr>
          <w:rFonts w:eastAsiaTheme="minorHAnsi" w:cstheme="minorBidi"/>
          <w:szCs w:val="22"/>
        </w:rPr>
      </w:pPr>
      <w:r w:rsidRPr="00886E17">
        <w:rPr>
          <w:rFonts w:eastAsiaTheme="minorEastAsia" w:cstheme="minorBidi"/>
          <w:szCs w:val="22"/>
        </w:rPr>
        <w:t xml:space="preserve">One 4DEnVar experiment was run at a single resolution, where the background control member and the BECs of the static and single-resolution ensemble were all at the same high-resolution (T766 or ~25 km).  These static and ensemble BECs </w:t>
      </w:r>
      <w:r w:rsidR="0038098E">
        <w:rPr>
          <w:rFonts w:eastAsiaTheme="minorEastAsia" w:cstheme="minorBidi"/>
          <w:szCs w:val="22"/>
        </w:rPr>
        <w:t>we</w:t>
      </w:r>
      <w:r w:rsidRPr="00886E17">
        <w:rPr>
          <w:rFonts w:eastAsiaTheme="minorEastAsia" w:cstheme="minorBidi"/>
          <w:szCs w:val="22"/>
        </w:rPr>
        <w:t xml:space="preserve">re used to update the control member as in section 2a.   </w:t>
      </w:r>
      <w:r w:rsidR="0038098E">
        <w:rPr>
          <w:rFonts w:eastAsiaTheme="minorEastAsia" w:cstheme="minorBidi"/>
          <w:szCs w:val="22"/>
        </w:rPr>
        <w:t>A</w:t>
      </w:r>
      <w:r w:rsidRPr="00886E17">
        <w:rPr>
          <w:rFonts w:eastAsiaTheme="minorEastAsia" w:cstheme="minorBidi"/>
          <w:szCs w:val="22"/>
        </w:rPr>
        <w:t>s in the current operational 4DEnVar system</w:t>
      </w:r>
      <w:r w:rsidR="0038098E">
        <w:rPr>
          <w:rFonts w:eastAsiaTheme="minorEastAsia" w:cstheme="minorBidi"/>
          <w:szCs w:val="22"/>
        </w:rPr>
        <w:t xml:space="preserve">, </w:t>
      </w:r>
      <w:r w:rsidR="0038098E" w:rsidRPr="00886E17">
        <w:rPr>
          <w:rFonts w:eastAsiaTheme="minorEastAsia" w:cstheme="minorBidi"/>
          <w:szCs w:val="22"/>
        </w:rPr>
        <w:t xml:space="preserve">80 ensemble members </w:t>
      </w:r>
      <w:r w:rsidR="0038098E">
        <w:rPr>
          <w:rFonts w:eastAsiaTheme="minorEastAsia" w:cstheme="minorBidi"/>
          <w:szCs w:val="22"/>
        </w:rPr>
        <w:t>we</w:t>
      </w:r>
      <w:r w:rsidR="0038098E" w:rsidRPr="00886E17">
        <w:rPr>
          <w:rFonts w:eastAsiaTheme="minorEastAsia" w:cstheme="minorBidi"/>
          <w:szCs w:val="22"/>
        </w:rPr>
        <w:t>re used</w:t>
      </w:r>
      <w:r w:rsidRPr="00886E17">
        <w:rPr>
          <w:rFonts w:eastAsiaTheme="minorEastAsia" w:cstheme="minorBidi"/>
          <w:szCs w:val="22"/>
        </w:rPr>
        <w:t xml:space="preserve">.  </w:t>
      </w:r>
      <w:r w:rsidRPr="00886E17">
        <w:rPr>
          <w:rFonts w:eastAsiaTheme="minorHAnsi" w:cstheme="minorBidi"/>
          <w:szCs w:val="22"/>
        </w:rPr>
        <w:t>The static and ensemble BEC</w:t>
      </w:r>
      <w:r w:rsidR="003B2CFA">
        <w:rPr>
          <w:rFonts w:eastAsiaTheme="minorHAnsi" w:cstheme="minorBidi"/>
          <w:szCs w:val="22"/>
        </w:rPr>
        <w:t>s</w:t>
      </w:r>
      <w:r w:rsidRPr="00886E17">
        <w:rPr>
          <w:rFonts w:eastAsiaTheme="minorHAnsi" w:cstheme="minorBidi"/>
          <w:szCs w:val="22"/>
        </w:rPr>
        <w:t xml:space="preserve"> were given weight</w:t>
      </w:r>
      <w:r w:rsidR="003B2CFA">
        <w:rPr>
          <w:rFonts w:eastAsiaTheme="minorHAnsi" w:cstheme="minorBidi"/>
          <w:szCs w:val="22"/>
        </w:rPr>
        <w:t>s of</w:t>
      </w:r>
      <w:r w:rsidRPr="00886E17">
        <w:rPr>
          <w:rFonts w:eastAsiaTheme="minorHAnsi" w:cstheme="minorBidi"/>
          <w:szCs w:val="22"/>
        </w:rPr>
        <w:t xml:space="preserve"> 12.5% and 87.5% respectively (Lei and Whitaker 2017; Huang and Wang 2018; Kay and Wang 2020; Huang et al. 2021).  Level-dependent horizontal covariance localization was utilized by applying a Gaspari and Cohn (1999) localization function with the same localization distances as applied in Kleist and Ide (2015) and Lei and Whitaker (2017).  The horizontal </w:t>
      </w:r>
      <w:r w:rsidRPr="00886E17">
        <w:rPr>
          <w:rFonts w:eastAsiaTheme="minorHAnsi" w:cstheme="minorBidi"/>
          <w:i/>
          <w:iCs/>
          <w:szCs w:val="22"/>
        </w:rPr>
        <w:t>e</w:t>
      </w:r>
      <w:r w:rsidRPr="00886E17">
        <w:rPr>
          <w:rFonts w:eastAsiaTheme="minorHAnsi" w:cstheme="minorBidi"/>
          <w:szCs w:val="22"/>
        </w:rPr>
        <w:t xml:space="preserve">-folding distance was set to 350 km from the surface to </w:t>
      </w:r>
      <w:r w:rsidR="006D4C30">
        <w:rPr>
          <w:rFonts w:eastAsiaTheme="minorHAnsi" w:cstheme="minorBidi"/>
          <w:szCs w:val="22"/>
        </w:rPr>
        <w:t>~</w:t>
      </w:r>
      <w:r w:rsidRPr="00886E17">
        <w:rPr>
          <w:rFonts w:eastAsiaTheme="minorHAnsi" w:cstheme="minorBidi"/>
          <w:szCs w:val="22"/>
        </w:rPr>
        <w:t>300 hPa (</w:t>
      </w:r>
      <w:r w:rsidRPr="00886E17">
        <w:rPr>
          <w:rFonts w:eastAsiaTheme="minorHAnsi" w:cstheme="minorBidi"/>
          <w:i/>
          <w:iCs/>
          <w:szCs w:val="22"/>
        </w:rPr>
        <w:t>hl1</w:t>
      </w:r>
      <w:r w:rsidRPr="00886E17">
        <w:rPr>
          <w:rFonts w:eastAsiaTheme="minorHAnsi" w:cstheme="minorBidi"/>
          <w:szCs w:val="22"/>
        </w:rPr>
        <w:t>), 1000 km between 56 and 14 hPa (</w:t>
      </w:r>
      <w:r w:rsidRPr="00886E17">
        <w:rPr>
          <w:rFonts w:eastAsiaTheme="minorHAnsi" w:cstheme="minorBidi"/>
          <w:i/>
          <w:iCs/>
          <w:szCs w:val="22"/>
        </w:rPr>
        <w:t>hl2</w:t>
      </w:r>
      <w:r w:rsidRPr="00886E17">
        <w:rPr>
          <w:rFonts w:eastAsiaTheme="minorHAnsi" w:cstheme="minorBidi"/>
          <w:szCs w:val="22"/>
        </w:rPr>
        <w:t>), and 1300 km from 5 hPa to the model top (</w:t>
      </w:r>
      <w:r w:rsidRPr="00886E17">
        <w:rPr>
          <w:rFonts w:eastAsiaTheme="minorHAnsi" w:cstheme="minorBidi"/>
          <w:i/>
          <w:iCs/>
          <w:szCs w:val="22"/>
        </w:rPr>
        <w:t>hl3</w:t>
      </w:r>
      <w:r w:rsidRPr="00886E17">
        <w:rPr>
          <w:rFonts w:eastAsiaTheme="minorHAnsi" w:cstheme="minorBidi"/>
          <w:szCs w:val="22"/>
        </w:rPr>
        <w:t>) with a linear transition between these levels, as shown in the blue line in Fig. 1.  In the vertical direction, a constant localization e-folding distance of 0.5 scale heights was applied.</w:t>
      </w:r>
    </w:p>
    <w:p w14:paraId="06E78744" w14:textId="731FF52B" w:rsidR="00886E17" w:rsidRPr="00886E17" w:rsidRDefault="00886E17" w:rsidP="00A80A0D">
      <w:pPr>
        <w:spacing w:line="480" w:lineRule="auto"/>
        <w:ind w:firstLine="720"/>
        <w:jc w:val="both"/>
        <w:rPr>
          <w:rFonts w:eastAsiaTheme="minorHAnsi" w:cstheme="minorBidi"/>
          <w:szCs w:val="22"/>
        </w:rPr>
      </w:pPr>
      <w:r w:rsidRPr="00886E17">
        <w:rPr>
          <w:rFonts w:eastAsiaTheme="minorHAnsi" w:cstheme="minorBidi"/>
          <w:szCs w:val="22"/>
        </w:rPr>
        <w:lastRenderedPageBreak/>
        <w:t>Before updating the ensemble, the high-resolution ensemble was interpolated to low resolution (T382 or ~50 km) due to computational constraints</w:t>
      </w:r>
      <w:r w:rsidR="00DA0FCA">
        <w:rPr>
          <w:rFonts w:eastAsiaTheme="minorHAnsi" w:cstheme="minorBidi"/>
          <w:szCs w:val="22"/>
        </w:rPr>
        <w:t xml:space="preserve"> of the ensemble update</w:t>
      </w:r>
      <w:r w:rsidR="004340AC">
        <w:rPr>
          <w:rFonts w:eastAsiaTheme="minorHAnsi" w:cstheme="minorBidi"/>
          <w:szCs w:val="22"/>
        </w:rPr>
        <w:t xml:space="preserve"> and for consistency with the MR-ENS </w:t>
      </w:r>
      <w:r w:rsidR="00030BD0">
        <w:rPr>
          <w:rFonts w:eastAsiaTheme="minorHAnsi" w:cstheme="minorBidi"/>
          <w:szCs w:val="22"/>
        </w:rPr>
        <w:t>experiments</w:t>
      </w:r>
      <w:r w:rsidRPr="00886E17">
        <w:rPr>
          <w:rFonts w:eastAsiaTheme="minorHAnsi" w:cstheme="minorBidi"/>
          <w:szCs w:val="22"/>
        </w:rPr>
        <w:t xml:space="preserve">, as in Kay and Wang (2020).  The ensemble was updated using 4D LETKF (Bishop et al. 2001; </w:t>
      </w:r>
      <w:r w:rsidR="008167DA">
        <w:rPr>
          <w:rFonts w:eastAsiaTheme="minorHAnsi" w:cstheme="minorBidi"/>
          <w:szCs w:val="22"/>
        </w:rPr>
        <w:t>Wang</w:t>
      </w:r>
      <w:r w:rsidR="00DA0FCA">
        <w:rPr>
          <w:rFonts w:eastAsiaTheme="minorHAnsi" w:cstheme="minorBidi"/>
          <w:szCs w:val="22"/>
        </w:rPr>
        <w:t xml:space="preserve"> and </w:t>
      </w:r>
      <w:r w:rsidR="008167DA">
        <w:rPr>
          <w:rFonts w:eastAsiaTheme="minorHAnsi" w:cstheme="minorBidi"/>
          <w:szCs w:val="22"/>
        </w:rPr>
        <w:t>Bishop</w:t>
      </w:r>
      <w:r w:rsidR="00DA0FCA">
        <w:rPr>
          <w:rFonts w:eastAsiaTheme="minorHAnsi" w:cstheme="minorBidi"/>
          <w:szCs w:val="22"/>
        </w:rPr>
        <w:t xml:space="preserve"> 2003; </w:t>
      </w:r>
      <w:r w:rsidR="00367BF3">
        <w:rPr>
          <w:rFonts w:eastAsiaTheme="minorHAnsi" w:cstheme="minorBidi"/>
          <w:szCs w:val="22"/>
        </w:rPr>
        <w:t xml:space="preserve">Wang et al. 2004; </w:t>
      </w:r>
      <w:r w:rsidRPr="00886E17">
        <w:rPr>
          <w:rFonts w:eastAsiaTheme="minorHAnsi" w:cstheme="minorBidi"/>
          <w:szCs w:val="22"/>
        </w:rPr>
        <w:t>Hunt et al. 2007) in GSI.   Covariance localization</w:t>
      </w:r>
      <w:r w:rsidR="0038098E">
        <w:rPr>
          <w:rFonts w:eastAsiaTheme="minorHAnsi" w:cstheme="minorBidi"/>
          <w:szCs w:val="22"/>
        </w:rPr>
        <w:t>, g</w:t>
      </w:r>
      <w:r w:rsidRPr="00886E17">
        <w:rPr>
          <w:rFonts w:eastAsiaTheme="minorHAnsi" w:cstheme="minorBidi"/>
          <w:szCs w:val="22"/>
        </w:rPr>
        <w:t>iven as a level-dependent cutoff distance</w:t>
      </w:r>
      <w:r w:rsidR="0038098E">
        <w:rPr>
          <w:rFonts w:eastAsiaTheme="minorHAnsi" w:cstheme="minorBidi"/>
          <w:szCs w:val="22"/>
        </w:rPr>
        <w:t>, was</w:t>
      </w:r>
      <w:r w:rsidRPr="00886E17">
        <w:rPr>
          <w:rFonts w:eastAsiaTheme="minorHAnsi" w:cstheme="minorBidi"/>
          <w:szCs w:val="22"/>
        </w:rPr>
        <w:t xml:space="preserve"> equal to 677.835 km for </w:t>
      </w:r>
      <w:r w:rsidRPr="00886E17">
        <w:rPr>
          <w:rFonts w:eastAsiaTheme="minorHAnsi" w:cstheme="minorBidi"/>
          <w:i/>
          <w:iCs/>
          <w:szCs w:val="22"/>
        </w:rPr>
        <w:t>hl1</w:t>
      </w:r>
      <w:r w:rsidRPr="00886E17">
        <w:rPr>
          <w:rFonts w:eastAsiaTheme="minorHAnsi" w:cstheme="minorBidi"/>
          <w:szCs w:val="22"/>
        </w:rPr>
        <w:t xml:space="preserve">, 2577.320 km for </w:t>
      </w:r>
      <w:r w:rsidRPr="00886E17">
        <w:rPr>
          <w:rFonts w:eastAsiaTheme="minorHAnsi" w:cstheme="minorBidi"/>
          <w:i/>
          <w:iCs/>
          <w:szCs w:val="22"/>
        </w:rPr>
        <w:t>hl2</w:t>
      </w:r>
      <w:r w:rsidRPr="00886E17">
        <w:rPr>
          <w:rFonts w:eastAsiaTheme="minorHAnsi" w:cstheme="minorBidi"/>
          <w:szCs w:val="22"/>
        </w:rPr>
        <w:t xml:space="preserve">, and 3350.515 km for </w:t>
      </w:r>
      <w:r w:rsidRPr="00886E17">
        <w:rPr>
          <w:rFonts w:eastAsiaTheme="minorHAnsi" w:cstheme="minorBidi"/>
          <w:i/>
          <w:iCs/>
          <w:szCs w:val="22"/>
        </w:rPr>
        <w:t>hl3</w:t>
      </w:r>
      <w:r w:rsidRPr="00886E17">
        <w:rPr>
          <w:rFonts w:eastAsiaTheme="minorHAnsi" w:cstheme="minorBidi"/>
          <w:szCs w:val="22"/>
        </w:rPr>
        <w:t xml:space="preserve">, with a constant vertical localization cutoff distance of ~0.773 scale heights. Multiplicative inflation (Whitaker and Hamill 2012) was used as a measure to increase ensemble spread by relaxing the spread of the ensemble after DA (i.e., the posterior ensemble) to 85% of the spread of the background ensemble (i.e., the prior ensemble).  </w:t>
      </w:r>
    </w:p>
    <w:p w14:paraId="7B3CFACA" w14:textId="1499CE0A" w:rsidR="00886E17" w:rsidRPr="00886E17" w:rsidRDefault="00886E17" w:rsidP="00A80A0D">
      <w:pPr>
        <w:spacing w:line="480" w:lineRule="auto"/>
        <w:ind w:firstLine="720"/>
        <w:jc w:val="both"/>
        <w:rPr>
          <w:rFonts w:eastAsiaTheme="minorHAnsi" w:cstheme="minorBidi"/>
          <w:szCs w:val="22"/>
        </w:rPr>
      </w:pPr>
      <w:r w:rsidRPr="00886E17">
        <w:rPr>
          <w:rFonts w:eastAsiaTheme="minorHAnsi" w:cstheme="minorBidi"/>
          <w:szCs w:val="22"/>
        </w:rPr>
        <w:t xml:space="preserve">The </w:t>
      </w:r>
      <w:r w:rsidR="00E14345">
        <w:rPr>
          <w:rFonts w:eastAsiaTheme="minorHAnsi" w:cstheme="minorBidi"/>
          <w:szCs w:val="22"/>
        </w:rPr>
        <w:t xml:space="preserve">background </w:t>
      </w:r>
      <w:r w:rsidRPr="00886E17">
        <w:rPr>
          <w:rFonts w:eastAsiaTheme="minorHAnsi" w:cstheme="minorBidi"/>
          <w:szCs w:val="22"/>
        </w:rPr>
        <w:t xml:space="preserve">forecasts for the single control member as well as the 80-member ensemble were completed at high-resolution (C384, or ~25 km) on a cubed-sphere grid with 64 vertical model levels by the </w:t>
      </w:r>
      <w:r w:rsidR="006D4C30">
        <w:rPr>
          <w:rFonts w:eastAsiaTheme="minorHAnsi" w:cstheme="minorBidi"/>
          <w:szCs w:val="22"/>
        </w:rPr>
        <w:t xml:space="preserve">June 2020 operational </w:t>
      </w:r>
      <w:r w:rsidRPr="00886E17">
        <w:rPr>
          <w:rFonts w:eastAsiaTheme="minorHAnsi" w:cstheme="minorBidi"/>
          <w:szCs w:val="22"/>
        </w:rPr>
        <w:t>version of the FV3GFSv15</w:t>
      </w:r>
      <w:r w:rsidR="006D4C30">
        <w:rPr>
          <w:rFonts w:eastAsiaTheme="minorHAnsi" w:cstheme="minorBidi"/>
          <w:szCs w:val="22"/>
        </w:rPr>
        <w:t xml:space="preserve">. </w:t>
      </w:r>
      <w:r w:rsidRPr="00886E17">
        <w:rPr>
          <w:rFonts w:eastAsiaTheme="minorHAnsi" w:cstheme="minorBidi"/>
          <w:szCs w:val="22"/>
        </w:rPr>
        <w:t>The configuration of the model-specific parameters is detailed in Zhou et al. (2019).  To improve balance conditions in the forecast, a four-dimensional incremental analysis update (4DIAU; Bloom et al. 1996, Lorenc et al. 2015) was used in both the control and ensemble forecasts.  A flowchart of the general steps in the experiment is given in Fig. 2a.</w:t>
      </w:r>
    </w:p>
    <w:p w14:paraId="0552A9F3" w14:textId="5BB84F94" w:rsidR="00304E51" w:rsidRPr="00886E17" w:rsidRDefault="00304E51" w:rsidP="00A80A0D">
      <w:pPr>
        <w:pStyle w:val="NoSpacing"/>
        <w:spacing w:line="480" w:lineRule="auto"/>
        <w:jc w:val="both"/>
        <w:rPr>
          <w:rFonts w:ascii="Times New Roman" w:hAnsi="Times New Roman" w:cs="Times New Roman"/>
          <w:i/>
          <w:iCs/>
        </w:rPr>
      </w:pPr>
      <w:r w:rsidRPr="00886E17">
        <w:rPr>
          <w:rFonts w:ascii="Times New Roman" w:hAnsi="Times New Roman" w:cs="Times New Roman"/>
          <w:i/>
          <w:iCs/>
        </w:rPr>
        <w:t xml:space="preserve">b.  </w:t>
      </w:r>
      <w:r w:rsidR="00886E17" w:rsidRPr="00886E17">
        <w:rPr>
          <w:rFonts w:ascii="Times New Roman" w:hAnsi="Times New Roman" w:cs="Times New Roman"/>
          <w:i/>
          <w:iCs/>
        </w:rPr>
        <w:t>Multi-resolution (MR) Ensemble Experiments</w:t>
      </w:r>
    </w:p>
    <w:p w14:paraId="3477E858" w14:textId="484CF556" w:rsidR="00886E17" w:rsidRPr="00886E17" w:rsidRDefault="00886E17" w:rsidP="00BE6E5E">
      <w:pPr>
        <w:spacing w:line="480" w:lineRule="auto"/>
        <w:ind w:firstLine="720"/>
        <w:jc w:val="both"/>
        <w:rPr>
          <w:rFonts w:eastAsiaTheme="minorHAnsi" w:cstheme="minorBidi"/>
          <w:szCs w:val="22"/>
        </w:rPr>
      </w:pPr>
      <w:r w:rsidRPr="00886E17">
        <w:rPr>
          <w:rFonts w:eastAsiaTheme="minorHAnsi" w:cstheme="minorBidi"/>
          <w:szCs w:val="22"/>
        </w:rPr>
        <w:t>The multi-resolution (MR) ensemble 4DEnVar experiments were run utilizing the extended MR-ENS methodology as shown in section 2b, where the high-resolution control member was updat</w:t>
      </w:r>
      <w:r w:rsidR="00111C84">
        <w:rPr>
          <w:rFonts w:eastAsiaTheme="minorHAnsi" w:cstheme="minorBidi"/>
          <w:szCs w:val="22"/>
        </w:rPr>
        <w:t>ed</w:t>
      </w:r>
      <w:r w:rsidRPr="00886E17">
        <w:rPr>
          <w:rFonts w:eastAsiaTheme="minorHAnsi" w:cstheme="minorBidi"/>
          <w:szCs w:val="22"/>
        </w:rPr>
        <w:t xml:space="preserve"> using a high-resolution static BEC and contributions to ensemble BECs from a low-resolution (T382 or ~50 km) and high-resolution (T766 or ~25 km) ensemble.  Further development from Kay and Wang (2020) allowed for varying ensemble sizes. Two such </w:t>
      </w:r>
      <w:r w:rsidRPr="00886E17">
        <w:rPr>
          <w:rFonts w:eastAsiaTheme="minorHAnsi" w:cstheme="minorBidi"/>
          <w:szCs w:val="22"/>
        </w:rPr>
        <w:lastRenderedPageBreak/>
        <w:t>configurations, which had near equal computational cost</w:t>
      </w:r>
      <w:r w:rsidR="00213ABD">
        <w:rPr>
          <w:rFonts w:eastAsiaTheme="minorHAnsi" w:cstheme="minorBidi"/>
          <w:szCs w:val="22"/>
        </w:rPr>
        <w:t>s</w:t>
      </w:r>
      <w:r w:rsidRPr="00886E17">
        <w:rPr>
          <w:rFonts w:eastAsiaTheme="minorHAnsi" w:cstheme="minorBidi"/>
          <w:szCs w:val="22"/>
        </w:rPr>
        <w:t xml:space="preserve"> </w:t>
      </w:r>
      <w:r w:rsidR="00213ABD">
        <w:rPr>
          <w:rFonts w:eastAsiaTheme="minorHAnsi" w:cstheme="minorBidi"/>
          <w:szCs w:val="22"/>
        </w:rPr>
        <w:t>compared with</w:t>
      </w:r>
      <w:r w:rsidRPr="00886E17">
        <w:rPr>
          <w:rFonts w:eastAsiaTheme="minorHAnsi" w:cstheme="minorBidi"/>
          <w:szCs w:val="22"/>
        </w:rPr>
        <w:t xml:space="preserve"> SR-High (Table </w:t>
      </w:r>
      <w:r w:rsidR="00952952">
        <w:rPr>
          <w:rFonts w:eastAsiaTheme="minorHAnsi" w:cstheme="minorBidi"/>
          <w:szCs w:val="22"/>
        </w:rPr>
        <w:t>1</w:t>
      </w:r>
      <w:r w:rsidRPr="00886E17">
        <w:rPr>
          <w:rFonts w:eastAsiaTheme="minorHAnsi" w:cstheme="minorBidi"/>
          <w:szCs w:val="22"/>
        </w:rPr>
        <w:t xml:space="preserve">), were examined to test the sensitivity of the ensemble size of the low- and high-resolution ensembles. </w:t>
      </w:r>
      <w:r w:rsidR="00BE6E5E" w:rsidRPr="00886E17">
        <w:rPr>
          <w:rFonts w:eastAsiaTheme="minorHAnsi" w:cstheme="minorBidi"/>
          <w:szCs w:val="22"/>
        </w:rPr>
        <w:t xml:space="preserve">The first MR configuration </w:t>
      </w:r>
      <w:r w:rsidR="00BE6E5E">
        <w:rPr>
          <w:rFonts w:eastAsiaTheme="minorHAnsi" w:cstheme="minorBidi"/>
          <w:szCs w:val="22"/>
        </w:rPr>
        <w:t>used</w:t>
      </w:r>
      <w:r w:rsidR="00BE6E5E" w:rsidRPr="00886E17">
        <w:rPr>
          <w:rFonts w:eastAsiaTheme="minorHAnsi" w:cstheme="minorBidi"/>
          <w:szCs w:val="22"/>
        </w:rPr>
        <w:t xml:space="preserve"> 130 low-resolution members and 40 high-resolution members for a total ensemble size of 170 members and will thus be denoted as MR170.  The second MR configuration utilized a larger number of low-resolution members</w:t>
      </w:r>
      <w:r w:rsidR="00BE6E5E">
        <w:rPr>
          <w:rFonts w:eastAsiaTheme="minorHAnsi" w:cstheme="minorBidi"/>
          <w:szCs w:val="22"/>
        </w:rPr>
        <w:t>,</w:t>
      </w:r>
      <w:r w:rsidR="00BE6E5E" w:rsidRPr="00886E17">
        <w:rPr>
          <w:rFonts w:eastAsiaTheme="minorHAnsi" w:cstheme="minorBidi"/>
          <w:szCs w:val="22"/>
        </w:rPr>
        <w:t xml:space="preserve"> at 180 members</w:t>
      </w:r>
      <w:r w:rsidR="00BE6E5E">
        <w:rPr>
          <w:rFonts w:eastAsiaTheme="minorHAnsi" w:cstheme="minorBidi"/>
          <w:szCs w:val="22"/>
        </w:rPr>
        <w:t>,</w:t>
      </w:r>
      <w:r w:rsidR="00BE6E5E" w:rsidRPr="00886E17">
        <w:rPr>
          <w:rFonts w:eastAsiaTheme="minorHAnsi" w:cstheme="minorBidi"/>
          <w:szCs w:val="22"/>
        </w:rPr>
        <w:t xml:space="preserve"> but a smaller number of high-resolution members</w:t>
      </w:r>
      <w:r w:rsidR="00BE6E5E">
        <w:rPr>
          <w:rFonts w:eastAsiaTheme="minorHAnsi" w:cstheme="minorBidi"/>
          <w:szCs w:val="22"/>
        </w:rPr>
        <w:t>,</w:t>
      </w:r>
      <w:r w:rsidR="00BE6E5E" w:rsidRPr="00886E17">
        <w:rPr>
          <w:rFonts w:eastAsiaTheme="minorHAnsi" w:cstheme="minorBidi"/>
          <w:szCs w:val="22"/>
        </w:rPr>
        <w:t xml:space="preserve"> at 24 members</w:t>
      </w:r>
      <w:r w:rsidR="00BE6E5E">
        <w:rPr>
          <w:rFonts w:eastAsiaTheme="minorHAnsi" w:cstheme="minorBidi"/>
          <w:szCs w:val="22"/>
        </w:rPr>
        <w:t>,</w:t>
      </w:r>
      <w:r w:rsidR="00BE6E5E" w:rsidRPr="00886E17">
        <w:rPr>
          <w:rFonts w:eastAsiaTheme="minorHAnsi" w:cstheme="minorBidi"/>
          <w:szCs w:val="22"/>
        </w:rPr>
        <w:t xml:space="preserve"> for a total of 204 members and</w:t>
      </w:r>
      <w:r w:rsidR="00BE6E5E">
        <w:rPr>
          <w:rFonts w:eastAsiaTheme="minorHAnsi" w:cstheme="minorBidi"/>
          <w:szCs w:val="22"/>
        </w:rPr>
        <w:t xml:space="preserve">, therefore, </w:t>
      </w:r>
      <w:r w:rsidR="00BE6E5E" w:rsidRPr="00886E17">
        <w:rPr>
          <w:rFonts w:eastAsiaTheme="minorHAnsi" w:cstheme="minorBidi"/>
          <w:szCs w:val="22"/>
        </w:rPr>
        <w:t>will be denoted as MR204.</w:t>
      </w:r>
      <w:r w:rsidR="00BE6E5E">
        <w:rPr>
          <w:rFonts w:eastAsiaTheme="minorHAnsi" w:cstheme="minorBidi"/>
          <w:szCs w:val="22"/>
        </w:rPr>
        <w:t xml:space="preserve"> </w:t>
      </w:r>
      <w:r w:rsidRPr="00886E17">
        <w:rPr>
          <w:rFonts w:eastAsiaTheme="minorHAnsi" w:cstheme="minorBidi"/>
          <w:szCs w:val="22"/>
        </w:rPr>
        <w:t>Similar computational costs between all experiments allow</w:t>
      </w:r>
      <w:r w:rsidR="0080192A">
        <w:rPr>
          <w:rFonts w:eastAsiaTheme="minorHAnsi" w:cstheme="minorBidi"/>
          <w:szCs w:val="22"/>
        </w:rPr>
        <w:t>ed</w:t>
      </w:r>
      <w:r w:rsidRPr="00886E17">
        <w:rPr>
          <w:rFonts w:eastAsiaTheme="minorHAnsi" w:cstheme="minorBidi"/>
          <w:szCs w:val="22"/>
        </w:rPr>
        <w:t xml:space="preserve"> for a direct examination of analysis and forecast errors. The MR configuration that led to the smallest forecast errors was used in additional comparisons to the SR-High experiment to determine what mechanisms were driving the differences between the experiments.</w:t>
      </w:r>
    </w:p>
    <w:p w14:paraId="1D59726E" w14:textId="29D7867C" w:rsidR="00886E17" w:rsidRPr="00886E17" w:rsidRDefault="00886E17" w:rsidP="00A80A0D">
      <w:pPr>
        <w:spacing w:line="480" w:lineRule="auto"/>
        <w:ind w:firstLine="720"/>
        <w:jc w:val="both"/>
        <w:rPr>
          <w:rFonts w:eastAsiaTheme="minorHAnsi" w:cstheme="minorBidi"/>
          <w:szCs w:val="22"/>
        </w:rPr>
      </w:pPr>
      <w:r w:rsidRPr="00886E17">
        <w:rPr>
          <w:rFonts w:eastAsiaTheme="minorEastAsia" w:cstheme="minorBidi"/>
          <w:szCs w:val="22"/>
        </w:rPr>
        <w:t>For the 4DEnVar step, as in Kay and Wang (2020), the static BEC was given a weight of 12.5% and the remaining weight was split evenly between the low- and high-resolution ensemble BECs at 43.75% each.  The vertical localization was applied</w:t>
      </w:r>
      <w:r w:rsidR="00EB6CC8">
        <w:rPr>
          <w:rFonts w:eastAsiaTheme="minorEastAsia" w:cstheme="minorBidi"/>
          <w:szCs w:val="22"/>
        </w:rPr>
        <w:t>,</w:t>
      </w:r>
      <w:r w:rsidRPr="00886E17">
        <w:rPr>
          <w:rFonts w:eastAsiaTheme="minorEastAsia" w:cstheme="minorBidi"/>
          <w:szCs w:val="22"/>
        </w:rPr>
        <w:t xml:space="preserve"> as in the SR-High experiment</w:t>
      </w:r>
      <w:r w:rsidR="00EB6CC8">
        <w:rPr>
          <w:rFonts w:eastAsiaTheme="minorEastAsia" w:cstheme="minorBidi"/>
          <w:szCs w:val="22"/>
        </w:rPr>
        <w:t>,</w:t>
      </w:r>
      <w:r w:rsidRPr="00886E17">
        <w:rPr>
          <w:rFonts w:eastAsiaTheme="minorEastAsia" w:cstheme="minorBidi"/>
          <w:szCs w:val="22"/>
        </w:rPr>
        <w:t xml:space="preserve"> with </w:t>
      </w:r>
      <w:r w:rsidRPr="00886E17">
        <w:rPr>
          <w:rFonts w:eastAsiaTheme="minorHAnsi" w:cstheme="minorBidi"/>
          <w:szCs w:val="22"/>
        </w:rPr>
        <w:t>a constant localization e-folding distance of 0.5 scale heights.</w:t>
      </w:r>
    </w:p>
    <w:p w14:paraId="0B87B2EA" w14:textId="1A1EB436" w:rsidR="00886E17" w:rsidRPr="00886E17" w:rsidRDefault="00886E17" w:rsidP="00A80A0D">
      <w:pPr>
        <w:spacing w:line="480" w:lineRule="auto"/>
        <w:ind w:firstLine="720"/>
        <w:jc w:val="both"/>
        <w:rPr>
          <w:rFonts w:eastAsiaTheme="minorEastAsia" w:cstheme="minorBidi"/>
          <w:szCs w:val="22"/>
        </w:rPr>
      </w:pPr>
      <w:r w:rsidRPr="00886E17">
        <w:rPr>
          <w:rFonts w:eastAsiaTheme="minorHAnsi" w:cstheme="minorBidi"/>
          <w:szCs w:val="22"/>
        </w:rPr>
        <w:t>Additional developments to Kay and Wang (2020) made it possible to vary the horizontal localization distance between the low- and high-resolution ensembles.  Previous studies have indicated that for a larger ensemble size</w:t>
      </w:r>
      <w:r w:rsidR="00EB6CC8">
        <w:rPr>
          <w:rFonts w:eastAsiaTheme="minorHAnsi" w:cstheme="minorBidi"/>
          <w:szCs w:val="22"/>
        </w:rPr>
        <w:t>,</w:t>
      </w:r>
      <w:r w:rsidRPr="00886E17">
        <w:rPr>
          <w:rFonts w:eastAsiaTheme="minorHAnsi" w:cstheme="minorBidi"/>
          <w:szCs w:val="22"/>
        </w:rPr>
        <w:t xml:space="preserve"> the optimal localization radius is larger than </w:t>
      </w:r>
      <w:r w:rsidR="00EB6CC8">
        <w:rPr>
          <w:rFonts w:eastAsiaTheme="minorHAnsi" w:cstheme="minorBidi"/>
          <w:szCs w:val="22"/>
        </w:rPr>
        <w:t>for</w:t>
      </w:r>
      <w:r w:rsidRPr="00886E17">
        <w:rPr>
          <w:rFonts w:eastAsiaTheme="minorHAnsi" w:cstheme="minorBidi"/>
          <w:szCs w:val="22"/>
        </w:rPr>
        <w:t xml:space="preserve"> a smaller ensemble</w:t>
      </w:r>
      <w:r w:rsidR="00EB6CC8">
        <w:rPr>
          <w:rFonts w:eastAsiaTheme="minorHAnsi" w:cstheme="minorBidi"/>
          <w:szCs w:val="22"/>
        </w:rPr>
        <w:t xml:space="preserve"> size</w:t>
      </w:r>
      <w:r w:rsidRPr="00886E17">
        <w:rPr>
          <w:rFonts w:eastAsiaTheme="minorHAnsi" w:cstheme="minorBidi"/>
          <w:szCs w:val="22"/>
        </w:rPr>
        <w:t xml:space="preserve">, leading to greater dynamical balance and for additional distant non-spurious correlations to be made (e.g., Houtekamer and Mitchell 2001; Hamill et al. 2001; Ying et al. 2018). For these MR experiments, </w:t>
      </w:r>
      <w:r w:rsidR="00A11ADA">
        <w:rPr>
          <w:rFonts w:eastAsiaTheme="minorHAnsi" w:cstheme="minorBidi"/>
          <w:szCs w:val="22"/>
        </w:rPr>
        <w:t xml:space="preserve">for </w:t>
      </w:r>
      <w:r w:rsidRPr="00886E17">
        <w:rPr>
          <w:rFonts w:eastAsiaTheme="minorHAnsi" w:cstheme="minorBidi"/>
          <w:szCs w:val="22"/>
        </w:rPr>
        <w:t>the high-resolution ensemble</w:t>
      </w:r>
      <w:r w:rsidR="00A11ADA">
        <w:rPr>
          <w:rFonts w:eastAsiaTheme="minorHAnsi" w:cstheme="minorBidi"/>
          <w:szCs w:val="22"/>
        </w:rPr>
        <w:t>, the</w:t>
      </w:r>
      <w:r w:rsidRPr="00886E17">
        <w:rPr>
          <w:rFonts w:eastAsiaTheme="minorHAnsi" w:cstheme="minorBidi"/>
          <w:szCs w:val="22"/>
        </w:rPr>
        <w:t xml:space="preserve"> level-dependent localization distances (</w:t>
      </w:r>
      <w:r w:rsidRPr="00886E17">
        <w:rPr>
          <w:rFonts w:eastAsiaTheme="minorHAnsi" w:cstheme="minorBidi"/>
          <w:i/>
          <w:iCs/>
          <w:szCs w:val="22"/>
        </w:rPr>
        <w:t>hl1</w:t>
      </w:r>
      <w:r w:rsidRPr="00886E17">
        <w:rPr>
          <w:rFonts w:eastAsiaTheme="minorHAnsi" w:cstheme="minorBidi"/>
          <w:szCs w:val="22"/>
        </w:rPr>
        <w:t xml:space="preserve">, </w:t>
      </w:r>
      <w:r w:rsidRPr="00886E17">
        <w:rPr>
          <w:rFonts w:eastAsiaTheme="minorHAnsi" w:cstheme="minorBidi"/>
          <w:i/>
          <w:iCs/>
          <w:szCs w:val="22"/>
        </w:rPr>
        <w:t>hl2</w:t>
      </w:r>
      <w:r w:rsidRPr="00886E17">
        <w:rPr>
          <w:rFonts w:eastAsiaTheme="minorHAnsi" w:cstheme="minorBidi"/>
          <w:szCs w:val="22"/>
        </w:rPr>
        <w:t xml:space="preserve">, and </w:t>
      </w:r>
      <w:r w:rsidRPr="00886E17">
        <w:rPr>
          <w:rFonts w:eastAsiaTheme="minorHAnsi" w:cstheme="minorBidi"/>
          <w:i/>
          <w:iCs/>
          <w:szCs w:val="22"/>
        </w:rPr>
        <w:t>hl3</w:t>
      </w:r>
      <w:r w:rsidRPr="00886E17">
        <w:rPr>
          <w:rFonts w:eastAsiaTheme="minorHAnsi" w:cstheme="minorBidi"/>
          <w:szCs w:val="22"/>
        </w:rPr>
        <w:t xml:space="preserve">) were set as equal to those described above in the SR-High experiment (blue line in Fig. 1).  For the low-resolution ensemble, which has a much larger ensemble size, </w:t>
      </w:r>
      <w:r w:rsidRPr="00886E17">
        <w:rPr>
          <w:rFonts w:eastAsiaTheme="minorHAnsi" w:cstheme="minorBidi"/>
          <w:i/>
          <w:iCs/>
          <w:szCs w:val="22"/>
        </w:rPr>
        <w:t>hl1</w:t>
      </w:r>
      <w:r w:rsidRPr="00886E17">
        <w:rPr>
          <w:rFonts w:eastAsiaTheme="minorHAnsi" w:cstheme="minorBidi"/>
          <w:szCs w:val="22"/>
        </w:rPr>
        <w:t xml:space="preserve"> </w:t>
      </w:r>
      <w:r w:rsidRPr="00886E17">
        <w:rPr>
          <w:rFonts w:eastAsiaTheme="minorHAnsi" w:cstheme="minorBidi"/>
          <w:szCs w:val="22"/>
        </w:rPr>
        <w:lastRenderedPageBreak/>
        <w:t>was set to an e-folding distance of 700 km (red line in Fig. 1).  This change allows for correlations to be present at wi</w:t>
      </w:r>
      <w:r w:rsidR="004D3010">
        <w:rPr>
          <w:rFonts w:eastAsiaTheme="minorHAnsi" w:cstheme="minorBidi"/>
          <w:szCs w:val="22"/>
        </w:rPr>
        <w:t xml:space="preserve">der </w:t>
      </w:r>
      <w:r w:rsidRPr="00886E17">
        <w:rPr>
          <w:rFonts w:eastAsiaTheme="minorHAnsi" w:cstheme="minorBidi"/>
          <w:szCs w:val="22"/>
        </w:rPr>
        <w:t xml:space="preserve">spatial scales.   </w:t>
      </w:r>
    </w:p>
    <w:p w14:paraId="6FE78363" w14:textId="0F735B54" w:rsidR="00886E17" w:rsidRPr="00886E17" w:rsidRDefault="00886E17" w:rsidP="00A80A0D">
      <w:pPr>
        <w:spacing w:line="480" w:lineRule="auto"/>
        <w:ind w:firstLine="720"/>
        <w:jc w:val="both"/>
        <w:rPr>
          <w:rFonts w:eastAsiaTheme="minorEastAsia" w:cstheme="minorBidi"/>
          <w:szCs w:val="22"/>
        </w:rPr>
      </w:pPr>
      <w:r w:rsidRPr="00886E17">
        <w:rPr>
          <w:rFonts w:eastAsiaTheme="minorEastAsia" w:cstheme="minorBidi"/>
          <w:szCs w:val="22"/>
        </w:rPr>
        <w:t xml:space="preserve">LETKF updates to the ensemble were all made at low-resolution, as in the SR-High experiment.  All LETKF covariance localization and inflation parameters </w:t>
      </w:r>
      <w:r w:rsidR="0038098E">
        <w:rPr>
          <w:rFonts w:eastAsiaTheme="minorEastAsia" w:cstheme="minorBidi"/>
          <w:szCs w:val="22"/>
        </w:rPr>
        <w:t>we</w:t>
      </w:r>
      <w:r w:rsidRPr="00886E17">
        <w:rPr>
          <w:rFonts w:eastAsiaTheme="minorEastAsia" w:cstheme="minorBidi"/>
          <w:szCs w:val="22"/>
        </w:rPr>
        <w:t xml:space="preserve">re </w:t>
      </w:r>
      <w:r w:rsidR="004D3010">
        <w:rPr>
          <w:rFonts w:eastAsiaTheme="minorEastAsia" w:cstheme="minorBidi"/>
          <w:szCs w:val="22"/>
        </w:rPr>
        <w:t>the same</w:t>
      </w:r>
      <w:r w:rsidRPr="00886E17">
        <w:rPr>
          <w:rFonts w:eastAsiaTheme="minorEastAsia" w:cstheme="minorBidi"/>
          <w:szCs w:val="22"/>
        </w:rPr>
        <w:t xml:space="preserve"> as described</w:t>
      </w:r>
      <w:r w:rsidR="004D3010">
        <w:rPr>
          <w:rFonts w:eastAsiaTheme="minorEastAsia" w:cstheme="minorBidi"/>
          <w:szCs w:val="22"/>
        </w:rPr>
        <w:t xml:space="preserve"> in section </w:t>
      </w:r>
      <w:r w:rsidR="00952952">
        <w:rPr>
          <w:rFonts w:eastAsiaTheme="minorEastAsia" w:cstheme="minorBidi"/>
          <w:szCs w:val="22"/>
        </w:rPr>
        <w:t>3a</w:t>
      </w:r>
      <w:r w:rsidRPr="00886E17">
        <w:rPr>
          <w:rFonts w:eastAsiaTheme="minorEastAsia" w:cstheme="minorBidi"/>
          <w:szCs w:val="22"/>
        </w:rPr>
        <w:t>.</w:t>
      </w:r>
    </w:p>
    <w:p w14:paraId="1FA858A4" w14:textId="0FCBEC0E" w:rsidR="00886E17" w:rsidRPr="00886E17" w:rsidRDefault="00886E17" w:rsidP="00A80A0D">
      <w:pPr>
        <w:spacing w:line="480" w:lineRule="auto"/>
        <w:ind w:firstLine="720"/>
        <w:jc w:val="both"/>
        <w:rPr>
          <w:rFonts w:eastAsiaTheme="minorEastAsia" w:cstheme="minorBidi"/>
          <w:szCs w:val="22"/>
        </w:rPr>
      </w:pPr>
      <w:r w:rsidRPr="00886E17">
        <w:rPr>
          <w:rFonts w:eastAsiaTheme="minorEastAsia" w:cstheme="minorBidi"/>
          <w:szCs w:val="22"/>
        </w:rPr>
        <w:t xml:space="preserve">The FV3GFS </w:t>
      </w:r>
      <w:r w:rsidR="00952952">
        <w:rPr>
          <w:rFonts w:eastAsiaTheme="minorEastAsia" w:cstheme="minorBidi"/>
          <w:szCs w:val="22"/>
        </w:rPr>
        <w:t xml:space="preserve">background </w:t>
      </w:r>
      <w:r w:rsidRPr="00886E17">
        <w:rPr>
          <w:rFonts w:eastAsiaTheme="minorEastAsia" w:cstheme="minorBidi"/>
          <w:szCs w:val="22"/>
        </w:rPr>
        <w:t>forecasts were completed at high-resolution (C384 or ~25 km) for the control member and high-resolution ensemble and at low-resolution (C192 or ~50 km) for the low-resolution ensemble.  The flowchart for the MR experiments is shown in Fig. 2b.</w:t>
      </w:r>
    </w:p>
    <w:p w14:paraId="25F0C2F5" w14:textId="185D3FCE" w:rsidR="00520F98" w:rsidRPr="00313305" w:rsidRDefault="002305C7" w:rsidP="00A80A0D">
      <w:pPr>
        <w:pStyle w:val="NoSpacing"/>
        <w:spacing w:line="480" w:lineRule="auto"/>
        <w:jc w:val="both"/>
      </w:pPr>
      <w:r w:rsidRPr="00313305">
        <w:br w:type="page"/>
      </w:r>
    </w:p>
    <w:p w14:paraId="207403F4" w14:textId="77777777" w:rsidR="009145B6" w:rsidRPr="00886E17" w:rsidRDefault="0022717D" w:rsidP="00A80A0D">
      <w:pPr>
        <w:pStyle w:val="NoSpacing"/>
        <w:spacing w:line="480" w:lineRule="auto"/>
        <w:jc w:val="both"/>
        <w:rPr>
          <w:rFonts w:ascii="Times New Roman" w:hAnsi="Times New Roman" w:cs="Times New Roman"/>
        </w:rPr>
      </w:pPr>
      <w:r w:rsidRPr="00886E17">
        <w:rPr>
          <w:rFonts w:ascii="Times New Roman" w:hAnsi="Times New Roman" w:cs="Times New Roman"/>
          <w:b/>
          <w:bCs/>
        </w:rPr>
        <w:lastRenderedPageBreak/>
        <w:t xml:space="preserve">4.  </w:t>
      </w:r>
      <w:r w:rsidR="009145B6" w:rsidRPr="00886E17">
        <w:rPr>
          <w:rFonts w:ascii="Times New Roman" w:hAnsi="Times New Roman" w:cs="Times New Roman"/>
          <w:b/>
          <w:bCs/>
        </w:rPr>
        <w:t>Results</w:t>
      </w:r>
    </w:p>
    <w:p w14:paraId="1DC85E0A" w14:textId="287C5D31" w:rsidR="00726C3B" w:rsidRPr="00886E17" w:rsidRDefault="00304E51" w:rsidP="00A80A0D">
      <w:pPr>
        <w:pStyle w:val="NoSpacing"/>
        <w:spacing w:line="480" w:lineRule="auto"/>
        <w:jc w:val="both"/>
        <w:rPr>
          <w:rFonts w:ascii="Times New Roman" w:hAnsi="Times New Roman" w:cs="Times New Roman"/>
          <w:i/>
          <w:iCs/>
        </w:rPr>
      </w:pPr>
      <w:r w:rsidRPr="00886E17">
        <w:rPr>
          <w:rFonts w:ascii="Times New Roman" w:hAnsi="Times New Roman" w:cs="Times New Roman"/>
          <w:i/>
          <w:iCs/>
        </w:rPr>
        <w:t xml:space="preserve">a.  </w:t>
      </w:r>
      <w:r w:rsidR="00886E17" w:rsidRPr="00886E17">
        <w:rPr>
          <w:rFonts w:ascii="Times New Roman" w:hAnsi="Times New Roman" w:cs="Times New Roman"/>
          <w:i/>
          <w:iCs/>
        </w:rPr>
        <w:t>Multiscale analysis</w:t>
      </w:r>
    </w:p>
    <w:p w14:paraId="7DD92E9E" w14:textId="34601961" w:rsidR="00886E17" w:rsidRPr="00886E17" w:rsidRDefault="00886E17" w:rsidP="00A80A0D">
      <w:pPr>
        <w:spacing w:line="480" w:lineRule="auto"/>
        <w:ind w:firstLine="720"/>
        <w:jc w:val="both"/>
        <w:rPr>
          <w:rFonts w:eastAsiaTheme="minorEastAsia"/>
        </w:rPr>
      </w:pPr>
      <w:r w:rsidRPr="00886E17">
        <w:rPr>
          <w:rFonts w:eastAsiaTheme="minorEastAsia"/>
        </w:rPr>
        <w:t xml:space="preserve">One way to determine </w:t>
      </w:r>
      <w:r w:rsidR="005A0A7A">
        <w:rPr>
          <w:rFonts w:eastAsiaTheme="minorEastAsia"/>
        </w:rPr>
        <w:t xml:space="preserve">the </w:t>
      </w:r>
      <w:r w:rsidRPr="00886E17">
        <w:rPr>
          <w:rFonts w:eastAsiaTheme="minorEastAsia"/>
        </w:rPr>
        <w:t xml:space="preserve">multiscale impact </w:t>
      </w:r>
      <w:r w:rsidR="005A0A7A">
        <w:rPr>
          <w:rFonts w:eastAsiaTheme="minorEastAsia"/>
        </w:rPr>
        <w:t xml:space="preserve">of </w:t>
      </w:r>
      <w:r w:rsidRPr="00886E17">
        <w:rPr>
          <w:rFonts w:eastAsiaTheme="minorEastAsia"/>
        </w:rPr>
        <w:t>the extended MR-ENS and single-resolution ensemble 4DEnVar techniques on the analysis is to decompose analysis increments into spectral space</w:t>
      </w:r>
      <w:r w:rsidR="003A53B5">
        <w:rPr>
          <w:rFonts w:eastAsiaTheme="minorEastAsia"/>
        </w:rPr>
        <w:t xml:space="preserve"> (e.g., Kay and Wang 2020; Huang et al. 2021)</w:t>
      </w:r>
      <w:r w:rsidRPr="00886E17">
        <w:rPr>
          <w:rFonts w:eastAsiaTheme="minorEastAsia"/>
        </w:rPr>
        <w:t>.  This decomposition will show how much of an adjustment the DA method made to the background forecast at each scale when calculating the analysis.  For each experiment at each analysis time, the analysis increments were calculated by subtracting the background forecast from the analysis at a given level.  The analysis increments were then decomposed into spectral space using spherical harmonics and averaged over all cycles. The 500-hPa analysis increment power spectrums for temperature and zonal wind are shown in Fig. 3.  For both temperature and zonal wind, the MR170 experiment has larger increments for larger atmospheric scales (wavenumbers less than ~150 or wavelengths greater than ~200 km)</w:t>
      </w:r>
      <w:r w:rsidR="005A0A7A">
        <w:rPr>
          <w:rFonts w:eastAsiaTheme="minorEastAsia"/>
        </w:rPr>
        <w:t xml:space="preserve"> when compared with the SR-High experiment</w:t>
      </w:r>
      <w:r w:rsidRPr="00886E17">
        <w:rPr>
          <w:rFonts w:eastAsiaTheme="minorEastAsia"/>
        </w:rPr>
        <w:t xml:space="preserve">. </w:t>
      </w:r>
      <w:r w:rsidR="005A0A7A">
        <w:rPr>
          <w:rFonts w:eastAsiaTheme="minorEastAsia"/>
        </w:rPr>
        <w:t>For</w:t>
      </w:r>
      <w:r w:rsidRPr="00886E17">
        <w:rPr>
          <w:rFonts w:eastAsiaTheme="minorEastAsia"/>
        </w:rPr>
        <w:t xml:space="preserve"> smaller scales (wavenumbers greater than ~150 or wavelengths less than ~200 km), the </w:t>
      </w:r>
      <w:r w:rsidR="005A0A7A">
        <w:rPr>
          <w:rFonts w:eastAsiaTheme="minorEastAsia"/>
        </w:rPr>
        <w:t>MR170</w:t>
      </w:r>
      <w:r w:rsidRPr="00886E17">
        <w:rPr>
          <w:rFonts w:eastAsiaTheme="minorEastAsia"/>
        </w:rPr>
        <w:t xml:space="preserve"> experiment has similar or slightly</w:t>
      </w:r>
      <w:r w:rsidR="005A0A7A">
        <w:rPr>
          <w:rFonts w:eastAsiaTheme="minorEastAsia"/>
        </w:rPr>
        <w:t xml:space="preserve"> smaller analysis</w:t>
      </w:r>
      <w:r w:rsidRPr="00886E17">
        <w:rPr>
          <w:rFonts w:eastAsiaTheme="minorEastAsia"/>
        </w:rPr>
        <w:t xml:space="preserve"> increments.  </w:t>
      </w:r>
    </w:p>
    <w:p w14:paraId="0FDE6AB9" w14:textId="0DF618A6" w:rsidR="00886E17" w:rsidRPr="00886E17" w:rsidRDefault="00886E17" w:rsidP="00A80A0D">
      <w:pPr>
        <w:spacing w:line="480" w:lineRule="auto"/>
        <w:ind w:firstLine="720"/>
        <w:jc w:val="both"/>
        <w:rPr>
          <w:rFonts w:eastAsiaTheme="minorEastAsia"/>
        </w:rPr>
      </w:pPr>
      <w:r w:rsidRPr="00886E17">
        <w:rPr>
          <w:rFonts w:eastAsiaTheme="minorEastAsia"/>
        </w:rPr>
        <w:t xml:space="preserve">These results </w:t>
      </w:r>
      <w:r w:rsidR="00A045D5">
        <w:rPr>
          <w:rFonts w:eastAsiaTheme="minorEastAsia"/>
        </w:rPr>
        <w:t>are</w:t>
      </w:r>
      <w:r w:rsidRPr="00886E17">
        <w:rPr>
          <w:rFonts w:eastAsiaTheme="minorEastAsia"/>
        </w:rPr>
        <w:t xml:space="preserve"> consistent with the MR and SR-High methodologies.  The MR170 experiment has a broader localization scale with an e-folding distance of 700 km applied to its low-resolution ensemble BECs</w:t>
      </w:r>
      <w:r w:rsidR="005A0A7A">
        <w:rPr>
          <w:rFonts w:eastAsiaTheme="minorEastAsia"/>
        </w:rPr>
        <w:t>,</w:t>
      </w:r>
      <w:r w:rsidRPr="00886E17">
        <w:rPr>
          <w:rFonts w:eastAsiaTheme="minorEastAsia"/>
        </w:rPr>
        <w:t xml:space="preserve"> </w:t>
      </w:r>
      <w:r w:rsidR="005A0A7A">
        <w:rPr>
          <w:rFonts w:eastAsiaTheme="minorEastAsia"/>
        </w:rPr>
        <w:t>while</w:t>
      </w:r>
      <w:r w:rsidRPr="00886E17">
        <w:rPr>
          <w:rFonts w:eastAsiaTheme="minorEastAsia"/>
        </w:rPr>
        <w:t xml:space="preserve"> SR-High</w:t>
      </w:r>
      <w:r w:rsidR="005A0A7A">
        <w:rPr>
          <w:rFonts w:eastAsiaTheme="minorEastAsia"/>
        </w:rPr>
        <w:t xml:space="preserve"> </w:t>
      </w:r>
      <w:r w:rsidRPr="00886E17">
        <w:rPr>
          <w:rFonts w:eastAsiaTheme="minorEastAsia"/>
        </w:rPr>
        <w:t xml:space="preserve">has an e-folding </w:t>
      </w:r>
      <w:r w:rsidR="005A0A7A">
        <w:rPr>
          <w:rFonts w:eastAsiaTheme="minorEastAsia"/>
        </w:rPr>
        <w:t xml:space="preserve">localization </w:t>
      </w:r>
      <w:r w:rsidRPr="00886E17">
        <w:rPr>
          <w:rFonts w:eastAsiaTheme="minorEastAsia"/>
        </w:rPr>
        <w:t xml:space="preserve">distance of 350 km for its single-resolution ensemble BECs.  This </w:t>
      </w:r>
      <w:r w:rsidR="00BD0872">
        <w:rPr>
          <w:rFonts w:eastAsiaTheme="minorEastAsia"/>
        </w:rPr>
        <w:t xml:space="preserve">difference </w:t>
      </w:r>
      <w:r w:rsidRPr="00886E17">
        <w:rPr>
          <w:rFonts w:eastAsiaTheme="minorEastAsia"/>
        </w:rPr>
        <w:t>implies that using the extended MR-ENS technique allow</w:t>
      </w:r>
      <w:r w:rsidR="005A0A7A">
        <w:rPr>
          <w:rFonts w:eastAsiaTheme="minorEastAsia"/>
        </w:rPr>
        <w:t>s</w:t>
      </w:r>
      <w:r w:rsidRPr="00886E17">
        <w:rPr>
          <w:rFonts w:eastAsiaTheme="minorEastAsia"/>
        </w:rPr>
        <w:t xml:space="preserve"> for larger adjustments to be made to the background ensemble </w:t>
      </w:r>
      <w:r w:rsidR="00BD0872">
        <w:rPr>
          <w:rFonts w:eastAsiaTheme="minorEastAsia"/>
        </w:rPr>
        <w:t>at a further distance</w:t>
      </w:r>
      <w:r w:rsidRPr="00886E17">
        <w:rPr>
          <w:rFonts w:eastAsiaTheme="minorEastAsia"/>
        </w:rPr>
        <w:t xml:space="preserve"> from the observation point, thereby indicating larger analysis increments at large scales.  Huang et al. (2021, their Fig. 6) shows a very similar result where two of their experiments at the same ensemble size and resolution have vertically invariant horizontal localization radii with e-</w:t>
      </w:r>
      <w:r w:rsidRPr="00886E17">
        <w:rPr>
          <w:rFonts w:eastAsiaTheme="minorEastAsia"/>
        </w:rPr>
        <w:lastRenderedPageBreak/>
        <w:t xml:space="preserve">folding distances of 300 and 1000 km.  </w:t>
      </w:r>
      <w:r w:rsidR="00B320AC">
        <w:rPr>
          <w:rFonts w:eastAsiaTheme="minorEastAsia"/>
        </w:rPr>
        <w:t>C</w:t>
      </w:r>
      <w:r w:rsidRPr="00886E17">
        <w:rPr>
          <w:rFonts w:eastAsiaTheme="minorEastAsia"/>
        </w:rPr>
        <w:t xml:space="preserve">omparing these experiments, the 1000-km experiment had larger analysis increments at all scales. </w:t>
      </w:r>
    </w:p>
    <w:p w14:paraId="62B0F07B" w14:textId="471705D1" w:rsidR="00886E17" w:rsidRPr="00886E17" w:rsidRDefault="00B320AC" w:rsidP="00A80A0D">
      <w:pPr>
        <w:spacing w:line="480" w:lineRule="auto"/>
        <w:ind w:firstLine="720"/>
        <w:jc w:val="both"/>
        <w:rPr>
          <w:rFonts w:eastAsiaTheme="minorEastAsia"/>
        </w:rPr>
      </w:pPr>
      <w:r>
        <w:rPr>
          <w:rFonts w:eastAsiaTheme="minorEastAsia"/>
        </w:rPr>
        <w:t>For</w:t>
      </w:r>
      <w:r w:rsidR="00886E17" w:rsidRPr="00886E17">
        <w:rPr>
          <w:rFonts w:eastAsiaTheme="minorEastAsia"/>
        </w:rPr>
        <w:t xml:space="preserve"> smaller scales, even though SR-High and MR170 have the same high-resolution localization distance, SR-High has a greater number of high-resolution ensemble members (80 members) when compared to MR170 (40 members). SR-High also has 87.5% of the weight on the ensemble portion of the cost function, whereas MR170 has a weight of 43.75% applied to the high-resolution ensemble portion of the cost function.  These differences in methodology create a lower effective resolution as described in Kay and Wang (2020) and lead to </w:t>
      </w:r>
      <w:bookmarkStart w:id="19" w:name="_Hlk97639787"/>
      <w:r w:rsidR="00886E17" w:rsidRPr="00886E17">
        <w:rPr>
          <w:rFonts w:eastAsiaTheme="minorEastAsia"/>
        </w:rPr>
        <w:t xml:space="preserve">smaller adjustments at smaller scales </w:t>
      </w:r>
      <w:bookmarkEnd w:id="19"/>
      <w:r w:rsidR="00886E17" w:rsidRPr="00886E17">
        <w:rPr>
          <w:rFonts w:eastAsiaTheme="minorEastAsia"/>
        </w:rPr>
        <w:t xml:space="preserve">in accordance with the lesser weight on </w:t>
      </w:r>
      <w:r w:rsidR="00AF5318">
        <w:rPr>
          <w:rFonts w:eastAsiaTheme="minorEastAsia"/>
        </w:rPr>
        <w:t xml:space="preserve">the </w:t>
      </w:r>
      <w:r w:rsidR="00886E17" w:rsidRPr="00886E17">
        <w:rPr>
          <w:rFonts w:eastAsiaTheme="minorEastAsia"/>
        </w:rPr>
        <w:t>high-resolution ensemble BECs in the MR170 experiment. The smaller adjustments are reflected in the lower power in analysis increments at larger wavenumbers.</w:t>
      </w:r>
    </w:p>
    <w:p w14:paraId="39067E25" w14:textId="4DB3E171" w:rsidR="00886E17" w:rsidRPr="00886E17" w:rsidRDefault="00886E17" w:rsidP="00A80A0D">
      <w:pPr>
        <w:spacing w:line="480" w:lineRule="auto"/>
        <w:ind w:firstLine="720"/>
        <w:jc w:val="both"/>
        <w:rPr>
          <w:rFonts w:eastAsiaTheme="minorEastAsia"/>
        </w:rPr>
      </w:pPr>
      <w:r w:rsidRPr="00886E17">
        <w:rPr>
          <w:rFonts w:eastAsiaTheme="minorEastAsia"/>
        </w:rPr>
        <w:t xml:space="preserve">Another way of </w:t>
      </w:r>
      <w:r w:rsidR="00BD0872">
        <w:rPr>
          <w:rFonts w:eastAsiaTheme="minorEastAsia"/>
        </w:rPr>
        <w:t>examining</w:t>
      </w:r>
      <w:r w:rsidRPr="00886E17">
        <w:rPr>
          <w:rFonts w:eastAsiaTheme="minorEastAsia"/>
        </w:rPr>
        <w:t xml:space="preserve"> the multiscale impact of the different DA methods on the analysis is to complete a wavelet diagnostic on the analysis increments for the experiments (Torrence and Compo 1998).  </w:t>
      </w:r>
      <w:bookmarkStart w:id="20" w:name="_Hlk97640012"/>
      <w:r w:rsidR="004356F9" w:rsidRPr="004356F9">
        <w:rPr>
          <w:rFonts w:eastAsiaTheme="minorEastAsia"/>
        </w:rPr>
        <w:t>A wavelet analysis, in this case, can partially diagnose both the location and spatial scale of decomposed analysis increments</w:t>
      </w:r>
      <w:bookmarkEnd w:id="20"/>
      <w:r w:rsidRPr="00886E17">
        <w:rPr>
          <w:rFonts w:eastAsiaTheme="minorEastAsia"/>
        </w:rPr>
        <w:t xml:space="preserve">.  </w:t>
      </w:r>
      <w:bookmarkStart w:id="21" w:name="_Hlk97640043"/>
      <w:r w:rsidRPr="00886E17">
        <w:rPr>
          <w:rFonts w:eastAsiaTheme="minorEastAsia"/>
        </w:rPr>
        <w:t>The kinetic energy analysis increments for each analysis time were broken up into Morlet wavelets (Domingues et al. 2005) for each latitude and vertical level</w:t>
      </w:r>
      <w:bookmarkStart w:id="22" w:name="_Hlk97640076"/>
      <w:bookmarkEnd w:id="21"/>
      <w:r w:rsidRPr="00886E17">
        <w:rPr>
          <w:rFonts w:eastAsiaTheme="minorEastAsia"/>
        </w:rPr>
        <w:t xml:space="preserve">.  The wavelets were averaged </w:t>
      </w:r>
      <w:r w:rsidR="002C5E85">
        <w:rPr>
          <w:rFonts w:eastAsiaTheme="minorEastAsia"/>
        </w:rPr>
        <w:t xml:space="preserve">over </w:t>
      </w:r>
      <w:r w:rsidRPr="00886E17">
        <w:rPr>
          <w:rFonts w:eastAsiaTheme="minorEastAsia"/>
        </w:rPr>
        <w:t>all vertical levels</w:t>
      </w:r>
      <w:r w:rsidR="002C5E85">
        <w:rPr>
          <w:rFonts w:eastAsiaTheme="minorEastAsia"/>
        </w:rPr>
        <w:t>, all</w:t>
      </w:r>
      <w:r w:rsidRPr="00886E17">
        <w:rPr>
          <w:rFonts w:eastAsiaTheme="minorEastAsia"/>
        </w:rPr>
        <w:t xml:space="preserve"> cycles, and </w:t>
      </w:r>
      <w:r w:rsidR="002C5E85">
        <w:rPr>
          <w:rFonts w:eastAsiaTheme="minorEastAsia"/>
        </w:rPr>
        <w:t xml:space="preserve">all </w:t>
      </w:r>
      <w:r w:rsidRPr="00886E17">
        <w:rPr>
          <w:rFonts w:eastAsiaTheme="minorEastAsia"/>
        </w:rPr>
        <w:t>latitudes in four regions</w:t>
      </w:r>
      <w:bookmarkEnd w:id="22"/>
      <w:r w:rsidRPr="00886E17">
        <w:rPr>
          <w:rFonts w:eastAsiaTheme="minorEastAsia"/>
        </w:rPr>
        <w:t>: globally (GB; all latitudes), the Northern Hemisphere extratropics (NH; northward of 20</w:t>
      </w:r>
      <w:r w:rsidRPr="00886E17">
        <w:t xml:space="preserve">°N), the Southern Hemisphere extratropics (SH; southward of 20°S), and the tropics (TR; between </w:t>
      </w:r>
      <w:r w:rsidRPr="00886E17">
        <w:rPr>
          <w:rFonts w:eastAsiaTheme="minorEastAsia"/>
        </w:rPr>
        <w:t>20</w:t>
      </w:r>
      <w:r w:rsidRPr="00886E17">
        <w:t xml:space="preserve">°N and 20°S).  The difference in these averages for the MR170 and SR-High experiments are shown in Fig. 4.  The scales chosen for the analysis were from </w:t>
      </w:r>
      <w:bookmarkStart w:id="23" w:name="_Hlk97640137"/>
      <w:r w:rsidRPr="00886E17">
        <w:t xml:space="preserve">2 to </w:t>
      </w:r>
      <m:oMath>
        <m:sSup>
          <m:sSupPr>
            <m:ctrlPr>
              <w:rPr>
                <w:rFonts w:ascii="Cambria Math" w:hAnsi="Cambria Math"/>
                <w:i/>
              </w:rPr>
            </m:ctrlPr>
          </m:sSupPr>
          <m:e>
            <m:r>
              <w:rPr>
                <w:rFonts w:ascii="Cambria Math" w:hAnsi="Cambria Math"/>
              </w:rPr>
              <m:t>2</m:t>
            </m:r>
          </m:e>
          <m:sup>
            <m:d>
              <m:dPr>
                <m:ctrlPr>
                  <w:rPr>
                    <w:rFonts w:ascii="Cambria Math" w:hAnsi="Cambria Math"/>
                    <w:i/>
                  </w:rPr>
                </m:ctrlPr>
              </m:dPr>
              <m:e>
                <m:r>
                  <w:rPr>
                    <w:rFonts w:ascii="Cambria Math" w:hAnsi="Cambria Math"/>
                  </w:rPr>
                  <m:t>n</m:t>
                </m:r>
                <m:r>
                  <m:rPr>
                    <m:lit/>
                  </m:rPr>
                  <w:rPr>
                    <w:rFonts w:ascii="Cambria Math" w:hAnsi="Cambria Math"/>
                  </w:rPr>
                  <m:t>/</m:t>
                </m:r>
                <m:r>
                  <w:rPr>
                    <w:rFonts w:ascii="Cambria Math" w:hAnsi="Cambria Math"/>
                  </w:rPr>
                  <m:t>4</m:t>
                </m:r>
              </m:e>
            </m:d>
          </m:sup>
        </m:sSup>
      </m:oMath>
      <w:r w:rsidRPr="00886E17">
        <w:rPr>
          <w:rFonts w:eastAsiaTheme="minorEastAsia"/>
        </w:rPr>
        <w:t xml:space="preserve"> grid points, where </w:t>
      </w:r>
      <m:oMath>
        <m:r>
          <w:rPr>
            <w:rFonts w:ascii="Cambria Math" w:eastAsiaTheme="minorEastAsia" w:hAnsi="Cambria Math"/>
          </w:rPr>
          <m:t>n</m:t>
        </m:r>
      </m:oMath>
      <w:r w:rsidRPr="00886E17">
        <w:rPr>
          <w:rFonts w:eastAsiaTheme="minorEastAsia"/>
        </w:rPr>
        <w:t xml:space="preserve"> is the total number of scales, or 39 in this case</w:t>
      </w:r>
      <w:bookmarkEnd w:id="23"/>
      <w:r w:rsidRPr="00886E17">
        <w:rPr>
          <w:rFonts w:eastAsiaTheme="minorEastAsia"/>
        </w:rPr>
        <w:t xml:space="preserve">. </w:t>
      </w:r>
      <w:r w:rsidR="004356F9">
        <w:rPr>
          <w:rFonts w:eastAsiaTheme="minorEastAsia"/>
        </w:rPr>
        <w:t>In Fig. 4</w:t>
      </w:r>
      <w:r w:rsidRPr="00886E17">
        <w:rPr>
          <w:rFonts w:eastAsiaTheme="minorEastAsia"/>
        </w:rPr>
        <w:t xml:space="preserve">, the y-axes have been </w:t>
      </w:r>
      <w:r w:rsidRPr="00886E17">
        <w:rPr>
          <w:rFonts w:eastAsiaTheme="minorEastAsia"/>
        </w:rPr>
        <w:lastRenderedPageBreak/>
        <w:t xml:space="preserve">converted to wavenumber and wavelength—analogous to the x-axes in the above Fourier spectral analyses—for aid in interpreting what scales are being affected. </w:t>
      </w:r>
    </w:p>
    <w:p w14:paraId="492214A7" w14:textId="4367A17D" w:rsidR="00886E17" w:rsidRPr="00886E17" w:rsidRDefault="00B320AC" w:rsidP="00A80A0D">
      <w:pPr>
        <w:spacing w:line="480" w:lineRule="auto"/>
        <w:ind w:firstLine="720"/>
        <w:jc w:val="both"/>
        <w:rPr>
          <w:rFonts w:eastAsiaTheme="minorEastAsia"/>
        </w:rPr>
      </w:pPr>
      <w:r>
        <w:rPr>
          <w:rFonts w:eastAsiaTheme="minorEastAsia"/>
        </w:rPr>
        <w:t>For</w:t>
      </w:r>
      <w:r w:rsidR="00886E17" w:rsidRPr="00886E17">
        <w:rPr>
          <w:rFonts w:eastAsiaTheme="minorEastAsia"/>
        </w:rPr>
        <w:t xml:space="preserve"> the largest scales</w:t>
      </w:r>
      <w:r w:rsidR="00EB72A4">
        <w:rPr>
          <w:rFonts w:eastAsiaTheme="minorEastAsia"/>
        </w:rPr>
        <w:t xml:space="preserve">, </w:t>
      </w:r>
      <w:bookmarkStart w:id="24" w:name="_Hlk97640215"/>
      <w:r w:rsidR="00AF32AD">
        <w:rPr>
          <w:rFonts w:eastAsiaTheme="minorEastAsia"/>
        </w:rPr>
        <w:t>there is</w:t>
      </w:r>
      <w:r w:rsidR="00886E17" w:rsidRPr="00886E17">
        <w:rPr>
          <w:rFonts w:eastAsiaTheme="minorEastAsia"/>
        </w:rPr>
        <w:t xml:space="preserve"> a general increase in kinetic energy analysis increments globally for the MR170 experiment </w:t>
      </w:r>
      <w:bookmarkEnd w:id="24"/>
      <w:r w:rsidR="00886E17" w:rsidRPr="00886E17">
        <w:rPr>
          <w:rFonts w:eastAsiaTheme="minorEastAsia"/>
        </w:rPr>
        <w:t xml:space="preserve">(Fig. 4a).  This increase </w:t>
      </w:r>
      <w:r w:rsidR="00BD0872">
        <w:rPr>
          <w:rFonts w:eastAsiaTheme="minorEastAsia"/>
        </w:rPr>
        <w:t>is</w:t>
      </w:r>
      <w:r w:rsidR="00886E17" w:rsidRPr="00886E17">
        <w:rPr>
          <w:rFonts w:eastAsiaTheme="minorEastAsia"/>
        </w:rPr>
        <w:t xml:space="preserve"> mainly driven by features in the SH region (Fig. 4c), indicating that at the largest scales, the extended MR-ENS technique </w:t>
      </w:r>
      <w:r w:rsidR="004F1371">
        <w:rPr>
          <w:rFonts w:eastAsiaTheme="minorEastAsia"/>
        </w:rPr>
        <w:t>ha</w:t>
      </w:r>
      <w:r w:rsidR="004F1371" w:rsidRPr="00886E17">
        <w:rPr>
          <w:rFonts w:eastAsiaTheme="minorEastAsia"/>
        </w:rPr>
        <w:t xml:space="preserve">s </w:t>
      </w:r>
      <w:r w:rsidR="004F1371">
        <w:rPr>
          <w:rFonts w:eastAsiaTheme="minorEastAsia"/>
        </w:rPr>
        <w:t xml:space="preserve">a </w:t>
      </w:r>
      <w:r w:rsidR="00886E17" w:rsidRPr="00886E17">
        <w:rPr>
          <w:rFonts w:eastAsiaTheme="minorEastAsia"/>
        </w:rPr>
        <w:t>greater impact on the analysis in th</w:t>
      </w:r>
      <w:r w:rsidR="00D031FA">
        <w:rPr>
          <w:rFonts w:eastAsiaTheme="minorEastAsia"/>
        </w:rPr>
        <w:t>i</w:t>
      </w:r>
      <w:r w:rsidR="00886E17" w:rsidRPr="00886E17">
        <w:rPr>
          <w:rFonts w:eastAsiaTheme="minorEastAsia"/>
        </w:rPr>
        <w:t xml:space="preserve">s region.  At the smallest scales, </w:t>
      </w:r>
      <w:r w:rsidR="004F1371">
        <w:rPr>
          <w:rFonts w:eastAsiaTheme="minorEastAsia"/>
        </w:rPr>
        <w:t xml:space="preserve">globally, </w:t>
      </w:r>
      <w:r w:rsidR="00886E17" w:rsidRPr="00886E17">
        <w:rPr>
          <w:rFonts w:eastAsiaTheme="minorEastAsia"/>
        </w:rPr>
        <w:t xml:space="preserve">the SR-High experiment has </w:t>
      </w:r>
      <w:r w:rsidR="008E60AB">
        <w:rPr>
          <w:rFonts w:eastAsiaTheme="minorEastAsia"/>
        </w:rPr>
        <w:t xml:space="preserve">substantially </w:t>
      </w:r>
      <w:r w:rsidR="00886E17" w:rsidRPr="00886E17">
        <w:rPr>
          <w:rFonts w:eastAsiaTheme="minorEastAsia"/>
        </w:rPr>
        <w:t xml:space="preserve">greater analysis increment power at </w:t>
      </w:r>
      <w:r w:rsidR="008E60AB">
        <w:rPr>
          <w:rFonts w:eastAsiaTheme="minorEastAsia"/>
        </w:rPr>
        <w:t>some longitudes</w:t>
      </w:r>
      <w:r w:rsidR="00607F7A">
        <w:rPr>
          <w:rFonts w:eastAsiaTheme="minorEastAsia"/>
        </w:rPr>
        <w:t>—</w:t>
      </w:r>
      <w:r w:rsidR="008E60AB">
        <w:rPr>
          <w:rFonts w:eastAsiaTheme="minorEastAsia"/>
        </w:rPr>
        <w:t>namely</w:t>
      </w:r>
      <w:r w:rsidR="00607F7A">
        <w:rPr>
          <w:rFonts w:eastAsiaTheme="minorEastAsia"/>
        </w:rPr>
        <w:t xml:space="preserve"> </w:t>
      </w:r>
      <w:r w:rsidR="008E60AB">
        <w:rPr>
          <w:rFonts w:eastAsiaTheme="minorEastAsia"/>
        </w:rPr>
        <w:t>between 15</w:t>
      </w:r>
      <w:r w:rsidR="008E60AB" w:rsidRPr="00886E17">
        <w:t>°</w:t>
      </w:r>
      <w:r w:rsidR="008E60AB">
        <w:t>W and 90</w:t>
      </w:r>
      <w:r w:rsidR="008E60AB" w:rsidRPr="00886E17">
        <w:t>°</w:t>
      </w:r>
      <w:r w:rsidR="008E60AB">
        <w:t>W.</w:t>
      </w:r>
      <w:r w:rsidR="008E60AB">
        <w:rPr>
          <w:rFonts w:eastAsiaTheme="minorEastAsia"/>
        </w:rPr>
        <w:t xml:space="preserve"> At other longitudes, there </w:t>
      </w:r>
      <w:r w:rsidR="004F1371">
        <w:rPr>
          <w:rFonts w:eastAsiaTheme="minorEastAsia"/>
        </w:rPr>
        <w:t>is</w:t>
      </w:r>
      <w:r w:rsidR="008E60AB">
        <w:rPr>
          <w:rFonts w:eastAsiaTheme="minorEastAsia"/>
        </w:rPr>
        <w:t xml:space="preserve"> little difference</w:t>
      </w:r>
      <w:r w:rsidR="00886E17" w:rsidRPr="00886E17">
        <w:rPr>
          <w:rFonts w:eastAsiaTheme="minorEastAsia"/>
        </w:rPr>
        <w:t xml:space="preserve"> </w:t>
      </w:r>
      <w:r w:rsidR="008E60AB">
        <w:rPr>
          <w:rFonts w:eastAsiaTheme="minorEastAsia"/>
        </w:rPr>
        <w:t xml:space="preserve">between the two experiments. </w:t>
      </w:r>
      <w:r w:rsidR="00886E17" w:rsidRPr="00886E17">
        <w:rPr>
          <w:rFonts w:eastAsiaTheme="minorEastAsia"/>
        </w:rPr>
        <w:t xml:space="preserve">The largest and smallest scales display consistency with the results discussed above in the spectral decomposition of analysis increments at 500 hPa. </w:t>
      </w:r>
    </w:p>
    <w:p w14:paraId="3B7F21E3" w14:textId="4A92E2DC" w:rsidR="00886E17" w:rsidRPr="00886E17" w:rsidRDefault="008C42BD" w:rsidP="00A80A0D">
      <w:pPr>
        <w:spacing w:line="480" w:lineRule="auto"/>
        <w:ind w:firstLine="720"/>
        <w:jc w:val="both"/>
        <w:rPr>
          <w:rFonts w:eastAsiaTheme="minorEastAsia" w:cstheme="minorBidi"/>
        </w:rPr>
      </w:pPr>
      <w:bookmarkStart w:id="25" w:name="_Hlk97640407"/>
      <w:r>
        <w:rPr>
          <w:rFonts w:eastAsiaTheme="minorEastAsia"/>
        </w:rPr>
        <w:t xml:space="preserve">At medium scales, the experiments produced mixed results with regards to their effect on the kinetic energy analysis increments. </w:t>
      </w:r>
      <w:r w:rsidR="00886E17" w:rsidRPr="00886E17">
        <w:rPr>
          <w:rFonts w:eastAsiaTheme="minorEastAsia"/>
        </w:rPr>
        <w:t xml:space="preserve">For most longitudes, the MR170 experiment </w:t>
      </w:r>
      <w:r w:rsidR="008E60AB">
        <w:rPr>
          <w:rFonts w:eastAsiaTheme="minorEastAsia"/>
        </w:rPr>
        <w:t>still has</w:t>
      </w:r>
      <w:r w:rsidR="00886E17" w:rsidRPr="00886E17">
        <w:rPr>
          <w:rFonts w:eastAsiaTheme="minorEastAsia"/>
        </w:rPr>
        <w:t xml:space="preserve"> greater analysis increment</w:t>
      </w:r>
      <w:r w:rsidR="008E60AB">
        <w:rPr>
          <w:rFonts w:eastAsiaTheme="minorEastAsia"/>
        </w:rPr>
        <w:t xml:space="preserve"> power</w:t>
      </w:r>
      <w:bookmarkEnd w:id="25"/>
      <w:r w:rsidR="00886E17" w:rsidRPr="00886E17">
        <w:rPr>
          <w:rFonts w:eastAsiaTheme="minorEastAsia"/>
        </w:rPr>
        <w:t xml:space="preserve">.  However, </w:t>
      </w:r>
      <w:bookmarkStart w:id="26" w:name="_Hlk97640425"/>
      <w:r w:rsidR="00886E17" w:rsidRPr="00886E17">
        <w:rPr>
          <w:rFonts w:eastAsiaTheme="minorEastAsia"/>
        </w:rPr>
        <w:t>between about 120</w:t>
      </w:r>
      <w:r w:rsidR="00886E17" w:rsidRPr="00886E17">
        <w:t xml:space="preserve">°W and </w:t>
      </w:r>
      <w:r w:rsidR="00886E17" w:rsidRPr="00886E17">
        <w:rPr>
          <w:rFonts w:eastAsiaTheme="minorEastAsia"/>
        </w:rPr>
        <w:t>0</w:t>
      </w:r>
      <w:r w:rsidR="00886E17" w:rsidRPr="00886E17">
        <w:t xml:space="preserve">°, the </w:t>
      </w:r>
      <w:r w:rsidR="008E60AB">
        <w:t xml:space="preserve">analysis increment power for the </w:t>
      </w:r>
      <w:r w:rsidR="00886E17" w:rsidRPr="00886E17">
        <w:t>SR-High experiment is substantial</w:t>
      </w:r>
      <w:r w:rsidR="008E60AB">
        <w:t>ly</w:t>
      </w:r>
      <w:r w:rsidR="00886E17" w:rsidRPr="00886E17">
        <w:t xml:space="preserve"> increase</w:t>
      </w:r>
      <w:r w:rsidR="008E60AB">
        <w:t>d</w:t>
      </w:r>
      <w:bookmarkEnd w:id="26"/>
      <w:r w:rsidR="00886E17" w:rsidRPr="00886E17">
        <w:t xml:space="preserve">.  As shown in Fig. 4b,d, this </w:t>
      </w:r>
      <w:r w:rsidR="00F9480D">
        <w:t xml:space="preserve">increase </w:t>
      </w:r>
      <w:r w:rsidR="00886E17" w:rsidRPr="00886E17">
        <w:t xml:space="preserve">is </w:t>
      </w:r>
      <w:r w:rsidR="002C5E85">
        <w:t>primari</w:t>
      </w:r>
      <w:r w:rsidR="002C5E85" w:rsidRPr="00886E17">
        <w:t xml:space="preserve">ly </w:t>
      </w:r>
      <w:r w:rsidR="00886E17" w:rsidRPr="00886E17">
        <w:t>driven by the NH and TR in the areas associated with the Atlantic Ocean, the Caribbean Sea, the Gulf of Mexico, and the United States East Coast.  Contrar</w:t>
      </w:r>
      <w:r w:rsidR="002C5E85">
        <w:t>ily</w:t>
      </w:r>
      <w:r w:rsidR="00886E17" w:rsidRPr="00886E17">
        <w:t xml:space="preserve">, in the SH, MR170 has </w:t>
      </w:r>
      <w:r w:rsidR="00316519">
        <w:t xml:space="preserve">the </w:t>
      </w:r>
      <w:r w:rsidR="00886E17" w:rsidRPr="00886E17">
        <w:t xml:space="preserve">greater </w:t>
      </w:r>
      <w:r w:rsidR="00316519">
        <w:t xml:space="preserve">analysis </w:t>
      </w:r>
      <w:r w:rsidR="00886E17" w:rsidRPr="00886E17">
        <w:t>increment power between the two experiments</w:t>
      </w:r>
      <w:r w:rsidR="00316519">
        <w:t xml:space="preserve"> in the Atlantic region</w:t>
      </w:r>
      <w:r w:rsidR="00886E17" w:rsidRPr="00886E17">
        <w:t xml:space="preserve">.  </w:t>
      </w:r>
    </w:p>
    <w:p w14:paraId="1743C56D" w14:textId="32EAAEBD" w:rsidR="00886E17" w:rsidRPr="00886E17" w:rsidRDefault="00886E17" w:rsidP="00A80A0D">
      <w:pPr>
        <w:spacing w:line="480" w:lineRule="auto"/>
        <w:ind w:firstLine="720"/>
        <w:jc w:val="both"/>
        <w:rPr>
          <w:rFonts w:eastAsiaTheme="minorEastAsia"/>
        </w:rPr>
      </w:pPr>
      <w:r w:rsidRPr="00886E17">
        <w:rPr>
          <w:rFonts w:eastAsiaTheme="minorEastAsia"/>
        </w:rPr>
        <w:t>As with the large and small</w:t>
      </w:r>
      <w:r w:rsidR="00607F7A">
        <w:rPr>
          <w:rFonts w:eastAsiaTheme="minorEastAsia"/>
        </w:rPr>
        <w:t xml:space="preserve"> </w:t>
      </w:r>
      <w:r w:rsidRPr="00886E17">
        <w:rPr>
          <w:rFonts w:eastAsiaTheme="minorEastAsia"/>
        </w:rPr>
        <w:t>scales, the SH results at all longitudes a</w:t>
      </w:r>
      <w:r w:rsidR="004F1371">
        <w:rPr>
          <w:rFonts w:eastAsiaTheme="minorEastAsia"/>
        </w:rPr>
        <w:t>s well as</w:t>
      </w:r>
      <w:r w:rsidRPr="00886E17">
        <w:rPr>
          <w:rFonts w:eastAsiaTheme="minorEastAsia"/>
        </w:rPr>
        <w:t xml:space="preserve"> the NH and TR results outside of the Atlantic region for medium scales are not unexpected as they are consistent with Fig. 3</w:t>
      </w:r>
      <w:r w:rsidR="004F1371">
        <w:rPr>
          <w:rFonts w:eastAsiaTheme="minorEastAsia"/>
        </w:rPr>
        <w:t xml:space="preserve"> in</w:t>
      </w:r>
      <w:r w:rsidRPr="00886E17">
        <w:rPr>
          <w:rFonts w:eastAsiaTheme="minorEastAsia"/>
        </w:rPr>
        <w:t xml:space="preserve"> that the larger localization distance is leading to larger analysis increments at large and medium scales.  However, the larger kinetic energy analysis increment power for SR-High in medium scales in the Atlantic is antithetical to this notion.  To determine what physical </w:t>
      </w:r>
      <w:r w:rsidRPr="00886E17">
        <w:rPr>
          <w:rFonts w:eastAsiaTheme="minorEastAsia"/>
        </w:rPr>
        <w:lastRenderedPageBreak/>
        <w:t xml:space="preserve">processes are associated with this result, instead of averaging the wavelets over latitude, as in Fig. 4, the wavelets were instead averaged over all levels, all cycles, and small- </w:t>
      </w:r>
      <w:r w:rsidR="00BF12BD">
        <w:rPr>
          <w:rFonts w:eastAsiaTheme="minorEastAsia"/>
        </w:rPr>
        <w:t xml:space="preserve">(wavelet scales 1-15 or </w:t>
      </w:r>
      <w:r w:rsidR="00007618">
        <w:rPr>
          <w:rFonts w:eastAsiaTheme="minorEastAsia"/>
        </w:rPr>
        <w:t xml:space="preserve">wavelengths </w:t>
      </w:r>
      <w:r w:rsidR="00BF12BD">
        <w:rPr>
          <w:rFonts w:eastAsiaTheme="minorEastAsia"/>
        </w:rPr>
        <w:t xml:space="preserve">less than approximately 350 km) </w:t>
      </w:r>
      <w:r w:rsidRPr="00886E17">
        <w:rPr>
          <w:rFonts w:eastAsiaTheme="minorEastAsia"/>
        </w:rPr>
        <w:t>and medium-scales (wavelet scal</w:t>
      </w:r>
      <w:r w:rsidR="00BF12BD">
        <w:rPr>
          <w:rFonts w:eastAsiaTheme="minorEastAsia"/>
        </w:rPr>
        <w:t xml:space="preserve">es 16-30 or approximately </w:t>
      </w:r>
      <w:r w:rsidR="00007618">
        <w:rPr>
          <w:rFonts w:eastAsiaTheme="minorEastAsia"/>
        </w:rPr>
        <w:t xml:space="preserve">wavelengths </w:t>
      </w:r>
      <w:r w:rsidR="00F7627A">
        <w:rPr>
          <w:rFonts w:eastAsiaTheme="minorEastAsia"/>
        </w:rPr>
        <w:t xml:space="preserve">between </w:t>
      </w:r>
      <w:r w:rsidR="00BF12BD">
        <w:rPr>
          <w:rFonts w:eastAsiaTheme="minorEastAsia"/>
        </w:rPr>
        <w:t>350</w:t>
      </w:r>
      <w:r w:rsidR="00F7627A">
        <w:rPr>
          <w:rFonts w:eastAsiaTheme="minorEastAsia"/>
        </w:rPr>
        <w:t xml:space="preserve"> and </w:t>
      </w:r>
      <w:r w:rsidR="00BF12BD">
        <w:rPr>
          <w:rFonts w:eastAsiaTheme="minorEastAsia"/>
        </w:rPr>
        <w:t>5000 km</w:t>
      </w:r>
      <w:r w:rsidRPr="00886E17">
        <w:rPr>
          <w:rFonts w:eastAsiaTheme="minorEastAsia"/>
        </w:rPr>
        <w:t>).  Then, the difference between MR170 and SR-High was taken</w:t>
      </w:r>
      <w:r w:rsidR="00015B21">
        <w:rPr>
          <w:rFonts w:eastAsiaTheme="minorEastAsia"/>
        </w:rPr>
        <w:t xml:space="preserve"> and plotted in Fig. 5</w:t>
      </w:r>
      <w:r w:rsidRPr="00886E17">
        <w:rPr>
          <w:rFonts w:eastAsiaTheme="minorEastAsia"/>
        </w:rPr>
        <w:t xml:space="preserve">.  </w:t>
      </w:r>
    </w:p>
    <w:p w14:paraId="1DF9B6C6" w14:textId="4ED8A123" w:rsidR="00886E17" w:rsidRPr="00886E17" w:rsidRDefault="00886E17" w:rsidP="00A80A0D">
      <w:pPr>
        <w:spacing w:line="480" w:lineRule="auto"/>
        <w:ind w:firstLine="720"/>
        <w:jc w:val="both"/>
        <w:rPr>
          <w:rFonts w:eastAsiaTheme="minorEastAsia"/>
        </w:rPr>
      </w:pPr>
      <w:r w:rsidRPr="00886E17">
        <w:rPr>
          <w:rFonts w:eastAsiaTheme="minorEastAsia"/>
        </w:rPr>
        <w:t xml:space="preserve">Medium scales </w:t>
      </w:r>
      <w:r w:rsidR="00396A88">
        <w:rPr>
          <w:rFonts w:eastAsiaTheme="minorEastAsia"/>
        </w:rPr>
        <w:t>display</w:t>
      </w:r>
      <w:r w:rsidR="00396A88" w:rsidRPr="00886E17">
        <w:rPr>
          <w:rFonts w:eastAsiaTheme="minorEastAsia"/>
        </w:rPr>
        <w:t xml:space="preserve"> </w:t>
      </w:r>
      <w:r w:rsidRPr="00886E17">
        <w:rPr>
          <w:rFonts w:eastAsiaTheme="minorEastAsia"/>
        </w:rPr>
        <w:t xml:space="preserve">a minimum in the difference in analysis increment power in the   subtropical </w:t>
      </w:r>
      <w:r w:rsidR="00307A77">
        <w:rPr>
          <w:rFonts w:eastAsiaTheme="minorEastAsia"/>
        </w:rPr>
        <w:t xml:space="preserve">and northern tropical </w:t>
      </w:r>
      <w:r w:rsidRPr="00886E17">
        <w:rPr>
          <w:rFonts w:eastAsiaTheme="minorEastAsia"/>
        </w:rPr>
        <w:t xml:space="preserve">Atlantic (Fig. 5a). </w:t>
      </w:r>
      <w:r w:rsidR="004A1657">
        <w:rPr>
          <w:rFonts w:eastAsiaTheme="minorEastAsia"/>
        </w:rPr>
        <w:t>Tropical</w:t>
      </w:r>
      <w:r w:rsidRPr="00886E17">
        <w:rPr>
          <w:rFonts w:eastAsiaTheme="minorEastAsia"/>
        </w:rPr>
        <w:t xml:space="preserve"> easterly wave tracks that were observed at 850 hPa during September 2017 as calculated by Hollis (2021)</w:t>
      </w:r>
      <w:r w:rsidR="004A1657">
        <w:rPr>
          <w:rFonts w:eastAsiaTheme="minorEastAsia"/>
        </w:rPr>
        <w:t xml:space="preserve"> are also overlaid in Fig. 5a</w:t>
      </w:r>
      <w:r w:rsidRPr="00886E17">
        <w:rPr>
          <w:rFonts w:eastAsiaTheme="minorEastAsia"/>
        </w:rPr>
        <w:t xml:space="preserve">. Tropical easterly waves, of which the most well-known subset is African </w:t>
      </w:r>
      <w:r w:rsidR="00DD4C13">
        <w:rPr>
          <w:rFonts w:eastAsiaTheme="minorEastAsia"/>
        </w:rPr>
        <w:t>e</w:t>
      </w:r>
      <w:r w:rsidRPr="00886E17">
        <w:rPr>
          <w:rFonts w:eastAsiaTheme="minorEastAsia"/>
        </w:rPr>
        <w:t xml:space="preserve">asterly </w:t>
      </w:r>
      <w:r w:rsidR="00DD4C13">
        <w:rPr>
          <w:rFonts w:eastAsiaTheme="minorEastAsia"/>
        </w:rPr>
        <w:t>w</w:t>
      </w:r>
      <w:r w:rsidRPr="00886E17">
        <w:rPr>
          <w:rFonts w:eastAsiaTheme="minorEastAsia"/>
        </w:rPr>
        <w:t xml:space="preserve">aves, are westward propagating synoptic-scale waves in the tropics, often associated with areas of convection </w:t>
      </w:r>
      <w:r w:rsidR="00DD4C13">
        <w:rPr>
          <w:rFonts w:eastAsiaTheme="minorEastAsia"/>
        </w:rPr>
        <w:t>(e.g., Carlson 1969). These waves</w:t>
      </w:r>
      <w:r w:rsidR="007F51B0">
        <w:rPr>
          <w:rFonts w:eastAsiaTheme="minorEastAsia"/>
        </w:rPr>
        <w:t xml:space="preserve"> are </w:t>
      </w:r>
      <w:r w:rsidRPr="00886E17">
        <w:rPr>
          <w:rFonts w:eastAsiaTheme="minorEastAsia"/>
        </w:rPr>
        <w:t>frequently precursors to tropical cyclone</w:t>
      </w:r>
      <w:r w:rsidR="00397E6B">
        <w:rPr>
          <w:rFonts w:eastAsiaTheme="minorEastAsia"/>
        </w:rPr>
        <w:t>s</w:t>
      </w:r>
      <w:r w:rsidRPr="00886E17">
        <w:rPr>
          <w:rFonts w:eastAsiaTheme="minorEastAsia"/>
        </w:rPr>
        <w:t xml:space="preserve"> (TC</w:t>
      </w:r>
      <w:r w:rsidR="00397E6B">
        <w:rPr>
          <w:rFonts w:eastAsiaTheme="minorEastAsia"/>
        </w:rPr>
        <w:t>s</w:t>
      </w:r>
      <w:r w:rsidRPr="00886E17">
        <w:rPr>
          <w:rFonts w:eastAsiaTheme="minorEastAsia"/>
        </w:rPr>
        <w:t xml:space="preserve">), especially in the Atlantic basin (e.g., Landsea and Gray 1992).  Though the waves themselves have typical wavelengths of 2000 to 4000 km (e.g., Carlson 1969), the most active region </w:t>
      </w:r>
      <w:r w:rsidR="00397E6B">
        <w:rPr>
          <w:rFonts w:eastAsiaTheme="minorEastAsia"/>
        </w:rPr>
        <w:t xml:space="preserve">of moist convection </w:t>
      </w:r>
      <w:r w:rsidRPr="00886E17">
        <w:rPr>
          <w:rFonts w:eastAsiaTheme="minorEastAsia"/>
        </w:rPr>
        <w:t xml:space="preserve">spans a shorter distance.  Hollis (2021) found that a 500-km radius was sufficient to capture the area of intense precipitation associated with tropical easterly waves, which is an area consistent with the medium scale defined above. </w:t>
      </w:r>
      <w:r w:rsidR="00B320AC">
        <w:rPr>
          <w:rFonts w:eastAsiaTheme="minorEastAsia"/>
        </w:rPr>
        <w:t>C</w:t>
      </w:r>
      <w:r w:rsidRPr="00886E17">
        <w:rPr>
          <w:rFonts w:eastAsiaTheme="minorEastAsia"/>
        </w:rPr>
        <w:t xml:space="preserve">omparing the wavelet power </w:t>
      </w:r>
      <w:r w:rsidR="00B320AC">
        <w:rPr>
          <w:rFonts w:eastAsiaTheme="minorEastAsia"/>
        </w:rPr>
        <w:t>to</w:t>
      </w:r>
      <w:r w:rsidR="00B320AC" w:rsidRPr="00886E17">
        <w:rPr>
          <w:rFonts w:eastAsiaTheme="minorEastAsia"/>
        </w:rPr>
        <w:t xml:space="preserve"> </w:t>
      </w:r>
      <w:r w:rsidRPr="00886E17">
        <w:rPr>
          <w:rFonts w:eastAsiaTheme="minorEastAsia"/>
        </w:rPr>
        <w:t xml:space="preserve">the wave locations, the </w:t>
      </w:r>
      <w:r w:rsidR="00B7106B">
        <w:rPr>
          <w:rFonts w:eastAsiaTheme="minorEastAsia"/>
        </w:rPr>
        <w:t>greater</w:t>
      </w:r>
      <w:r w:rsidRPr="00886E17">
        <w:rPr>
          <w:rFonts w:eastAsiaTheme="minorEastAsia"/>
        </w:rPr>
        <w:t xml:space="preserve"> </w:t>
      </w:r>
      <w:r w:rsidR="00B7106B">
        <w:rPr>
          <w:rFonts w:eastAsiaTheme="minorEastAsia"/>
        </w:rPr>
        <w:t>analysis increment power of</w:t>
      </w:r>
      <w:r w:rsidR="009245F3">
        <w:rPr>
          <w:rFonts w:eastAsiaTheme="minorEastAsia"/>
        </w:rPr>
        <w:t xml:space="preserve"> the</w:t>
      </w:r>
      <w:r w:rsidRPr="00886E17">
        <w:rPr>
          <w:rFonts w:eastAsiaTheme="minorEastAsia"/>
        </w:rPr>
        <w:t xml:space="preserve"> SR-High analysis at medium scales is </w:t>
      </w:r>
      <w:r w:rsidR="00CA4054">
        <w:rPr>
          <w:rFonts w:eastAsiaTheme="minorEastAsia"/>
        </w:rPr>
        <w:t xml:space="preserve">substantially </w:t>
      </w:r>
      <w:r w:rsidRPr="00886E17">
        <w:rPr>
          <w:rFonts w:eastAsiaTheme="minorEastAsia"/>
        </w:rPr>
        <w:t xml:space="preserve">collocated with the high density of tropical easterly waves in the Atlantic. </w:t>
      </w:r>
    </w:p>
    <w:p w14:paraId="0FE58B0C" w14:textId="72985492" w:rsidR="00886E17" w:rsidRPr="00886E17" w:rsidRDefault="00886E17" w:rsidP="00A80A0D">
      <w:pPr>
        <w:spacing w:line="480" w:lineRule="auto"/>
        <w:ind w:firstLine="720"/>
        <w:jc w:val="both"/>
        <w:rPr>
          <w:rFonts w:eastAsiaTheme="minorEastAsia"/>
        </w:rPr>
      </w:pPr>
      <w:r w:rsidRPr="00886E17">
        <w:rPr>
          <w:rFonts w:eastAsiaTheme="minorEastAsia"/>
        </w:rPr>
        <w:t xml:space="preserve">To further confirm that these types of high-intensity cyclonic features are dominating </w:t>
      </w:r>
      <w:r w:rsidR="0030338F">
        <w:rPr>
          <w:rFonts w:eastAsiaTheme="minorEastAsia"/>
        </w:rPr>
        <w:t xml:space="preserve">the increase </w:t>
      </w:r>
      <w:r w:rsidRPr="00886E17">
        <w:rPr>
          <w:rFonts w:eastAsiaTheme="minorEastAsia"/>
        </w:rPr>
        <w:t>in kinetic energy analysis increments</w:t>
      </w:r>
      <w:r w:rsidR="0030338F">
        <w:rPr>
          <w:rFonts w:eastAsiaTheme="minorEastAsia"/>
        </w:rPr>
        <w:t xml:space="preserve"> for SR-High</w:t>
      </w:r>
      <w:r w:rsidRPr="00886E17">
        <w:rPr>
          <w:rFonts w:eastAsiaTheme="minorEastAsia"/>
        </w:rPr>
        <w:t xml:space="preserve">, the small-scale analysis increments were also plotted in Fig. </w:t>
      </w:r>
      <w:r w:rsidR="006731FA">
        <w:rPr>
          <w:rFonts w:eastAsiaTheme="minorEastAsia"/>
        </w:rPr>
        <w:t>5</w:t>
      </w:r>
      <w:r w:rsidRPr="00886E17">
        <w:rPr>
          <w:rFonts w:eastAsiaTheme="minorEastAsia"/>
        </w:rPr>
        <w:t xml:space="preserve">b, which </w:t>
      </w:r>
      <w:r w:rsidR="008E2FA2" w:rsidRPr="00886E17">
        <w:rPr>
          <w:rFonts w:eastAsiaTheme="minorEastAsia"/>
        </w:rPr>
        <w:t xml:space="preserve">generally </w:t>
      </w:r>
      <w:r w:rsidRPr="00886E17">
        <w:rPr>
          <w:rFonts w:eastAsiaTheme="minorEastAsia"/>
        </w:rPr>
        <w:t>shows an area of high-magnitude negative values in the northern tropical Atlantic and near the United States’ East Coast.</w:t>
      </w:r>
      <w:r w:rsidR="009245F3">
        <w:rPr>
          <w:rFonts w:eastAsiaTheme="minorEastAsia"/>
        </w:rPr>
        <w:t xml:space="preserve"> </w:t>
      </w:r>
      <w:r w:rsidR="00B320AC">
        <w:rPr>
          <w:rFonts w:eastAsiaTheme="minorEastAsia"/>
        </w:rPr>
        <w:t>C</w:t>
      </w:r>
      <w:r w:rsidRPr="00886E17">
        <w:rPr>
          <w:rFonts w:eastAsiaTheme="minorEastAsia"/>
        </w:rPr>
        <w:t xml:space="preserve">omparing these differences to the Atlantic hurricanes during that month, three hurricane tracks fall within that area.  These are </w:t>
      </w:r>
      <w:r w:rsidRPr="00886E17">
        <w:rPr>
          <w:rFonts w:eastAsiaTheme="minorEastAsia"/>
        </w:rPr>
        <w:lastRenderedPageBreak/>
        <w:t xml:space="preserve">Hurricanes Irma, Jose, and Maria, which were the three strongest hurricanes during the 2017 season, peaking at a Category 4 for Jose and Category 5 for Irma and Maria.  It would </w:t>
      </w:r>
      <w:r w:rsidR="00391B4D">
        <w:rPr>
          <w:rFonts w:eastAsiaTheme="minorEastAsia"/>
        </w:rPr>
        <w:t>be reasonable</w:t>
      </w:r>
      <w:r w:rsidRPr="00886E17">
        <w:rPr>
          <w:rFonts w:eastAsiaTheme="minorEastAsia"/>
        </w:rPr>
        <w:t xml:space="preserve"> that these storms</w:t>
      </w:r>
      <w:r w:rsidR="008E2FA2">
        <w:rPr>
          <w:rFonts w:eastAsiaTheme="minorEastAsia"/>
        </w:rPr>
        <w:t>—</w:t>
      </w:r>
      <w:r w:rsidRPr="00886E17">
        <w:rPr>
          <w:rFonts w:eastAsiaTheme="minorEastAsia"/>
        </w:rPr>
        <w:t>with</w:t>
      </w:r>
      <w:r w:rsidR="008E2FA2">
        <w:rPr>
          <w:rFonts w:eastAsiaTheme="minorEastAsia"/>
        </w:rPr>
        <w:t xml:space="preserve"> </w:t>
      </w:r>
      <w:r w:rsidRPr="00886E17">
        <w:rPr>
          <w:rFonts w:eastAsiaTheme="minorEastAsia"/>
        </w:rPr>
        <w:t xml:space="preserve">very strong winds over small scales </w:t>
      </w:r>
      <w:r w:rsidR="00391B4D">
        <w:rPr>
          <w:rFonts w:eastAsiaTheme="minorEastAsia"/>
        </w:rPr>
        <w:t>in their</w:t>
      </w:r>
      <w:r w:rsidR="00391B4D" w:rsidRPr="00886E17">
        <w:rPr>
          <w:rFonts w:eastAsiaTheme="minorEastAsia"/>
        </w:rPr>
        <w:t xml:space="preserve"> </w:t>
      </w:r>
      <w:r w:rsidRPr="00886E17">
        <w:rPr>
          <w:rFonts w:eastAsiaTheme="minorEastAsia"/>
        </w:rPr>
        <w:t>powerful inner</w:t>
      </w:r>
      <w:r w:rsidR="008E2FA2">
        <w:rPr>
          <w:rFonts w:eastAsiaTheme="minorEastAsia"/>
        </w:rPr>
        <w:t>-</w:t>
      </w:r>
      <w:r w:rsidRPr="00886E17">
        <w:rPr>
          <w:rFonts w:eastAsiaTheme="minorEastAsia"/>
        </w:rPr>
        <w:t>core and rainband regions</w:t>
      </w:r>
      <w:r w:rsidR="008E2FA2">
        <w:rPr>
          <w:rFonts w:eastAsiaTheme="minorEastAsia"/>
        </w:rPr>
        <w:t>—</w:t>
      </w:r>
      <w:r w:rsidRPr="00886E17">
        <w:rPr>
          <w:rFonts w:eastAsiaTheme="minorEastAsia"/>
        </w:rPr>
        <w:t>would</w:t>
      </w:r>
      <w:r w:rsidR="008E2FA2">
        <w:rPr>
          <w:rFonts w:eastAsiaTheme="minorEastAsia"/>
        </w:rPr>
        <w:t xml:space="preserve"> </w:t>
      </w:r>
      <w:r w:rsidRPr="00886E17">
        <w:rPr>
          <w:rFonts w:eastAsiaTheme="minorEastAsia"/>
        </w:rPr>
        <w:t xml:space="preserve">have larger analysis increments </w:t>
      </w:r>
      <w:r w:rsidR="00391B4D">
        <w:rPr>
          <w:rFonts w:eastAsiaTheme="minorEastAsia"/>
        </w:rPr>
        <w:t xml:space="preserve">at small scales </w:t>
      </w:r>
      <w:r w:rsidRPr="00886E17">
        <w:rPr>
          <w:rFonts w:eastAsiaTheme="minorEastAsia"/>
        </w:rPr>
        <w:t xml:space="preserve">for a DA method more apt to resolve small-scale features. </w:t>
      </w:r>
    </w:p>
    <w:p w14:paraId="7413F8EA" w14:textId="3C701087" w:rsidR="00886E17" w:rsidRPr="00886E17" w:rsidRDefault="00886E17" w:rsidP="00A80A0D">
      <w:pPr>
        <w:spacing w:line="480" w:lineRule="auto"/>
        <w:ind w:firstLine="720"/>
        <w:jc w:val="both"/>
        <w:rPr>
          <w:rFonts w:eastAsiaTheme="minorEastAsia"/>
        </w:rPr>
      </w:pPr>
      <w:r w:rsidRPr="00886E17">
        <w:rPr>
          <w:rFonts w:eastAsiaTheme="minorEastAsia"/>
        </w:rPr>
        <w:t xml:space="preserve">In features </w:t>
      </w:r>
      <w:r w:rsidR="00E603A6">
        <w:rPr>
          <w:rFonts w:eastAsiaTheme="minorEastAsia"/>
        </w:rPr>
        <w:t xml:space="preserve">for </w:t>
      </w:r>
      <w:r w:rsidRPr="00886E17">
        <w:rPr>
          <w:rFonts w:eastAsiaTheme="minorEastAsia"/>
        </w:rPr>
        <w:t xml:space="preserve">which the most intense impacts </w:t>
      </w:r>
      <w:r w:rsidR="00E603A6">
        <w:rPr>
          <w:rFonts w:eastAsiaTheme="minorEastAsia"/>
        </w:rPr>
        <w:t>are</w:t>
      </w:r>
      <w:r w:rsidRPr="00886E17">
        <w:rPr>
          <w:rFonts w:eastAsiaTheme="minorEastAsia"/>
        </w:rPr>
        <w:t xml:space="preserve"> dominated by the mesoscale, such as in TCs and tropical easterly waves, SR-High </w:t>
      </w:r>
      <w:r w:rsidR="00E603A6">
        <w:rPr>
          <w:rFonts w:eastAsiaTheme="minorEastAsia"/>
        </w:rPr>
        <w:t>has</w:t>
      </w:r>
      <w:r w:rsidRPr="00886E17">
        <w:rPr>
          <w:rFonts w:eastAsiaTheme="minorEastAsia"/>
        </w:rPr>
        <w:t xml:space="preserve"> the advantage of </w:t>
      </w:r>
      <w:r w:rsidR="00B527FA">
        <w:rPr>
          <w:rFonts w:eastAsiaTheme="minorEastAsia"/>
        </w:rPr>
        <w:t>mak</w:t>
      </w:r>
      <w:r w:rsidRPr="00886E17">
        <w:rPr>
          <w:rFonts w:eastAsiaTheme="minorEastAsia"/>
        </w:rPr>
        <w:t xml:space="preserve">ing larger </w:t>
      </w:r>
      <w:r w:rsidR="00B527FA">
        <w:rPr>
          <w:rFonts w:eastAsiaTheme="minorEastAsia"/>
        </w:rPr>
        <w:t>adjustments</w:t>
      </w:r>
      <w:r w:rsidRPr="00886E17">
        <w:rPr>
          <w:rFonts w:eastAsiaTheme="minorEastAsia"/>
        </w:rPr>
        <w:t xml:space="preserve"> in these scales</w:t>
      </w:r>
      <w:r w:rsidR="00F67610">
        <w:rPr>
          <w:rFonts w:eastAsiaTheme="minorEastAsia"/>
        </w:rPr>
        <w:t>.  These adjustments are</w:t>
      </w:r>
      <w:r w:rsidRPr="00886E17">
        <w:rPr>
          <w:rFonts w:eastAsiaTheme="minorEastAsia"/>
        </w:rPr>
        <w:t xml:space="preserve"> due to the </w:t>
      </w:r>
      <w:r w:rsidR="00B527FA">
        <w:rPr>
          <w:rFonts w:eastAsiaTheme="minorEastAsia"/>
        </w:rPr>
        <w:t>greate</w:t>
      </w:r>
      <w:r w:rsidR="00B527FA" w:rsidRPr="00886E17">
        <w:rPr>
          <w:rFonts w:eastAsiaTheme="minorEastAsia"/>
        </w:rPr>
        <w:t xml:space="preserve">r </w:t>
      </w:r>
      <w:r w:rsidRPr="00886E17">
        <w:rPr>
          <w:rFonts w:eastAsiaTheme="minorEastAsia"/>
        </w:rPr>
        <w:t xml:space="preserve">number of high-resolution ensemble members and larger weight on the tighter localization scale, which has been shown to be beneficial for smaller-scale features (e.g., Zhang et al. 2009).  In more </w:t>
      </w:r>
      <w:r w:rsidR="009245F3" w:rsidRPr="00886E17">
        <w:rPr>
          <w:rFonts w:eastAsiaTheme="minorEastAsia"/>
        </w:rPr>
        <w:t>synoptically forced</w:t>
      </w:r>
      <w:r w:rsidRPr="00886E17">
        <w:rPr>
          <w:rFonts w:eastAsiaTheme="minorEastAsia"/>
        </w:rPr>
        <w:t xml:space="preserve"> regions, however, as is the case in the SH in the</w:t>
      </w:r>
      <w:r w:rsidR="00F44ABE">
        <w:rPr>
          <w:rFonts w:eastAsiaTheme="minorEastAsia"/>
        </w:rPr>
        <w:t xml:space="preserve"> austral </w:t>
      </w:r>
      <w:r w:rsidRPr="00886E17">
        <w:rPr>
          <w:rFonts w:eastAsiaTheme="minorEastAsia"/>
        </w:rPr>
        <w:t>late winter/early spring during which this study occurs, MR170 still make</w:t>
      </w:r>
      <w:r w:rsidR="00E603A6">
        <w:rPr>
          <w:rFonts w:eastAsiaTheme="minorEastAsia"/>
        </w:rPr>
        <w:t>s</w:t>
      </w:r>
      <w:r w:rsidRPr="00886E17">
        <w:rPr>
          <w:rFonts w:eastAsiaTheme="minorEastAsia"/>
        </w:rPr>
        <w:t xml:space="preserve"> larger corrections in the </w:t>
      </w:r>
      <w:r w:rsidR="00E603A6" w:rsidRPr="00886E17">
        <w:rPr>
          <w:rFonts w:eastAsiaTheme="minorEastAsia"/>
        </w:rPr>
        <w:t>m</w:t>
      </w:r>
      <w:r w:rsidR="00E603A6">
        <w:rPr>
          <w:rFonts w:eastAsiaTheme="minorEastAsia"/>
        </w:rPr>
        <w:t>edium</w:t>
      </w:r>
      <w:r w:rsidRPr="00886E17">
        <w:rPr>
          <w:rFonts w:eastAsiaTheme="minorEastAsia"/>
        </w:rPr>
        <w:t xml:space="preserve"> to large</w:t>
      </w:r>
      <w:r w:rsidR="003B0ED0">
        <w:rPr>
          <w:rFonts w:eastAsiaTheme="minorEastAsia"/>
        </w:rPr>
        <w:t xml:space="preserve"> </w:t>
      </w:r>
      <w:r w:rsidRPr="00886E17">
        <w:rPr>
          <w:rFonts w:eastAsiaTheme="minorEastAsia"/>
        </w:rPr>
        <w:t>scales, as would be expected with a larger number of low-resolution members and a broader localization scale applied to these members.</w:t>
      </w:r>
    </w:p>
    <w:p w14:paraId="3D4113A2" w14:textId="77777777" w:rsidR="00886E17" w:rsidRDefault="00886E17" w:rsidP="00A80A0D">
      <w:pPr>
        <w:spacing w:line="480" w:lineRule="auto"/>
        <w:ind w:firstLine="720"/>
        <w:jc w:val="both"/>
        <w:rPr>
          <w:rFonts w:eastAsiaTheme="minorEastAsia"/>
        </w:rPr>
      </w:pPr>
      <w:r w:rsidRPr="00886E17">
        <w:rPr>
          <w:rFonts w:eastAsiaTheme="minorEastAsia"/>
        </w:rPr>
        <w:t>Large analysis increments do not necessarily indicate a better analysis or subsequent forecast a priori; they instead indicate that the observations adjusted the analysis further away from the background forecast.  Subsequent sections will examine the impact of these corrections on the global and regional analysis and forecast errors.</w:t>
      </w:r>
    </w:p>
    <w:p w14:paraId="3858007A" w14:textId="77ADCC83" w:rsidR="00DC648A" w:rsidRPr="00886E17" w:rsidRDefault="00DC648A" w:rsidP="00A80A0D">
      <w:pPr>
        <w:pStyle w:val="NoSpacing"/>
        <w:spacing w:line="480" w:lineRule="auto"/>
        <w:jc w:val="both"/>
        <w:rPr>
          <w:rFonts w:ascii="Times New Roman" w:hAnsi="Times New Roman" w:cs="Times New Roman"/>
          <w:i/>
          <w:iCs/>
        </w:rPr>
      </w:pPr>
      <w:r w:rsidRPr="00886E17">
        <w:rPr>
          <w:rFonts w:ascii="Times New Roman" w:hAnsi="Times New Roman" w:cs="Times New Roman"/>
          <w:i/>
          <w:iCs/>
        </w:rPr>
        <w:t xml:space="preserve">b.  </w:t>
      </w:r>
      <w:r w:rsidR="00886E17" w:rsidRPr="00886E17">
        <w:rPr>
          <w:rFonts w:ascii="Times New Roman" w:hAnsi="Times New Roman" w:cs="Times New Roman"/>
          <w:i/>
          <w:iCs/>
        </w:rPr>
        <w:t>Short-term forecast errors and ensemble spread</w:t>
      </w:r>
    </w:p>
    <w:p w14:paraId="476E7CBC" w14:textId="76CE29B5" w:rsidR="00886E17" w:rsidRPr="00886E17" w:rsidRDefault="00886E17" w:rsidP="00A80A0D">
      <w:pPr>
        <w:spacing w:line="480" w:lineRule="auto"/>
        <w:ind w:firstLine="720"/>
        <w:jc w:val="both"/>
        <w:rPr>
          <w:rFonts w:eastAsiaTheme="minorHAnsi" w:cstheme="minorBidi"/>
          <w:szCs w:val="22"/>
        </w:rPr>
      </w:pPr>
      <w:r w:rsidRPr="00886E17">
        <w:rPr>
          <w:rFonts w:eastAsiaTheme="minorEastAsia" w:cstheme="minorBidi"/>
          <w:szCs w:val="22"/>
        </w:rPr>
        <w:t>There are several methods that</w:t>
      </w:r>
      <w:r w:rsidR="00DD4C13">
        <w:rPr>
          <w:rFonts w:eastAsiaTheme="minorEastAsia" w:cstheme="minorBidi"/>
          <w:szCs w:val="22"/>
        </w:rPr>
        <w:t>,</w:t>
      </w:r>
      <w:r w:rsidRPr="00886E17">
        <w:rPr>
          <w:rFonts w:eastAsiaTheme="minorEastAsia" w:cstheme="minorBidi"/>
          <w:szCs w:val="22"/>
        </w:rPr>
        <w:t xml:space="preserve"> </w:t>
      </w:r>
      <w:r w:rsidR="00DD4C13">
        <w:rPr>
          <w:rFonts w:eastAsiaTheme="minorEastAsia" w:cstheme="minorBidi"/>
          <w:szCs w:val="22"/>
        </w:rPr>
        <w:t>when</w:t>
      </w:r>
      <w:r w:rsidRPr="00886E17">
        <w:rPr>
          <w:rFonts w:eastAsiaTheme="minorEastAsia" w:cstheme="minorBidi"/>
          <w:szCs w:val="22"/>
        </w:rPr>
        <w:t xml:space="preserve"> employed</w:t>
      </w:r>
      <w:r w:rsidR="00DD4C13">
        <w:rPr>
          <w:rFonts w:eastAsiaTheme="minorEastAsia" w:cstheme="minorBidi"/>
          <w:szCs w:val="22"/>
        </w:rPr>
        <w:t xml:space="preserve">, can </w:t>
      </w:r>
      <w:r w:rsidRPr="00886E17">
        <w:rPr>
          <w:rFonts w:eastAsiaTheme="minorEastAsia" w:cstheme="minorBidi"/>
          <w:szCs w:val="22"/>
        </w:rPr>
        <w:t>determine if the greater analysis increments</w:t>
      </w:r>
      <w:r w:rsidR="002C5E85">
        <w:rPr>
          <w:rFonts w:eastAsiaTheme="minorEastAsia" w:cstheme="minorBidi"/>
          <w:szCs w:val="22"/>
        </w:rPr>
        <w:t>, as</w:t>
      </w:r>
      <w:r w:rsidRPr="00886E17">
        <w:rPr>
          <w:rFonts w:eastAsiaTheme="minorEastAsia" w:cstheme="minorBidi"/>
          <w:szCs w:val="22"/>
        </w:rPr>
        <w:t xml:space="preserve"> examined in the previous section, translate into a better forecast.  One method is to compare the forecast to the observations.  For this study, </w:t>
      </w:r>
      <w:bookmarkStart w:id="27" w:name="_Hlk97641170"/>
      <w:r w:rsidRPr="00886E17">
        <w:rPr>
          <w:rFonts w:eastAsiaTheme="minorEastAsia" w:cstheme="minorBidi"/>
          <w:szCs w:val="22"/>
        </w:rPr>
        <w:t>the difference between the 6-h forecast in observation space and the rawinsonde observations of temperature and wind speed were calculated for each cycle</w:t>
      </w:r>
      <w:bookmarkEnd w:id="27"/>
      <w:r w:rsidRPr="00886E17">
        <w:rPr>
          <w:rFonts w:eastAsiaTheme="minorEastAsia" w:cstheme="minorBidi"/>
          <w:szCs w:val="22"/>
        </w:rPr>
        <w:t xml:space="preserve">.  </w:t>
      </w:r>
      <w:bookmarkStart w:id="28" w:name="_Hlk97641187"/>
      <w:r w:rsidRPr="00886E17">
        <w:rPr>
          <w:rFonts w:eastAsiaTheme="minorEastAsia" w:cstheme="minorBidi"/>
          <w:szCs w:val="22"/>
        </w:rPr>
        <w:t xml:space="preserve">The root square mean fit (RMSF) of the forecast to the observations </w:t>
      </w:r>
      <w:r w:rsidR="002C5E85">
        <w:rPr>
          <w:rFonts w:eastAsiaTheme="minorEastAsia" w:cstheme="minorBidi"/>
          <w:szCs w:val="22"/>
        </w:rPr>
        <w:t xml:space="preserve">for </w:t>
      </w:r>
      <w:r w:rsidR="002C5E85">
        <w:rPr>
          <w:rFonts w:eastAsiaTheme="minorEastAsia" w:cstheme="minorBidi"/>
          <w:szCs w:val="22"/>
        </w:rPr>
        <w:lastRenderedPageBreak/>
        <w:t xml:space="preserve">all cycles </w:t>
      </w:r>
      <w:r w:rsidRPr="00886E17">
        <w:rPr>
          <w:rFonts w:eastAsiaTheme="minorEastAsia" w:cstheme="minorBidi"/>
          <w:szCs w:val="22"/>
        </w:rPr>
        <w:t xml:space="preserve">was then calculated </w:t>
      </w:r>
      <w:bookmarkEnd w:id="28"/>
      <w:r w:rsidRPr="00886E17">
        <w:rPr>
          <w:rFonts w:eastAsiaTheme="minorEastAsia" w:cstheme="minorBidi"/>
          <w:szCs w:val="22"/>
        </w:rPr>
        <w:t xml:space="preserve">and </w:t>
      </w:r>
      <w:bookmarkStart w:id="29" w:name="_Hlk97641205"/>
      <w:r w:rsidRPr="00886E17">
        <w:rPr>
          <w:rFonts w:eastAsiaTheme="minorEastAsia" w:cstheme="minorBidi"/>
          <w:szCs w:val="22"/>
        </w:rPr>
        <w:t xml:space="preserve">averaged </w:t>
      </w:r>
      <w:r w:rsidR="002C5E85">
        <w:rPr>
          <w:rFonts w:eastAsiaTheme="minorEastAsia" w:cstheme="minorBidi"/>
          <w:szCs w:val="22"/>
        </w:rPr>
        <w:t xml:space="preserve">over </w:t>
      </w:r>
      <w:r w:rsidRPr="00886E17">
        <w:rPr>
          <w:rFonts w:eastAsiaTheme="minorEastAsia" w:cstheme="minorBidi"/>
          <w:szCs w:val="22"/>
        </w:rPr>
        <w:t>vertical levels in increments of 100 hPa</w:t>
      </w:r>
      <w:bookmarkEnd w:id="29"/>
      <w:r w:rsidRPr="00886E17">
        <w:rPr>
          <w:rFonts w:eastAsiaTheme="minorEastAsia" w:cstheme="minorBidi"/>
          <w:szCs w:val="22"/>
        </w:rPr>
        <w:t xml:space="preserve">.  The RMSF was broken down into the same four regions as described in section </w:t>
      </w:r>
      <w:r w:rsidR="00D6433F">
        <w:rPr>
          <w:rFonts w:eastAsiaTheme="minorEastAsia" w:cstheme="minorBidi"/>
          <w:szCs w:val="22"/>
        </w:rPr>
        <w:t>4</w:t>
      </w:r>
      <w:r w:rsidRPr="00886E17">
        <w:rPr>
          <w:rFonts w:eastAsiaTheme="minorEastAsia" w:cstheme="minorBidi"/>
          <w:szCs w:val="22"/>
        </w:rPr>
        <w:t>a: GB, NH, SH, and TR</w:t>
      </w:r>
      <w:r w:rsidRPr="00886E17">
        <w:rPr>
          <w:rFonts w:eastAsiaTheme="minorHAnsi" w:cstheme="minorBidi"/>
          <w:szCs w:val="22"/>
        </w:rPr>
        <w:t xml:space="preserve">.  </w:t>
      </w:r>
      <w:r w:rsidR="00AF32AD">
        <w:rPr>
          <w:rFonts w:eastAsiaTheme="minorHAnsi" w:cstheme="minorBidi"/>
          <w:szCs w:val="22"/>
        </w:rPr>
        <w:t xml:space="preserve">In </w:t>
      </w:r>
      <w:r w:rsidRPr="00886E17">
        <w:rPr>
          <w:rFonts w:eastAsiaTheme="minorHAnsi" w:cstheme="minorBidi"/>
          <w:szCs w:val="22"/>
        </w:rPr>
        <w:t>Fig. 6</w:t>
      </w:r>
      <w:r w:rsidR="00AF32AD">
        <w:rPr>
          <w:rFonts w:eastAsiaTheme="minorHAnsi" w:cstheme="minorBidi"/>
          <w:szCs w:val="22"/>
        </w:rPr>
        <w:t xml:space="preserve">, </w:t>
      </w:r>
      <w:r w:rsidRPr="00886E17">
        <w:rPr>
          <w:rFonts w:eastAsiaTheme="minorHAnsi" w:cstheme="minorBidi"/>
          <w:szCs w:val="22"/>
        </w:rPr>
        <w:t>the difference in RMSF between the two experiments</w:t>
      </w:r>
      <w:r w:rsidR="00B730F6">
        <w:rPr>
          <w:rFonts w:eastAsiaTheme="minorHAnsi" w:cstheme="minorBidi"/>
          <w:szCs w:val="22"/>
        </w:rPr>
        <w:t xml:space="preserve"> as well as</w:t>
      </w:r>
      <w:r w:rsidRPr="00886E17">
        <w:rPr>
          <w:rFonts w:eastAsiaTheme="minorHAnsi" w:cstheme="minorBidi"/>
          <w:szCs w:val="22"/>
        </w:rPr>
        <w:t xml:space="preserve"> the statistical significance</w:t>
      </w:r>
      <w:r w:rsidR="00B730F6">
        <w:rPr>
          <w:rFonts w:eastAsiaTheme="minorHAnsi" w:cstheme="minorBidi"/>
          <w:szCs w:val="22"/>
        </w:rPr>
        <w:t xml:space="preserve">, which </w:t>
      </w:r>
      <w:r w:rsidRPr="00886E17">
        <w:rPr>
          <w:rFonts w:eastAsiaTheme="minorHAnsi" w:cstheme="minorBidi"/>
          <w:szCs w:val="22"/>
        </w:rPr>
        <w:t xml:space="preserve">was </w:t>
      </w:r>
      <w:bookmarkStart w:id="30" w:name="_Hlk97641247"/>
      <w:r w:rsidRPr="00886E17">
        <w:rPr>
          <w:rFonts w:eastAsiaTheme="minorEastAsia" w:cstheme="minorBidi"/>
          <w:szCs w:val="22"/>
        </w:rPr>
        <w:t xml:space="preserve">calculated using a paired </w:t>
      </w:r>
      <w:r w:rsidRPr="00886E17">
        <w:rPr>
          <w:rFonts w:eastAsiaTheme="minorEastAsia" w:cstheme="minorBidi"/>
          <w:i/>
          <w:iCs/>
          <w:szCs w:val="22"/>
        </w:rPr>
        <w:t>t</w:t>
      </w:r>
      <w:r w:rsidRPr="00886E17">
        <w:rPr>
          <w:rFonts w:eastAsiaTheme="minorEastAsia" w:cstheme="minorBidi"/>
          <w:szCs w:val="22"/>
        </w:rPr>
        <w:t>-test with a 95% confidence interval</w:t>
      </w:r>
      <w:bookmarkEnd w:id="30"/>
      <w:r w:rsidR="00AF32AD">
        <w:rPr>
          <w:rFonts w:eastAsiaTheme="minorEastAsia" w:cstheme="minorBidi"/>
          <w:szCs w:val="22"/>
        </w:rPr>
        <w:t>, were plotted</w:t>
      </w:r>
      <w:r w:rsidRPr="00886E17">
        <w:rPr>
          <w:rFonts w:eastAsiaTheme="minorHAnsi" w:cstheme="minorBidi"/>
          <w:szCs w:val="22"/>
        </w:rPr>
        <w:t xml:space="preserve">.  </w:t>
      </w:r>
      <w:bookmarkStart w:id="31" w:name="_Hlk97641291"/>
      <w:r w:rsidRPr="00886E17">
        <w:rPr>
          <w:rFonts w:eastAsiaTheme="minorHAnsi" w:cstheme="minorBidi"/>
          <w:szCs w:val="22"/>
        </w:rPr>
        <w:t xml:space="preserve">For both the temperature and wind speed, MR170 </w:t>
      </w:r>
      <w:r w:rsidR="00D6433F">
        <w:rPr>
          <w:rFonts w:eastAsiaTheme="minorHAnsi" w:cstheme="minorBidi"/>
          <w:szCs w:val="22"/>
        </w:rPr>
        <w:t>ha</w:t>
      </w:r>
      <w:r w:rsidR="00D6433F" w:rsidRPr="00886E17">
        <w:rPr>
          <w:rFonts w:eastAsiaTheme="minorHAnsi" w:cstheme="minorBidi"/>
          <w:szCs w:val="22"/>
        </w:rPr>
        <w:t xml:space="preserve">s </w:t>
      </w:r>
      <w:r w:rsidRPr="00886E17">
        <w:rPr>
          <w:rFonts w:eastAsiaTheme="minorHAnsi" w:cstheme="minorBidi"/>
          <w:szCs w:val="22"/>
        </w:rPr>
        <w:t xml:space="preserve">a better fit to the observations when compared with SR-High for all vertical levels </w:t>
      </w:r>
      <w:bookmarkEnd w:id="31"/>
      <w:r w:rsidRPr="00886E17">
        <w:rPr>
          <w:rFonts w:eastAsiaTheme="minorHAnsi" w:cstheme="minorBidi"/>
          <w:szCs w:val="22"/>
        </w:rPr>
        <w:t xml:space="preserve">(Fig. 6).  </w:t>
      </w:r>
      <w:r w:rsidR="005C2358">
        <w:rPr>
          <w:rFonts w:eastAsiaTheme="minorHAnsi" w:cstheme="minorBidi"/>
          <w:szCs w:val="22"/>
        </w:rPr>
        <w:t>T</w:t>
      </w:r>
      <w:r w:rsidRPr="00886E17">
        <w:rPr>
          <w:rFonts w:eastAsiaTheme="minorHAnsi" w:cstheme="minorBidi"/>
          <w:szCs w:val="22"/>
        </w:rPr>
        <w:t>he improvement is most apparent in the</w:t>
      </w:r>
      <w:r w:rsidR="008E1D79">
        <w:rPr>
          <w:rFonts w:eastAsiaTheme="minorHAnsi" w:cstheme="minorBidi"/>
          <w:szCs w:val="22"/>
        </w:rPr>
        <w:t xml:space="preserve"> upper levels of the</w:t>
      </w:r>
      <w:r w:rsidRPr="00886E17">
        <w:rPr>
          <w:rFonts w:eastAsiaTheme="minorHAnsi" w:cstheme="minorBidi"/>
          <w:szCs w:val="22"/>
        </w:rPr>
        <w:t xml:space="preserve"> TR region for both the temperature and wind speed. </w:t>
      </w:r>
    </w:p>
    <w:p w14:paraId="5DAC82E9" w14:textId="0EE152DF" w:rsidR="007948CC" w:rsidRDefault="00886E17" w:rsidP="00691834">
      <w:pPr>
        <w:spacing w:line="480" w:lineRule="auto"/>
        <w:ind w:firstLine="720"/>
        <w:jc w:val="both"/>
        <w:rPr>
          <w:rFonts w:eastAsiaTheme="minorHAnsi" w:cstheme="minorBidi"/>
          <w:szCs w:val="22"/>
        </w:rPr>
      </w:pPr>
      <w:r w:rsidRPr="00886E17">
        <w:rPr>
          <w:rFonts w:eastAsiaTheme="minorHAnsi" w:cstheme="minorBidi"/>
          <w:szCs w:val="22"/>
        </w:rPr>
        <w:t>Another aspect that it is important to examine when using an ensemble-based DA method is the relationship between the error and the spread of the ensemble.  I</w:t>
      </w:r>
      <w:bookmarkStart w:id="32" w:name="_Hlk97641468"/>
      <w:r w:rsidRPr="00886E17">
        <w:rPr>
          <w:rFonts w:eastAsiaTheme="minorHAnsi" w:cstheme="minorBidi"/>
          <w:szCs w:val="22"/>
        </w:rPr>
        <w:t>deally, the spread of the ensemble, which is a measure of the uncertainty of the forecast, would be representative of the ensemble forecast errors</w:t>
      </w:r>
      <w:bookmarkEnd w:id="32"/>
      <w:r w:rsidRPr="00886E17">
        <w:rPr>
          <w:rFonts w:eastAsiaTheme="minorHAnsi" w:cstheme="minorBidi"/>
          <w:szCs w:val="22"/>
        </w:rPr>
        <w:t>.  However, e</w:t>
      </w:r>
      <w:bookmarkStart w:id="33" w:name="_Hlk97641529"/>
      <w:r w:rsidRPr="00886E17">
        <w:rPr>
          <w:rFonts w:eastAsiaTheme="minorHAnsi" w:cstheme="minorBidi"/>
          <w:szCs w:val="22"/>
        </w:rPr>
        <w:t>nsemble-based DA systems often have ensemble spread that is relatively too small.  This deficiency can lead to an issue called ‘filter divergence,’ where over several cycles, the observations become underweighted due to overconfidence in the ensemble forecast (e.g., Houtekamer and Mitchell 1998; Whitaker and Hamill 2002)</w:t>
      </w:r>
      <w:bookmarkEnd w:id="33"/>
      <w:r w:rsidRPr="00886E17">
        <w:rPr>
          <w:rFonts w:eastAsiaTheme="minorHAnsi" w:cstheme="minorBidi"/>
          <w:szCs w:val="22"/>
        </w:rPr>
        <w:t xml:space="preserve">.  In general, </w:t>
      </w:r>
      <w:r w:rsidR="00B754DA">
        <w:rPr>
          <w:rFonts w:eastAsiaTheme="minorHAnsi" w:cstheme="minorBidi"/>
          <w:szCs w:val="22"/>
        </w:rPr>
        <w:t xml:space="preserve">the total RMSF of the 6-h forecast to temperature and wind observations in </w:t>
      </w:r>
      <w:r w:rsidRPr="00886E17">
        <w:rPr>
          <w:rFonts w:eastAsiaTheme="minorHAnsi" w:cstheme="minorBidi"/>
          <w:szCs w:val="22"/>
        </w:rPr>
        <w:t xml:space="preserve">Fig. 7 shows that </w:t>
      </w:r>
      <w:r w:rsidR="00EB6D24">
        <w:rPr>
          <w:rFonts w:eastAsiaTheme="minorHAnsi" w:cstheme="minorBidi"/>
          <w:szCs w:val="22"/>
        </w:rPr>
        <w:t>the temperature errors are largest at the surface and upper levels for all regions</w:t>
      </w:r>
      <w:r w:rsidR="00B97274">
        <w:rPr>
          <w:rFonts w:eastAsiaTheme="minorHAnsi" w:cstheme="minorBidi"/>
          <w:szCs w:val="22"/>
        </w:rPr>
        <w:t>, while</w:t>
      </w:r>
      <w:r w:rsidR="004303B1">
        <w:rPr>
          <w:rFonts w:eastAsiaTheme="minorHAnsi" w:cstheme="minorBidi"/>
          <w:szCs w:val="22"/>
        </w:rPr>
        <w:t xml:space="preserve"> w</w:t>
      </w:r>
      <w:r w:rsidR="00D96FDD">
        <w:rPr>
          <w:rFonts w:eastAsiaTheme="minorHAnsi" w:cstheme="minorBidi"/>
          <w:szCs w:val="22"/>
        </w:rPr>
        <w:t xml:space="preserve">ind speed errors tend to increase with decreasing pressure. Consistent with Fig. 6, the MR170 experiment slightly outperforms the SR-High experiment for all regions and levels. </w:t>
      </w:r>
      <w:r w:rsidR="00C212E0">
        <w:rPr>
          <w:rFonts w:eastAsiaTheme="minorHAnsi" w:cstheme="minorBidi"/>
          <w:szCs w:val="22"/>
        </w:rPr>
        <w:t xml:space="preserve">When comparing the RMSF to the total spread, </w:t>
      </w:r>
      <w:r w:rsidR="00D96FDD">
        <w:rPr>
          <w:rFonts w:eastAsiaTheme="minorHAnsi" w:cstheme="minorBidi"/>
          <w:szCs w:val="22"/>
        </w:rPr>
        <w:t>the</w:t>
      </w:r>
      <w:r w:rsidRPr="00886E17">
        <w:rPr>
          <w:rFonts w:eastAsiaTheme="minorHAnsi" w:cstheme="minorBidi"/>
          <w:szCs w:val="22"/>
        </w:rPr>
        <w:t xml:space="preserve"> ensemble is</w:t>
      </w:r>
      <w:r w:rsidR="00C212E0">
        <w:rPr>
          <w:rFonts w:eastAsiaTheme="minorHAnsi" w:cstheme="minorBidi"/>
          <w:szCs w:val="22"/>
        </w:rPr>
        <w:t xml:space="preserve"> shown to be</w:t>
      </w:r>
      <w:r w:rsidRPr="00886E17">
        <w:rPr>
          <w:rFonts w:eastAsiaTheme="minorHAnsi" w:cstheme="minorBidi"/>
          <w:szCs w:val="22"/>
        </w:rPr>
        <w:t xml:space="preserve"> underdispersive for both the temperature and the wind speed</w:t>
      </w:r>
      <w:r w:rsidR="00E14345">
        <w:rPr>
          <w:rFonts w:eastAsiaTheme="minorHAnsi" w:cstheme="minorBidi"/>
          <w:szCs w:val="22"/>
        </w:rPr>
        <w:t>. However, this</w:t>
      </w:r>
      <w:r w:rsidRPr="00886E17">
        <w:rPr>
          <w:rFonts w:eastAsiaTheme="minorHAnsi" w:cstheme="minorBidi"/>
          <w:szCs w:val="22"/>
        </w:rPr>
        <w:t xml:space="preserve"> difference</w:t>
      </w:r>
      <w:r w:rsidR="00B97274">
        <w:rPr>
          <w:rFonts w:eastAsiaTheme="minorHAnsi" w:cstheme="minorBidi"/>
          <w:szCs w:val="22"/>
        </w:rPr>
        <w:t xml:space="preserve"> between the RMSF and spread</w:t>
      </w:r>
      <w:r w:rsidRPr="00886E17">
        <w:rPr>
          <w:rFonts w:eastAsiaTheme="minorHAnsi" w:cstheme="minorBidi"/>
          <w:szCs w:val="22"/>
        </w:rPr>
        <w:t xml:space="preserve"> is smaller for the MR170 experiment </w:t>
      </w:r>
      <w:r w:rsidR="00B97274">
        <w:rPr>
          <w:rFonts w:eastAsiaTheme="minorHAnsi" w:cstheme="minorBidi"/>
          <w:szCs w:val="22"/>
        </w:rPr>
        <w:t>than for</w:t>
      </w:r>
      <w:r w:rsidRPr="00886E17">
        <w:rPr>
          <w:rFonts w:eastAsiaTheme="minorHAnsi" w:cstheme="minorBidi"/>
          <w:szCs w:val="22"/>
        </w:rPr>
        <w:t xml:space="preserve"> the SR-High experiment.</w:t>
      </w:r>
      <w:r w:rsidR="008A1657">
        <w:rPr>
          <w:rFonts w:eastAsiaTheme="minorHAnsi" w:cstheme="minorBidi"/>
          <w:szCs w:val="22"/>
        </w:rPr>
        <w:t xml:space="preserve"> </w:t>
      </w:r>
    </w:p>
    <w:p w14:paraId="526C349D" w14:textId="1E17CAA8" w:rsidR="00C01F3B" w:rsidRPr="00886E17" w:rsidRDefault="00886E17" w:rsidP="0006446C">
      <w:pPr>
        <w:spacing w:line="480" w:lineRule="auto"/>
        <w:ind w:firstLine="720"/>
        <w:jc w:val="both"/>
        <w:rPr>
          <w:rFonts w:eastAsiaTheme="minorHAnsi" w:cstheme="minorBidi"/>
          <w:szCs w:val="22"/>
        </w:rPr>
      </w:pPr>
      <w:r w:rsidRPr="00886E17">
        <w:rPr>
          <w:rFonts w:eastAsiaTheme="minorHAnsi" w:cstheme="minorBidi"/>
          <w:szCs w:val="22"/>
        </w:rPr>
        <w:t xml:space="preserve">Fig. 8 further demonstrates how the ensemble spread is increased in the MR170 experiment for most vertical levels.  </w:t>
      </w:r>
      <w:bookmarkStart w:id="34" w:name="_Hlk97641769"/>
      <w:r w:rsidRPr="00886E17">
        <w:rPr>
          <w:rFonts w:eastAsiaTheme="minorHAnsi" w:cstheme="minorBidi"/>
          <w:szCs w:val="22"/>
        </w:rPr>
        <w:t xml:space="preserve">This increase is most apparent in the SH, especially </w:t>
      </w:r>
      <w:r w:rsidR="006302B0">
        <w:rPr>
          <w:rFonts w:eastAsiaTheme="minorHAnsi" w:cstheme="minorBidi"/>
          <w:szCs w:val="22"/>
        </w:rPr>
        <w:t xml:space="preserve">in levels that </w:t>
      </w:r>
      <w:r w:rsidR="00852CD6">
        <w:rPr>
          <w:rFonts w:eastAsiaTheme="minorHAnsi" w:cstheme="minorBidi"/>
          <w:szCs w:val="22"/>
        </w:rPr>
        <w:t xml:space="preserve">are </w:t>
      </w:r>
      <w:r w:rsidR="00852CD6">
        <w:rPr>
          <w:rFonts w:eastAsiaTheme="minorHAnsi" w:cstheme="minorBidi"/>
          <w:szCs w:val="22"/>
        </w:rPr>
        <w:lastRenderedPageBreak/>
        <w:t xml:space="preserve">typically associated with </w:t>
      </w:r>
      <w:r w:rsidR="006302B0">
        <w:rPr>
          <w:rFonts w:eastAsiaTheme="minorHAnsi" w:cstheme="minorBidi"/>
          <w:szCs w:val="22"/>
        </w:rPr>
        <w:t xml:space="preserve">substantial </w:t>
      </w:r>
      <w:r w:rsidR="00026590">
        <w:rPr>
          <w:rFonts w:eastAsiaTheme="minorHAnsi" w:cstheme="minorBidi"/>
          <w:szCs w:val="22"/>
        </w:rPr>
        <w:t xml:space="preserve">temporal and spatial </w:t>
      </w:r>
      <w:r w:rsidR="006302B0">
        <w:rPr>
          <w:rFonts w:eastAsiaTheme="minorHAnsi" w:cstheme="minorBidi"/>
          <w:szCs w:val="22"/>
        </w:rPr>
        <w:t>variance in temperature (i.e</w:t>
      </w:r>
      <w:r w:rsidR="00852CD6">
        <w:rPr>
          <w:rFonts w:eastAsiaTheme="minorHAnsi" w:cstheme="minorBidi"/>
          <w:szCs w:val="22"/>
        </w:rPr>
        <w:t>.</w:t>
      </w:r>
      <w:r w:rsidR="006302B0">
        <w:rPr>
          <w:rFonts w:eastAsiaTheme="minorHAnsi" w:cstheme="minorBidi"/>
          <w:szCs w:val="22"/>
        </w:rPr>
        <w:t xml:space="preserve">, </w:t>
      </w:r>
      <w:r w:rsidRPr="00886E17">
        <w:rPr>
          <w:rFonts w:eastAsiaTheme="minorHAnsi" w:cstheme="minorBidi"/>
          <w:szCs w:val="22"/>
        </w:rPr>
        <w:t>near the surface</w:t>
      </w:r>
      <w:r w:rsidR="006302B0">
        <w:rPr>
          <w:rFonts w:eastAsiaTheme="minorHAnsi" w:cstheme="minorBidi"/>
          <w:szCs w:val="22"/>
        </w:rPr>
        <w:t xml:space="preserve">) and wind speed (i.e., </w:t>
      </w:r>
      <w:r w:rsidRPr="00886E17">
        <w:rPr>
          <w:rFonts w:eastAsiaTheme="minorHAnsi" w:cstheme="minorBidi"/>
          <w:szCs w:val="22"/>
        </w:rPr>
        <w:t>near jet-level</w:t>
      </w:r>
      <w:r w:rsidR="006302B0">
        <w:rPr>
          <w:rFonts w:eastAsiaTheme="minorHAnsi" w:cstheme="minorBidi"/>
          <w:szCs w:val="22"/>
        </w:rPr>
        <w:t>)</w:t>
      </w:r>
      <w:r w:rsidR="008A1657">
        <w:rPr>
          <w:rFonts w:eastAsiaTheme="minorHAnsi" w:cstheme="minorBidi"/>
          <w:szCs w:val="22"/>
        </w:rPr>
        <w:t xml:space="preserve">.  </w:t>
      </w:r>
      <w:bookmarkEnd w:id="34"/>
      <w:r w:rsidRPr="00886E17">
        <w:rPr>
          <w:rFonts w:eastAsiaTheme="minorHAnsi" w:cstheme="minorBidi"/>
          <w:szCs w:val="22"/>
        </w:rPr>
        <w:t>The reason behind this increase may not be apparent</w:t>
      </w:r>
      <w:r w:rsidR="003B754C">
        <w:rPr>
          <w:rFonts w:eastAsiaTheme="minorHAnsi" w:cstheme="minorBidi"/>
          <w:szCs w:val="22"/>
        </w:rPr>
        <w:t>, at first,</w:t>
      </w:r>
      <w:r w:rsidRPr="00886E17">
        <w:rPr>
          <w:rFonts w:eastAsiaTheme="minorHAnsi" w:cstheme="minorBidi"/>
          <w:szCs w:val="22"/>
        </w:rPr>
        <w:t xml:space="preserve"> since </w:t>
      </w:r>
      <w:r w:rsidR="00026590">
        <w:rPr>
          <w:rFonts w:eastAsiaTheme="minorHAnsi" w:cstheme="minorBidi"/>
          <w:szCs w:val="22"/>
        </w:rPr>
        <w:t xml:space="preserve">DA methods using </w:t>
      </w:r>
      <w:r w:rsidRPr="00886E17">
        <w:rPr>
          <w:rFonts w:eastAsiaTheme="minorHAnsi" w:cstheme="minorBidi"/>
          <w:szCs w:val="22"/>
        </w:rPr>
        <w:t>higher</w:t>
      </w:r>
      <w:r w:rsidR="00026590">
        <w:rPr>
          <w:rFonts w:eastAsiaTheme="minorHAnsi" w:cstheme="minorBidi"/>
          <w:szCs w:val="22"/>
        </w:rPr>
        <w:t xml:space="preserve"> </w:t>
      </w:r>
      <w:r w:rsidRPr="00886E17">
        <w:rPr>
          <w:rFonts w:eastAsiaTheme="minorHAnsi" w:cstheme="minorBidi"/>
          <w:szCs w:val="22"/>
        </w:rPr>
        <w:t xml:space="preserve">resolution, </w:t>
      </w:r>
      <w:r w:rsidR="00026590">
        <w:rPr>
          <w:rFonts w:eastAsiaTheme="minorHAnsi" w:cstheme="minorBidi"/>
          <w:szCs w:val="22"/>
        </w:rPr>
        <w:t>as is used by all ensemble members in the</w:t>
      </w:r>
      <w:r w:rsidRPr="00886E17">
        <w:rPr>
          <w:rFonts w:eastAsiaTheme="minorHAnsi" w:cstheme="minorBidi"/>
          <w:szCs w:val="22"/>
        </w:rPr>
        <w:t xml:space="preserve"> SR-High</w:t>
      </w:r>
      <w:r w:rsidR="00026590">
        <w:rPr>
          <w:rFonts w:eastAsiaTheme="minorHAnsi" w:cstheme="minorBidi"/>
          <w:szCs w:val="22"/>
        </w:rPr>
        <w:t xml:space="preserve"> experiment</w:t>
      </w:r>
      <w:r w:rsidRPr="00886E17">
        <w:rPr>
          <w:rFonts w:eastAsiaTheme="minorHAnsi" w:cstheme="minorBidi"/>
          <w:szCs w:val="22"/>
        </w:rPr>
        <w:t xml:space="preserve"> in this study, typically lead to increased ensemble spread (e.g., Pellerin et al. 2003</w:t>
      </w:r>
      <w:r w:rsidR="00D27159">
        <w:rPr>
          <w:rFonts w:eastAsiaTheme="minorHAnsi" w:cstheme="minorBidi"/>
          <w:szCs w:val="22"/>
        </w:rPr>
        <w:t>; Hamrud et al. 2015</w:t>
      </w:r>
      <w:r w:rsidRPr="00886E17">
        <w:rPr>
          <w:rFonts w:eastAsiaTheme="minorHAnsi" w:cstheme="minorBidi"/>
          <w:szCs w:val="22"/>
        </w:rPr>
        <w:t xml:space="preserve">).  However, other factors </w:t>
      </w:r>
      <w:r w:rsidR="00800EFF">
        <w:rPr>
          <w:rFonts w:eastAsiaTheme="minorHAnsi" w:cstheme="minorBidi"/>
          <w:szCs w:val="22"/>
        </w:rPr>
        <w:t>are likely</w:t>
      </w:r>
      <w:r w:rsidRPr="00886E17">
        <w:rPr>
          <w:rFonts w:eastAsiaTheme="minorHAnsi" w:cstheme="minorBidi"/>
          <w:szCs w:val="22"/>
        </w:rPr>
        <w:t xml:space="preserve"> greater contributors </w:t>
      </w:r>
      <w:r w:rsidR="00716E18">
        <w:rPr>
          <w:rFonts w:eastAsiaTheme="minorHAnsi" w:cstheme="minorBidi"/>
          <w:szCs w:val="22"/>
        </w:rPr>
        <w:t xml:space="preserve">to the increased spread </w:t>
      </w:r>
      <w:r w:rsidR="0006446C">
        <w:rPr>
          <w:rFonts w:eastAsiaTheme="minorHAnsi" w:cstheme="minorBidi"/>
          <w:szCs w:val="22"/>
        </w:rPr>
        <w:t>for the</w:t>
      </w:r>
      <w:r w:rsidR="00716E18">
        <w:rPr>
          <w:rFonts w:eastAsiaTheme="minorHAnsi" w:cstheme="minorBidi"/>
          <w:szCs w:val="22"/>
        </w:rPr>
        <w:t xml:space="preserve"> MR170 </w:t>
      </w:r>
      <w:r w:rsidR="0006446C">
        <w:rPr>
          <w:rFonts w:eastAsiaTheme="minorHAnsi" w:cstheme="minorBidi"/>
          <w:szCs w:val="22"/>
        </w:rPr>
        <w:t>experiment</w:t>
      </w:r>
      <w:r w:rsidRPr="00886E17">
        <w:rPr>
          <w:rFonts w:eastAsiaTheme="minorHAnsi" w:cstheme="minorBidi"/>
          <w:szCs w:val="22"/>
        </w:rPr>
        <w:t>.  The increase in spread</w:t>
      </w:r>
      <w:r w:rsidR="003B754C">
        <w:rPr>
          <w:rFonts w:eastAsiaTheme="minorHAnsi" w:cstheme="minorBidi"/>
          <w:szCs w:val="22"/>
        </w:rPr>
        <w:t xml:space="preserve">, in part, </w:t>
      </w:r>
      <w:r w:rsidR="00800EFF">
        <w:rPr>
          <w:rFonts w:eastAsiaTheme="minorHAnsi" w:cstheme="minorBidi"/>
          <w:szCs w:val="22"/>
        </w:rPr>
        <w:t>might be</w:t>
      </w:r>
      <w:r w:rsidR="003B754C">
        <w:rPr>
          <w:rFonts w:eastAsiaTheme="minorHAnsi" w:cstheme="minorBidi"/>
          <w:szCs w:val="22"/>
        </w:rPr>
        <w:t xml:space="preserve"> </w:t>
      </w:r>
      <w:r w:rsidRPr="00886E17">
        <w:rPr>
          <w:rFonts w:eastAsiaTheme="minorHAnsi" w:cstheme="minorBidi"/>
          <w:szCs w:val="22"/>
        </w:rPr>
        <w:t xml:space="preserve">due to the increase in </w:t>
      </w:r>
      <w:r w:rsidR="00716E18">
        <w:rPr>
          <w:rFonts w:eastAsiaTheme="minorHAnsi" w:cstheme="minorBidi"/>
          <w:szCs w:val="22"/>
        </w:rPr>
        <w:t xml:space="preserve">the </w:t>
      </w:r>
      <w:r w:rsidRPr="00886E17">
        <w:rPr>
          <w:rFonts w:eastAsiaTheme="minorHAnsi" w:cstheme="minorBidi"/>
          <w:szCs w:val="22"/>
        </w:rPr>
        <w:t xml:space="preserve">total </w:t>
      </w:r>
      <w:r w:rsidR="00716E18">
        <w:rPr>
          <w:rFonts w:eastAsiaTheme="minorHAnsi" w:cstheme="minorBidi"/>
          <w:szCs w:val="22"/>
        </w:rPr>
        <w:t xml:space="preserve">number of </w:t>
      </w:r>
      <w:r w:rsidRPr="00886E17">
        <w:rPr>
          <w:rFonts w:eastAsiaTheme="minorHAnsi" w:cstheme="minorBidi"/>
          <w:szCs w:val="22"/>
        </w:rPr>
        <w:t xml:space="preserve">ensemble members in the MR170 experiment.  Increased ensemble size typically leads to a decrease in sampling error, which could lead to a spread more representative of the system—corresponding to a larger ensemble spread in an underdispersive ensemble.  The difference in spread </w:t>
      </w:r>
      <w:r w:rsidR="00800EFF">
        <w:rPr>
          <w:rFonts w:eastAsiaTheme="minorHAnsi" w:cstheme="minorBidi"/>
          <w:szCs w:val="22"/>
        </w:rPr>
        <w:t>is also</w:t>
      </w:r>
      <w:r w:rsidRPr="00886E17">
        <w:rPr>
          <w:rFonts w:eastAsiaTheme="minorHAnsi" w:cstheme="minorBidi"/>
          <w:szCs w:val="22"/>
        </w:rPr>
        <w:t xml:space="preserve"> more prevalent in dynamically or thermodynamically active regions with sharp gradients, or greater uncertainty (e.g., frontal regions at the surface or jet boundaries). This notion </w:t>
      </w:r>
      <w:r w:rsidR="007948CC">
        <w:rPr>
          <w:rFonts w:eastAsiaTheme="minorHAnsi" w:cstheme="minorBidi"/>
          <w:szCs w:val="22"/>
        </w:rPr>
        <w:t>can be</w:t>
      </w:r>
      <w:r w:rsidRPr="00886E17">
        <w:rPr>
          <w:rFonts w:eastAsiaTheme="minorHAnsi" w:cstheme="minorBidi"/>
          <w:szCs w:val="22"/>
        </w:rPr>
        <w:t xml:space="preserve"> demonstrated </w:t>
      </w:r>
      <w:r w:rsidR="007948CC">
        <w:rPr>
          <w:rFonts w:eastAsiaTheme="minorHAnsi" w:cstheme="minorBidi"/>
          <w:szCs w:val="22"/>
        </w:rPr>
        <w:t xml:space="preserve">by examining </w:t>
      </w:r>
      <w:r w:rsidRPr="00886E17">
        <w:rPr>
          <w:rFonts w:eastAsiaTheme="minorHAnsi" w:cstheme="minorBidi"/>
          <w:szCs w:val="22"/>
        </w:rPr>
        <w:t xml:space="preserve">the 200-hPa wind speed </w:t>
      </w:r>
      <w:r w:rsidR="007948CC">
        <w:rPr>
          <w:rFonts w:eastAsiaTheme="minorHAnsi" w:cstheme="minorBidi"/>
          <w:szCs w:val="22"/>
        </w:rPr>
        <w:t xml:space="preserve">and increased wind speed </w:t>
      </w:r>
      <w:r w:rsidRPr="00886E17">
        <w:rPr>
          <w:rFonts w:eastAsiaTheme="minorHAnsi" w:cstheme="minorBidi"/>
          <w:szCs w:val="22"/>
        </w:rPr>
        <w:t>ensemble spread in the SH</w:t>
      </w:r>
      <w:r w:rsidR="007948CC">
        <w:rPr>
          <w:rFonts w:eastAsiaTheme="minorHAnsi" w:cstheme="minorBidi"/>
          <w:szCs w:val="22"/>
        </w:rPr>
        <w:t xml:space="preserve">. Over the experiment period, the </w:t>
      </w:r>
      <w:r w:rsidR="0006446C">
        <w:rPr>
          <w:rFonts w:eastAsiaTheme="minorHAnsi" w:cstheme="minorBidi"/>
          <w:szCs w:val="22"/>
        </w:rPr>
        <w:t>regions associated with the greatest increase in spread consistently</w:t>
      </w:r>
      <w:r w:rsidRPr="00886E17">
        <w:rPr>
          <w:rFonts w:eastAsiaTheme="minorHAnsi" w:cstheme="minorBidi"/>
          <w:szCs w:val="22"/>
        </w:rPr>
        <w:t xml:space="preserve"> corresponds with the strongest jet</w:t>
      </w:r>
      <w:r w:rsidR="0006446C">
        <w:rPr>
          <w:rFonts w:eastAsiaTheme="minorHAnsi" w:cstheme="minorBidi"/>
          <w:szCs w:val="22"/>
        </w:rPr>
        <w:t xml:space="preserve"> regions (not shown).</w:t>
      </w:r>
    </w:p>
    <w:p w14:paraId="1C2B4434" w14:textId="460CD9DD" w:rsidR="00DC648A" w:rsidRPr="00886E17" w:rsidRDefault="00E0587D" w:rsidP="00A80A0D">
      <w:pPr>
        <w:pStyle w:val="NoSpacing"/>
        <w:spacing w:line="480" w:lineRule="auto"/>
        <w:jc w:val="both"/>
        <w:rPr>
          <w:rFonts w:ascii="Times New Roman" w:hAnsi="Times New Roman" w:cs="Times New Roman"/>
        </w:rPr>
      </w:pPr>
      <w:r w:rsidRPr="00886E17">
        <w:rPr>
          <w:rFonts w:ascii="Times New Roman" w:hAnsi="Times New Roman" w:cs="Times New Roman"/>
          <w:i/>
          <w:iCs/>
        </w:rPr>
        <w:t xml:space="preserve">c.  </w:t>
      </w:r>
      <w:r w:rsidR="00886E17" w:rsidRPr="00886E17">
        <w:rPr>
          <w:rFonts w:ascii="Times New Roman" w:hAnsi="Times New Roman" w:cs="Times New Roman"/>
          <w:i/>
          <w:iCs/>
        </w:rPr>
        <w:t>Forecast errors at longer lead times</w:t>
      </w:r>
      <w:r w:rsidR="008D3087">
        <w:rPr>
          <w:rFonts w:ascii="Times New Roman" w:hAnsi="Times New Roman" w:cs="Times New Roman"/>
          <w:i/>
          <w:iCs/>
        </w:rPr>
        <w:t xml:space="preserve"> </w:t>
      </w:r>
    </w:p>
    <w:p w14:paraId="6DAF7F91" w14:textId="360DE1BB" w:rsidR="00886E17" w:rsidRPr="00886E17" w:rsidRDefault="00886E17" w:rsidP="00A80A0D">
      <w:pPr>
        <w:spacing w:line="480" w:lineRule="auto"/>
        <w:ind w:firstLine="720"/>
        <w:jc w:val="both"/>
        <w:rPr>
          <w:rFonts w:eastAsiaTheme="minorEastAsia" w:cstheme="minorBidi"/>
          <w:szCs w:val="22"/>
        </w:rPr>
      </w:pPr>
      <w:r w:rsidRPr="00886E17">
        <w:rPr>
          <w:rFonts w:eastAsiaTheme="minorEastAsia" w:cstheme="minorBidi"/>
          <w:szCs w:val="22"/>
        </w:rPr>
        <w:t xml:space="preserve">Further analysis of forecast errors was conducted by running a 120-h FV3GFS deterministic forecast for each experiment initialized at each analysis time throughout the experiment period.  </w:t>
      </w:r>
      <w:bookmarkStart w:id="35" w:name="_Hlk97642602"/>
      <w:r w:rsidRPr="00886E17">
        <w:rPr>
          <w:rFonts w:eastAsiaTheme="minorEastAsia" w:cstheme="minorBidi"/>
          <w:szCs w:val="22"/>
        </w:rPr>
        <w:t xml:space="preserve">The root mean square error (RMSE) of the forecasts </w:t>
      </w:r>
      <w:r w:rsidR="00554821" w:rsidRPr="00886E17">
        <w:rPr>
          <w:rFonts w:eastAsiaTheme="minorEastAsia" w:cstheme="minorBidi"/>
          <w:szCs w:val="22"/>
        </w:rPr>
        <w:t>w</w:t>
      </w:r>
      <w:r w:rsidR="00554821">
        <w:rPr>
          <w:rFonts w:eastAsiaTheme="minorEastAsia" w:cstheme="minorBidi"/>
          <w:szCs w:val="22"/>
        </w:rPr>
        <w:t xml:space="preserve">as </w:t>
      </w:r>
      <w:r w:rsidRPr="00886E17">
        <w:rPr>
          <w:rFonts w:eastAsiaTheme="minorEastAsia" w:cstheme="minorBidi"/>
          <w:szCs w:val="22"/>
        </w:rPr>
        <w:t>calculated by taking the root mean square of the difference of the experiment forecast at each forecast lead time and the ECMWF Reanalysis</w:t>
      </w:r>
      <w:r w:rsidR="008E1D79">
        <w:rPr>
          <w:rFonts w:eastAsiaTheme="minorEastAsia" w:cstheme="minorBidi"/>
          <w:szCs w:val="22"/>
        </w:rPr>
        <w:t>-</w:t>
      </w:r>
      <w:r w:rsidRPr="00886E17">
        <w:rPr>
          <w:rFonts w:eastAsiaTheme="minorEastAsia" w:cstheme="minorBidi"/>
          <w:szCs w:val="22"/>
        </w:rPr>
        <w:t xml:space="preserve">Interim (ERA-Interim; Berrisford et al. 2011) </w:t>
      </w:r>
      <w:r w:rsidR="002C2E2E">
        <w:rPr>
          <w:rFonts w:eastAsiaTheme="minorEastAsia" w:cstheme="minorBidi"/>
          <w:szCs w:val="22"/>
        </w:rPr>
        <w:t>one-degree</w:t>
      </w:r>
      <w:r w:rsidRPr="00886E17">
        <w:rPr>
          <w:rFonts w:eastAsiaTheme="minorEastAsia" w:cstheme="minorBidi"/>
          <w:szCs w:val="22"/>
        </w:rPr>
        <w:t xml:space="preserve"> data for the same time</w:t>
      </w:r>
      <w:bookmarkEnd w:id="35"/>
      <w:r w:rsidRPr="00886E17">
        <w:rPr>
          <w:rFonts w:eastAsiaTheme="minorEastAsia" w:cstheme="minorBidi"/>
          <w:szCs w:val="22"/>
        </w:rPr>
        <w:t xml:space="preserve">.  The temporally averaged difference in the RMSE for temperature and wind speed between the MR170 and the SR-High experiments for lead times in 6-h increments and 16 vertical pressure levels is shown </w:t>
      </w:r>
      <w:r w:rsidR="00670FEC">
        <w:rPr>
          <w:rFonts w:eastAsiaTheme="minorEastAsia" w:cstheme="minorBidi"/>
          <w:szCs w:val="22"/>
        </w:rPr>
        <w:t>for</w:t>
      </w:r>
      <w:r w:rsidR="002C2E2E">
        <w:rPr>
          <w:rFonts w:eastAsiaTheme="minorEastAsia" w:cstheme="minorBidi"/>
          <w:szCs w:val="22"/>
        </w:rPr>
        <w:t xml:space="preserve"> the</w:t>
      </w:r>
      <w:r w:rsidR="00670FEC">
        <w:rPr>
          <w:rFonts w:eastAsiaTheme="minorEastAsia" w:cstheme="minorBidi"/>
          <w:szCs w:val="22"/>
        </w:rPr>
        <w:t xml:space="preserve"> GB, </w:t>
      </w:r>
      <w:r w:rsidRPr="00886E17">
        <w:rPr>
          <w:rFonts w:eastAsiaTheme="minorEastAsia" w:cstheme="minorBidi"/>
          <w:szCs w:val="22"/>
        </w:rPr>
        <w:t xml:space="preserve">NH, SH, and TR regions in Fig. </w:t>
      </w:r>
      <w:r w:rsidR="0006446C">
        <w:rPr>
          <w:rFonts w:eastAsiaTheme="minorEastAsia" w:cstheme="minorBidi"/>
          <w:szCs w:val="22"/>
        </w:rPr>
        <w:t>9</w:t>
      </w:r>
      <w:r w:rsidRPr="00886E17">
        <w:rPr>
          <w:rFonts w:eastAsiaTheme="minorEastAsia" w:cstheme="minorBidi"/>
          <w:szCs w:val="22"/>
        </w:rPr>
        <w:t xml:space="preserve"> with </w:t>
      </w:r>
      <w:bookmarkStart w:id="36" w:name="_Hlk97642691"/>
      <w:r w:rsidRPr="00886E17">
        <w:rPr>
          <w:rFonts w:eastAsiaTheme="minorEastAsia" w:cstheme="minorBidi"/>
          <w:szCs w:val="22"/>
        </w:rPr>
        <w:t xml:space="preserve">statistical significance </w:t>
      </w:r>
      <w:r w:rsidRPr="00886E17">
        <w:rPr>
          <w:rFonts w:eastAsiaTheme="minorEastAsia" w:cstheme="minorBidi"/>
          <w:szCs w:val="22"/>
        </w:rPr>
        <w:lastRenderedPageBreak/>
        <w:t xml:space="preserve">determined by a paired </w:t>
      </w:r>
      <w:r w:rsidRPr="00886E17">
        <w:rPr>
          <w:rFonts w:eastAsiaTheme="minorEastAsia" w:cstheme="minorBidi"/>
          <w:i/>
          <w:iCs/>
          <w:szCs w:val="22"/>
        </w:rPr>
        <w:t>t</w:t>
      </w:r>
      <w:r w:rsidRPr="00886E17">
        <w:rPr>
          <w:rFonts w:eastAsiaTheme="minorEastAsia" w:cstheme="minorBidi"/>
          <w:szCs w:val="22"/>
        </w:rPr>
        <w:t>-test with a 95% confidence interval</w:t>
      </w:r>
      <w:bookmarkEnd w:id="36"/>
      <w:r w:rsidRPr="00886E17">
        <w:rPr>
          <w:rFonts w:eastAsiaTheme="minorEastAsia" w:cstheme="minorBidi"/>
          <w:szCs w:val="22"/>
        </w:rPr>
        <w:t xml:space="preserve">.  </w:t>
      </w:r>
      <w:bookmarkStart w:id="37" w:name="_Hlk97643307"/>
      <w:r w:rsidRPr="00886E17">
        <w:rPr>
          <w:rFonts w:eastAsiaTheme="minorEastAsia" w:cstheme="minorBidi"/>
          <w:szCs w:val="22"/>
        </w:rPr>
        <w:t xml:space="preserve">Globally, MR170 </w:t>
      </w:r>
      <w:r w:rsidR="00C10A1F">
        <w:rPr>
          <w:rFonts w:eastAsiaTheme="minorEastAsia" w:cstheme="minorBidi"/>
          <w:szCs w:val="22"/>
        </w:rPr>
        <w:t>demonstrate</w:t>
      </w:r>
      <w:r w:rsidR="00C10A1F" w:rsidRPr="00886E17">
        <w:rPr>
          <w:rFonts w:eastAsiaTheme="minorEastAsia" w:cstheme="minorBidi"/>
          <w:szCs w:val="22"/>
        </w:rPr>
        <w:t xml:space="preserve">s </w:t>
      </w:r>
      <w:r w:rsidRPr="00886E17">
        <w:rPr>
          <w:rFonts w:eastAsiaTheme="minorEastAsia" w:cstheme="minorBidi"/>
          <w:szCs w:val="22"/>
        </w:rPr>
        <w:t xml:space="preserve">improvement for nearly all vertical levels and lead times for both temperature and wind speed (Fig. </w:t>
      </w:r>
      <w:r w:rsidR="0006446C">
        <w:rPr>
          <w:rFonts w:eastAsiaTheme="minorEastAsia" w:cstheme="minorBidi"/>
          <w:szCs w:val="22"/>
        </w:rPr>
        <w:t>9</w:t>
      </w:r>
      <w:r w:rsidRPr="00886E17">
        <w:rPr>
          <w:rFonts w:eastAsiaTheme="minorEastAsia" w:cstheme="minorBidi"/>
          <w:szCs w:val="22"/>
        </w:rPr>
        <w:t xml:space="preserve">a,b). The magnitude of this improvement generally grows for later lead times with the greatest improvement </w:t>
      </w:r>
      <w:r w:rsidR="00670FEC">
        <w:rPr>
          <w:rFonts w:eastAsiaTheme="minorEastAsia" w:cstheme="minorBidi"/>
          <w:szCs w:val="22"/>
        </w:rPr>
        <w:t xml:space="preserve">predominately </w:t>
      </w:r>
      <w:r w:rsidRPr="00886E17">
        <w:rPr>
          <w:rFonts w:eastAsiaTheme="minorEastAsia" w:cstheme="minorBidi"/>
          <w:szCs w:val="22"/>
        </w:rPr>
        <w:t xml:space="preserve">near jet level. </w:t>
      </w:r>
      <w:bookmarkEnd w:id="37"/>
      <w:r w:rsidR="00670FEC">
        <w:rPr>
          <w:rFonts w:eastAsiaTheme="minorEastAsia" w:cstheme="minorBidi"/>
          <w:szCs w:val="22"/>
        </w:rPr>
        <w:t xml:space="preserve">The </w:t>
      </w:r>
      <w:r w:rsidR="002C2E2E">
        <w:rPr>
          <w:rFonts w:eastAsiaTheme="minorEastAsia" w:cstheme="minorBidi"/>
          <w:szCs w:val="22"/>
        </w:rPr>
        <w:t xml:space="preserve">differences in the RMSE for the </w:t>
      </w:r>
      <w:r w:rsidRPr="00886E17">
        <w:rPr>
          <w:rFonts w:eastAsiaTheme="minorEastAsia" w:cstheme="minorBidi"/>
          <w:szCs w:val="22"/>
        </w:rPr>
        <w:t>NH and SH region</w:t>
      </w:r>
      <w:r w:rsidR="002C2E2E">
        <w:rPr>
          <w:rFonts w:eastAsiaTheme="minorEastAsia" w:cstheme="minorBidi"/>
          <w:szCs w:val="22"/>
        </w:rPr>
        <w:t xml:space="preserve">s </w:t>
      </w:r>
      <w:r w:rsidR="00593FFA">
        <w:rPr>
          <w:rFonts w:eastAsiaTheme="minorEastAsia" w:cstheme="minorBidi"/>
          <w:szCs w:val="22"/>
        </w:rPr>
        <w:t>m</w:t>
      </w:r>
      <w:r w:rsidR="002C2E2E">
        <w:rPr>
          <w:rFonts w:eastAsiaTheme="minorEastAsia" w:cstheme="minorBidi"/>
          <w:szCs w:val="22"/>
        </w:rPr>
        <w:t>ain</w:t>
      </w:r>
      <w:r w:rsidR="00593FFA">
        <w:rPr>
          <w:rFonts w:eastAsiaTheme="minorEastAsia" w:cstheme="minorBidi"/>
          <w:szCs w:val="22"/>
        </w:rPr>
        <w:t xml:space="preserve">ly </w:t>
      </w:r>
      <w:r w:rsidR="00D04906">
        <w:rPr>
          <w:rFonts w:eastAsiaTheme="minorEastAsia" w:cstheme="minorBidi"/>
          <w:szCs w:val="22"/>
        </w:rPr>
        <w:t>resemble the global pattern</w:t>
      </w:r>
      <w:r w:rsidRPr="00886E17">
        <w:rPr>
          <w:rFonts w:eastAsiaTheme="minorEastAsia" w:cstheme="minorBidi"/>
          <w:szCs w:val="22"/>
        </w:rPr>
        <w:t xml:space="preserve"> (Fig. </w:t>
      </w:r>
      <w:r w:rsidR="0006446C">
        <w:rPr>
          <w:rFonts w:eastAsiaTheme="minorEastAsia" w:cstheme="minorBidi"/>
          <w:szCs w:val="22"/>
        </w:rPr>
        <w:t>9</w:t>
      </w:r>
      <w:r w:rsidRPr="00886E17">
        <w:rPr>
          <w:rFonts w:eastAsiaTheme="minorEastAsia" w:cstheme="minorBidi"/>
          <w:szCs w:val="22"/>
        </w:rPr>
        <w:t xml:space="preserve">c-f). The magnitude of the improvement in the SH, however, is much larger than in the NH </w:t>
      </w:r>
      <w:r w:rsidR="00593FFA">
        <w:rPr>
          <w:rFonts w:eastAsiaTheme="minorEastAsia" w:cstheme="minorBidi"/>
          <w:szCs w:val="22"/>
        </w:rPr>
        <w:t>for</w:t>
      </w:r>
      <w:r w:rsidR="00593FFA" w:rsidRPr="00886E17">
        <w:rPr>
          <w:rFonts w:eastAsiaTheme="minorEastAsia" w:cstheme="minorBidi"/>
          <w:szCs w:val="22"/>
        </w:rPr>
        <w:t xml:space="preserve"> </w:t>
      </w:r>
      <w:r w:rsidRPr="00886E17">
        <w:rPr>
          <w:rFonts w:eastAsiaTheme="minorEastAsia" w:cstheme="minorBidi"/>
          <w:szCs w:val="22"/>
        </w:rPr>
        <w:t xml:space="preserve">the same lead time and level.  The TR region also shows general improvement for the MR170 experiment with the exception of the temperature at the lowest levels for most lead times (Fig. </w:t>
      </w:r>
      <w:r w:rsidR="0006446C">
        <w:rPr>
          <w:rFonts w:eastAsiaTheme="minorEastAsia" w:cstheme="minorBidi"/>
          <w:szCs w:val="22"/>
        </w:rPr>
        <w:t>9</w:t>
      </w:r>
      <w:r w:rsidRPr="00886E17">
        <w:rPr>
          <w:rFonts w:eastAsiaTheme="minorEastAsia" w:cstheme="minorBidi"/>
          <w:szCs w:val="22"/>
        </w:rPr>
        <w:t xml:space="preserve">g,h). In contrast to the other regions, the largest improvement </w:t>
      </w:r>
      <w:r w:rsidR="000B662C">
        <w:rPr>
          <w:rFonts w:eastAsiaTheme="minorEastAsia" w:cstheme="minorBidi"/>
          <w:szCs w:val="22"/>
        </w:rPr>
        <w:t>is</w:t>
      </w:r>
      <w:r w:rsidRPr="00886E17">
        <w:rPr>
          <w:rFonts w:eastAsiaTheme="minorEastAsia" w:cstheme="minorBidi"/>
          <w:szCs w:val="22"/>
        </w:rPr>
        <w:t xml:space="preserve"> at the analysis and early lead times with the forecast errors becoming more similar between the two experiments at later lead times.</w:t>
      </w:r>
    </w:p>
    <w:p w14:paraId="00BDCE86" w14:textId="4D999EDF" w:rsidR="00886E17" w:rsidRDefault="00886E17" w:rsidP="00A80A0D">
      <w:pPr>
        <w:spacing w:line="480" w:lineRule="auto"/>
        <w:ind w:firstLine="720"/>
        <w:jc w:val="both"/>
        <w:rPr>
          <w:rFonts w:eastAsiaTheme="minorEastAsia" w:cstheme="minorBidi"/>
          <w:szCs w:val="22"/>
        </w:rPr>
      </w:pPr>
      <w:bookmarkStart w:id="38" w:name="_Hlk97643531"/>
      <w:r w:rsidRPr="00886E17">
        <w:rPr>
          <w:rFonts w:eastAsiaTheme="minorEastAsia" w:cstheme="minorBidi"/>
          <w:szCs w:val="22"/>
        </w:rPr>
        <w:t>To determine the multiscale impact of the DA methodologies on the forecast errors</w:t>
      </w:r>
      <w:bookmarkEnd w:id="38"/>
      <w:r w:rsidRPr="00886E17">
        <w:rPr>
          <w:rFonts w:eastAsiaTheme="minorEastAsia" w:cstheme="minorBidi"/>
          <w:szCs w:val="22"/>
        </w:rPr>
        <w:t xml:space="preserve">, the temperature and wind errors for each vertical level and lead time shown in Fig. </w:t>
      </w:r>
      <w:r w:rsidR="0006446C">
        <w:rPr>
          <w:rFonts w:eastAsiaTheme="minorEastAsia" w:cstheme="minorBidi"/>
          <w:szCs w:val="22"/>
        </w:rPr>
        <w:t>9</w:t>
      </w:r>
      <w:r w:rsidRPr="00886E17">
        <w:rPr>
          <w:rFonts w:eastAsiaTheme="minorEastAsia" w:cstheme="minorBidi"/>
          <w:szCs w:val="22"/>
        </w:rPr>
        <w:t xml:space="preserve"> were decomposed </w:t>
      </w:r>
      <w:r w:rsidR="00A9201B">
        <w:rPr>
          <w:rFonts w:eastAsiaTheme="minorEastAsia" w:cstheme="minorBidi"/>
          <w:szCs w:val="22"/>
        </w:rPr>
        <w:t xml:space="preserve">using </w:t>
      </w:r>
      <w:r w:rsidRPr="00886E17">
        <w:rPr>
          <w:rFonts w:eastAsiaTheme="minorEastAsia" w:cstheme="minorBidi"/>
          <w:szCs w:val="22"/>
        </w:rPr>
        <w:t>s</w:t>
      </w:r>
      <w:r w:rsidR="00B730F6">
        <w:rPr>
          <w:rFonts w:eastAsiaTheme="minorEastAsia" w:cstheme="minorBidi"/>
          <w:szCs w:val="22"/>
        </w:rPr>
        <w:t>pherical harmonics. T</w:t>
      </w:r>
      <w:r w:rsidRPr="00886E17">
        <w:rPr>
          <w:rFonts w:eastAsiaTheme="minorEastAsia" w:cstheme="minorBidi"/>
          <w:szCs w:val="22"/>
        </w:rPr>
        <w:t xml:space="preserve">he total energy norm (e.g., Wang and Bishop 2003) was </w:t>
      </w:r>
      <w:r w:rsidR="00B730F6">
        <w:rPr>
          <w:rFonts w:eastAsiaTheme="minorEastAsia" w:cstheme="minorBidi"/>
          <w:szCs w:val="22"/>
        </w:rPr>
        <w:t xml:space="preserve">then </w:t>
      </w:r>
      <w:r w:rsidRPr="00886E17">
        <w:rPr>
          <w:rFonts w:eastAsiaTheme="minorEastAsia" w:cstheme="minorBidi"/>
          <w:szCs w:val="22"/>
        </w:rPr>
        <w:t>calculated through the following formula:</w:t>
      </w:r>
    </w:p>
    <w:p w14:paraId="0ACC026D" w14:textId="76832FC4" w:rsidR="0084396E" w:rsidRDefault="0084396E" w:rsidP="00834BB9">
      <w:pPr>
        <w:spacing w:line="480" w:lineRule="auto"/>
        <w:jc w:val="both"/>
        <w:rPr>
          <w:rFonts w:eastAsiaTheme="minorEastAsia" w:cstheme="minorBidi"/>
          <w:szCs w:val="22"/>
        </w:rPr>
      </w:pPr>
      <w:r>
        <w:rPr>
          <w:rFonts w:eastAsiaTheme="minorEastAsia" w:cstheme="minorBidi"/>
          <w:szCs w:val="22"/>
        </w:rPr>
        <w:t>(5)</w:t>
      </w:r>
    </w:p>
    <w:bookmarkStart w:id="39" w:name="_Hlk97643668"/>
    <w:p w14:paraId="0C2ABCA0" w14:textId="77777777" w:rsidR="00886E17" w:rsidRPr="00886E17" w:rsidRDefault="008E5179" w:rsidP="00A80A0D">
      <w:pPr>
        <w:jc w:val="both"/>
        <w:rPr>
          <w:rFonts w:eastAsiaTheme="minorEastAsia" w:cstheme="minorBidi"/>
        </w:rPr>
      </w:pPr>
      <m:oMathPara>
        <m:oMath>
          <m:f>
            <m:fPr>
              <m:ctrlPr>
                <w:rPr>
                  <w:rFonts w:ascii="Cambria Math" w:eastAsiaTheme="minorEastAsia" w:hAnsi="Cambria Math"/>
                </w:rPr>
              </m:ctrlPr>
            </m:fPr>
            <m:num>
              <m:r>
                <w:rPr>
                  <w:rFonts w:ascii="Cambria Math" w:eastAsiaTheme="minorEastAsia" w:hAnsi="Cambria Math"/>
                </w:rPr>
                <m:t>1</m:t>
              </m:r>
              <m:ctrlPr>
                <w:rPr>
                  <w:rFonts w:ascii="Cambria Math" w:eastAsiaTheme="minorEastAsia" w:hAnsi="Cambria Math"/>
                  <w:i/>
                </w:rPr>
              </m:ctrlPr>
            </m:num>
            <m:den>
              <m:r>
                <w:rPr>
                  <w:rFonts w:ascii="Cambria Math" w:eastAsiaTheme="minorEastAsia" w:hAnsi="Cambria Math"/>
                </w:rPr>
                <m:t>2</m:t>
              </m:r>
              <m:ctrlPr>
                <w:rPr>
                  <w:rFonts w:ascii="Cambria Math" w:eastAsiaTheme="minorEastAsia" w:hAnsi="Cambria Math"/>
                  <w:i/>
                </w:rPr>
              </m:ctrlPr>
            </m:den>
          </m:f>
          <m:sSup>
            <m:sSupPr>
              <m:ctrlPr>
                <w:rPr>
                  <w:rFonts w:ascii="Cambria Math" w:eastAsiaTheme="minorEastAsia" w:hAnsi="Cambria Math"/>
                  <w:i/>
                </w:rPr>
              </m:ctrlPr>
            </m:sSupPr>
            <m:e>
              <m:r>
                <w:rPr>
                  <w:rFonts w:ascii="Cambria Math" w:eastAsiaTheme="minorEastAsia" w:hAnsi="Cambria Math"/>
                </w:rPr>
                <m:t>u</m:t>
              </m:r>
            </m:e>
            <m:sup>
              <m:r>
                <w:rPr>
                  <w:rFonts w:ascii="Cambria Math" w:eastAsiaTheme="minorEastAsia" w:hAnsi="Cambria Math"/>
                </w:rPr>
                <m:t>'2</m:t>
              </m:r>
            </m:sup>
          </m:sSup>
          <m:r>
            <w:rPr>
              <w:rFonts w:ascii="Cambria Math" w:eastAsiaTheme="minorEastAsia" w:hAnsi="Cambria Math"/>
            </w:rPr>
            <m:t>+</m:t>
          </m:r>
          <m:f>
            <m:fPr>
              <m:ctrlPr>
                <w:rPr>
                  <w:rFonts w:ascii="Cambria Math" w:eastAsiaTheme="minorEastAsia" w:hAnsi="Cambria Math"/>
                </w:rPr>
              </m:ctrlPr>
            </m:fPr>
            <m:num>
              <m:r>
                <w:rPr>
                  <w:rFonts w:ascii="Cambria Math" w:eastAsiaTheme="minorEastAsia" w:hAnsi="Cambria Math"/>
                </w:rPr>
                <m:t>1</m:t>
              </m:r>
              <m:ctrlPr>
                <w:rPr>
                  <w:rFonts w:ascii="Cambria Math" w:eastAsiaTheme="minorEastAsia" w:hAnsi="Cambria Math"/>
                  <w:i/>
                </w:rPr>
              </m:ctrlPr>
            </m:num>
            <m:den>
              <m:r>
                <w:rPr>
                  <w:rFonts w:ascii="Cambria Math" w:eastAsiaTheme="minorEastAsia" w:hAnsi="Cambria Math"/>
                </w:rPr>
                <m:t>2</m:t>
              </m:r>
              <m:ctrlPr>
                <w:rPr>
                  <w:rFonts w:ascii="Cambria Math" w:eastAsiaTheme="minorEastAsia" w:hAnsi="Cambria Math"/>
                  <w:i/>
                </w:rPr>
              </m:ctrlPr>
            </m:den>
          </m:f>
          <m:sSup>
            <m:sSupPr>
              <m:ctrlPr>
                <w:rPr>
                  <w:rFonts w:ascii="Cambria Math" w:eastAsiaTheme="minorEastAsia" w:hAnsi="Cambria Math"/>
                  <w:i/>
                </w:rPr>
              </m:ctrlPr>
            </m:sSupPr>
            <m:e>
              <m:r>
                <w:rPr>
                  <w:rFonts w:ascii="Cambria Math" w:eastAsiaTheme="minorEastAsia" w:hAnsi="Cambria Math"/>
                </w:rPr>
                <m:t>v</m:t>
              </m:r>
            </m:e>
            <m:sup>
              <m:r>
                <w:rPr>
                  <w:rFonts w:ascii="Cambria Math" w:eastAsiaTheme="minorEastAsia" w:hAnsi="Cambria Math"/>
                </w:rPr>
                <m:t>'2</m:t>
              </m:r>
            </m:sup>
          </m:sSup>
          <m:r>
            <w:rPr>
              <w:rFonts w:ascii="Cambria Math" w:eastAsiaTheme="minorEastAsia" w:hAnsi="Cambria Math"/>
            </w:rPr>
            <m:t>+</m:t>
          </m:r>
          <m:f>
            <m:fPr>
              <m:ctrlPr>
                <w:rPr>
                  <w:rFonts w:ascii="Cambria Math" w:eastAsiaTheme="minorEastAsia" w:hAnsi="Cambria Math"/>
                </w:rPr>
              </m:ctrlPr>
            </m:fPr>
            <m:num>
              <m:sSub>
                <m:sSubPr>
                  <m:ctrlPr>
                    <w:rPr>
                      <w:rFonts w:ascii="Cambria Math" w:eastAsiaTheme="minorEastAsia" w:hAnsi="Cambria Math"/>
                      <w:i/>
                    </w:rPr>
                  </m:ctrlPr>
                </m:sSubPr>
                <m:e>
                  <m:r>
                    <w:rPr>
                      <w:rFonts w:ascii="Cambria Math" w:eastAsiaTheme="minorEastAsia" w:hAnsi="Cambria Math"/>
                    </w:rPr>
                    <m:t>c</m:t>
                  </m:r>
                </m:e>
                <m:sub>
                  <m:r>
                    <w:rPr>
                      <w:rFonts w:ascii="Cambria Math" w:eastAsiaTheme="minorEastAsia" w:hAnsi="Cambria Math"/>
                    </w:rPr>
                    <m:t>p</m:t>
                  </m:r>
                </m:sub>
              </m:sSub>
              <m:ctrlPr>
                <w:rPr>
                  <w:rFonts w:ascii="Cambria Math" w:eastAsiaTheme="minorEastAsia" w:hAnsi="Cambria Math"/>
                  <w:i/>
                </w:rPr>
              </m:ctrlPr>
            </m:num>
            <m:den>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r</m:t>
                  </m:r>
                </m:sub>
              </m:sSub>
              <m:ctrlPr>
                <w:rPr>
                  <w:rFonts w:ascii="Cambria Math" w:eastAsiaTheme="minorEastAsia" w:hAnsi="Cambria Math"/>
                  <w:i/>
                </w:rPr>
              </m:ctrlPr>
            </m:den>
          </m:f>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oMath>
      </m:oMathPara>
      <w:bookmarkEnd w:id="39"/>
    </w:p>
    <w:p w14:paraId="42EB1510" w14:textId="6263322E" w:rsidR="00886E17" w:rsidRPr="00886E17" w:rsidRDefault="00886E17" w:rsidP="00A80A0D">
      <w:pPr>
        <w:jc w:val="both"/>
        <w:rPr>
          <w:rFonts w:eastAsiaTheme="minorEastAsia" w:cstheme="minorBidi"/>
        </w:rPr>
      </w:pPr>
      <w:r>
        <w:rPr>
          <w:rFonts w:eastAsiaTheme="minorEastAsia"/>
        </w:rPr>
        <w:t xml:space="preserve"> </w:t>
      </w:r>
    </w:p>
    <w:p w14:paraId="14A3E8AA" w14:textId="77777777" w:rsidR="00886E17" w:rsidRPr="00886E17" w:rsidRDefault="00886E17" w:rsidP="00A80A0D">
      <w:pPr>
        <w:spacing w:line="480" w:lineRule="auto"/>
        <w:jc w:val="both"/>
        <w:rPr>
          <w:rFonts w:eastAsiaTheme="minorEastAsia" w:cstheme="minorBidi"/>
          <w:szCs w:val="22"/>
        </w:rPr>
      </w:pPr>
      <w:r w:rsidRPr="00886E17">
        <w:rPr>
          <w:rFonts w:eastAsiaTheme="minorEastAsia" w:cstheme="minorBidi"/>
          <w:szCs w:val="22"/>
        </w:rPr>
        <w:t xml:space="preserve">where </w:t>
      </w:r>
      <w:bookmarkStart w:id="40" w:name="_Hlk97326222"/>
      <w:bookmarkStart w:id="41" w:name="_Hlk97643688"/>
      <m:oMath>
        <m:sSup>
          <m:sSupPr>
            <m:ctrlPr>
              <w:rPr>
                <w:rFonts w:ascii="Cambria Math" w:eastAsiaTheme="minorEastAsia" w:hAnsi="Cambria Math" w:cstheme="minorBidi"/>
                <w:i/>
                <w:szCs w:val="22"/>
              </w:rPr>
            </m:ctrlPr>
          </m:sSupPr>
          <m:e>
            <m:r>
              <w:rPr>
                <w:rFonts w:ascii="Cambria Math" w:eastAsiaTheme="minorEastAsia" w:hAnsi="Cambria Math" w:cstheme="minorBidi"/>
                <w:szCs w:val="22"/>
              </w:rPr>
              <m:t>u</m:t>
            </m:r>
          </m:e>
          <m:sup>
            <m:r>
              <w:rPr>
                <w:rFonts w:ascii="Cambria Math" w:eastAsiaTheme="minorEastAsia" w:hAnsi="Cambria Math" w:cstheme="minorBidi"/>
                <w:szCs w:val="22"/>
              </w:rPr>
              <m:t>'</m:t>
            </m:r>
          </m:sup>
        </m:sSup>
      </m:oMath>
      <w:bookmarkEnd w:id="40"/>
      <w:r w:rsidRPr="00886E17">
        <w:rPr>
          <w:rFonts w:eastAsiaTheme="minorEastAsia" w:cstheme="minorBidi"/>
          <w:szCs w:val="22"/>
        </w:rPr>
        <w:t xml:space="preserve">, </w:t>
      </w:r>
      <m:oMath>
        <m:sSup>
          <m:sSupPr>
            <m:ctrlPr>
              <w:rPr>
                <w:rFonts w:ascii="Cambria Math" w:eastAsiaTheme="minorEastAsia" w:hAnsi="Cambria Math" w:cstheme="minorBidi"/>
                <w:i/>
                <w:szCs w:val="22"/>
              </w:rPr>
            </m:ctrlPr>
          </m:sSupPr>
          <m:e>
            <m:r>
              <w:rPr>
                <w:rFonts w:ascii="Cambria Math" w:eastAsiaTheme="minorEastAsia" w:hAnsi="Cambria Math" w:cstheme="minorBidi"/>
                <w:szCs w:val="22"/>
              </w:rPr>
              <m:t>v</m:t>
            </m:r>
          </m:e>
          <m:sup>
            <m:r>
              <w:rPr>
                <w:rFonts w:ascii="Cambria Math" w:eastAsiaTheme="minorEastAsia" w:hAnsi="Cambria Math" w:cstheme="minorBidi"/>
                <w:szCs w:val="22"/>
              </w:rPr>
              <m:t>'</m:t>
            </m:r>
          </m:sup>
        </m:sSup>
      </m:oMath>
      <w:r w:rsidRPr="00886E17">
        <w:rPr>
          <w:rFonts w:eastAsiaTheme="minorEastAsia" w:cstheme="minorBidi"/>
          <w:szCs w:val="22"/>
        </w:rPr>
        <w:t xml:space="preserve">, and </w:t>
      </w:r>
      <m:oMath>
        <m:sSup>
          <m:sSupPr>
            <m:ctrlPr>
              <w:rPr>
                <w:rFonts w:ascii="Cambria Math" w:eastAsiaTheme="minorEastAsia" w:hAnsi="Cambria Math" w:cstheme="minorBidi"/>
                <w:i/>
                <w:szCs w:val="22"/>
              </w:rPr>
            </m:ctrlPr>
          </m:sSupPr>
          <m:e>
            <m:r>
              <w:rPr>
                <w:rFonts w:ascii="Cambria Math" w:eastAsiaTheme="minorEastAsia" w:hAnsi="Cambria Math" w:cstheme="minorBidi"/>
                <w:szCs w:val="22"/>
              </w:rPr>
              <m:t>T</m:t>
            </m:r>
          </m:e>
          <m:sup>
            <m:r>
              <w:rPr>
                <w:rFonts w:ascii="Cambria Math" w:eastAsiaTheme="minorEastAsia" w:hAnsi="Cambria Math" w:cstheme="minorBidi"/>
                <w:szCs w:val="22"/>
              </w:rPr>
              <m:t>'</m:t>
            </m:r>
          </m:sup>
        </m:sSup>
      </m:oMath>
      <w:r w:rsidRPr="00886E17">
        <w:rPr>
          <w:rFonts w:eastAsiaTheme="minorEastAsia" w:cstheme="minorBidi"/>
          <w:szCs w:val="22"/>
        </w:rPr>
        <w:t xml:space="preserve"> are the zonal and meridional wind and temperature errors respectively relative to ERA-Interim</w:t>
      </w:r>
      <w:bookmarkEnd w:id="41"/>
      <w:r w:rsidRPr="00886E17">
        <w:rPr>
          <w:rFonts w:eastAsiaTheme="minorEastAsia" w:cstheme="minorBidi"/>
          <w:szCs w:val="22"/>
        </w:rPr>
        <w:t xml:space="preserve">.  </w:t>
      </w:r>
      <w:bookmarkStart w:id="42" w:name="_Hlk97643704"/>
      <m:oMath>
        <m:sSub>
          <m:sSubPr>
            <m:ctrlPr>
              <w:rPr>
                <w:rFonts w:ascii="Cambria Math" w:eastAsiaTheme="minorEastAsia" w:hAnsi="Cambria Math" w:cstheme="minorBidi"/>
                <w:i/>
                <w:szCs w:val="22"/>
              </w:rPr>
            </m:ctrlPr>
          </m:sSubPr>
          <m:e>
            <m:r>
              <w:rPr>
                <w:rFonts w:ascii="Cambria Math" w:eastAsiaTheme="minorEastAsia" w:hAnsi="Cambria Math" w:cstheme="minorBidi"/>
                <w:szCs w:val="22"/>
              </w:rPr>
              <m:t>c</m:t>
            </m:r>
          </m:e>
          <m:sub>
            <m:r>
              <w:rPr>
                <w:rFonts w:ascii="Cambria Math" w:eastAsiaTheme="minorEastAsia" w:hAnsi="Cambria Math" w:cstheme="minorBidi"/>
                <w:szCs w:val="22"/>
              </w:rPr>
              <m:t>p</m:t>
            </m:r>
          </m:sub>
        </m:sSub>
      </m:oMath>
      <w:r w:rsidRPr="00886E17">
        <w:rPr>
          <w:rFonts w:eastAsiaTheme="minorEastAsia" w:cstheme="minorBidi"/>
          <w:szCs w:val="22"/>
        </w:rPr>
        <w:t xml:space="preserve"> is the specific heat at constant pressure and </w:t>
      </w:r>
      <m:oMath>
        <m:sSub>
          <m:sSubPr>
            <m:ctrlPr>
              <w:rPr>
                <w:rFonts w:ascii="Cambria Math" w:eastAsiaTheme="minorEastAsia" w:hAnsi="Cambria Math" w:cstheme="minorBidi"/>
                <w:i/>
                <w:szCs w:val="22"/>
              </w:rPr>
            </m:ctrlPr>
          </m:sSubPr>
          <m:e>
            <m:r>
              <w:rPr>
                <w:rFonts w:ascii="Cambria Math" w:eastAsiaTheme="minorEastAsia" w:hAnsi="Cambria Math" w:cstheme="minorBidi"/>
                <w:szCs w:val="22"/>
              </w:rPr>
              <m:t>T</m:t>
            </m:r>
          </m:e>
          <m:sub>
            <m:r>
              <w:rPr>
                <w:rFonts w:ascii="Cambria Math" w:eastAsiaTheme="minorEastAsia" w:hAnsi="Cambria Math" w:cstheme="minorBidi"/>
                <w:szCs w:val="22"/>
              </w:rPr>
              <m:t>r</m:t>
            </m:r>
          </m:sub>
        </m:sSub>
      </m:oMath>
      <w:r w:rsidRPr="00886E17">
        <w:rPr>
          <w:rFonts w:eastAsiaTheme="minorEastAsia" w:cstheme="minorBidi"/>
          <w:szCs w:val="22"/>
        </w:rPr>
        <w:t xml:space="preserve"> is the reference temperature at 1.0057 J kg</w:t>
      </w:r>
      <w:r w:rsidRPr="00886E17">
        <w:rPr>
          <w:rFonts w:eastAsiaTheme="minorEastAsia" w:cstheme="minorBidi"/>
          <w:szCs w:val="22"/>
          <w:vertAlign w:val="superscript"/>
        </w:rPr>
        <w:t>-1</w:t>
      </w:r>
      <w:r w:rsidRPr="00886E17">
        <w:rPr>
          <w:rFonts w:eastAsiaTheme="minorEastAsia" w:cstheme="minorBidi"/>
          <w:szCs w:val="22"/>
        </w:rPr>
        <w:t xml:space="preserve"> K</w:t>
      </w:r>
      <w:r w:rsidRPr="00886E17">
        <w:rPr>
          <w:rFonts w:eastAsiaTheme="minorEastAsia" w:cstheme="minorBidi"/>
          <w:szCs w:val="22"/>
          <w:vertAlign w:val="superscript"/>
        </w:rPr>
        <w:t>-1</w:t>
      </w:r>
      <w:r w:rsidRPr="00886E17">
        <w:rPr>
          <w:rFonts w:eastAsiaTheme="minorEastAsia" w:cstheme="minorBidi"/>
          <w:szCs w:val="22"/>
        </w:rPr>
        <w:t xml:space="preserve"> and 270 K respectively (Ehrendorfer et al. 1999)</w:t>
      </w:r>
      <w:bookmarkEnd w:id="42"/>
      <w:r w:rsidRPr="00886E17">
        <w:rPr>
          <w:rFonts w:eastAsiaTheme="minorEastAsia" w:cstheme="minorBidi"/>
          <w:szCs w:val="22"/>
        </w:rPr>
        <w:t xml:space="preserve">.  </w:t>
      </w:r>
    </w:p>
    <w:p w14:paraId="6F217FB9" w14:textId="14B17703" w:rsidR="00886E17" w:rsidRPr="00886E17" w:rsidRDefault="00886E17" w:rsidP="00A80A0D">
      <w:pPr>
        <w:spacing w:line="480" w:lineRule="auto"/>
        <w:ind w:firstLine="720"/>
        <w:jc w:val="both"/>
        <w:rPr>
          <w:rFonts w:eastAsiaTheme="minorEastAsia" w:cstheme="minorBidi"/>
          <w:szCs w:val="22"/>
        </w:rPr>
      </w:pPr>
      <w:r w:rsidRPr="00886E17">
        <w:rPr>
          <w:rFonts w:eastAsiaTheme="minorEastAsia" w:cstheme="minorBidi"/>
          <w:szCs w:val="22"/>
        </w:rPr>
        <w:t>The difference between the spectrally decomposed errors for the two experiments averaged over the duration of the experiment is shown in Fig. 1</w:t>
      </w:r>
      <w:r w:rsidR="0006446C">
        <w:rPr>
          <w:rFonts w:eastAsiaTheme="minorEastAsia" w:cstheme="minorBidi"/>
          <w:szCs w:val="22"/>
        </w:rPr>
        <w:t>0</w:t>
      </w:r>
      <w:r w:rsidRPr="00886E17">
        <w:rPr>
          <w:rFonts w:eastAsiaTheme="minorEastAsia" w:cstheme="minorBidi"/>
          <w:szCs w:val="22"/>
        </w:rPr>
        <w:t>.  At analysis time, the MR170 experiment</w:t>
      </w:r>
      <w:r w:rsidR="00A9201B">
        <w:rPr>
          <w:rFonts w:eastAsiaTheme="minorEastAsia" w:cstheme="minorBidi"/>
          <w:szCs w:val="22"/>
        </w:rPr>
        <w:t>, on average,</w:t>
      </w:r>
      <w:r w:rsidRPr="00886E17">
        <w:rPr>
          <w:rFonts w:eastAsiaTheme="minorEastAsia" w:cstheme="minorBidi"/>
          <w:szCs w:val="22"/>
        </w:rPr>
        <w:t xml:space="preserve"> shows improvement </w:t>
      </w:r>
      <w:r w:rsidR="00D04906" w:rsidRPr="00886E17">
        <w:rPr>
          <w:rFonts w:eastAsiaTheme="minorEastAsia" w:cstheme="minorBidi"/>
          <w:szCs w:val="22"/>
        </w:rPr>
        <w:t xml:space="preserve">in energy errors </w:t>
      </w:r>
      <w:r w:rsidRPr="00886E17">
        <w:rPr>
          <w:rFonts w:eastAsiaTheme="minorEastAsia" w:cstheme="minorBidi"/>
          <w:szCs w:val="22"/>
        </w:rPr>
        <w:t xml:space="preserve">at nearly all wavenumbers.  </w:t>
      </w:r>
      <w:bookmarkStart w:id="43" w:name="_Hlk97643849"/>
      <w:r w:rsidRPr="00886E17">
        <w:rPr>
          <w:rFonts w:eastAsiaTheme="minorEastAsia" w:cstheme="minorBidi"/>
          <w:szCs w:val="22"/>
        </w:rPr>
        <w:t xml:space="preserve">These </w:t>
      </w:r>
      <w:r w:rsidR="00A9201B">
        <w:rPr>
          <w:rFonts w:eastAsiaTheme="minorEastAsia" w:cstheme="minorBidi"/>
          <w:szCs w:val="22"/>
        </w:rPr>
        <w:t>improvements</w:t>
      </w:r>
      <w:r w:rsidR="00A9201B" w:rsidRPr="00886E17">
        <w:rPr>
          <w:rFonts w:eastAsiaTheme="minorEastAsia" w:cstheme="minorBidi"/>
          <w:szCs w:val="22"/>
        </w:rPr>
        <w:t xml:space="preserve"> </w:t>
      </w:r>
      <w:r w:rsidRPr="00886E17">
        <w:rPr>
          <w:rFonts w:eastAsiaTheme="minorEastAsia" w:cstheme="minorBidi"/>
          <w:szCs w:val="22"/>
        </w:rPr>
        <w:t xml:space="preserve">reach a first maximum at around 24 hours between wavenumbers 5 and 25 </w:t>
      </w:r>
      <w:bookmarkEnd w:id="43"/>
      <w:r w:rsidRPr="00886E17">
        <w:rPr>
          <w:rFonts w:eastAsiaTheme="minorEastAsia" w:cstheme="minorBidi"/>
          <w:szCs w:val="22"/>
        </w:rPr>
        <w:t xml:space="preserve">(wavelengths of </w:t>
      </w:r>
      <w:r w:rsidRPr="00886E17">
        <w:rPr>
          <w:rFonts w:eastAsiaTheme="minorEastAsia" w:cstheme="minorBidi"/>
          <w:szCs w:val="22"/>
        </w:rPr>
        <w:lastRenderedPageBreak/>
        <w:t xml:space="preserve">approximately 8000-1600 km).  </w:t>
      </w:r>
      <w:bookmarkStart w:id="44" w:name="_Hlk97643859"/>
      <w:r w:rsidRPr="00886E17">
        <w:rPr>
          <w:rFonts w:eastAsiaTheme="minorEastAsia" w:cstheme="minorBidi"/>
          <w:szCs w:val="22"/>
        </w:rPr>
        <w:t>This peak disperse</w:t>
      </w:r>
      <w:r w:rsidR="000B662C">
        <w:rPr>
          <w:rFonts w:eastAsiaTheme="minorEastAsia" w:cstheme="minorBidi"/>
          <w:szCs w:val="22"/>
        </w:rPr>
        <w:t>s</w:t>
      </w:r>
      <w:r w:rsidRPr="00886E17">
        <w:rPr>
          <w:rFonts w:eastAsiaTheme="minorEastAsia" w:cstheme="minorBidi"/>
          <w:szCs w:val="22"/>
        </w:rPr>
        <w:t xml:space="preserve"> into larger and smaller wavenumbers</w:t>
      </w:r>
      <w:r w:rsidR="000B662C">
        <w:rPr>
          <w:rFonts w:eastAsiaTheme="minorEastAsia" w:cstheme="minorBidi"/>
          <w:szCs w:val="22"/>
        </w:rPr>
        <w:t>,</w:t>
      </w:r>
      <w:r w:rsidRPr="00886E17">
        <w:rPr>
          <w:rFonts w:eastAsiaTheme="minorEastAsia" w:cstheme="minorBidi"/>
          <w:szCs w:val="22"/>
        </w:rPr>
        <w:t xml:space="preserve"> and a second maximum </w:t>
      </w:r>
      <w:r w:rsidR="007043A9">
        <w:rPr>
          <w:rFonts w:eastAsiaTheme="minorEastAsia" w:cstheme="minorBidi"/>
          <w:szCs w:val="22"/>
        </w:rPr>
        <w:t>occurs</w:t>
      </w:r>
      <w:r w:rsidRPr="00886E17">
        <w:rPr>
          <w:rFonts w:eastAsiaTheme="minorEastAsia" w:cstheme="minorBidi"/>
          <w:szCs w:val="22"/>
        </w:rPr>
        <w:t xml:space="preserve"> at similar wavenumbers starting right before 72 hours</w:t>
      </w:r>
      <w:bookmarkEnd w:id="44"/>
      <w:r w:rsidRPr="00886E17">
        <w:rPr>
          <w:rFonts w:eastAsiaTheme="minorEastAsia" w:cstheme="minorBidi"/>
          <w:szCs w:val="22"/>
        </w:rPr>
        <w:t xml:space="preserve">.  </w:t>
      </w:r>
      <w:bookmarkStart w:id="45" w:name="_Hlk97643868"/>
      <w:r w:rsidRPr="00886E17">
        <w:rPr>
          <w:rFonts w:eastAsiaTheme="minorEastAsia" w:cstheme="minorBidi"/>
          <w:szCs w:val="22"/>
        </w:rPr>
        <w:t>From 72 to 120 hours, these differences in errors continue to grow as well as disperse into surrounding wavenumbers</w:t>
      </w:r>
      <w:bookmarkEnd w:id="45"/>
      <w:r w:rsidRPr="00886E17">
        <w:rPr>
          <w:rFonts w:eastAsiaTheme="minorEastAsia" w:cstheme="minorBidi"/>
          <w:szCs w:val="22"/>
        </w:rPr>
        <w:t xml:space="preserve">. </w:t>
      </w:r>
    </w:p>
    <w:p w14:paraId="732DBE5C" w14:textId="03F5798A" w:rsidR="00886E17" w:rsidRPr="00886E17" w:rsidRDefault="00886E17" w:rsidP="00A80A0D">
      <w:pPr>
        <w:spacing w:line="480" w:lineRule="auto"/>
        <w:ind w:firstLine="720"/>
        <w:jc w:val="both"/>
        <w:rPr>
          <w:rFonts w:eastAsiaTheme="minorEastAsia" w:cstheme="minorBidi"/>
          <w:szCs w:val="22"/>
        </w:rPr>
      </w:pPr>
      <w:r w:rsidRPr="00886E17">
        <w:rPr>
          <w:rFonts w:eastAsiaTheme="minorEastAsia" w:cstheme="minorBidi"/>
          <w:szCs w:val="22"/>
        </w:rPr>
        <w:t xml:space="preserve">To diagnose </w:t>
      </w:r>
      <w:r w:rsidR="007043A9">
        <w:rPr>
          <w:rFonts w:eastAsiaTheme="minorEastAsia" w:cstheme="minorBidi"/>
          <w:szCs w:val="22"/>
        </w:rPr>
        <w:t>the physical features that</w:t>
      </w:r>
      <w:r w:rsidRPr="00886E17">
        <w:rPr>
          <w:rFonts w:eastAsiaTheme="minorEastAsia" w:cstheme="minorBidi"/>
          <w:szCs w:val="22"/>
        </w:rPr>
        <w:t xml:space="preserve"> </w:t>
      </w:r>
      <w:r w:rsidR="007043A9">
        <w:rPr>
          <w:rFonts w:eastAsiaTheme="minorEastAsia" w:cstheme="minorBidi"/>
          <w:szCs w:val="22"/>
        </w:rPr>
        <w:t>l</w:t>
      </w:r>
      <w:r w:rsidRPr="00886E17">
        <w:rPr>
          <w:rFonts w:eastAsiaTheme="minorEastAsia" w:cstheme="minorBidi"/>
          <w:szCs w:val="22"/>
        </w:rPr>
        <w:t>e</w:t>
      </w:r>
      <w:r w:rsidR="007043A9">
        <w:rPr>
          <w:rFonts w:eastAsiaTheme="minorEastAsia" w:cstheme="minorBidi"/>
          <w:szCs w:val="22"/>
        </w:rPr>
        <w:t>d</w:t>
      </w:r>
      <w:r w:rsidRPr="00886E17">
        <w:rPr>
          <w:rFonts w:eastAsiaTheme="minorEastAsia" w:cstheme="minorBidi"/>
          <w:szCs w:val="22"/>
        </w:rPr>
        <w:t xml:space="preserve"> </w:t>
      </w:r>
      <w:r w:rsidR="007043A9">
        <w:rPr>
          <w:rFonts w:eastAsiaTheme="minorEastAsia" w:cstheme="minorBidi"/>
          <w:szCs w:val="22"/>
        </w:rPr>
        <w:t xml:space="preserve">to </w:t>
      </w:r>
      <w:r w:rsidRPr="00886E17">
        <w:rPr>
          <w:rFonts w:eastAsiaTheme="minorEastAsia" w:cstheme="minorBidi"/>
          <w:szCs w:val="22"/>
        </w:rPr>
        <w:t>the differences in the errors between the two experiments, one case</w:t>
      </w:r>
      <w:r w:rsidR="003B754C">
        <w:rPr>
          <w:rFonts w:eastAsiaTheme="minorEastAsia" w:cstheme="minorBidi"/>
          <w:szCs w:val="22"/>
        </w:rPr>
        <w:t>,</w:t>
      </w:r>
      <w:r w:rsidRPr="00886E17">
        <w:rPr>
          <w:rFonts w:eastAsiaTheme="minorEastAsia" w:cstheme="minorBidi"/>
          <w:szCs w:val="22"/>
        </w:rPr>
        <w:t xml:space="preserve"> which was representative of the errors shown in Figs. </w:t>
      </w:r>
      <w:r w:rsidR="0006446C">
        <w:rPr>
          <w:rFonts w:eastAsiaTheme="minorEastAsia" w:cstheme="minorBidi"/>
          <w:szCs w:val="22"/>
        </w:rPr>
        <w:t>9</w:t>
      </w:r>
      <w:r w:rsidRPr="00886E17">
        <w:rPr>
          <w:rFonts w:eastAsiaTheme="minorEastAsia" w:cstheme="minorBidi"/>
          <w:szCs w:val="22"/>
        </w:rPr>
        <w:t>,1</w:t>
      </w:r>
      <w:r w:rsidR="0006446C">
        <w:rPr>
          <w:rFonts w:eastAsiaTheme="minorEastAsia" w:cstheme="minorBidi"/>
          <w:szCs w:val="22"/>
        </w:rPr>
        <w:t>0</w:t>
      </w:r>
      <w:r w:rsidR="003B754C">
        <w:rPr>
          <w:rFonts w:eastAsiaTheme="minorEastAsia" w:cstheme="minorBidi"/>
          <w:szCs w:val="22"/>
        </w:rPr>
        <w:t>, was chosen</w:t>
      </w:r>
      <w:r w:rsidRPr="00886E17">
        <w:rPr>
          <w:rFonts w:eastAsiaTheme="minorEastAsia" w:cstheme="minorBidi"/>
          <w:szCs w:val="22"/>
        </w:rPr>
        <w:t xml:space="preserve">.  The case had an analysis time of </w:t>
      </w:r>
      <w:bookmarkStart w:id="46" w:name="_Hlk97644052"/>
      <w:r w:rsidRPr="00886E17">
        <w:rPr>
          <w:rFonts w:eastAsiaTheme="minorEastAsia" w:cstheme="minorBidi"/>
          <w:szCs w:val="22"/>
        </w:rPr>
        <w:t>0000 UTC on 12 September 2017</w:t>
      </w:r>
      <w:bookmarkEnd w:id="46"/>
      <w:r w:rsidRPr="00886E17">
        <w:rPr>
          <w:rFonts w:eastAsiaTheme="minorEastAsia" w:cstheme="minorBidi"/>
          <w:szCs w:val="22"/>
        </w:rPr>
        <w:t>, and the 250</w:t>
      </w:r>
      <w:r w:rsidR="004344CF">
        <w:rPr>
          <w:rFonts w:eastAsiaTheme="minorEastAsia" w:cstheme="minorBidi"/>
          <w:szCs w:val="22"/>
        </w:rPr>
        <w:t>-</w:t>
      </w:r>
      <w:r w:rsidRPr="00886E17">
        <w:rPr>
          <w:rFonts w:eastAsiaTheme="minorEastAsia" w:cstheme="minorBidi"/>
          <w:szCs w:val="22"/>
        </w:rPr>
        <w:t xml:space="preserve">hPa level was chosen </w:t>
      </w:r>
      <w:r w:rsidR="00A9201B">
        <w:rPr>
          <w:rFonts w:eastAsiaTheme="minorEastAsia" w:cstheme="minorBidi"/>
          <w:szCs w:val="22"/>
        </w:rPr>
        <w:t>to be analyzed</w:t>
      </w:r>
      <w:r w:rsidRPr="00886E17">
        <w:rPr>
          <w:rFonts w:eastAsiaTheme="minorEastAsia" w:cstheme="minorBidi"/>
          <w:szCs w:val="22"/>
        </w:rPr>
        <w:t xml:space="preserve"> since </w:t>
      </w:r>
      <w:r w:rsidR="00F25E8A">
        <w:rPr>
          <w:rFonts w:eastAsiaTheme="minorEastAsia" w:cstheme="minorBidi"/>
          <w:szCs w:val="22"/>
        </w:rPr>
        <w:t>pressure levels between 200 hPa and 300 hPa typically demonstrated the greatest improvement in</w:t>
      </w:r>
      <w:r w:rsidRPr="00886E17">
        <w:rPr>
          <w:rFonts w:eastAsiaTheme="minorEastAsia" w:cstheme="minorBidi"/>
          <w:szCs w:val="22"/>
        </w:rPr>
        <w:t xml:space="preserve"> Fig. </w:t>
      </w:r>
      <w:r w:rsidR="00F25E8A">
        <w:rPr>
          <w:rFonts w:eastAsiaTheme="minorEastAsia" w:cstheme="minorBidi"/>
          <w:szCs w:val="22"/>
        </w:rPr>
        <w:t>9</w:t>
      </w:r>
      <w:r w:rsidRPr="00886E17">
        <w:rPr>
          <w:rFonts w:eastAsiaTheme="minorEastAsia" w:cstheme="minorBidi"/>
          <w:szCs w:val="22"/>
        </w:rPr>
        <w:t>.   To determine specifically what was occurring at the peaks in energy errors in Fig. 1</w:t>
      </w:r>
      <w:r w:rsidR="0006446C">
        <w:rPr>
          <w:rFonts w:eastAsiaTheme="minorEastAsia" w:cstheme="minorBidi"/>
          <w:szCs w:val="22"/>
        </w:rPr>
        <w:t>0</w:t>
      </w:r>
      <w:r w:rsidRPr="00886E17">
        <w:rPr>
          <w:rFonts w:eastAsiaTheme="minorEastAsia" w:cstheme="minorBidi"/>
          <w:szCs w:val="22"/>
        </w:rPr>
        <w:t xml:space="preserve">, the total energy error was calculated at each grid point for each experiment and lead time.  Then, a filter was applied to this result to filter </w:t>
      </w:r>
      <w:r w:rsidR="00D00866">
        <w:rPr>
          <w:rFonts w:eastAsiaTheme="minorEastAsia" w:cstheme="minorBidi"/>
          <w:szCs w:val="22"/>
        </w:rPr>
        <w:t>for wavenumbers between</w:t>
      </w:r>
      <w:r w:rsidRPr="00886E17">
        <w:rPr>
          <w:rFonts w:eastAsiaTheme="minorEastAsia" w:cstheme="minorBidi"/>
          <w:szCs w:val="22"/>
        </w:rPr>
        <w:t xml:space="preserve"> 5 and 25</w:t>
      </w:r>
      <w:r w:rsidR="00D00866">
        <w:rPr>
          <w:rFonts w:eastAsiaTheme="minorEastAsia" w:cstheme="minorBidi"/>
          <w:szCs w:val="22"/>
        </w:rPr>
        <w:t xml:space="preserve"> since these wavenumbers displayed the greatest improvement in Fig. 10</w:t>
      </w:r>
      <w:r w:rsidRPr="00886E17">
        <w:rPr>
          <w:rFonts w:eastAsiaTheme="minorEastAsia" w:cstheme="minorBidi"/>
          <w:szCs w:val="22"/>
        </w:rPr>
        <w:t>.  In Fig. 1</w:t>
      </w:r>
      <w:r w:rsidR="0006446C">
        <w:rPr>
          <w:rFonts w:eastAsiaTheme="minorEastAsia" w:cstheme="minorBidi"/>
          <w:szCs w:val="22"/>
        </w:rPr>
        <w:t>1</w:t>
      </w:r>
      <w:r w:rsidRPr="00886E17">
        <w:rPr>
          <w:rFonts w:eastAsiaTheme="minorEastAsia" w:cstheme="minorBidi"/>
          <w:szCs w:val="22"/>
        </w:rPr>
        <w:t xml:space="preserve">, these results were averaged over all longitudes, and the difference between MR170 and SR-High was taken.  </w:t>
      </w:r>
      <w:bookmarkStart w:id="47" w:name="_Hlk97644312"/>
      <w:r w:rsidRPr="00886E17">
        <w:rPr>
          <w:rFonts w:eastAsiaTheme="minorEastAsia" w:cstheme="minorBidi"/>
          <w:szCs w:val="22"/>
        </w:rPr>
        <w:t>Fig. 1</w:t>
      </w:r>
      <w:r w:rsidR="0006446C">
        <w:rPr>
          <w:rFonts w:eastAsiaTheme="minorEastAsia" w:cstheme="minorBidi"/>
          <w:szCs w:val="22"/>
        </w:rPr>
        <w:t>2</w:t>
      </w:r>
      <w:r w:rsidRPr="00886E17">
        <w:rPr>
          <w:rFonts w:eastAsiaTheme="minorEastAsia" w:cstheme="minorBidi"/>
          <w:szCs w:val="22"/>
        </w:rPr>
        <w:t xml:space="preserve"> shows the</w:t>
      </w:r>
      <w:r w:rsidR="00703FFA">
        <w:rPr>
          <w:rFonts w:eastAsiaTheme="minorEastAsia" w:cstheme="minorBidi"/>
          <w:szCs w:val="22"/>
        </w:rPr>
        <w:t xml:space="preserve"> locations of the</w:t>
      </w:r>
      <w:r w:rsidRPr="00886E17">
        <w:rPr>
          <w:rFonts w:eastAsiaTheme="minorEastAsia" w:cstheme="minorBidi"/>
          <w:szCs w:val="22"/>
        </w:rPr>
        <w:t xml:space="preserve"> </w:t>
      </w:r>
      <w:r w:rsidR="00D863EC">
        <w:rPr>
          <w:rFonts w:eastAsiaTheme="minorEastAsia" w:cstheme="minorBidi"/>
          <w:szCs w:val="22"/>
        </w:rPr>
        <w:t xml:space="preserve">5% </w:t>
      </w:r>
      <w:r w:rsidR="00703FFA">
        <w:rPr>
          <w:rFonts w:eastAsiaTheme="minorEastAsia" w:cstheme="minorBidi"/>
          <w:szCs w:val="22"/>
        </w:rPr>
        <w:t>grea</w:t>
      </w:r>
      <w:r w:rsidR="00D863EC">
        <w:rPr>
          <w:rFonts w:eastAsiaTheme="minorEastAsia" w:cstheme="minorBidi"/>
          <w:szCs w:val="22"/>
        </w:rPr>
        <w:t>t</w:t>
      </w:r>
      <w:r w:rsidR="00703FFA">
        <w:rPr>
          <w:rFonts w:eastAsiaTheme="minorEastAsia" w:cstheme="minorBidi"/>
          <w:szCs w:val="22"/>
        </w:rPr>
        <w:t>est</w:t>
      </w:r>
      <w:r w:rsidR="00D863EC">
        <w:rPr>
          <w:rFonts w:eastAsiaTheme="minorEastAsia" w:cstheme="minorBidi"/>
          <w:szCs w:val="22"/>
        </w:rPr>
        <w:t xml:space="preserve"> improvement</w:t>
      </w:r>
      <w:r w:rsidR="00703FFA">
        <w:rPr>
          <w:rFonts w:eastAsiaTheme="minorEastAsia" w:cstheme="minorBidi"/>
          <w:szCs w:val="22"/>
        </w:rPr>
        <w:t xml:space="preserve"> for </w:t>
      </w:r>
      <w:r w:rsidR="00CF0C13">
        <w:rPr>
          <w:rFonts w:eastAsiaTheme="minorEastAsia" w:cstheme="minorBidi"/>
          <w:szCs w:val="22"/>
        </w:rPr>
        <w:t xml:space="preserve">the </w:t>
      </w:r>
      <w:r w:rsidR="00703FFA">
        <w:rPr>
          <w:rFonts w:eastAsiaTheme="minorEastAsia" w:cstheme="minorBidi"/>
          <w:szCs w:val="22"/>
        </w:rPr>
        <w:t>MR170</w:t>
      </w:r>
      <w:r w:rsidRPr="00886E17">
        <w:rPr>
          <w:rFonts w:eastAsiaTheme="minorEastAsia" w:cstheme="minorBidi"/>
          <w:szCs w:val="22"/>
        </w:rPr>
        <w:t xml:space="preserve"> </w:t>
      </w:r>
      <w:r w:rsidR="00CF0C13">
        <w:rPr>
          <w:rFonts w:eastAsiaTheme="minorEastAsia" w:cstheme="minorBidi"/>
          <w:szCs w:val="22"/>
        </w:rPr>
        <w:t xml:space="preserve">experiment, </w:t>
      </w:r>
      <w:r w:rsidR="00703FFA" w:rsidRPr="00886E17">
        <w:rPr>
          <w:rFonts w:eastAsiaTheme="minorEastAsia" w:cstheme="minorBidi"/>
          <w:szCs w:val="22"/>
        </w:rPr>
        <w:t xml:space="preserve">filtered for the same wavenumbers </w:t>
      </w:r>
      <w:r w:rsidRPr="00886E17">
        <w:rPr>
          <w:rFonts w:eastAsiaTheme="minorEastAsia" w:cstheme="minorBidi"/>
          <w:szCs w:val="22"/>
        </w:rPr>
        <w:t>in 24-h increments</w:t>
      </w:r>
      <w:r w:rsidR="00CF0C13">
        <w:rPr>
          <w:rFonts w:eastAsiaTheme="minorEastAsia" w:cstheme="minorBidi"/>
          <w:szCs w:val="22"/>
        </w:rPr>
        <w:t xml:space="preserve">.  The figure also displays </w:t>
      </w:r>
      <w:r w:rsidRPr="00886E17">
        <w:rPr>
          <w:rFonts w:eastAsiaTheme="minorEastAsia" w:cstheme="minorBidi"/>
          <w:szCs w:val="22"/>
        </w:rPr>
        <w:t xml:space="preserve">the associated </w:t>
      </w:r>
      <w:r w:rsidR="00C56B69">
        <w:rPr>
          <w:rFonts w:eastAsiaTheme="minorEastAsia" w:cstheme="minorBidi"/>
          <w:szCs w:val="22"/>
        </w:rPr>
        <w:t>250</w:t>
      </w:r>
      <w:r w:rsidR="0077385A">
        <w:rPr>
          <w:rFonts w:eastAsiaTheme="minorEastAsia" w:cstheme="minorBidi"/>
          <w:szCs w:val="22"/>
        </w:rPr>
        <w:t>-</w:t>
      </w:r>
      <w:r w:rsidR="00C56B69">
        <w:rPr>
          <w:rFonts w:eastAsiaTheme="minorEastAsia" w:cstheme="minorBidi"/>
          <w:szCs w:val="22"/>
        </w:rPr>
        <w:t xml:space="preserve">hPa </w:t>
      </w:r>
      <w:r w:rsidRPr="00886E17">
        <w:rPr>
          <w:rFonts w:eastAsiaTheme="minorEastAsia" w:cstheme="minorBidi"/>
          <w:szCs w:val="22"/>
        </w:rPr>
        <w:t xml:space="preserve">wind speed map at the same times. </w:t>
      </w:r>
    </w:p>
    <w:p w14:paraId="3CECCDD4" w14:textId="5B74C71A" w:rsidR="00886E17" w:rsidRPr="00886E17" w:rsidRDefault="00886E17" w:rsidP="00A80A0D">
      <w:pPr>
        <w:spacing w:line="480" w:lineRule="auto"/>
        <w:ind w:firstLine="720"/>
        <w:jc w:val="both"/>
        <w:rPr>
          <w:rFonts w:eastAsiaTheme="minorEastAsia" w:cstheme="minorBidi"/>
          <w:szCs w:val="22"/>
        </w:rPr>
      </w:pPr>
      <w:r w:rsidRPr="00886E17">
        <w:rPr>
          <w:rFonts w:eastAsiaTheme="minorEastAsia" w:cstheme="minorBidi"/>
          <w:szCs w:val="22"/>
        </w:rPr>
        <w:t>At analysis time, the</w:t>
      </w:r>
      <w:r w:rsidR="00BA5B33">
        <w:rPr>
          <w:rFonts w:eastAsiaTheme="minorEastAsia" w:cstheme="minorBidi"/>
          <w:szCs w:val="22"/>
        </w:rPr>
        <w:t>re is peak in the tropics, especially near the equator, of the</w:t>
      </w:r>
      <w:r w:rsidRPr="00886E17">
        <w:rPr>
          <w:rFonts w:eastAsiaTheme="minorEastAsia" w:cstheme="minorBidi"/>
          <w:szCs w:val="22"/>
        </w:rPr>
        <w:t xml:space="preserve"> difference in energy errors, indicating improvement for MR170</w:t>
      </w:r>
      <w:r w:rsidR="00BA5B33">
        <w:rPr>
          <w:rFonts w:eastAsiaTheme="minorEastAsia" w:cstheme="minorBidi"/>
          <w:szCs w:val="22"/>
        </w:rPr>
        <w:t xml:space="preserve"> in this region </w:t>
      </w:r>
      <w:bookmarkEnd w:id="47"/>
      <w:r w:rsidRPr="00886E17">
        <w:rPr>
          <w:rFonts w:eastAsiaTheme="minorEastAsia" w:cstheme="minorBidi"/>
          <w:szCs w:val="22"/>
        </w:rPr>
        <w:t>(Fig. 1</w:t>
      </w:r>
      <w:r w:rsidR="0006446C">
        <w:rPr>
          <w:rFonts w:eastAsiaTheme="minorEastAsia" w:cstheme="minorBidi"/>
          <w:szCs w:val="22"/>
        </w:rPr>
        <w:t>1</w:t>
      </w:r>
      <w:r w:rsidRPr="00886E17">
        <w:rPr>
          <w:rFonts w:eastAsiaTheme="minorEastAsia" w:cstheme="minorBidi"/>
          <w:szCs w:val="22"/>
        </w:rPr>
        <w:t xml:space="preserve">).  </w:t>
      </w:r>
      <w:bookmarkStart w:id="48" w:name="_Hlk97644321"/>
      <w:r w:rsidR="001F756F">
        <w:rPr>
          <w:rFonts w:eastAsiaTheme="minorEastAsia" w:cstheme="minorBidi"/>
          <w:szCs w:val="22"/>
        </w:rPr>
        <w:t>The largest area of improvement is collocated with</w:t>
      </w:r>
      <w:r w:rsidRPr="00886E17">
        <w:rPr>
          <w:rFonts w:eastAsiaTheme="minorEastAsia" w:cstheme="minorBidi"/>
          <w:szCs w:val="22"/>
        </w:rPr>
        <w:t xml:space="preserve"> a region of high wind speeds </w:t>
      </w:r>
      <w:r w:rsidR="004E6CFC" w:rsidRPr="00886E17">
        <w:rPr>
          <w:rFonts w:eastAsiaTheme="minorEastAsia" w:cstheme="minorBidi"/>
          <w:szCs w:val="22"/>
        </w:rPr>
        <w:t>near parallel</w:t>
      </w:r>
      <w:r w:rsidRPr="00886E17">
        <w:rPr>
          <w:rFonts w:eastAsiaTheme="minorEastAsia" w:cstheme="minorBidi"/>
          <w:szCs w:val="22"/>
        </w:rPr>
        <w:t xml:space="preserve"> to the western coast of Africa</w:t>
      </w:r>
      <w:r w:rsidR="007B7A6F">
        <w:rPr>
          <w:rFonts w:eastAsiaTheme="minorEastAsia" w:cstheme="minorBidi"/>
          <w:szCs w:val="22"/>
        </w:rPr>
        <w:t xml:space="preserve"> that connects with the subtropical jet at around 20</w:t>
      </w:r>
      <w:r w:rsidR="00166602" w:rsidRPr="00834BB9">
        <w:t>°</w:t>
      </w:r>
      <w:r w:rsidR="00166602">
        <w:t>S</w:t>
      </w:r>
      <w:r w:rsidR="001F756F">
        <w:rPr>
          <w:rFonts w:eastAsiaTheme="minorEastAsia" w:cstheme="minorBidi"/>
          <w:szCs w:val="22"/>
        </w:rPr>
        <w:t xml:space="preserve"> (Fig. 1</w:t>
      </w:r>
      <w:r w:rsidR="0006446C">
        <w:rPr>
          <w:rFonts w:eastAsiaTheme="minorEastAsia" w:cstheme="minorBidi"/>
          <w:szCs w:val="22"/>
        </w:rPr>
        <w:t>2</w:t>
      </w:r>
      <w:r w:rsidR="001F756F">
        <w:rPr>
          <w:rFonts w:eastAsiaTheme="minorEastAsia" w:cstheme="minorBidi"/>
          <w:szCs w:val="22"/>
        </w:rPr>
        <w:t>a). Th</w:t>
      </w:r>
      <w:r w:rsidR="00166602">
        <w:rPr>
          <w:rFonts w:eastAsiaTheme="minorEastAsia" w:cstheme="minorBidi"/>
          <w:szCs w:val="22"/>
        </w:rPr>
        <w:t xml:space="preserve">e northern portion of this </w:t>
      </w:r>
      <w:r w:rsidR="007B7A6F">
        <w:rPr>
          <w:rFonts w:eastAsiaTheme="minorEastAsia" w:cstheme="minorBidi"/>
          <w:szCs w:val="22"/>
        </w:rPr>
        <w:t xml:space="preserve">high-wind speed </w:t>
      </w:r>
      <w:r w:rsidR="001F756F">
        <w:rPr>
          <w:rFonts w:eastAsiaTheme="minorEastAsia" w:cstheme="minorBidi"/>
          <w:szCs w:val="22"/>
        </w:rPr>
        <w:t xml:space="preserve">feature </w:t>
      </w:r>
      <w:r w:rsidR="007B7A6F">
        <w:rPr>
          <w:rFonts w:eastAsiaTheme="minorEastAsia" w:cstheme="minorBidi"/>
          <w:szCs w:val="22"/>
        </w:rPr>
        <w:t>is</w:t>
      </w:r>
      <w:r w:rsidR="001F756F">
        <w:rPr>
          <w:rFonts w:eastAsiaTheme="minorEastAsia" w:cstheme="minorBidi"/>
          <w:szCs w:val="22"/>
        </w:rPr>
        <w:t xml:space="preserve"> </w:t>
      </w:r>
      <w:r w:rsidR="007B7A6F">
        <w:rPr>
          <w:rFonts w:eastAsiaTheme="minorEastAsia" w:cstheme="minorBidi"/>
          <w:szCs w:val="22"/>
        </w:rPr>
        <w:t>consistent with the location of the western portion of the Tropical Easterly Jet</w:t>
      </w:r>
      <w:r w:rsidR="00166602">
        <w:rPr>
          <w:rFonts w:eastAsiaTheme="minorEastAsia" w:cstheme="minorBidi"/>
          <w:szCs w:val="22"/>
        </w:rPr>
        <w:t xml:space="preserve"> (TEJ; </w:t>
      </w:r>
      <w:r w:rsidR="007B7A6F">
        <w:rPr>
          <w:rFonts w:eastAsiaTheme="minorEastAsia" w:cstheme="minorBidi"/>
          <w:szCs w:val="22"/>
        </w:rPr>
        <w:t>Koteswaram 1958).</w:t>
      </w:r>
      <w:r w:rsidR="00166602">
        <w:rPr>
          <w:rFonts w:eastAsiaTheme="minorEastAsia" w:cstheme="minorBidi"/>
          <w:szCs w:val="22"/>
        </w:rPr>
        <w:t xml:space="preserve">  The MR170 analysis displays substantial improvement both within the TEJ and in the area where it connects with the subtropical jet. </w:t>
      </w:r>
      <w:r w:rsidRPr="00886E17">
        <w:rPr>
          <w:rFonts w:eastAsiaTheme="minorEastAsia" w:cstheme="minorBidi"/>
          <w:szCs w:val="22"/>
        </w:rPr>
        <w:t xml:space="preserve">By 24 hours, </w:t>
      </w:r>
      <w:r w:rsidR="00A001C6">
        <w:rPr>
          <w:rFonts w:eastAsiaTheme="minorEastAsia" w:cstheme="minorBidi"/>
          <w:szCs w:val="22"/>
        </w:rPr>
        <w:t>s</w:t>
      </w:r>
      <w:r w:rsidR="00A001C6" w:rsidRPr="00886E17">
        <w:rPr>
          <w:rFonts w:eastAsiaTheme="minorEastAsia" w:cstheme="minorBidi"/>
          <w:szCs w:val="22"/>
        </w:rPr>
        <w:t xml:space="preserve">ome </w:t>
      </w:r>
      <w:r w:rsidR="00A001C6" w:rsidRPr="00886E17">
        <w:rPr>
          <w:rFonts w:eastAsiaTheme="minorEastAsia" w:cstheme="minorBidi"/>
          <w:szCs w:val="22"/>
        </w:rPr>
        <w:lastRenderedPageBreak/>
        <w:t xml:space="preserve">of the initial improvement in the tropics </w:t>
      </w:r>
      <w:r w:rsidR="00A001C6">
        <w:rPr>
          <w:rFonts w:eastAsiaTheme="minorEastAsia" w:cstheme="minorBidi"/>
          <w:szCs w:val="22"/>
        </w:rPr>
        <w:t>continues to interact</w:t>
      </w:r>
      <w:r w:rsidR="00A001C6" w:rsidRPr="00886E17">
        <w:rPr>
          <w:rFonts w:eastAsiaTheme="minorEastAsia" w:cstheme="minorBidi"/>
          <w:szCs w:val="22"/>
        </w:rPr>
        <w:t xml:space="preserve"> with the SH subtropical jet</w:t>
      </w:r>
      <w:r w:rsidR="00A001C6">
        <w:rPr>
          <w:rFonts w:eastAsiaTheme="minorEastAsia" w:cstheme="minorBidi"/>
          <w:szCs w:val="22"/>
        </w:rPr>
        <w:t>, expanding and intensifying the</w:t>
      </w:r>
      <w:r w:rsidRPr="00886E17">
        <w:rPr>
          <w:rFonts w:eastAsiaTheme="minorEastAsia" w:cstheme="minorBidi"/>
          <w:szCs w:val="22"/>
        </w:rPr>
        <w:t xml:space="preserve"> </w:t>
      </w:r>
      <w:r w:rsidR="00A001C6">
        <w:rPr>
          <w:rFonts w:eastAsiaTheme="minorEastAsia" w:cstheme="minorBidi"/>
          <w:szCs w:val="22"/>
        </w:rPr>
        <w:t xml:space="preserve">areas </w:t>
      </w:r>
      <w:r w:rsidRPr="00886E17">
        <w:rPr>
          <w:rFonts w:eastAsiaTheme="minorEastAsia" w:cstheme="minorBidi"/>
          <w:szCs w:val="22"/>
        </w:rPr>
        <w:t xml:space="preserve">of improvement </w:t>
      </w:r>
      <w:r w:rsidR="00A001C6">
        <w:rPr>
          <w:rFonts w:eastAsiaTheme="minorEastAsia" w:cstheme="minorBidi"/>
          <w:szCs w:val="22"/>
        </w:rPr>
        <w:t>in</w:t>
      </w:r>
      <w:r w:rsidRPr="00886E17">
        <w:rPr>
          <w:rFonts w:eastAsiaTheme="minorEastAsia" w:cstheme="minorBidi"/>
          <w:szCs w:val="22"/>
        </w:rPr>
        <w:t xml:space="preserve"> the </w:t>
      </w:r>
      <w:r w:rsidR="008F6728">
        <w:rPr>
          <w:rFonts w:eastAsiaTheme="minorEastAsia" w:cstheme="minorBidi"/>
          <w:szCs w:val="22"/>
        </w:rPr>
        <w:t xml:space="preserve">tropics and </w:t>
      </w:r>
      <w:r w:rsidRPr="00886E17">
        <w:rPr>
          <w:rFonts w:eastAsiaTheme="minorEastAsia" w:cstheme="minorBidi"/>
          <w:szCs w:val="22"/>
        </w:rPr>
        <w:t>SH subtropics</w:t>
      </w:r>
      <w:bookmarkEnd w:id="48"/>
      <w:r w:rsidR="00A001C6">
        <w:rPr>
          <w:rFonts w:eastAsiaTheme="minorEastAsia" w:cstheme="minorBidi"/>
          <w:szCs w:val="22"/>
        </w:rPr>
        <w:t xml:space="preserve"> </w:t>
      </w:r>
      <w:r w:rsidR="00986228">
        <w:rPr>
          <w:rFonts w:eastAsiaTheme="minorEastAsia" w:cstheme="minorBidi"/>
          <w:szCs w:val="22"/>
        </w:rPr>
        <w:t>(</w:t>
      </w:r>
      <w:r w:rsidRPr="00886E17">
        <w:rPr>
          <w:rFonts w:eastAsiaTheme="minorEastAsia" w:cstheme="minorBidi"/>
          <w:szCs w:val="22"/>
        </w:rPr>
        <w:t>Fig</w:t>
      </w:r>
      <w:r w:rsidR="00A001C6">
        <w:rPr>
          <w:rFonts w:eastAsiaTheme="minorEastAsia" w:cstheme="minorBidi"/>
          <w:szCs w:val="22"/>
        </w:rPr>
        <w:t>s</w:t>
      </w:r>
      <w:r w:rsidRPr="00886E17">
        <w:rPr>
          <w:rFonts w:eastAsiaTheme="minorEastAsia" w:cstheme="minorBidi"/>
          <w:szCs w:val="22"/>
        </w:rPr>
        <w:t xml:space="preserve">. </w:t>
      </w:r>
      <w:r w:rsidR="00A001C6">
        <w:rPr>
          <w:rFonts w:eastAsiaTheme="minorEastAsia" w:cstheme="minorBidi"/>
          <w:szCs w:val="22"/>
        </w:rPr>
        <w:t>11,</w:t>
      </w:r>
      <w:r w:rsidRPr="00886E17">
        <w:rPr>
          <w:rFonts w:eastAsiaTheme="minorEastAsia" w:cstheme="minorBidi"/>
          <w:szCs w:val="22"/>
        </w:rPr>
        <w:t>1</w:t>
      </w:r>
      <w:r w:rsidR="0006446C">
        <w:rPr>
          <w:rFonts w:eastAsiaTheme="minorEastAsia" w:cstheme="minorBidi"/>
          <w:szCs w:val="22"/>
        </w:rPr>
        <w:t>2</w:t>
      </w:r>
      <w:r w:rsidR="00703FFA">
        <w:rPr>
          <w:rFonts w:eastAsiaTheme="minorEastAsia" w:cstheme="minorBidi"/>
          <w:szCs w:val="22"/>
        </w:rPr>
        <w:t>b</w:t>
      </w:r>
      <w:r w:rsidRPr="00886E17">
        <w:rPr>
          <w:rFonts w:eastAsiaTheme="minorEastAsia" w:cstheme="minorBidi"/>
          <w:szCs w:val="22"/>
        </w:rPr>
        <w:t>).  Between 24 and 72 hours, locally generated errors in the NH and SH extratropics begin to become evident (Fig. 1</w:t>
      </w:r>
      <w:r w:rsidR="0006446C">
        <w:rPr>
          <w:rFonts w:eastAsiaTheme="minorEastAsia" w:cstheme="minorBidi"/>
          <w:szCs w:val="22"/>
        </w:rPr>
        <w:t>2</w:t>
      </w:r>
      <w:r w:rsidR="00703FFA">
        <w:rPr>
          <w:rFonts w:eastAsiaTheme="minorEastAsia" w:cstheme="minorBidi"/>
          <w:szCs w:val="22"/>
        </w:rPr>
        <w:t>b-d</w:t>
      </w:r>
      <w:r w:rsidRPr="00886E17">
        <w:rPr>
          <w:rFonts w:eastAsiaTheme="minorEastAsia" w:cstheme="minorBidi"/>
          <w:szCs w:val="22"/>
        </w:rPr>
        <w:t xml:space="preserve">).  These errors are largely </w:t>
      </w:r>
      <w:r w:rsidR="00986228">
        <w:rPr>
          <w:rFonts w:eastAsiaTheme="minorEastAsia" w:cstheme="minorBidi"/>
          <w:szCs w:val="22"/>
        </w:rPr>
        <w:t>collocated</w:t>
      </w:r>
      <w:r w:rsidRPr="00886E17">
        <w:rPr>
          <w:rFonts w:eastAsiaTheme="minorEastAsia" w:cstheme="minorBidi"/>
          <w:szCs w:val="22"/>
        </w:rPr>
        <w:t xml:space="preserve"> with regions of the polar jet</w:t>
      </w:r>
      <w:r w:rsidR="00166602">
        <w:rPr>
          <w:rFonts w:eastAsiaTheme="minorEastAsia" w:cstheme="minorBidi"/>
          <w:szCs w:val="22"/>
        </w:rPr>
        <w:t xml:space="preserve"> in both hemispheres</w:t>
      </w:r>
      <w:r w:rsidRPr="00886E17">
        <w:rPr>
          <w:rFonts w:eastAsiaTheme="minorEastAsia" w:cstheme="minorBidi"/>
          <w:szCs w:val="22"/>
        </w:rPr>
        <w:t xml:space="preserve">. Additionally, during this time period, </w:t>
      </w:r>
      <w:r w:rsidR="00986228">
        <w:rPr>
          <w:rFonts w:eastAsiaTheme="minorEastAsia" w:cstheme="minorBidi"/>
          <w:szCs w:val="22"/>
        </w:rPr>
        <w:t>areas of interaction between</w:t>
      </w:r>
      <w:r w:rsidRPr="00886E17">
        <w:rPr>
          <w:rFonts w:eastAsiaTheme="minorEastAsia" w:cstheme="minorBidi"/>
          <w:szCs w:val="22"/>
        </w:rPr>
        <w:t xml:space="preserve"> the polar and subtropical jets in the SH </w:t>
      </w:r>
      <w:r w:rsidR="00986228">
        <w:rPr>
          <w:rFonts w:eastAsiaTheme="minorEastAsia" w:cstheme="minorBidi"/>
          <w:szCs w:val="22"/>
        </w:rPr>
        <w:t>tend to exhibit</w:t>
      </w:r>
      <w:r w:rsidRPr="00886E17">
        <w:rPr>
          <w:rFonts w:eastAsiaTheme="minorEastAsia" w:cstheme="minorBidi"/>
          <w:szCs w:val="22"/>
        </w:rPr>
        <w:t xml:space="preserve"> more substantial growth of the differences in errors. After 72 hours, the error differences continue to grow in both hemispheres but more so in the SH than the NH.  This growth is especially apparent in the highly baroclinic region of the polar jet in the SH, especially in the areas to the southwest of Australia, south of Africa, and to the southeast of South America (Fig. 1</w:t>
      </w:r>
      <w:r w:rsidR="0006446C">
        <w:rPr>
          <w:rFonts w:eastAsiaTheme="minorEastAsia" w:cstheme="minorBidi"/>
          <w:szCs w:val="22"/>
        </w:rPr>
        <w:t>2</w:t>
      </w:r>
      <w:r w:rsidR="00703FFA">
        <w:rPr>
          <w:rFonts w:eastAsiaTheme="minorEastAsia" w:cstheme="minorBidi"/>
          <w:szCs w:val="22"/>
        </w:rPr>
        <w:t>e,f</w:t>
      </w:r>
      <w:r w:rsidRPr="00886E17">
        <w:rPr>
          <w:rFonts w:eastAsiaTheme="minorEastAsia" w:cstheme="minorBidi"/>
          <w:szCs w:val="22"/>
        </w:rPr>
        <w:t>).</w:t>
      </w:r>
    </w:p>
    <w:p w14:paraId="63A101F9" w14:textId="3BF4F5CE" w:rsidR="00886E17" w:rsidRPr="00886E17" w:rsidRDefault="00886E17" w:rsidP="00A80A0D">
      <w:pPr>
        <w:spacing w:line="480" w:lineRule="auto"/>
        <w:ind w:firstLine="720"/>
        <w:jc w:val="both"/>
        <w:rPr>
          <w:rFonts w:eastAsiaTheme="minorEastAsia" w:cstheme="minorBidi"/>
          <w:szCs w:val="22"/>
        </w:rPr>
      </w:pPr>
      <w:r w:rsidRPr="00886E17">
        <w:rPr>
          <w:rFonts w:eastAsiaTheme="minorEastAsia" w:cstheme="minorBidi"/>
          <w:szCs w:val="22"/>
        </w:rPr>
        <w:t xml:space="preserve">The 12 September case study confirms several details of Figs. </w:t>
      </w:r>
      <w:r w:rsidR="0006446C">
        <w:rPr>
          <w:rFonts w:eastAsiaTheme="minorEastAsia" w:cstheme="minorBidi"/>
          <w:szCs w:val="22"/>
        </w:rPr>
        <w:t>9</w:t>
      </w:r>
      <w:r w:rsidRPr="00886E17">
        <w:rPr>
          <w:rFonts w:eastAsiaTheme="minorEastAsia" w:cstheme="minorBidi"/>
          <w:szCs w:val="22"/>
        </w:rPr>
        <w:t>,1</w:t>
      </w:r>
      <w:r w:rsidR="0006446C">
        <w:rPr>
          <w:rFonts w:eastAsiaTheme="minorEastAsia" w:cstheme="minorBidi"/>
          <w:szCs w:val="22"/>
        </w:rPr>
        <w:t>0</w:t>
      </w:r>
      <w:r w:rsidRPr="00886E17">
        <w:rPr>
          <w:rFonts w:eastAsiaTheme="minorEastAsia" w:cstheme="minorBidi"/>
          <w:szCs w:val="22"/>
        </w:rPr>
        <w:t xml:space="preserve">. For Fig. </w:t>
      </w:r>
      <w:r w:rsidR="0006446C">
        <w:rPr>
          <w:rFonts w:eastAsiaTheme="minorEastAsia" w:cstheme="minorBidi"/>
          <w:szCs w:val="22"/>
        </w:rPr>
        <w:t>9</w:t>
      </w:r>
      <w:r w:rsidRPr="00886E17">
        <w:rPr>
          <w:rFonts w:eastAsiaTheme="minorEastAsia" w:cstheme="minorBidi"/>
          <w:szCs w:val="22"/>
        </w:rPr>
        <w:t>, it confirms that the largest differences in upper-level temperatures and wind speeds between the two experiments are in the tropics at the analysis time and early lead times.  The case study also confirms that</w:t>
      </w:r>
      <w:r w:rsidR="00B730F6">
        <w:rPr>
          <w:rFonts w:eastAsiaTheme="minorEastAsia" w:cstheme="minorBidi"/>
          <w:szCs w:val="22"/>
        </w:rPr>
        <w:t xml:space="preserve"> as</w:t>
      </w:r>
      <w:r w:rsidRPr="00886E17">
        <w:rPr>
          <w:rFonts w:eastAsiaTheme="minorEastAsia" w:cstheme="minorBidi"/>
          <w:szCs w:val="22"/>
        </w:rPr>
        <w:t xml:space="preserve"> the difference in the errors become less centered in the tropics at later lead times, error differences are </w:t>
      </w:r>
      <w:r w:rsidR="00B730F6">
        <w:rPr>
          <w:rFonts w:eastAsiaTheme="minorEastAsia" w:cstheme="minorBidi"/>
          <w:szCs w:val="22"/>
        </w:rPr>
        <w:t xml:space="preserve">simultaneously </w:t>
      </w:r>
      <w:r w:rsidR="00B70148">
        <w:rPr>
          <w:rFonts w:eastAsiaTheme="minorEastAsia" w:cstheme="minorBidi"/>
          <w:szCs w:val="22"/>
        </w:rPr>
        <w:t>shifting to</w:t>
      </w:r>
      <w:r w:rsidRPr="00886E17">
        <w:rPr>
          <w:rFonts w:eastAsiaTheme="minorEastAsia" w:cstheme="minorBidi"/>
          <w:szCs w:val="22"/>
        </w:rPr>
        <w:t xml:space="preserve"> the extratropics, most notably in the SH.  Since the case study focused on wavenumbers 5 through 25, it emphasizes the impact and importance of these wavenumbers on the forecast as shown in Fig. 1</w:t>
      </w:r>
      <w:r w:rsidR="0006446C">
        <w:rPr>
          <w:rFonts w:eastAsiaTheme="minorEastAsia" w:cstheme="minorBidi"/>
          <w:szCs w:val="22"/>
        </w:rPr>
        <w:t>0</w:t>
      </w:r>
      <w:r w:rsidRPr="00886E17">
        <w:rPr>
          <w:rFonts w:eastAsiaTheme="minorEastAsia" w:cstheme="minorBidi"/>
          <w:szCs w:val="22"/>
        </w:rPr>
        <w:t xml:space="preserve">.     </w:t>
      </w:r>
    </w:p>
    <w:p w14:paraId="32D5A3FF" w14:textId="7D01C7E1" w:rsidR="00886E17" w:rsidRDefault="00886E17" w:rsidP="00A80A0D">
      <w:pPr>
        <w:spacing w:line="480" w:lineRule="auto"/>
        <w:ind w:firstLine="720"/>
        <w:jc w:val="both"/>
        <w:rPr>
          <w:rFonts w:eastAsiaTheme="minorEastAsia" w:cstheme="minorBidi"/>
          <w:szCs w:val="22"/>
        </w:rPr>
      </w:pPr>
      <w:r w:rsidRPr="00886E17">
        <w:rPr>
          <w:rFonts w:eastAsiaTheme="minorEastAsia" w:cstheme="minorBidi"/>
          <w:szCs w:val="22"/>
        </w:rPr>
        <w:t xml:space="preserve">The case study also elucidates a few aspects not immediately evident in </w:t>
      </w:r>
      <w:r w:rsidR="00481E94">
        <w:rPr>
          <w:rFonts w:eastAsiaTheme="minorEastAsia" w:cstheme="minorBidi"/>
          <w:szCs w:val="22"/>
        </w:rPr>
        <w:t>Figs. 9,10</w:t>
      </w:r>
      <w:r w:rsidRPr="00886E17">
        <w:rPr>
          <w:rFonts w:eastAsiaTheme="minorEastAsia" w:cstheme="minorBidi"/>
          <w:szCs w:val="22"/>
        </w:rPr>
        <w:t>.  It demonstrates what sort of features in the tropics are originally analyzed better in the MR170 experiment.  In this case, the most notable feature</w:t>
      </w:r>
      <w:r w:rsidR="008018D9">
        <w:rPr>
          <w:rFonts w:eastAsiaTheme="minorEastAsia" w:cstheme="minorBidi"/>
          <w:szCs w:val="22"/>
        </w:rPr>
        <w:t xml:space="preserve"> </w:t>
      </w:r>
      <w:r w:rsidR="005932F8">
        <w:rPr>
          <w:rFonts w:eastAsiaTheme="minorEastAsia" w:cstheme="minorBidi"/>
          <w:szCs w:val="22"/>
        </w:rPr>
        <w:t>i</w:t>
      </w:r>
      <w:r w:rsidR="008018D9">
        <w:rPr>
          <w:rFonts w:eastAsiaTheme="minorEastAsia" w:cstheme="minorBidi"/>
          <w:szCs w:val="22"/>
        </w:rPr>
        <w:t>s the TEJ and its</w:t>
      </w:r>
      <w:r w:rsidRPr="00886E17">
        <w:rPr>
          <w:rFonts w:eastAsiaTheme="minorEastAsia" w:cstheme="minorBidi"/>
          <w:szCs w:val="22"/>
        </w:rPr>
        <w:t xml:space="preserve"> connect</w:t>
      </w:r>
      <w:r w:rsidR="008018D9">
        <w:rPr>
          <w:rFonts w:eastAsiaTheme="minorEastAsia" w:cstheme="minorBidi"/>
          <w:szCs w:val="22"/>
        </w:rPr>
        <w:t>ion</w:t>
      </w:r>
      <w:r w:rsidRPr="00886E17">
        <w:rPr>
          <w:rFonts w:eastAsiaTheme="minorEastAsia" w:cstheme="minorBidi"/>
          <w:szCs w:val="22"/>
        </w:rPr>
        <w:t xml:space="preserve"> with the subtropical jet.  The case also highlights the importance of the interaction between the tropics, subtropics, and extratropics in terms of error growth.  In the NH, the jet streams </w:t>
      </w:r>
      <w:r w:rsidR="005932F8">
        <w:rPr>
          <w:rFonts w:eastAsiaTheme="minorEastAsia" w:cstheme="minorBidi"/>
          <w:szCs w:val="22"/>
        </w:rPr>
        <w:t>are</w:t>
      </w:r>
      <w:r w:rsidR="005932F8" w:rsidRPr="00886E17">
        <w:rPr>
          <w:rFonts w:eastAsiaTheme="minorEastAsia" w:cstheme="minorBidi"/>
          <w:szCs w:val="22"/>
        </w:rPr>
        <w:t xml:space="preserve"> </w:t>
      </w:r>
      <w:r w:rsidRPr="00886E17">
        <w:rPr>
          <w:rFonts w:eastAsiaTheme="minorEastAsia" w:cstheme="minorBidi"/>
          <w:szCs w:val="22"/>
        </w:rPr>
        <w:t xml:space="preserve">mainly weaker and isolated from the tropical region as would be expected in the late summer/early spring.  Therefore, error </w:t>
      </w:r>
      <w:r w:rsidRPr="00886E17">
        <w:rPr>
          <w:rFonts w:eastAsiaTheme="minorEastAsia" w:cstheme="minorBidi"/>
          <w:szCs w:val="22"/>
        </w:rPr>
        <w:lastRenderedPageBreak/>
        <w:t>growth in this region depend</w:t>
      </w:r>
      <w:r w:rsidR="005932F8">
        <w:rPr>
          <w:rFonts w:eastAsiaTheme="minorEastAsia" w:cstheme="minorBidi"/>
          <w:szCs w:val="22"/>
        </w:rPr>
        <w:t>s</w:t>
      </w:r>
      <w:r w:rsidRPr="00886E17">
        <w:rPr>
          <w:rFonts w:eastAsiaTheme="minorEastAsia" w:cstheme="minorBidi"/>
          <w:szCs w:val="22"/>
        </w:rPr>
        <w:t xml:space="preserve"> mainly on errors that were generated locally.  In contrast, the SH subtropical jet directly interact</w:t>
      </w:r>
      <w:r w:rsidR="005932F8">
        <w:rPr>
          <w:rFonts w:eastAsiaTheme="minorEastAsia" w:cstheme="minorBidi"/>
          <w:szCs w:val="22"/>
        </w:rPr>
        <w:t>s</w:t>
      </w:r>
      <w:r w:rsidRPr="00886E17">
        <w:rPr>
          <w:rFonts w:eastAsiaTheme="minorEastAsia" w:cstheme="minorBidi"/>
          <w:szCs w:val="22"/>
        </w:rPr>
        <w:t xml:space="preserve"> with regions with large differences in errors in the tropics, which le</w:t>
      </w:r>
      <w:r w:rsidR="005932F8">
        <w:rPr>
          <w:rFonts w:eastAsiaTheme="minorEastAsia" w:cstheme="minorBidi"/>
          <w:szCs w:val="22"/>
        </w:rPr>
        <w:t>a</w:t>
      </w:r>
      <w:r w:rsidRPr="00886E17">
        <w:rPr>
          <w:rFonts w:eastAsiaTheme="minorEastAsia" w:cstheme="minorBidi"/>
          <w:szCs w:val="22"/>
        </w:rPr>
        <w:t>d</w:t>
      </w:r>
      <w:r w:rsidR="005932F8">
        <w:rPr>
          <w:rFonts w:eastAsiaTheme="minorEastAsia" w:cstheme="minorBidi"/>
          <w:szCs w:val="22"/>
        </w:rPr>
        <w:t>s</w:t>
      </w:r>
      <w:r w:rsidRPr="00886E17">
        <w:rPr>
          <w:rFonts w:eastAsiaTheme="minorEastAsia" w:cstheme="minorBidi"/>
          <w:szCs w:val="22"/>
        </w:rPr>
        <w:t xml:space="preserve"> to subsequent error growth </w:t>
      </w:r>
      <w:r w:rsidR="00EF65C5">
        <w:rPr>
          <w:rFonts w:eastAsiaTheme="minorEastAsia" w:cstheme="minorBidi"/>
          <w:szCs w:val="22"/>
        </w:rPr>
        <w:t>along</w:t>
      </w:r>
      <w:r w:rsidRPr="00886E17">
        <w:rPr>
          <w:rFonts w:eastAsiaTheme="minorEastAsia" w:cstheme="minorBidi"/>
          <w:szCs w:val="22"/>
        </w:rPr>
        <w:t xml:space="preserve"> the subtropical jet.  In areas where the subtropical and polar jet me</w:t>
      </w:r>
      <w:r w:rsidR="005932F8">
        <w:rPr>
          <w:rFonts w:eastAsiaTheme="minorEastAsia" w:cstheme="minorBidi"/>
          <w:szCs w:val="22"/>
        </w:rPr>
        <w:t>e</w:t>
      </w:r>
      <w:r w:rsidRPr="00886E17">
        <w:rPr>
          <w:rFonts w:eastAsiaTheme="minorEastAsia" w:cstheme="minorBidi"/>
          <w:szCs w:val="22"/>
        </w:rPr>
        <w:t xml:space="preserve">t, the locally generated errors in the SH extratropics, which </w:t>
      </w:r>
      <w:r w:rsidR="005932F8">
        <w:rPr>
          <w:rFonts w:eastAsiaTheme="minorEastAsia" w:cstheme="minorBidi"/>
          <w:szCs w:val="22"/>
        </w:rPr>
        <w:t>a</w:t>
      </w:r>
      <w:r w:rsidR="005932F8" w:rsidRPr="00886E17">
        <w:rPr>
          <w:rFonts w:eastAsiaTheme="minorEastAsia" w:cstheme="minorBidi"/>
          <w:szCs w:val="22"/>
        </w:rPr>
        <w:t xml:space="preserve">re </w:t>
      </w:r>
      <w:r w:rsidRPr="00886E17">
        <w:rPr>
          <w:rFonts w:eastAsiaTheme="minorEastAsia" w:cstheme="minorBidi"/>
          <w:szCs w:val="22"/>
        </w:rPr>
        <w:t xml:space="preserve">already larger than in the NH due to the strength of the jet in the SH late winter/early spring, </w:t>
      </w:r>
      <w:r w:rsidR="005932F8">
        <w:rPr>
          <w:rFonts w:eastAsiaTheme="minorEastAsia" w:cstheme="minorBidi"/>
          <w:szCs w:val="22"/>
        </w:rPr>
        <w:t>a</w:t>
      </w:r>
      <w:r w:rsidR="005932F8" w:rsidRPr="00886E17">
        <w:rPr>
          <w:rFonts w:eastAsiaTheme="minorEastAsia" w:cstheme="minorBidi"/>
          <w:szCs w:val="22"/>
        </w:rPr>
        <w:t xml:space="preserve">re </w:t>
      </w:r>
      <w:r w:rsidRPr="00886E17">
        <w:rPr>
          <w:rFonts w:eastAsiaTheme="minorEastAsia" w:cstheme="minorBidi"/>
          <w:szCs w:val="22"/>
        </w:rPr>
        <w:t xml:space="preserve">further </w:t>
      </w:r>
      <w:r w:rsidR="00077444">
        <w:rPr>
          <w:rFonts w:eastAsiaTheme="minorEastAsia" w:cstheme="minorBidi"/>
          <w:szCs w:val="22"/>
        </w:rPr>
        <w:t>compound</w:t>
      </w:r>
      <w:r w:rsidRPr="00886E17">
        <w:rPr>
          <w:rFonts w:eastAsiaTheme="minorEastAsia" w:cstheme="minorBidi"/>
          <w:szCs w:val="22"/>
        </w:rPr>
        <w:t>ed by the errors at analysis and early lead times in the tropics and subtropics.</w:t>
      </w:r>
      <w:r w:rsidR="008D2B63">
        <w:rPr>
          <w:rFonts w:eastAsiaTheme="minorEastAsia" w:cstheme="minorBidi"/>
          <w:szCs w:val="22"/>
        </w:rPr>
        <w:t xml:space="preserve">  It should be noted, however, that this study only reviews a single case in depth.  A deeper examination of several cases</w:t>
      </w:r>
      <w:r w:rsidR="00EF65C5">
        <w:rPr>
          <w:rFonts w:eastAsiaTheme="minorEastAsia" w:cstheme="minorBidi"/>
          <w:szCs w:val="22"/>
        </w:rPr>
        <w:t xml:space="preserve"> </w:t>
      </w:r>
      <w:r w:rsidR="008D2B63">
        <w:rPr>
          <w:rFonts w:eastAsiaTheme="minorEastAsia" w:cstheme="minorBidi"/>
          <w:szCs w:val="22"/>
        </w:rPr>
        <w:t xml:space="preserve">over multiple seasons, would yield more fruitful insights into the origination, propagation, and seasonality of forecast error growth.  </w:t>
      </w:r>
    </w:p>
    <w:p w14:paraId="68C3B1EA" w14:textId="54257FA5" w:rsidR="00680B31" w:rsidRPr="00886E17" w:rsidRDefault="00680B31" w:rsidP="00D51799">
      <w:pPr>
        <w:spacing w:line="480" w:lineRule="auto"/>
        <w:ind w:firstLine="720"/>
        <w:jc w:val="both"/>
        <w:rPr>
          <w:rFonts w:eastAsiaTheme="minorEastAsia" w:cstheme="minorBidi"/>
          <w:szCs w:val="22"/>
        </w:rPr>
      </w:pPr>
      <w:r w:rsidRPr="00886E17">
        <w:rPr>
          <w:rFonts w:eastAsiaTheme="minorEastAsia" w:cstheme="minorBidi"/>
          <w:szCs w:val="22"/>
        </w:rPr>
        <w:t xml:space="preserve">Figs. </w:t>
      </w:r>
      <w:r>
        <w:rPr>
          <w:rFonts w:eastAsiaTheme="minorEastAsia" w:cstheme="minorBidi"/>
          <w:szCs w:val="22"/>
        </w:rPr>
        <w:t>9</w:t>
      </w:r>
      <w:r w:rsidRPr="00886E17">
        <w:rPr>
          <w:rFonts w:eastAsiaTheme="minorEastAsia" w:cstheme="minorBidi"/>
          <w:szCs w:val="22"/>
        </w:rPr>
        <w:t>,1</w:t>
      </w:r>
      <w:r>
        <w:rPr>
          <w:rFonts w:eastAsiaTheme="minorEastAsia" w:cstheme="minorBidi"/>
          <w:szCs w:val="22"/>
        </w:rPr>
        <w:t>0</w:t>
      </w:r>
      <w:r w:rsidRPr="00886E17">
        <w:rPr>
          <w:rFonts w:eastAsiaTheme="minorEastAsia" w:cstheme="minorBidi"/>
          <w:szCs w:val="22"/>
        </w:rPr>
        <w:t xml:space="preserve"> demonstrate that MR170 improves the analysis for nearly all scales and pressure levels on average</w:t>
      </w:r>
      <w:r w:rsidR="00267440">
        <w:rPr>
          <w:rFonts w:eastAsiaTheme="minorEastAsia" w:cstheme="minorBidi"/>
          <w:szCs w:val="22"/>
        </w:rPr>
        <w:t xml:space="preserve"> during the experiment period</w:t>
      </w:r>
      <w:r w:rsidRPr="00886E17">
        <w:rPr>
          <w:rFonts w:eastAsiaTheme="minorEastAsia" w:cstheme="minorBidi"/>
          <w:szCs w:val="22"/>
        </w:rPr>
        <w:t xml:space="preserve">.  This initial improvement leads to a better subsequent forecast, with the largest improvements in the large-scale upper-levels tropics at early lead times and the large-scale upper-level extratropics at later lead times (Figs. </w:t>
      </w:r>
      <w:r>
        <w:rPr>
          <w:rFonts w:eastAsiaTheme="minorEastAsia" w:cstheme="minorBidi"/>
          <w:szCs w:val="22"/>
        </w:rPr>
        <w:t>9</w:t>
      </w:r>
      <w:r w:rsidRPr="00886E17">
        <w:rPr>
          <w:rFonts w:eastAsiaTheme="minorEastAsia" w:cstheme="minorBidi"/>
          <w:szCs w:val="22"/>
        </w:rPr>
        <w:t>,1</w:t>
      </w:r>
      <w:r>
        <w:rPr>
          <w:rFonts w:eastAsiaTheme="minorEastAsia" w:cstheme="minorBidi"/>
          <w:szCs w:val="22"/>
        </w:rPr>
        <w:t>1</w:t>
      </w:r>
      <w:r w:rsidRPr="00886E17">
        <w:rPr>
          <w:rFonts w:eastAsiaTheme="minorEastAsia" w:cstheme="minorBidi"/>
          <w:szCs w:val="22"/>
        </w:rPr>
        <w:t>,1</w:t>
      </w:r>
      <w:r>
        <w:rPr>
          <w:rFonts w:eastAsiaTheme="minorEastAsia" w:cstheme="minorBidi"/>
          <w:szCs w:val="22"/>
        </w:rPr>
        <w:t>2</w:t>
      </w:r>
      <w:r w:rsidRPr="00886E17">
        <w:rPr>
          <w:rFonts w:eastAsiaTheme="minorEastAsia" w:cstheme="minorBidi"/>
          <w:szCs w:val="22"/>
        </w:rPr>
        <w:t>).  The improvements in the analyses and forecasts, as they are most apparent at large scales</w:t>
      </w:r>
      <w:r>
        <w:rPr>
          <w:rFonts w:eastAsiaTheme="minorEastAsia" w:cstheme="minorBidi"/>
          <w:szCs w:val="22"/>
        </w:rPr>
        <w:t>,</w:t>
      </w:r>
      <w:r w:rsidRPr="00886E17">
        <w:rPr>
          <w:rFonts w:eastAsiaTheme="minorEastAsia" w:cstheme="minorBidi"/>
          <w:szCs w:val="22"/>
        </w:rPr>
        <w:t xml:space="preserve"> </w:t>
      </w:r>
      <w:r>
        <w:rPr>
          <w:rFonts w:eastAsiaTheme="minorEastAsia" w:cstheme="minorBidi"/>
          <w:szCs w:val="22"/>
        </w:rPr>
        <w:t>can</w:t>
      </w:r>
      <w:r w:rsidRPr="00886E17">
        <w:rPr>
          <w:rFonts w:eastAsiaTheme="minorEastAsia" w:cstheme="minorBidi"/>
          <w:szCs w:val="22"/>
        </w:rPr>
        <w:t xml:space="preserve"> be attributed to two</w:t>
      </w:r>
      <w:r>
        <w:rPr>
          <w:rFonts w:eastAsiaTheme="minorEastAsia" w:cstheme="minorBidi"/>
          <w:szCs w:val="22"/>
        </w:rPr>
        <w:t xml:space="preserve"> interconnected</w:t>
      </w:r>
      <w:r w:rsidRPr="00886E17">
        <w:rPr>
          <w:rFonts w:eastAsiaTheme="minorEastAsia" w:cstheme="minorBidi"/>
          <w:szCs w:val="22"/>
        </w:rPr>
        <w:t xml:space="preserve"> factors: (1) the larger ensemble size in the MR170 experiment due to the large number of low-resolution members; (2) the larger localization radius for the low-resolution ensemble.  </w:t>
      </w:r>
      <w:r>
        <w:rPr>
          <w:rFonts w:eastAsiaTheme="minorEastAsia" w:cstheme="minorBidi"/>
          <w:szCs w:val="22"/>
        </w:rPr>
        <w:t>T</w:t>
      </w:r>
      <w:r w:rsidRPr="00886E17">
        <w:rPr>
          <w:rFonts w:eastAsiaTheme="minorEastAsia" w:cstheme="minorBidi"/>
          <w:szCs w:val="22"/>
        </w:rPr>
        <w:t xml:space="preserve">he larger ensemble size </w:t>
      </w:r>
      <w:r>
        <w:rPr>
          <w:rFonts w:eastAsiaTheme="minorEastAsia" w:cstheme="minorBidi"/>
          <w:szCs w:val="22"/>
        </w:rPr>
        <w:t>leads</w:t>
      </w:r>
      <w:r w:rsidRPr="00886E17">
        <w:rPr>
          <w:rFonts w:eastAsiaTheme="minorEastAsia" w:cstheme="minorBidi"/>
          <w:szCs w:val="22"/>
        </w:rPr>
        <w:t xml:space="preserve"> to a more accurate sampling of the background error correlations at </w:t>
      </w:r>
      <w:r>
        <w:rPr>
          <w:rFonts w:eastAsiaTheme="minorEastAsia" w:cstheme="minorBidi"/>
          <w:szCs w:val="22"/>
        </w:rPr>
        <w:t xml:space="preserve">all </w:t>
      </w:r>
      <w:r w:rsidRPr="00886E17">
        <w:rPr>
          <w:rFonts w:eastAsiaTheme="minorEastAsia" w:cstheme="minorBidi"/>
          <w:szCs w:val="22"/>
        </w:rPr>
        <w:t>scales with wavelengths larger than ~100 km,</w:t>
      </w:r>
      <w:r>
        <w:rPr>
          <w:rFonts w:eastAsiaTheme="minorEastAsia" w:cstheme="minorBidi"/>
          <w:szCs w:val="22"/>
        </w:rPr>
        <w:t xml:space="preserve"> (i.e.,</w:t>
      </w:r>
      <w:r w:rsidRPr="00886E17">
        <w:rPr>
          <w:rFonts w:eastAsiaTheme="minorEastAsia" w:cstheme="minorBidi"/>
          <w:szCs w:val="22"/>
        </w:rPr>
        <w:t xml:space="preserve"> twice the approximate grid spacing of the low-resolution ensemble</w:t>
      </w:r>
      <w:r>
        <w:rPr>
          <w:rFonts w:eastAsiaTheme="minorEastAsia" w:cstheme="minorBidi"/>
          <w:szCs w:val="22"/>
        </w:rPr>
        <w:t>)</w:t>
      </w:r>
      <w:r w:rsidRPr="00886E17">
        <w:rPr>
          <w:rFonts w:eastAsiaTheme="minorEastAsia" w:cstheme="minorBidi"/>
          <w:szCs w:val="22"/>
        </w:rPr>
        <w:t xml:space="preserve">. </w:t>
      </w:r>
      <w:r>
        <w:rPr>
          <w:rFonts w:eastAsiaTheme="minorEastAsia" w:cstheme="minorBidi"/>
          <w:szCs w:val="22"/>
        </w:rPr>
        <w:t xml:space="preserve">The increased sampling for the low-resolution ensemble also </w:t>
      </w:r>
      <w:r w:rsidR="00F13F30">
        <w:rPr>
          <w:rFonts w:eastAsiaTheme="minorEastAsia" w:cstheme="minorBidi"/>
          <w:szCs w:val="22"/>
        </w:rPr>
        <w:t xml:space="preserve">motivates </w:t>
      </w:r>
      <w:r>
        <w:rPr>
          <w:rFonts w:eastAsiaTheme="minorEastAsia" w:cstheme="minorBidi"/>
          <w:szCs w:val="22"/>
        </w:rPr>
        <w:t xml:space="preserve">the necessity of using a larger localization distance. The use of a </w:t>
      </w:r>
      <w:r w:rsidRPr="00886E17">
        <w:rPr>
          <w:rFonts w:eastAsiaTheme="minorEastAsia" w:cstheme="minorBidi"/>
          <w:szCs w:val="22"/>
        </w:rPr>
        <w:t xml:space="preserve">larger localization radius for the low-resolution ensemble in the MR170 experiment </w:t>
      </w:r>
      <w:r>
        <w:rPr>
          <w:rFonts w:eastAsiaTheme="minorEastAsia" w:cstheme="minorBidi"/>
          <w:szCs w:val="22"/>
        </w:rPr>
        <w:t>allows</w:t>
      </w:r>
      <w:r w:rsidRPr="00886E17">
        <w:rPr>
          <w:rFonts w:eastAsiaTheme="minorEastAsia" w:cstheme="minorBidi"/>
          <w:szCs w:val="22"/>
        </w:rPr>
        <w:t xml:space="preserve"> the observations to make corrections at longer distances (i.e., those more relevant to the synoptic scale)</w:t>
      </w:r>
      <w:r>
        <w:rPr>
          <w:rFonts w:eastAsiaTheme="minorEastAsia" w:cstheme="minorBidi"/>
          <w:szCs w:val="22"/>
        </w:rPr>
        <w:t xml:space="preserve"> to a greater degree than in the SR-High experiment, which uses single-scale localization.  Both the </w:t>
      </w:r>
      <w:r>
        <w:rPr>
          <w:rFonts w:eastAsiaTheme="minorEastAsia" w:cstheme="minorBidi"/>
          <w:szCs w:val="22"/>
        </w:rPr>
        <w:lastRenderedPageBreak/>
        <w:t xml:space="preserve">greater sampling and larger localization distance </w:t>
      </w:r>
      <w:r w:rsidRPr="00886E17">
        <w:rPr>
          <w:rFonts w:eastAsiaTheme="minorEastAsia" w:cstheme="minorBidi"/>
          <w:szCs w:val="22"/>
        </w:rPr>
        <w:t xml:space="preserve">augment </w:t>
      </w:r>
      <w:r w:rsidR="00B81979">
        <w:rPr>
          <w:rFonts w:eastAsiaTheme="minorEastAsia" w:cstheme="minorBidi"/>
          <w:szCs w:val="22"/>
        </w:rPr>
        <w:t xml:space="preserve">the </w:t>
      </w:r>
      <w:r w:rsidRPr="00886E17">
        <w:rPr>
          <w:rFonts w:eastAsiaTheme="minorEastAsia" w:cstheme="minorBidi"/>
          <w:szCs w:val="22"/>
        </w:rPr>
        <w:t>ability</w:t>
      </w:r>
      <w:r w:rsidR="00B81979">
        <w:rPr>
          <w:rFonts w:eastAsiaTheme="minorEastAsia" w:cstheme="minorBidi"/>
          <w:szCs w:val="22"/>
        </w:rPr>
        <w:t xml:space="preserve"> </w:t>
      </w:r>
      <w:r w:rsidRPr="00886E17">
        <w:rPr>
          <w:rFonts w:eastAsiaTheme="minorEastAsia" w:cstheme="minorBidi"/>
          <w:szCs w:val="22"/>
        </w:rPr>
        <w:t xml:space="preserve">to create an analysis with greater emphasis on correcting larger scales. </w:t>
      </w:r>
      <w:r>
        <w:rPr>
          <w:rFonts w:eastAsiaTheme="minorEastAsia" w:cstheme="minorBidi"/>
          <w:szCs w:val="22"/>
        </w:rPr>
        <w:t>T</w:t>
      </w:r>
      <w:r w:rsidRPr="00886E17">
        <w:rPr>
          <w:rFonts w:eastAsiaTheme="minorEastAsia" w:cstheme="minorBidi"/>
          <w:szCs w:val="22"/>
        </w:rPr>
        <w:t xml:space="preserve">he improvements in both the analysis and forecast provide further evidence, in addition to that provided by previous studies (e.g., </w:t>
      </w:r>
      <w:r w:rsidRPr="00886E17">
        <w:rPr>
          <w:rFonts w:eastAsiaTheme="minorHAnsi" w:cstheme="minorBidi"/>
          <w:szCs w:val="22"/>
        </w:rPr>
        <w:t xml:space="preserve">Zhang et al. 2009; Miyoshi and Kondo 2013; Huang et al. 2021; Wang et al. 2021), </w:t>
      </w:r>
      <w:r>
        <w:rPr>
          <w:rFonts w:eastAsiaTheme="minorHAnsi" w:cstheme="minorBidi"/>
          <w:szCs w:val="22"/>
        </w:rPr>
        <w:t xml:space="preserve">that DA methods </w:t>
      </w:r>
      <w:r w:rsidR="00B81979">
        <w:rPr>
          <w:rFonts w:eastAsiaTheme="minorHAnsi" w:cstheme="minorBidi"/>
          <w:szCs w:val="22"/>
        </w:rPr>
        <w:t>focused on</w:t>
      </w:r>
      <w:r w:rsidR="00B81979" w:rsidRPr="00886E17">
        <w:rPr>
          <w:rFonts w:eastAsiaTheme="minorHAnsi" w:cstheme="minorBidi"/>
          <w:szCs w:val="22"/>
        </w:rPr>
        <w:t xml:space="preserve"> </w:t>
      </w:r>
      <w:r w:rsidRPr="00886E17">
        <w:rPr>
          <w:rFonts w:eastAsiaTheme="minorHAnsi" w:cstheme="minorBidi"/>
          <w:szCs w:val="22"/>
        </w:rPr>
        <w:t>further correct</w:t>
      </w:r>
      <w:r w:rsidR="00B81979">
        <w:rPr>
          <w:rFonts w:eastAsiaTheme="minorHAnsi" w:cstheme="minorBidi"/>
          <w:szCs w:val="22"/>
        </w:rPr>
        <w:t>ing</w:t>
      </w:r>
      <w:r w:rsidRPr="00886E17">
        <w:rPr>
          <w:rFonts w:eastAsiaTheme="minorHAnsi" w:cstheme="minorBidi"/>
          <w:szCs w:val="22"/>
        </w:rPr>
        <w:t xml:space="preserve"> the most relevant scales are </w:t>
      </w:r>
      <w:r w:rsidR="003A4AFE">
        <w:rPr>
          <w:rFonts w:eastAsiaTheme="minorHAnsi" w:cstheme="minorBidi"/>
          <w:szCs w:val="22"/>
        </w:rPr>
        <w:t>necessary</w:t>
      </w:r>
      <w:r w:rsidR="00D3566C" w:rsidRPr="00886E17">
        <w:rPr>
          <w:rFonts w:eastAsiaTheme="minorHAnsi" w:cstheme="minorBidi"/>
          <w:szCs w:val="22"/>
        </w:rPr>
        <w:t xml:space="preserve"> </w:t>
      </w:r>
      <w:r w:rsidRPr="00886E17">
        <w:rPr>
          <w:rFonts w:eastAsiaTheme="minorHAnsi" w:cstheme="minorBidi"/>
          <w:szCs w:val="22"/>
        </w:rPr>
        <w:t>to improve upon corresponding DA techniques that are scale unaware.</w:t>
      </w:r>
    </w:p>
    <w:p w14:paraId="77382D4F" w14:textId="77777777" w:rsidR="00A80A0D" w:rsidRPr="00A80A0D" w:rsidRDefault="00A80A0D" w:rsidP="00A80A0D">
      <w:pPr>
        <w:spacing w:line="480" w:lineRule="auto"/>
        <w:jc w:val="both"/>
        <w:rPr>
          <w:rFonts w:eastAsiaTheme="minorEastAsia"/>
          <w:i/>
          <w:iCs/>
        </w:rPr>
      </w:pPr>
      <w:r w:rsidRPr="00A80A0D">
        <w:rPr>
          <w:rFonts w:eastAsiaTheme="minorEastAsia"/>
          <w:i/>
          <w:iCs/>
        </w:rPr>
        <w:t>d. Tropical cyclone track errors</w:t>
      </w:r>
    </w:p>
    <w:p w14:paraId="45CFBE41" w14:textId="492C2724" w:rsidR="00A80A0D" w:rsidRPr="00A80A0D" w:rsidRDefault="00A80A0D" w:rsidP="00A80A0D">
      <w:pPr>
        <w:spacing w:line="480" w:lineRule="auto"/>
        <w:ind w:firstLine="720"/>
        <w:jc w:val="both"/>
        <w:rPr>
          <w:rFonts w:eastAsiaTheme="minorEastAsia" w:cstheme="minorBidi"/>
          <w:szCs w:val="22"/>
        </w:rPr>
      </w:pPr>
      <w:bookmarkStart w:id="49" w:name="_Hlk97658506"/>
      <w:r w:rsidRPr="00A80A0D">
        <w:rPr>
          <w:rFonts w:eastAsiaTheme="minorEastAsia" w:cstheme="minorBidi"/>
          <w:szCs w:val="22"/>
        </w:rPr>
        <w:t>In addition to examining global forecasts, the impact of the extended MR-ENS methodology on tropical cyclone (TC) track forecast errors was also investigated. For each 5-day forecast, a tracking algorithm, as described in Marchok (2002), was used to determine the forecasted location of 15 TC storms that occurred during the experiment period</w:t>
      </w:r>
      <w:bookmarkEnd w:id="49"/>
      <w:r w:rsidRPr="00A80A0D">
        <w:rPr>
          <w:rFonts w:eastAsiaTheme="minorEastAsia" w:cstheme="minorBidi"/>
          <w:szCs w:val="22"/>
        </w:rPr>
        <w:t xml:space="preserve">.  These storms include </w:t>
      </w:r>
      <w:bookmarkStart w:id="50" w:name="_Hlk97658539"/>
      <w:r w:rsidRPr="00A80A0D">
        <w:rPr>
          <w:rFonts w:eastAsiaTheme="minorEastAsia" w:cstheme="minorBidi"/>
          <w:szCs w:val="22"/>
        </w:rPr>
        <w:t xml:space="preserve">Irma, Jose, Katia, Lee, and Maria </w:t>
      </w:r>
      <w:bookmarkEnd w:id="50"/>
      <w:r w:rsidRPr="00A80A0D">
        <w:rPr>
          <w:rFonts w:eastAsiaTheme="minorEastAsia" w:cstheme="minorBidi"/>
          <w:szCs w:val="22"/>
        </w:rPr>
        <w:t xml:space="preserve">in the Atlantic basin; </w:t>
      </w:r>
      <w:bookmarkStart w:id="51" w:name="_Hlk97658559"/>
      <w:r w:rsidRPr="00A80A0D">
        <w:rPr>
          <w:rFonts w:eastAsiaTheme="minorEastAsia" w:cstheme="minorBidi"/>
          <w:szCs w:val="22"/>
        </w:rPr>
        <w:t>Lidia, Max, Norma, Otis, and Pilar</w:t>
      </w:r>
      <w:bookmarkEnd w:id="51"/>
      <w:r w:rsidRPr="00A80A0D">
        <w:rPr>
          <w:rFonts w:eastAsiaTheme="minorEastAsia" w:cstheme="minorBidi"/>
          <w:szCs w:val="22"/>
        </w:rPr>
        <w:t xml:space="preserve"> in the East Pacific basin; and </w:t>
      </w:r>
      <w:bookmarkStart w:id="52" w:name="_Hlk97658572"/>
      <w:r w:rsidRPr="00A80A0D">
        <w:rPr>
          <w:rFonts w:eastAsiaTheme="minorEastAsia" w:cstheme="minorBidi"/>
          <w:szCs w:val="22"/>
        </w:rPr>
        <w:t>Sanvu, Mawar, Guchol, Talim, and Doksuri</w:t>
      </w:r>
      <w:bookmarkEnd w:id="52"/>
      <w:r w:rsidRPr="00A80A0D">
        <w:rPr>
          <w:rFonts w:eastAsiaTheme="minorEastAsia" w:cstheme="minorBidi"/>
          <w:szCs w:val="22"/>
        </w:rPr>
        <w:t xml:space="preserve"> in the West Pacific basin.  </w:t>
      </w:r>
      <w:bookmarkStart w:id="53" w:name="_Hlk97658600"/>
      <w:r w:rsidRPr="00A80A0D">
        <w:rPr>
          <w:rFonts w:eastAsiaTheme="minorEastAsia" w:cstheme="minorBidi"/>
          <w:szCs w:val="22"/>
        </w:rPr>
        <w:t>TC track errors were calculated by taking the difference of the forecasted track and the “best track” data as determined by the National Hurricane Center</w:t>
      </w:r>
      <w:r>
        <w:rPr>
          <w:rStyle w:val="FootnoteReference"/>
          <w:rFonts w:eastAsiaTheme="minorEastAsia" w:cstheme="minorBidi"/>
          <w:szCs w:val="22"/>
        </w:rPr>
        <w:footnoteReference w:id="2"/>
      </w:r>
      <w:r w:rsidRPr="00A80A0D">
        <w:rPr>
          <w:rFonts w:eastAsiaTheme="minorEastAsia" w:cstheme="minorBidi"/>
          <w:szCs w:val="22"/>
        </w:rPr>
        <w:t xml:space="preserve"> for the Atlantic and East Pacific basins and the Joint Typhoon Warning Center</w:t>
      </w:r>
      <w:r>
        <w:rPr>
          <w:rStyle w:val="FootnoteReference"/>
          <w:rFonts w:eastAsiaTheme="minorEastAsia" w:cstheme="minorBidi"/>
          <w:szCs w:val="22"/>
        </w:rPr>
        <w:footnoteReference w:id="3"/>
      </w:r>
      <w:r w:rsidRPr="00A80A0D">
        <w:rPr>
          <w:rFonts w:eastAsiaTheme="minorEastAsia" w:cstheme="minorBidi"/>
          <w:szCs w:val="22"/>
        </w:rPr>
        <w:t xml:space="preserve"> for the West Pacific basin</w:t>
      </w:r>
      <w:bookmarkStart w:id="54" w:name="_Hlk97658610"/>
      <w:bookmarkEnd w:id="53"/>
      <w:r>
        <w:rPr>
          <w:rFonts w:eastAsiaTheme="minorEastAsia" w:cstheme="minorBidi"/>
          <w:szCs w:val="22"/>
        </w:rPr>
        <w:t xml:space="preserve">. </w:t>
      </w:r>
      <w:r w:rsidRPr="00A80A0D">
        <w:rPr>
          <w:rFonts w:eastAsiaTheme="minorEastAsia" w:cstheme="minorBidi"/>
          <w:szCs w:val="22"/>
        </w:rPr>
        <w:t>Track errors were averaged over all 15 storms for each experiment and lead time</w:t>
      </w:r>
      <w:bookmarkEnd w:id="54"/>
      <w:r w:rsidRPr="00A80A0D">
        <w:rPr>
          <w:rFonts w:eastAsiaTheme="minorEastAsia" w:cstheme="minorBidi"/>
          <w:szCs w:val="22"/>
        </w:rPr>
        <w:t xml:space="preserve">.  Statistical significance for differences between MR and SR-High track errors </w:t>
      </w:r>
      <w:bookmarkStart w:id="55" w:name="_Hlk97658641"/>
      <w:r w:rsidRPr="00A80A0D">
        <w:rPr>
          <w:rFonts w:eastAsiaTheme="minorEastAsia" w:cstheme="minorBidi"/>
          <w:szCs w:val="22"/>
        </w:rPr>
        <w:t xml:space="preserve">was calculated by using a paired </w:t>
      </w:r>
      <w:r w:rsidRPr="00A80A0D">
        <w:rPr>
          <w:rFonts w:eastAsiaTheme="minorEastAsia" w:cstheme="minorBidi"/>
          <w:i/>
          <w:iCs/>
          <w:szCs w:val="22"/>
        </w:rPr>
        <w:t>t</w:t>
      </w:r>
      <w:r w:rsidRPr="00A80A0D">
        <w:rPr>
          <w:rFonts w:eastAsiaTheme="minorEastAsia" w:cstheme="minorBidi"/>
          <w:szCs w:val="22"/>
        </w:rPr>
        <w:t>-test with a 95% confidence interval</w:t>
      </w:r>
      <w:bookmarkEnd w:id="55"/>
      <w:r w:rsidRPr="00A80A0D">
        <w:rPr>
          <w:rFonts w:eastAsiaTheme="minorEastAsia" w:cstheme="minorBidi"/>
          <w:szCs w:val="22"/>
        </w:rPr>
        <w:t>.</w:t>
      </w:r>
    </w:p>
    <w:p w14:paraId="7EF6F844" w14:textId="679ABDE8" w:rsidR="00D45395" w:rsidRDefault="00A80A0D">
      <w:pPr>
        <w:spacing w:line="480" w:lineRule="auto"/>
        <w:ind w:firstLine="720"/>
        <w:jc w:val="both"/>
        <w:rPr>
          <w:rFonts w:eastAsiaTheme="minorEastAsia" w:cstheme="minorBidi"/>
          <w:szCs w:val="22"/>
        </w:rPr>
      </w:pPr>
      <w:r w:rsidRPr="00A80A0D">
        <w:rPr>
          <w:rFonts w:eastAsiaTheme="minorEastAsia" w:cstheme="minorBidi"/>
          <w:szCs w:val="22"/>
        </w:rPr>
        <w:t>In Fig. 1</w:t>
      </w:r>
      <w:r w:rsidR="000F1C5D">
        <w:rPr>
          <w:rFonts w:eastAsiaTheme="minorEastAsia" w:cstheme="minorBidi"/>
          <w:szCs w:val="22"/>
        </w:rPr>
        <w:t>3</w:t>
      </w:r>
      <w:r w:rsidRPr="00A80A0D">
        <w:rPr>
          <w:rFonts w:eastAsiaTheme="minorEastAsia" w:cstheme="minorBidi"/>
          <w:szCs w:val="22"/>
        </w:rPr>
        <w:t>a, the percent difference in</w:t>
      </w:r>
      <w:r w:rsidR="00F30A7D">
        <w:rPr>
          <w:rFonts w:eastAsiaTheme="minorEastAsia" w:cstheme="minorBidi"/>
          <w:szCs w:val="22"/>
        </w:rPr>
        <w:t xml:space="preserve"> temporally averaged</w:t>
      </w:r>
      <w:r w:rsidRPr="00A80A0D">
        <w:rPr>
          <w:rFonts w:eastAsiaTheme="minorEastAsia" w:cstheme="minorBidi"/>
          <w:szCs w:val="22"/>
        </w:rPr>
        <w:t xml:space="preserve"> track errors </w:t>
      </w:r>
      <w:r w:rsidR="00F30A7D">
        <w:rPr>
          <w:rFonts w:eastAsiaTheme="minorEastAsia" w:cstheme="minorBidi"/>
          <w:szCs w:val="22"/>
        </w:rPr>
        <w:t>for</w:t>
      </w:r>
      <w:r w:rsidR="00F30A7D" w:rsidRPr="00A80A0D">
        <w:rPr>
          <w:rFonts w:eastAsiaTheme="minorEastAsia" w:cstheme="minorBidi"/>
          <w:szCs w:val="22"/>
        </w:rPr>
        <w:t xml:space="preserve"> </w:t>
      </w:r>
      <w:r w:rsidRPr="00A80A0D">
        <w:rPr>
          <w:rFonts w:eastAsiaTheme="minorEastAsia" w:cstheme="minorBidi"/>
          <w:szCs w:val="22"/>
        </w:rPr>
        <w:t xml:space="preserve">MR experiments with SR-High used as the reference is shown.  </w:t>
      </w:r>
      <w:bookmarkStart w:id="56" w:name="_Hlk97658852"/>
      <w:r w:rsidRPr="00A80A0D">
        <w:rPr>
          <w:rFonts w:eastAsiaTheme="minorEastAsia" w:cstheme="minorBidi"/>
          <w:szCs w:val="22"/>
        </w:rPr>
        <w:t>For all forecast hours after the analysis time and up to 120 hours, the MR170 experiment shows a statistically significant decrease in TC track errors</w:t>
      </w:r>
      <w:bookmarkEnd w:id="56"/>
      <w:r w:rsidRPr="00A80A0D">
        <w:rPr>
          <w:rFonts w:eastAsiaTheme="minorEastAsia" w:cstheme="minorBidi"/>
          <w:szCs w:val="22"/>
        </w:rPr>
        <w:t xml:space="preserve">.  </w:t>
      </w:r>
      <w:bookmarkStart w:id="57" w:name="_Hlk97658864"/>
      <w:r w:rsidRPr="00A80A0D">
        <w:rPr>
          <w:rFonts w:eastAsiaTheme="minorEastAsia" w:cstheme="minorBidi"/>
          <w:szCs w:val="22"/>
        </w:rPr>
        <w:lastRenderedPageBreak/>
        <w:t>The largest improvements occur between 12 and 54 hours where the errors decrease by ~20%</w:t>
      </w:r>
      <w:bookmarkEnd w:id="57"/>
      <w:r w:rsidRPr="00A80A0D">
        <w:rPr>
          <w:rFonts w:eastAsiaTheme="minorEastAsia" w:cstheme="minorBidi"/>
          <w:szCs w:val="22"/>
        </w:rPr>
        <w:t xml:space="preserve">; however, </w:t>
      </w:r>
      <w:bookmarkStart w:id="58" w:name="_Hlk97658872"/>
      <w:r w:rsidRPr="00A80A0D">
        <w:rPr>
          <w:rFonts w:eastAsiaTheme="minorEastAsia" w:cstheme="minorBidi"/>
          <w:szCs w:val="22"/>
        </w:rPr>
        <w:t>MR170 has an improvement in track errors exceeding 10% for all lead times between 6 and 114 hours</w:t>
      </w:r>
      <w:bookmarkEnd w:id="58"/>
      <w:r w:rsidRPr="00A80A0D">
        <w:rPr>
          <w:rFonts w:eastAsiaTheme="minorEastAsia" w:cstheme="minorBidi"/>
          <w:szCs w:val="22"/>
        </w:rPr>
        <w:t xml:space="preserve">.  </w:t>
      </w:r>
      <w:bookmarkStart w:id="59" w:name="_Hlk97658680"/>
      <w:r w:rsidRPr="00A80A0D">
        <w:rPr>
          <w:rFonts w:eastAsiaTheme="minorEastAsia" w:cstheme="minorBidi"/>
          <w:szCs w:val="22"/>
        </w:rPr>
        <w:t>The percentage of track errors that are decreased</w:t>
      </w:r>
      <w:bookmarkEnd w:id="59"/>
      <w:r w:rsidRPr="00A80A0D">
        <w:rPr>
          <w:rFonts w:eastAsiaTheme="minorEastAsia" w:cstheme="minorBidi"/>
          <w:szCs w:val="22"/>
        </w:rPr>
        <w:t xml:space="preserve"> compared with SR-High are shown in Fig. 1</w:t>
      </w:r>
      <w:r w:rsidR="000F1C5D">
        <w:rPr>
          <w:rFonts w:eastAsiaTheme="minorEastAsia" w:cstheme="minorBidi"/>
          <w:szCs w:val="22"/>
        </w:rPr>
        <w:t>3</w:t>
      </w:r>
      <w:r w:rsidRPr="00A80A0D">
        <w:rPr>
          <w:rFonts w:eastAsiaTheme="minorEastAsia" w:cstheme="minorBidi"/>
          <w:szCs w:val="22"/>
        </w:rPr>
        <w:t xml:space="preserve">b, where </w:t>
      </w:r>
      <w:bookmarkStart w:id="60" w:name="_Hlk97658698"/>
      <w:r w:rsidRPr="00A80A0D">
        <w:rPr>
          <w:rFonts w:eastAsiaTheme="minorEastAsia" w:cstheme="minorBidi"/>
          <w:szCs w:val="22"/>
        </w:rPr>
        <w:t xml:space="preserve">a 100% track error decrease would be </w:t>
      </w:r>
      <w:r w:rsidR="00D265C4">
        <w:rPr>
          <w:rFonts w:eastAsiaTheme="minorEastAsia" w:cstheme="minorBidi"/>
          <w:szCs w:val="22"/>
        </w:rPr>
        <w:t>indicat</w:t>
      </w:r>
      <w:r w:rsidRPr="00A80A0D">
        <w:rPr>
          <w:rFonts w:eastAsiaTheme="minorEastAsia" w:cstheme="minorBidi"/>
          <w:szCs w:val="22"/>
        </w:rPr>
        <w:t xml:space="preserve">ing that the MR experiment has smaller track errors </w:t>
      </w:r>
      <w:r w:rsidR="00D265C4">
        <w:rPr>
          <w:rFonts w:eastAsiaTheme="minorEastAsia" w:cstheme="minorBidi"/>
          <w:szCs w:val="22"/>
        </w:rPr>
        <w:t>at</w:t>
      </w:r>
      <w:r w:rsidRPr="00A80A0D">
        <w:rPr>
          <w:rFonts w:eastAsiaTheme="minorEastAsia" w:cstheme="minorBidi"/>
          <w:szCs w:val="22"/>
        </w:rPr>
        <w:t xml:space="preserve"> a certain lead time for all tracks in all 6-h cycles, while 50% would </w:t>
      </w:r>
      <w:r w:rsidR="00D265C4">
        <w:rPr>
          <w:rFonts w:eastAsiaTheme="minorEastAsia" w:cstheme="minorBidi"/>
          <w:szCs w:val="22"/>
        </w:rPr>
        <w:t>signify</w:t>
      </w:r>
      <w:r w:rsidR="00D265C4" w:rsidRPr="00A80A0D">
        <w:rPr>
          <w:rFonts w:eastAsiaTheme="minorEastAsia" w:cstheme="minorBidi"/>
          <w:szCs w:val="22"/>
        </w:rPr>
        <w:t xml:space="preserve"> </w:t>
      </w:r>
      <w:r w:rsidRPr="00A80A0D">
        <w:rPr>
          <w:rFonts w:eastAsiaTheme="minorEastAsia" w:cstheme="minorBidi"/>
          <w:szCs w:val="22"/>
        </w:rPr>
        <w:t xml:space="preserve">an equal likelihood </w:t>
      </w:r>
      <w:r w:rsidR="00D265C4">
        <w:rPr>
          <w:rFonts w:eastAsiaTheme="minorEastAsia" w:cstheme="minorBidi"/>
          <w:szCs w:val="22"/>
        </w:rPr>
        <w:t>of</w:t>
      </w:r>
      <w:r w:rsidRPr="00A80A0D">
        <w:rPr>
          <w:rFonts w:eastAsiaTheme="minorEastAsia" w:cstheme="minorBidi"/>
          <w:szCs w:val="22"/>
        </w:rPr>
        <w:t xml:space="preserve"> MR or SR-High </w:t>
      </w:r>
      <w:r w:rsidR="00D265C4">
        <w:rPr>
          <w:rFonts w:eastAsiaTheme="minorEastAsia" w:cstheme="minorBidi"/>
          <w:szCs w:val="22"/>
        </w:rPr>
        <w:t xml:space="preserve">having </w:t>
      </w:r>
      <w:r w:rsidRPr="00A80A0D">
        <w:rPr>
          <w:rFonts w:eastAsiaTheme="minorEastAsia" w:cstheme="minorBidi"/>
          <w:szCs w:val="22"/>
        </w:rPr>
        <w:t>smaller track errors</w:t>
      </w:r>
      <w:bookmarkEnd w:id="60"/>
      <w:r w:rsidR="00F30A7D">
        <w:rPr>
          <w:rFonts w:eastAsiaTheme="minorEastAsia" w:cstheme="minorBidi"/>
          <w:szCs w:val="22"/>
        </w:rPr>
        <w:t>, if a track at a given lead time w</w:t>
      </w:r>
      <w:r w:rsidR="000A61BD">
        <w:rPr>
          <w:rFonts w:eastAsiaTheme="minorEastAsia" w:cstheme="minorBidi"/>
          <w:szCs w:val="22"/>
        </w:rPr>
        <w:t>ere</w:t>
      </w:r>
      <w:r w:rsidR="00F30A7D">
        <w:rPr>
          <w:rFonts w:eastAsiaTheme="minorEastAsia" w:cstheme="minorBidi"/>
          <w:szCs w:val="22"/>
        </w:rPr>
        <w:t xml:space="preserve"> randomly selected</w:t>
      </w:r>
      <w:r w:rsidRPr="00A80A0D">
        <w:rPr>
          <w:rFonts w:eastAsiaTheme="minorEastAsia" w:cstheme="minorBidi"/>
          <w:szCs w:val="22"/>
        </w:rPr>
        <w:t xml:space="preserve">.  </w:t>
      </w:r>
      <w:bookmarkStart w:id="61" w:name="_Hlk97658898"/>
      <w:r w:rsidRPr="00A80A0D">
        <w:rPr>
          <w:rFonts w:eastAsiaTheme="minorEastAsia" w:cstheme="minorBidi"/>
          <w:szCs w:val="22"/>
        </w:rPr>
        <w:t>For MR170, the percentage of track errors that are decreased compared with SR-High exceeds 50% for lead times between 12 and 120</w:t>
      </w:r>
      <w:bookmarkEnd w:id="61"/>
      <w:r w:rsidRPr="00A80A0D">
        <w:rPr>
          <w:rFonts w:eastAsiaTheme="minorEastAsia" w:cstheme="minorBidi"/>
          <w:szCs w:val="22"/>
        </w:rPr>
        <w:t xml:space="preserve"> hours.  </w:t>
      </w:r>
    </w:p>
    <w:p w14:paraId="3F0DD214" w14:textId="2126A431" w:rsidR="00A80A0D" w:rsidRPr="00A80A0D" w:rsidRDefault="000C07BA" w:rsidP="00A80A0D">
      <w:pPr>
        <w:spacing w:line="480" w:lineRule="auto"/>
        <w:ind w:firstLine="720"/>
        <w:jc w:val="both"/>
        <w:rPr>
          <w:rFonts w:eastAsiaTheme="minorEastAsia" w:cstheme="minorBidi"/>
          <w:szCs w:val="22"/>
        </w:rPr>
      </w:pPr>
      <w:r>
        <w:rPr>
          <w:rFonts w:eastAsiaTheme="minorEastAsia" w:cstheme="minorBidi"/>
          <w:szCs w:val="22"/>
        </w:rPr>
        <w:t>The combination of</w:t>
      </w:r>
      <w:r w:rsidR="00A80A0D" w:rsidRPr="00A80A0D">
        <w:rPr>
          <w:rFonts w:eastAsiaTheme="minorEastAsia" w:cstheme="minorBidi"/>
          <w:szCs w:val="22"/>
        </w:rPr>
        <w:t xml:space="preserve"> results from Fig. 1</w:t>
      </w:r>
      <w:r w:rsidR="000F1C5D">
        <w:rPr>
          <w:rFonts w:eastAsiaTheme="minorEastAsia" w:cstheme="minorBidi"/>
          <w:szCs w:val="22"/>
        </w:rPr>
        <w:t>3</w:t>
      </w:r>
      <w:r w:rsidR="00A80A0D" w:rsidRPr="00A80A0D">
        <w:rPr>
          <w:rFonts w:eastAsiaTheme="minorEastAsia" w:cstheme="minorBidi"/>
          <w:szCs w:val="22"/>
        </w:rPr>
        <w:t xml:space="preserve">a,b </w:t>
      </w:r>
      <w:r w:rsidR="00D265C4">
        <w:rPr>
          <w:rFonts w:eastAsiaTheme="minorEastAsia" w:cstheme="minorBidi"/>
          <w:szCs w:val="22"/>
        </w:rPr>
        <w:t>demonstrate</w:t>
      </w:r>
      <w:r w:rsidR="00A80A0D" w:rsidRPr="00A80A0D">
        <w:rPr>
          <w:rFonts w:eastAsiaTheme="minorEastAsia" w:cstheme="minorBidi"/>
          <w:szCs w:val="22"/>
        </w:rPr>
        <w:t xml:space="preserve">s that </w:t>
      </w:r>
      <w:bookmarkStart w:id="62" w:name="_Hlk97658921"/>
      <w:r w:rsidR="00A80A0D" w:rsidRPr="00A80A0D">
        <w:rPr>
          <w:rFonts w:eastAsiaTheme="minorEastAsia" w:cstheme="minorBidi"/>
          <w:szCs w:val="22"/>
        </w:rPr>
        <w:t>in the 0-6-h timeframe, there are fewer total tracks that are improved</w:t>
      </w:r>
      <w:r w:rsidR="00D265C4">
        <w:rPr>
          <w:rFonts w:eastAsiaTheme="minorEastAsia" w:cstheme="minorBidi"/>
          <w:szCs w:val="22"/>
        </w:rPr>
        <w:t xml:space="preserve"> both</w:t>
      </w:r>
      <w:r w:rsidR="00A80A0D" w:rsidRPr="00A80A0D">
        <w:rPr>
          <w:rFonts w:eastAsiaTheme="minorEastAsia" w:cstheme="minorBidi"/>
          <w:szCs w:val="22"/>
        </w:rPr>
        <w:t xml:space="preserve"> at and immediately after analysis time for the MR170 experiment; however, the tracks </w:t>
      </w:r>
      <w:r w:rsidR="00077444">
        <w:rPr>
          <w:rFonts w:eastAsiaTheme="minorEastAsia" w:cstheme="minorBidi"/>
          <w:szCs w:val="22"/>
        </w:rPr>
        <w:t xml:space="preserve">that </w:t>
      </w:r>
      <w:r w:rsidR="00D265C4">
        <w:rPr>
          <w:rFonts w:eastAsiaTheme="minorEastAsia" w:cstheme="minorBidi"/>
          <w:szCs w:val="22"/>
        </w:rPr>
        <w:t>do have smaller errors</w:t>
      </w:r>
      <w:r w:rsidR="00A80A0D" w:rsidRPr="00A80A0D">
        <w:rPr>
          <w:rFonts w:eastAsiaTheme="minorEastAsia" w:cstheme="minorBidi"/>
          <w:szCs w:val="22"/>
        </w:rPr>
        <w:t xml:space="preserve"> are improved by a larger margin on average</w:t>
      </w:r>
      <w:bookmarkEnd w:id="62"/>
      <w:r w:rsidR="00A80A0D" w:rsidRPr="00A80A0D">
        <w:rPr>
          <w:rFonts w:eastAsiaTheme="minorEastAsia" w:cstheme="minorBidi"/>
          <w:szCs w:val="22"/>
        </w:rPr>
        <w:t xml:space="preserve">.  This result can also explain why the percentage differences between track errors are larger at 12–54-h lead times when compared to 0-6-h lead times.  </w:t>
      </w:r>
      <w:r w:rsidR="00F13F30">
        <w:rPr>
          <w:rFonts w:eastAsiaTheme="minorEastAsia" w:cstheme="minorBidi"/>
          <w:szCs w:val="22"/>
        </w:rPr>
        <w:t xml:space="preserve">As discussed in section 4a, </w:t>
      </w:r>
      <w:r w:rsidR="00A80A0D" w:rsidRPr="00A80A0D">
        <w:rPr>
          <w:rFonts w:eastAsiaTheme="minorEastAsia" w:cstheme="minorBidi"/>
          <w:szCs w:val="22"/>
        </w:rPr>
        <w:t>the SR-High experiment ha</w:t>
      </w:r>
      <w:r w:rsidR="00A94B91">
        <w:rPr>
          <w:rFonts w:eastAsiaTheme="minorEastAsia" w:cstheme="minorBidi"/>
          <w:szCs w:val="22"/>
        </w:rPr>
        <w:t>s</w:t>
      </w:r>
      <w:r w:rsidR="00A80A0D" w:rsidRPr="00A80A0D">
        <w:rPr>
          <w:rFonts w:eastAsiaTheme="minorEastAsia" w:cstheme="minorBidi"/>
          <w:szCs w:val="22"/>
        </w:rPr>
        <w:t xml:space="preserve"> larger kinetic energy analysis increment power</w:t>
      </w:r>
      <w:r w:rsidR="00A94B91">
        <w:rPr>
          <w:rFonts w:eastAsiaTheme="minorEastAsia" w:cstheme="minorBidi"/>
          <w:szCs w:val="22"/>
        </w:rPr>
        <w:t>,</w:t>
      </w:r>
      <w:r w:rsidR="00A80A0D" w:rsidRPr="00A80A0D">
        <w:rPr>
          <w:rFonts w:eastAsiaTheme="minorEastAsia" w:cstheme="minorBidi"/>
          <w:szCs w:val="22"/>
        </w:rPr>
        <w:t xml:space="preserve"> especially at mid- to smaller-scales in the Atlantic</w:t>
      </w:r>
      <w:r w:rsidR="00B96EE1">
        <w:rPr>
          <w:rFonts w:eastAsiaTheme="minorEastAsia" w:cstheme="minorBidi"/>
          <w:szCs w:val="22"/>
        </w:rPr>
        <w:t xml:space="preserve"> (Fig. 4)</w:t>
      </w:r>
      <w:r w:rsidR="00A80A0D" w:rsidRPr="00A80A0D">
        <w:rPr>
          <w:rFonts w:eastAsiaTheme="minorEastAsia" w:cstheme="minorBidi"/>
          <w:szCs w:val="22"/>
        </w:rPr>
        <w:t xml:space="preserve">.  Though the track forecast of a TC is mainly dominated by larger-scale flow, smaller-scale features may still affect the analysis position of the storm and thereby </w:t>
      </w:r>
      <w:r w:rsidR="0013233F">
        <w:rPr>
          <w:rFonts w:eastAsiaTheme="minorEastAsia" w:cstheme="minorBidi"/>
          <w:szCs w:val="22"/>
        </w:rPr>
        <w:t>subsequen</w:t>
      </w:r>
      <w:r w:rsidR="009319C4">
        <w:rPr>
          <w:rFonts w:eastAsiaTheme="minorEastAsia" w:cstheme="minorBidi"/>
          <w:szCs w:val="22"/>
        </w:rPr>
        <w:t xml:space="preserve">t </w:t>
      </w:r>
      <w:r w:rsidR="00A80A0D" w:rsidRPr="00A80A0D">
        <w:rPr>
          <w:rFonts w:eastAsiaTheme="minorEastAsia" w:cstheme="minorBidi"/>
          <w:szCs w:val="22"/>
        </w:rPr>
        <w:t>short-term forecasts</w:t>
      </w:r>
      <w:r w:rsidR="0013233F">
        <w:rPr>
          <w:rFonts w:eastAsiaTheme="minorEastAsia" w:cstheme="minorBidi"/>
          <w:szCs w:val="22"/>
        </w:rPr>
        <w:t>.</w:t>
      </w:r>
      <w:r w:rsidR="00A80A0D" w:rsidRPr="00A80A0D">
        <w:rPr>
          <w:rFonts w:eastAsiaTheme="minorEastAsia" w:cstheme="minorBidi"/>
          <w:szCs w:val="22"/>
        </w:rPr>
        <w:t xml:space="preserve"> </w:t>
      </w:r>
      <w:r w:rsidR="0013233F">
        <w:rPr>
          <w:rFonts w:eastAsiaTheme="minorEastAsia" w:cstheme="minorBidi"/>
          <w:szCs w:val="22"/>
        </w:rPr>
        <w:t xml:space="preserve">The larger corrections at small scales for the SR-High experiment </w:t>
      </w:r>
      <w:r w:rsidR="00A80A0D" w:rsidRPr="00A80A0D">
        <w:rPr>
          <w:rFonts w:eastAsiaTheme="minorEastAsia" w:cstheme="minorBidi"/>
          <w:szCs w:val="22"/>
        </w:rPr>
        <w:t xml:space="preserve">may help to explain the relative degradation of the MR170 track forecasts in the 0-6-h timeframe as well as why SR-High has more tracks that are improved during this time.  At </w:t>
      </w:r>
      <w:r w:rsidR="003C2B41">
        <w:rPr>
          <w:rFonts w:eastAsiaTheme="minorEastAsia" w:cstheme="minorBidi"/>
          <w:szCs w:val="22"/>
        </w:rPr>
        <w:t xml:space="preserve">very </w:t>
      </w:r>
      <w:r w:rsidR="00A80A0D" w:rsidRPr="00A80A0D">
        <w:rPr>
          <w:rFonts w:eastAsiaTheme="minorEastAsia" w:cstheme="minorBidi"/>
          <w:szCs w:val="22"/>
        </w:rPr>
        <w:t xml:space="preserve">short </w:t>
      </w:r>
      <w:r w:rsidR="00261293">
        <w:rPr>
          <w:rFonts w:eastAsiaTheme="minorEastAsia" w:cstheme="minorBidi"/>
          <w:szCs w:val="22"/>
        </w:rPr>
        <w:t>lead times</w:t>
      </w:r>
      <w:r w:rsidR="00A80A0D" w:rsidRPr="00A80A0D">
        <w:rPr>
          <w:rFonts w:eastAsiaTheme="minorEastAsia" w:cstheme="minorBidi"/>
          <w:szCs w:val="22"/>
        </w:rPr>
        <w:t xml:space="preserve">, both the necessity of resolving and correcting </w:t>
      </w:r>
      <w:r w:rsidR="003C2B41">
        <w:rPr>
          <w:rFonts w:eastAsiaTheme="minorEastAsia" w:cstheme="minorBidi"/>
          <w:szCs w:val="22"/>
        </w:rPr>
        <w:t>smaller-scale</w:t>
      </w:r>
      <w:r w:rsidR="00A80A0D" w:rsidRPr="00A80A0D">
        <w:rPr>
          <w:rFonts w:eastAsiaTheme="minorEastAsia" w:cstheme="minorBidi"/>
          <w:szCs w:val="22"/>
        </w:rPr>
        <w:t xml:space="preserve"> features—as may be accomplished with SR-High—as well as correcting </w:t>
      </w:r>
      <w:r w:rsidR="003C2B41">
        <w:rPr>
          <w:rFonts w:eastAsiaTheme="minorEastAsia" w:cstheme="minorBidi"/>
          <w:szCs w:val="22"/>
        </w:rPr>
        <w:t>larger-scale</w:t>
      </w:r>
      <w:r w:rsidR="00A80A0D" w:rsidRPr="00A80A0D">
        <w:rPr>
          <w:rFonts w:eastAsiaTheme="minorEastAsia" w:cstheme="minorBidi"/>
          <w:szCs w:val="22"/>
        </w:rPr>
        <w:t xml:space="preserve"> features with greater accuracy—for which MR170 </w:t>
      </w:r>
      <w:r w:rsidR="003C2B41">
        <w:rPr>
          <w:rFonts w:eastAsiaTheme="minorEastAsia" w:cstheme="minorBidi"/>
          <w:szCs w:val="22"/>
        </w:rPr>
        <w:t>is</w:t>
      </w:r>
      <w:r w:rsidR="00A80A0D" w:rsidRPr="00A80A0D">
        <w:rPr>
          <w:rFonts w:eastAsiaTheme="minorEastAsia" w:cstheme="minorBidi"/>
          <w:szCs w:val="22"/>
        </w:rPr>
        <w:t xml:space="preserve"> better suited—</w:t>
      </w:r>
      <w:r w:rsidR="00DA0A2E">
        <w:rPr>
          <w:rFonts w:eastAsiaTheme="minorEastAsia" w:cstheme="minorBidi"/>
          <w:szCs w:val="22"/>
        </w:rPr>
        <w:t>have</w:t>
      </w:r>
      <w:r w:rsidR="00A80A0D" w:rsidRPr="00A80A0D">
        <w:rPr>
          <w:rFonts w:eastAsiaTheme="minorEastAsia" w:cstheme="minorBidi"/>
          <w:szCs w:val="22"/>
        </w:rPr>
        <w:t xml:space="preserve"> some importance.  At later lead times, it </w:t>
      </w:r>
      <w:r w:rsidR="00AA2811">
        <w:rPr>
          <w:rFonts w:eastAsiaTheme="minorEastAsia" w:cstheme="minorBidi"/>
          <w:szCs w:val="22"/>
        </w:rPr>
        <w:t>is</w:t>
      </w:r>
      <w:r w:rsidR="00A80A0D" w:rsidRPr="00A80A0D">
        <w:rPr>
          <w:rFonts w:eastAsiaTheme="minorEastAsia" w:cstheme="minorBidi"/>
          <w:szCs w:val="22"/>
        </w:rPr>
        <w:t xml:space="preserve"> reasonable that </w:t>
      </w:r>
      <w:r w:rsidR="00A80A0D" w:rsidRPr="00A80A0D">
        <w:rPr>
          <w:rFonts w:eastAsiaTheme="minorEastAsia" w:cstheme="minorBidi"/>
          <w:szCs w:val="22"/>
        </w:rPr>
        <w:lastRenderedPageBreak/>
        <w:t xml:space="preserve">the large-scale correction associated with MR170 dominates the improvement in the track forecasts.  </w:t>
      </w:r>
    </w:p>
    <w:p w14:paraId="104125E1" w14:textId="7DCA7C8D" w:rsidR="00A80A0D" w:rsidRPr="00A80A0D" w:rsidRDefault="00A80A0D" w:rsidP="00A80A0D">
      <w:pPr>
        <w:spacing w:line="480" w:lineRule="auto"/>
        <w:ind w:firstLine="720"/>
        <w:jc w:val="both"/>
        <w:rPr>
          <w:rFonts w:eastAsiaTheme="minorEastAsia" w:cstheme="minorBidi"/>
          <w:szCs w:val="22"/>
        </w:rPr>
      </w:pPr>
      <w:bookmarkStart w:id="63" w:name="_Hlk97659089"/>
      <w:r w:rsidRPr="00A80A0D">
        <w:rPr>
          <w:rFonts w:eastAsiaTheme="minorEastAsia" w:cstheme="minorBidi"/>
          <w:szCs w:val="22"/>
        </w:rPr>
        <w:t xml:space="preserve">To </w:t>
      </w:r>
      <w:r w:rsidR="00F9480D">
        <w:rPr>
          <w:rFonts w:eastAsiaTheme="minorEastAsia" w:cstheme="minorBidi"/>
          <w:szCs w:val="22"/>
        </w:rPr>
        <w:t>determine the cause of the</w:t>
      </w:r>
      <w:r w:rsidRPr="00A80A0D">
        <w:rPr>
          <w:rFonts w:eastAsiaTheme="minorEastAsia" w:cstheme="minorBidi"/>
          <w:szCs w:val="22"/>
        </w:rPr>
        <w:t xml:space="preserve"> differences in track errors</w:t>
      </w:r>
      <w:bookmarkEnd w:id="63"/>
      <w:r w:rsidRPr="00A80A0D">
        <w:rPr>
          <w:rFonts w:eastAsiaTheme="minorEastAsia" w:cstheme="minorBidi"/>
          <w:szCs w:val="22"/>
        </w:rPr>
        <w:t xml:space="preserve">, </w:t>
      </w:r>
      <w:bookmarkStart w:id="64" w:name="_Hlk97659144"/>
      <w:r w:rsidR="00F9480D">
        <w:rPr>
          <w:rFonts w:eastAsiaTheme="minorEastAsia" w:cstheme="minorBidi"/>
          <w:szCs w:val="22"/>
        </w:rPr>
        <w:t>a single</w:t>
      </w:r>
      <w:r w:rsidRPr="00A80A0D">
        <w:rPr>
          <w:rFonts w:eastAsiaTheme="minorEastAsia" w:cstheme="minorBidi"/>
          <w:szCs w:val="22"/>
        </w:rPr>
        <w:t xml:space="preserve"> track</w:t>
      </w:r>
      <w:r w:rsidR="00BA6467">
        <w:rPr>
          <w:rFonts w:eastAsiaTheme="minorEastAsia" w:cstheme="minorBidi"/>
          <w:szCs w:val="22"/>
        </w:rPr>
        <w:t>,</w:t>
      </w:r>
      <w:r w:rsidRPr="00A80A0D">
        <w:rPr>
          <w:rFonts w:eastAsiaTheme="minorEastAsia" w:cstheme="minorBidi"/>
          <w:szCs w:val="22"/>
        </w:rPr>
        <w:t xml:space="preserve"> which showed substantial improvement (improvements exceeding 50%) in the 0-120-h track forecast </w:t>
      </w:r>
      <w:r w:rsidR="00BA6467">
        <w:rPr>
          <w:rFonts w:eastAsiaTheme="minorEastAsia" w:cstheme="minorBidi"/>
          <w:szCs w:val="22"/>
        </w:rPr>
        <w:t>for</w:t>
      </w:r>
      <w:r w:rsidR="00BA6467" w:rsidRPr="00A80A0D">
        <w:rPr>
          <w:rFonts w:eastAsiaTheme="minorEastAsia" w:cstheme="minorBidi"/>
          <w:szCs w:val="22"/>
        </w:rPr>
        <w:t xml:space="preserve"> </w:t>
      </w:r>
      <w:r w:rsidRPr="00A80A0D">
        <w:rPr>
          <w:rFonts w:eastAsiaTheme="minorEastAsia" w:cstheme="minorBidi"/>
          <w:szCs w:val="22"/>
        </w:rPr>
        <w:t>the MR170 experiment</w:t>
      </w:r>
      <w:r w:rsidR="00BA6467">
        <w:rPr>
          <w:rFonts w:eastAsiaTheme="minorEastAsia" w:cstheme="minorBidi"/>
          <w:szCs w:val="22"/>
        </w:rPr>
        <w:t>,</w:t>
      </w:r>
      <w:r w:rsidRPr="00A80A0D">
        <w:rPr>
          <w:rFonts w:eastAsiaTheme="minorEastAsia" w:cstheme="minorBidi"/>
          <w:szCs w:val="22"/>
        </w:rPr>
        <w:t xml:space="preserve"> was selected for further examination</w:t>
      </w:r>
      <w:bookmarkEnd w:id="64"/>
      <w:r w:rsidRPr="00A80A0D">
        <w:rPr>
          <w:rFonts w:eastAsiaTheme="minorEastAsia" w:cstheme="minorBidi"/>
          <w:szCs w:val="22"/>
        </w:rPr>
        <w:t xml:space="preserve">.  </w:t>
      </w:r>
      <w:bookmarkStart w:id="65" w:name="_Hlk97659167"/>
      <w:r w:rsidRPr="00A80A0D">
        <w:rPr>
          <w:rFonts w:eastAsiaTheme="minorEastAsia" w:cstheme="minorBidi"/>
          <w:szCs w:val="22"/>
        </w:rPr>
        <w:t xml:space="preserve">This track was associated with Hurricane Lee </w:t>
      </w:r>
      <w:r w:rsidR="003C2B41">
        <w:rPr>
          <w:rFonts w:eastAsiaTheme="minorEastAsia" w:cstheme="minorBidi"/>
          <w:szCs w:val="22"/>
        </w:rPr>
        <w:t xml:space="preserve">with an </w:t>
      </w:r>
      <w:r w:rsidRPr="00A80A0D">
        <w:rPr>
          <w:rFonts w:eastAsiaTheme="minorEastAsia" w:cstheme="minorBidi"/>
          <w:szCs w:val="22"/>
        </w:rPr>
        <w:t xml:space="preserve">analysis time </w:t>
      </w:r>
      <w:r w:rsidR="003C2B41">
        <w:rPr>
          <w:rFonts w:eastAsiaTheme="minorEastAsia" w:cstheme="minorBidi"/>
          <w:szCs w:val="22"/>
        </w:rPr>
        <w:t xml:space="preserve">of </w:t>
      </w:r>
      <w:r w:rsidRPr="00A80A0D">
        <w:rPr>
          <w:rFonts w:eastAsiaTheme="minorEastAsia" w:cstheme="minorBidi"/>
          <w:szCs w:val="22"/>
        </w:rPr>
        <w:t>1800 UTC on 24 September</w:t>
      </w:r>
      <w:r w:rsidR="003C2B41">
        <w:rPr>
          <w:rFonts w:eastAsiaTheme="minorEastAsia" w:cstheme="minorBidi"/>
          <w:szCs w:val="22"/>
        </w:rPr>
        <w:t xml:space="preserve"> 2017. This time occurred</w:t>
      </w:r>
      <w:r w:rsidRPr="00A80A0D">
        <w:rPr>
          <w:rFonts w:eastAsiaTheme="minorEastAsia" w:cstheme="minorBidi"/>
          <w:szCs w:val="22"/>
        </w:rPr>
        <w:t xml:space="preserve"> soon after</w:t>
      </w:r>
      <w:r w:rsidR="003C2B41">
        <w:rPr>
          <w:rFonts w:eastAsiaTheme="minorEastAsia" w:cstheme="minorBidi"/>
          <w:szCs w:val="22"/>
        </w:rPr>
        <w:t xml:space="preserve"> the</w:t>
      </w:r>
      <w:r w:rsidRPr="00A80A0D">
        <w:rPr>
          <w:rFonts w:eastAsiaTheme="minorEastAsia" w:cstheme="minorBidi"/>
          <w:szCs w:val="22"/>
        </w:rPr>
        <w:t xml:space="preserve"> re-intensification</w:t>
      </w:r>
      <w:r w:rsidR="003C2B41">
        <w:rPr>
          <w:rFonts w:eastAsiaTheme="minorEastAsia" w:cstheme="minorBidi"/>
          <w:szCs w:val="22"/>
        </w:rPr>
        <w:t xml:space="preserve"> of Lee into hurricane strength and </w:t>
      </w:r>
      <w:bookmarkEnd w:id="65"/>
      <w:r w:rsidR="00BA6467">
        <w:rPr>
          <w:rFonts w:eastAsiaTheme="minorEastAsia" w:cstheme="minorBidi"/>
          <w:szCs w:val="22"/>
        </w:rPr>
        <w:t>was</w:t>
      </w:r>
      <w:r w:rsidR="00F9480D">
        <w:rPr>
          <w:rFonts w:eastAsiaTheme="minorEastAsia" w:cstheme="minorBidi"/>
          <w:szCs w:val="22"/>
        </w:rPr>
        <w:t xml:space="preserve"> a</w:t>
      </w:r>
      <w:r w:rsidR="00BA6467">
        <w:rPr>
          <w:rFonts w:eastAsiaTheme="minorEastAsia" w:cstheme="minorBidi"/>
          <w:szCs w:val="22"/>
        </w:rPr>
        <w:t xml:space="preserve">lso a </w:t>
      </w:r>
      <w:r w:rsidR="00F9480D">
        <w:rPr>
          <w:rFonts w:eastAsiaTheme="minorEastAsia" w:cstheme="minorBidi"/>
          <w:szCs w:val="22"/>
        </w:rPr>
        <w:t>period</w:t>
      </w:r>
      <w:r w:rsidRPr="00A80A0D">
        <w:rPr>
          <w:rFonts w:eastAsiaTheme="minorEastAsia" w:cstheme="minorBidi"/>
          <w:szCs w:val="22"/>
        </w:rPr>
        <w:t xml:space="preserve"> of </w:t>
      </w:r>
      <w:r w:rsidR="00BA6467" w:rsidRPr="00A80A0D">
        <w:rPr>
          <w:rFonts w:eastAsiaTheme="minorEastAsia" w:cstheme="minorBidi"/>
          <w:szCs w:val="22"/>
        </w:rPr>
        <w:t>s</w:t>
      </w:r>
      <w:r w:rsidR="00BA6467">
        <w:rPr>
          <w:rFonts w:eastAsiaTheme="minorEastAsia" w:cstheme="minorBidi"/>
          <w:szCs w:val="22"/>
        </w:rPr>
        <w:t>ubstantial</w:t>
      </w:r>
      <w:r w:rsidR="00BA6467" w:rsidRPr="00A80A0D">
        <w:rPr>
          <w:rFonts w:eastAsiaTheme="minorEastAsia" w:cstheme="minorBidi"/>
          <w:szCs w:val="22"/>
        </w:rPr>
        <w:t xml:space="preserve"> </w:t>
      </w:r>
      <w:r w:rsidRPr="00A80A0D">
        <w:rPr>
          <w:rFonts w:eastAsiaTheme="minorEastAsia" w:cstheme="minorBidi"/>
          <w:szCs w:val="22"/>
        </w:rPr>
        <w:t xml:space="preserve">track uncertainty in </w:t>
      </w:r>
      <w:r w:rsidR="00BA6467">
        <w:rPr>
          <w:rFonts w:eastAsiaTheme="minorEastAsia" w:cstheme="minorBidi"/>
          <w:szCs w:val="22"/>
        </w:rPr>
        <w:t xml:space="preserve">2017 </w:t>
      </w:r>
      <w:r w:rsidRPr="00A80A0D">
        <w:rPr>
          <w:rFonts w:eastAsiaTheme="minorEastAsia" w:cstheme="minorBidi"/>
          <w:szCs w:val="22"/>
        </w:rPr>
        <w:t xml:space="preserve">operational models (Blake 2018).  </w:t>
      </w:r>
    </w:p>
    <w:p w14:paraId="2E56EFB2" w14:textId="76DE0562" w:rsidR="00A80A0D" w:rsidRPr="00A80A0D" w:rsidRDefault="00A80A0D" w:rsidP="00A80A0D">
      <w:pPr>
        <w:spacing w:line="480" w:lineRule="auto"/>
        <w:ind w:firstLine="720"/>
        <w:jc w:val="both"/>
        <w:rPr>
          <w:rFonts w:eastAsiaTheme="minorEastAsia" w:cstheme="minorBidi"/>
          <w:szCs w:val="22"/>
        </w:rPr>
      </w:pPr>
      <w:r w:rsidRPr="00A80A0D">
        <w:rPr>
          <w:rFonts w:eastAsiaTheme="minorEastAsia" w:cstheme="minorBidi"/>
          <w:szCs w:val="22"/>
        </w:rPr>
        <w:t>The track of a tropical cyclone is largely determined by the steering flow, which can be estimated by</w:t>
      </w:r>
      <w:r w:rsidR="00BA6467">
        <w:rPr>
          <w:rFonts w:eastAsiaTheme="minorEastAsia" w:cstheme="minorBidi"/>
          <w:szCs w:val="22"/>
        </w:rPr>
        <w:t xml:space="preserve"> the</w:t>
      </w:r>
      <w:r w:rsidRPr="00A80A0D">
        <w:rPr>
          <w:rFonts w:eastAsiaTheme="minorEastAsia" w:cstheme="minorBidi"/>
          <w:szCs w:val="22"/>
        </w:rPr>
        <w:t xml:space="preserve"> environmental wind</w:t>
      </w:r>
      <w:r w:rsidR="003C2B41">
        <w:rPr>
          <w:rFonts w:eastAsiaTheme="minorEastAsia" w:cstheme="minorBidi"/>
          <w:szCs w:val="22"/>
        </w:rPr>
        <w:t xml:space="preserve"> </w:t>
      </w:r>
      <w:r w:rsidRPr="00A80A0D">
        <w:rPr>
          <w:rFonts w:eastAsiaTheme="minorEastAsia" w:cstheme="minorBidi"/>
          <w:szCs w:val="22"/>
        </w:rPr>
        <w:t xml:space="preserve">field averaged vertically over several pressure levels (e.g., George and Gray 1976; Chan and Gray 1982). In this study, </w:t>
      </w:r>
      <w:bookmarkStart w:id="66" w:name="_Hlk97659189"/>
      <w:r w:rsidRPr="00A80A0D">
        <w:rPr>
          <w:rFonts w:eastAsiaTheme="minorEastAsia" w:cstheme="minorBidi"/>
          <w:szCs w:val="22"/>
        </w:rPr>
        <w:t>the large-scale deep-layer environmental flow in the basin surrounding Lee w</w:t>
      </w:r>
      <w:r w:rsidR="00FF0F15">
        <w:rPr>
          <w:rFonts w:eastAsiaTheme="minorEastAsia" w:cstheme="minorBidi"/>
          <w:szCs w:val="22"/>
        </w:rPr>
        <w:t>as</w:t>
      </w:r>
      <w:r w:rsidRPr="00A80A0D">
        <w:rPr>
          <w:rFonts w:eastAsiaTheme="minorEastAsia" w:cstheme="minorBidi"/>
          <w:szCs w:val="22"/>
        </w:rPr>
        <w:t xml:space="preserve"> determined by first calculating a pressure-weighted average of the zonal and meridional winds at each grid point from 850-300 hPa </w:t>
      </w:r>
      <w:bookmarkEnd w:id="66"/>
      <w:r w:rsidRPr="00A80A0D">
        <w:rPr>
          <w:rFonts w:eastAsiaTheme="minorEastAsia" w:cstheme="minorBidi"/>
          <w:szCs w:val="22"/>
        </w:rPr>
        <w:t xml:space="preserve">(e.g., Wu and Chen 2016).  Then, </w:t>
      </w:r>
      <w:bookmarkStart w:id="67" w:name="_Hlk97659207"/>
      <w:r w:rsidRPr="00A80A0D">
        <w:rPr>
          <w:rFonts w:eastAsiaTheme="minorEastAsia" w:cstheme="minorBidi"/>
          <w:szCs w:val="22"/>
        </w:rPr>
        <w:t xml:space="preserve">the effects of the storm itself </w:t>
      </w:r>
      <w:r w:rsidR="00FF0F15">
        <w:rPr>
          <w:rFonts w:eastAsiaTheme="minorEastAsia" w:cstheme="minorBidi"/>
          <w:szCs w:val="22"/>
        </w:rPr>
        <w:t>we</w:t>
      </w:r>
      <w:r w:rsidRPr="00A80A0D">
        <w:rPr>
          <w:rFonts w:eastAsiaTheme="minorEastAsia" w:cstheme="minorBidi"/>
          <w:szCs w:val="22"/>
        </w:rPr>
        <w:t xml:space="preserve">re removed by filtering the winds to include only large scales (approximately wavenumbers 0-10).  </w:t>
      </w:r>
      <w:bookmarkStart w:id="68" w:name="_Hlk97659231"/>
      <w:bookmarkEnd w:id="67"/>
      <w:r w:rsidRPr="00A80A0D">
        <w:rPr>
          <w:rFonts w:eastAsiaTheme="minorEastAsia" w:cstheme="minorBidi"/>
          <w:szCs w:val="22"/>
        </w:rPr>
        <w:t xml:space="preserve">These large-scale steering flow winds as well as the difference in the magnitude of the error of the </w:t>
      </w:r>
      <w:r w:rsidR="00FF0F15">
        <w:rPr>
          <w:rFonts w:eastAsiaTheme="minorEastAsia" w:cstheme="minorBidi"/>
          <w:szCs w:val="22"/>
        </w:rPr>
        <w:t xml:space="preserve">large-scale </w:t>
      </w:r>
      <w:r w:rsidRPr="00A80A0D">
        <w:rPr>
          <w:rFonts w:eastAsiaTheme="minorEastAsia" w:cstheme="minorBidi"/>
          <w:szCs w:val="22"/>
        </w:rPr>
        <w:t>zonal winds between the MR170 and SR-High experiments relative to ERA-Interim are plotted along with the track positions</w:t>
      </w:r>
      <w:bookmarkEnd w:id="68"/>
      <w:r w:rsidRPr="00A80A0D">
        <w:rPr>
          <w:rFonts w:eastAsiaTheme="minorEastAsia" w:cstheme="minorBidi"/>
          <w:szCs w:val="22"/>
        </w:rPr>
        <w:t xml:space="preserve"> in Fig. 1</w:t>
      </w:r>
      <w:r w:rsidR="000F1C5D">
        <w:rPr>
          <w:rFonts w:eastAsiaTheme="minorEastAsia" w:cstheme="minorBidi"/>
          <w:szCs w:val="22"/>
        </w:rPr>
        <w:t>4</w:t>
      </w:r>
      <w:r w:rsidRPr="00A80A0D">
        <w:rPr>
          <w:rFonts w:eastAsiaTheme="minorEastAsia" w:cstheme="minorBidi"/>
          <w:szCs w:val="22"/>
        </w:rPr>
        <w:t xml:space="preserve">.  </w:t>
      </w:r>
    </w:p>
    <w:p w14:paraId="58365A07" w14:textId="75F4A2B1" w:rsidR="00A80A0D" w:rsidRPr="00A80A0D" w:rsidRDefault="00A80A0D" w:rsidP="00A80A0D">
      <w:pPr>
        <w:spacing w:line="480" w:lineRule="auto"/>
        <w:ind w:firstLine="720"/>
        <w:jc w:val="both"/>
        <w:rPr>
          <w:rFonts w:eastAsiaTheme="minorEastAsia" w:cstheme="minorBidi"/>
          <w:szCs w:val="22"/>
        </w:rPr>
      </w:pPr>
      <w:bookmarkStart w:id="69" w:name="_Hlk97659265"/>
      <w:r w:rsidRPr="00A80A0D">
        <w:rPr>
          <w:rFonts w:eastAsiaTheme="minorEastAsia" w:cstheme="minorBidi"/>
          <w:szCs w:val="22"/>
        </w:rPr>
        <w:t xml:space="preserve">At the analysis time, in the area </w:t>
      </w:r>
      <w:r w:rsidR="00B11A1C">
        <w:rPr>
          <w:rFonts w:eastAsiaTheme="minorEastAsia" w:cstheme="minorBidi"/>
          <w:szCs w:val="22"/>
        </w:rPr>
        <w:t xml:space="preserve">south of and </w:t>
      </w:r>
      <w:r w:rsidRPr="00A80A0D">
        <w:rPr>
          <w:rFonts w:eastAsiaTheme="minorEastAsia" w:cstheme="minorBidi"/>
          <w:szCs w:val="22"/>
        </w:rPr>
        <w:t xml:space="preserve">immediately surrounding the center of the storm, there is improvement </w:t>
      </w:r>
      <w:r w:rsidR="00B11A1C" w:rsidRPr="00A80A0D">
        <w:rPr>
          <w:rFonts w:eastAsiaTheme="minorEastAsia" w:cstheme="minorBidi"/>
          <w:szCs w:val="22"/>
        </w:rPr>
        <w:t xml:space="preserve">for the MR170 experiment </w:t>
      </w:r>
      <w:r w:rsidRPr="00A80A0D">
        <w:rPr>
          <w:rFonts w:eastAsiaTheme="minorEastAsia" w:cstheme="minorBidi"/>
          <w:szCs w:val="22"/>
        </w:rPr>
        <w:t xml:space="preserve">in the large-scale zonal winds </w:t>
      </w:r>
      <w:r w:rsidR="00B11A1C" w:rsidRPr="00A80A0D">
        <w:rPr>
          <w:rFonts w:eastAsiaTheme="minorEastAsia" w:cstheme="minorBidi"/>
          <w:szCs w:val="22"/>
        </w:rPr>
        <w:t xml:space="preserve">associated with the northern portion of a large-scale </w:t>
      </w:r>
      <w:r w:rsidR="000A1E4C" w:rsidRPr="00A80A0D">
        <w:rPr>
          <w:rFonts w:eastAsiaTheme="minorEastAsia" w:cstheme="minorBidi"/>
          <w:szCs w:val="22"/>
        </w:rPr>
        <w:t>anticyclonic</w:t>
      </w:r>
      <w:r w:rsidR="00B11A1C" w:rsidRPr="00A80A0D">
        <w:rPr>
          <w:rFonts w:eastAsiaTheme="minorEastAsia" w:cstheme="minorBidi"/>
          <w:szCs w:val="22"/>
        </w:rPr>
        <w:t xml:space="preserve"> region </w:t>
      </w:r>
      <w:bookmarkEnd w:id="69"/>
      <w:r w:rsidRPr="00A80A0D">
        <w:rPr>
          <w:rFonts w:eastAsiaTheme="minorEastAsia" w:cstheme="minorBidi"/>
          <w:szCs w:val="22"/>
        </w:rPr>
        <w:t>(Fig. 1</w:t>
      </w:r>
      <w:r w:rsidR="000F1C5D">
        <w:rPr>
          <w:rFonts w:eastAsiaTheme="minorEastAsia" w:cstheme="minorBidi"/>
          <w:szCs w:val="22"/>
        </w:rPr>
        <w:t>4</w:t>
      </w:r>
      <w:r w:rsidRPr="00A80A0D">
        <w:rPr>
          <w:rFonts w:eastAsiaTheme="minorEastAsia" w:cstheme="minorBidi"/>
          <w:szCs w:val="22"/>
        </w:rPr>
        <w:t xml:space="preserve">a).  </w:t>
      </w:r>
      <w:bookmarkStart w:id="70" w:name="_Hlk97659287"/>
      <w:r w:rsidRPr="00A80A0D">
        <w:rPr>
          <w:rFonts w:eastAsiaTheme="minorEastAsia" w:cstheme="minorBidi"/>
          <w:szCs w:val="22"/>
        </w:rPr>
        <w:t xml:space="preserve">As time progresses, this large-scale anticyclone propagates northwestward toward Lee, shifting the large-scale direction of the winds in the vicinity of the storm center from westerly to easterly in the first 36 hours (Fig. </w:t>
      </w:r>
      <w:r w:rsidRPr="00A80A0D">
        <w:rPr>
          <w:rFonts w:eastAsiaTheme="minorEastAsia" w:cstheme="minorBidi"/>
          <w:szCs w:val="22"/>
        </w:rPr>
        <w:lastRenderedPageBreak/>
        <w:t>1</w:t>
      </w:r>
      <w:r w:rsidR="000F1C5D">
        <w:rPr>
          <w:rFonts w:eastAsiaTheme="minorEastAsia" w:cstheme="minorBidi"/>
          <w:szCs w:val="22"/>
        </w:rPr>
        <w:t>4</w:t>
      </w:r>
      <w:r w:rsidRPr="00A80A0D">
        <w:rPr>
          <w:rFonts w:eastAsiaTheme="minorEastAsia" w:cstheme="minorBidi"/>
          <w:szCs w:val="22"/>
        </w:rPr>
        <w:t>b-d). The large-scale zonal wind errors associated with the anticyclonic region also remain smaller for the MR170 experiment up to 36 hours</w:t>
      </w:r>
      <w:bookmarkEnd w:id="70"/>
      <w:r w:rsidRPr="00A80A0D">
        <w:rPr>
          <w:rFonts w:eastAsiaTheme="minorEastAsia" w:cstheme="minorBidi"/>
          <w:szCs w:val="22"/>
        </w:rPr>
        <w:t xml:space="preserve">. </w:t>
      </w:r>
      <w:bookmarkStart w:id="71" w:name="_Hlk97659332"/>
      <w:r w:rsidRPr="00A80A0D">
        <w:rPr>
          <w:rFonts w:eastAsiaTheme="minorEastAsia" w:cstheme="minorBidi"/>
          <w:szCs w:val="22"/>
        </w:rPr>
        <w:t>Given that the track of Lee during the first 36 hours is largely zonal (a</w:t>
      </w:r>
      <w:r w:rsidR="00F70A1C">
        <w:rPr>
          <w:rFonts w:eastAsiaTheme="minorEastAsia" w:cstheme="minorBidi"/>
          <w:szCs w:val="22"/>
        </w:rPr>
        <w:t>n</w:t>
      </w:r>
      <w:r w:rsidRPr="00A80A0D">
        <w:rPr>
          <w:rFonts w:eastAsiaTheme="minorEastAsia" w:cstheme="minorBidi"/>
          <w:szCs w:val="22"/>
        </w:rPr>
        <w:t xml:space="preserve"> </w:t>
      </w:r>
      <w:r w:rsidR="009A5F84">
        <w:rPr>
          <w:rFonts w:eastAsiaTheme="minorEastAsia" w:cstheme="minorBidi"/>
          <w:szCs w:val="22"/>
        </w:rPr>
        <w:t>east</w:t>
      </w:r>
      <w:r w:rsidR="009A5F84" w:rsidRPr="00A80A0D">
        <w:rPr>
          <w:rFonts w:eastAsiaTheme="minorEastAsia" w:cstheme="minorBidi"/>
          <w:szCs w:val="22"/>
        </w:rPr>
        <w:t>ward</w:t>
      </w:r>
      <w:r w:rsidRPr="00A80A0D">
        <w:rPr>
          <w:rFonts w:eastAsiaTheme="minorEastAsia" w:cstheme="minorBidi"/>
          <w:szCs w:val="22"/>
        </w:rPr>
        <w:t xml:space="preserve"> track in the first 12 hours and a </w:t>
      </w:r>
      <w:r w:rsidR="009A5F84">
        <w:rPr>
          <w:rFonts w:eastAsiaTheme="minorEastAsia" w:cstheme="minorBidi"/>
          <w:szCs w:val="22"/>
        </w:rPr>
        <w:t>we</w:t>
      </w:r>
      <w:r w:rsidR="009A5F84" w:rsidRPr="00A80A0D">
        <w:rPr>
          <w:rFonts w:eastAsiaTheme="minorEastAsia" w:cstheme="minorBidi"/>
          <w:szCs w:val="22"/>
        </w:rPr>
        <w:t>stward</w:t>
      </w:r>
      <w:r w:rsidRPr="00A80A0D">
        <w:rPr>
          <w:rFonts w:eastAsiaTheme="minorEastAsia" w:cstheme="minorBidi"/>
          <w:szCs w:val="22"/>
        </w:rPr>
        <w:t xml:space="preserve"> track from 18 to 36 hours) and given that this corresponds well with the position of the anticyclone, it </w:t>
      </w:r>
      <w:r w:rsidR="000B662C">
        <w:rPr>
          <w:rFonts w:eastAsiaTheme="minorEastAsia" w:cstheme="minorBidi"/>
          <w:szCs w:val="22"/>
        </w:rPr>
        <w:t xml:space="preserve">is </w:t>
      </w:r>
      <w:r w:rsidRPr="00A80A0D">
        <w:rPr>
          <w:rFonts w:eastAsiaTheme="minorEastAsia" w:cstheme="minorBidi"/>
          <w:szCs w:val="22"/>
        </w:rPr>
        <w:t>reasonable that the differences in Lee’s track for the first 36 hours for the two experiments can be attributed to the improvements in the</w:t>
      </w:r>
      <w:r w:rsidR="001011D3">
        <w:rPr>
          <w:rFonts w:eastAsiaTheme="minorEastAsia" w:cstheme="minorBidi"/>
          <w:szCs w:val="22"/>
        </w:rPr>
        <w:t xml:space="preserve"> analysis of the</w:t>
      </w:r>
      <w:r w:rsidRPr="00A80A0D">
        <w:rPr>
          <w:rFonts w:eastAsiaTheme="minorEastAsia" w:cstheme="minorBidi"/>
          <w:szCs w:val="22"/>
        </w:rPr>
        <w:t xml:space="preserve"> large-scale zonal wind speed</w:t>
      </w:r>
      <w:bookmarkEnd w:id="71"/>
      <w:r w:rsidRPr="00A80A0D">
        <w:rPr>
          <w:rFonts w:eastAsiaTheme="minorEastAsia" w:cstheme="minorBidi"/>
          <w:szCs w:val="22"/>
        </w:rPr>
        <w:t xml:space="preserve">.  </w:t>
      </w:r>
      <w:bookmarkStart w:id="72" w:name="_Hlk97659344"/>
      <w:r w:rsidRPr="00A80A0D">
        <w:rPr>
          <w:rFonts w:eastAsiaTheme="minorEastAsia" w:cstheme="minorBidi"/>
          <w:szCs w:val="22"/>
        </w:rPr>
        <w:t>These improvements can be connected to the ability of the extended MR-ENS technique to better correct large-scale wind patterns due to the increased number of low-resolution ensemble members and the larger localization radius associated with the low-resolution ensemble</w:t>
      </w:r>
      <w:bookmarkEnd w:id="72"/>
      <w:r w:rsidRPr="00A80A0D">
        <w:rPr>
          <w:rFonts w:eastAsiaTheme="minorEastAsia" w:cstheme="minorBidi"/>
          <w:szCs w:val="22"/>
        </w:rPr>
        <w:t>.</w:t>
      </w:r>
    </w:p>
    <w:p w14:paraId="12A36F71" w14:textId="10166FDE" w:rsidR="00A80A0D" w:rsidRPr="00A80A0D" w:rsidRDefault="00A80A0D" w:rsidP="00A80A0D">
      <w:pPr>
        <w:spacing w:line="480" w:lineRule="auto"/>
        <w:jc w:val="both"/>
        <w:rPr>
          <w:rFonts w:eastAsiaTheme="minorEastAsia" w:cstheme="minorBidi"/>
          <w:i/>
          <w:iCs/>
          <w:szCs w:val="22"/>
        </w:rPr>
      </w:pPr>
      <w:r w:rsidRPr="00A80A0D">
        <w:rPr>
          <w:rFonts w:eastAsiaTheme="minorEastAsia" w:cstheme="minorBidi"/>
          <w:i/>
          <w:iCs/>
          <w:szCs w:val="22"/>
        </w:rPr>
        <w:t>e. Sensitivity testing</w:t>
      </w:r>
      <w:r w:rsidR="00EA46B6">
        <w:rPr>
          <w:rFonts w:eastAsiaTheme="minorEastAsia" w:cstheme="minorBidi"/>
          <w:i/>
          <w:iCs/>
          <w:szCs w:val="22"/>
        </w:rPr>
        <w:t xml:space="preserve"> </w:t>
      </w:r>
    </w:p>
    <w:p w14:paraId="22F70CD5" w14:textId="00820D92" w:rsidR="00A80A0D" w:rsidRDefault="00A80A0D" w:rsidP="00A80A0D">
      <w:pPr>
        <w:spacing w:line="480" w:lineRule="auto"/>
        <w:ind w:firstLine="720"/>
        <w:jc w:val="both"/>
        <w:rPr>
          <w:rFonts w:eastAsiaTheme="minorEastAsia" w:cstheme="minorBidi"/>
          <w:szCs w:val="22"/>
        </w:rPr>
      </w:pPr>
      <w:r w:rsidRPr="00A80A0D">
        <w:rPr>
          <w:rFonts w:eastAsiaTheme="minorEastAsia" w:cstheme="minorBidi"/>
          <w:szCs w:val="22"/>
        </w:rPr>
        <w:t xml:space="preserve">The MR170 experiment demonstrated the potential for the extended MR-ENS methodology to improve upon the analysis and forecast when compared to the SR-High methodology.  In order to further test the sensitivity of the ensemble size and composition, </w:t>
      </w:r>
      <w:bookmarkStart w:id="73" w:name="_Hlk97659524"/>
      <w:r w:rsidRPr="00A80A0D">
        <w:rPr>
          <w:rFonts w:eastAsiaTheme="minorEastAsia" w:cstheme="minorBidi"/>
          <w:szCs w:val="22"/>
        </w:rPr>
        <w:t>a second MR experiment with 180 low-resolution members and 24 high-resolution members (MR204) was compared with SR-High and MR170</w:t>
      </w:r>
      <w:bookmarkEnd w:id="73"/>
      <w:r w:rsidRPr="00A80A0D">
        <w:rPr>
          <w:rFonts w:eastAsiaTheme="minorEastAsia" w:cstheme="minorBidi"/>
          <w:szCs w:val="22"/>
        </w:rPr>
        <w:t>.</w:t>
      </w:r>
    </w:p>
    <w:p w14:paraId="60ABCCBA" w14:textId="77777777" w:rsidR="00A80A0D" w:rsidRPr="00A80A0D" w:rsidRDefault="00A80A0D" w:rsidP="00A80A0D">
      <w:pPr>
        <w:spacing w:line="480" w:lineRule="auto"/>
        <w:ind w:firstLine="720"/>
        <w:jc w:val="both"/>
        <w:rPr>
          <w:rFonts w:eastAsiaTheme="minorEastAsia" w:cstheme="minorBidi"/>
          <w:i/>
          <w:iCs/>
          <w:szCs w:val="22"/>
        </w:rPr>
      </w:pPr>
      <w:r w:rsidRPr="00A80A0D">
        <w:rPr>
          <w:rFonts w:eastAsiaTheme="minorEastAsia" w:cstheme="minorBidi"/>
          <w:i/>
          <w:iCs/>
          <w:szCs w:val="22"/>
        </w:rPr>
        <w:t>1) ANALYSIS INCREMENTS</w:t>
      </w:r>
    </w:p>
    <w:p w14:paraId="4D5CAF3A" w14:textId="70251CEE" w:rsidR="00A80A0D" w:rsidRPr="00A80A0D" w:rsidRDefault="00A80A0D" w:rsidP="00A80A0D">
      <w:pPr>
        <w:spacing w:line="480" w:lineRule="auto"/>
        <w:ind w:firstLine="720"/>
        <w:jc w:val="both"/>
        <w:rPr>
          <w:rFonts w:eastAsiaTheme="minorEastAsia" w:cstheme="minorBidi"/>
          <w:szCs w:val="22"/>
        </w:rPr>
      </w:pPr>
      <w:r w:rsidRPr="00A80A0D">
        <w:rPr>
          <w:rFonts w:eastAsiaTheme="minorEastAsia" w:cstheme="minorBidi"/>
          <w:szCs w:val="22"/>
        </w:rPr>
        <w:t xml:space="preserve">The </w:t>
      </w:r>
      <w:bookmarkStart w:id="74" w:name="_Hlk97659566"/>
      <w:r w:rsidRPr="00A80A0D">
        <w:rPr>
          <w:rFonts w:eastAsiaTheme="minorEastAsia" w:cstheme="minorBidi"/>
          <w:szCs w:val="22"/>
        </w:rPr>
        <w:t xml:space="preserve">MR204 500-hPa analysis increments decomposed into spectral space show a very similar pattern to that of the MR170 experiment for both the temperature and the zonal wind </w:t>
      </w:r>
      <w:bookmarkEnd w:id="74"/>
      <w:r w:rsidRPr="00A80A0D">
        <w:rPr>
          <w:rFonts w:eastAsiaTheme="minorEastAsia" w:cstheme="minorBidi"/>
          <w:szCs w:val="22"/>
        </w:rPr>
        <w:t xml:space="preserve">(Fig. 3).  </w:t>
      </w:r>
      <w:bookmarkStart w:id="75" w:name="_Hlk97659587"/>
      <w:r w:rsidRPr="00A80A0D">
        <w:rPr>
          <w:rFonts w:eastAsiaTheme="minorEastAsia" w:cstheme="minorBidi"/>
          <w:szCs w:val="22"/>
        </w:rPr>
        <w:t>Both MR experiments show a substantial increase in the analysis increments over SR-High at larger spatial scales as well as similar or slightly smaller analysis increments at smaller scales</w:t>
      </w:r>
      <w:bookmarkEnd w:id="75"/>
      <w:r w:rsidRPr="00A80A0D">
        <w:rPr>
          <w:rFonts w:eastAsiaTheme="minorEastAsia" w:cstheme="minorBidi"/>
          <w:szCs w:val="22"/>
        </w:rPr>
        <w:t xml:space="preserve">. </w:t>
      </w:r>
      <w:bookmarkStart w:id="76" w:name="_Hlk97659657"/>
      <w:r w:rsidRPr="00A80A0D">
        <w:rPr>
          <w:rFonts w:eastAsiaTheme="minorEastAsia" w:cstheme="minorBidi"/>
          <w:szCs w:val="22"/>
        </w:rPr>
        <w:t>Since the two MR experiments both use the same localization distances and only vary the ensemble size and composition, this further confirm</w:t>
      </w:r>
      <w:r w:rsidR="000B662C">
        <w:rPr>
          <w:rFonts w:eastAsiaTheme="minorEastAsia" w:cstheme="minorBidi"/>
          <w:szCs w:val="22"/>
        </w:rPr>
        <w:t>s</w:t>
      </w:r>
      <w:r w:rsidRPr="00A80A0D">
        <w:rPr>
          <w:rFonts w:eastAsiaTheme="minorEastAsia" w:cstheme="minorBidi"/>
          <w:szCs w:val="22"/>
        </w:rPr>
        <w:t xml:space="preserve"> that the differences in the analysis increments of the SR-High and MR experiments at large scales is resultant of the differences in the larger localization </w:t>
      </w:r>
      <w:r w:rsidRPr="00A80A0D">
        <w:rPr>
          <w:rFonts w:eastAsiaTheme="minorEastAsia" w:cstheme="minorBidi"/>
          <w:szCs w:val="22"/>
        </w:rPr>
        <w:lastRenderedPageBreak/>
        <w:t>radius associated with the low-resolution ensemble in the MR experiments</w:t>
      </w:r>
      <w:bookmarkEnd w:id="76"/>
      <w:r w:rsidRPr="00A80A0D">
        <w:rPr>
          <w:rFonts w:eastAsiaTheme="minorEastAsia" w:cstheme="minorBidi"/>
          <w:szCs w:val="22"/>
        </w:rPr>
        <w:t>.  At smaller scales, the localization associated with the high-resolution ensemble and the weights of the high-resolution ensemble BECs do not vary between MR experiments</w:t>
      </w:r>
      <w:r w:rsidR="00B11A1C">
        <w:rPr>
          <w:rFonts w:eastAsiaTheme="minorEastAsia" w:cstheme="minorBidi"/>
          <w:szCs w:val="22"/>
        </w:rPr>
        <w:t xml:space="preserve">.  Therefore, </w:t>
      </w:r>
      <w:r w:rsidRPr="00A80A0D">
        <w:rPr>
          <w:rFonts w:eastAsiaTheme="minorEastAsia" w:cstheme="minorBidi"/>
          <w:szCs w:val="22"/>
        </w:rPr>
        <w:t xml:space="preserve">it is reasonable that the small-scale analysis increments </w:t>
      </w:r>
      <w:r w:rsidR="0008287F">
        <w:rPr>
          <w:rFonts w:eastAsiaTheme="minorEastAsia" w:cstheme="minorBidi"/>
          <w:szCs w:val="22"/>
        </w:rPr>
        <w:t>are also</w:t>
      </w:r>
      <w:r w:rsidRPr="00A80A0D">
        <w:rPr>
          <w:rFonts w:eastAsiaTheme="minorEastAsia" w:cstheme="minorBidi"/>
          <w:szCs w:val="22"/>
        </w:rPr>
        <w:t xml:space="preserve"> very similar between the MR experiments.</w:t>
      </w:r>
    </w:p>
    <w:p w14:paraId="2083C20A" w14:textId="77777777" w:rsidR="00A80A0D" w:rsidRPr="00A80A0D" w:rsidRDefault="00A80A0D" w:rsidP="00A80A0D">
      <w:pPr>
        <w:spacing w:line="480" w:lineRule="auto"/>
        <w:ind w:firstLine="720"/>
        <w:jc w:val="both"/>
        <w:rPr>
          <w:rFonts w:eastAsiaTheme="minorEastAsia" w:cstheme="minorBidi"/>
          <w:i/>
          <w:iCs/>
          <w:szCs w:val="22"/>
        </w:rPr>
      </w:pPr>
      <w:r w:rsidRPr="00A80A0D">
        <w:rPr>
          <w:rFonts w:eastAsiaTheme="minorEastAsia" w:cstheme="minorBidi"/>
          <w:i/>
          <w:iCs/>
          <w:szCs w:val="22"/>
        </w:rPr>
        <w:t>2) FORECAST ERRORS</w:t>
      </w:r>
    </w:p>
    <w:p w14:paraId="622744E2" w14:textId="052AE0A6" w:rsidR="00A80A0D" w:rsidRPr="00A80A0D" w:rsidRDefault="00B320AC" w:rsidP="00D51799">
      <w:pPr>
        <w:spacing w:line="480" w:lineRule="auto"/>
        <w:ind w:firstLine="720"/>
        <w:jc w:val="both"/>
        <w:rPr>
          <w:rFonts w:eastAsiaTheme="minorEastAsia" w:cstheme="minorBidi"/>
          <w:szCs w:val="22"/>
        </w:rPr>
      </w:pPr>
      <w:r>
        <w:rPr>
          <w:rFonts w:eastAsiaTheme="minorEastAsia" w:cstheme="minorBidi"/>
          <w:szCs w:val="22"/>
        </w:rPr>
        <w:t>There is a notable improvement in the</w:t>
      </w:r>
      <w:r w:rsidR="00A80A0D" w:rsidRPr="00A80A0D">
        <w:rPr>
          <w:rFonts w:eastAsiaTheme="minorEastAsia" w:cstheme="minorBidi"/>
          <w:szCs w:val="22"/>
        </w:rPr>
        <w:t xml:space="preserve"> RMSF of the 6-h global forecast to the rawinsonde observations for MR204 when compared to SR-High</w:t>
      </w:r>
      <w:r>
        <w:rPr>
          <w:rFonts w:eastAsiaTheme="minorEastAsia" w:cstheme="minorBidi"/>
          <w:szCs w:val="22"/>
        </w:rPr>
        <w:t xml:space="preserve"> for </w:t>
      </w:r>
      <w:r w:rsidR="00A80A0D" w:rsidRPr="00A80A0D">
        <w:rPr>
          <w:rFonts w:eastAsiaTheme="minorEastAsia" w:cstheme="minorBidi"/>
          <w:szCs w:val="22"/>
        </w:rPr>
        <w:t>both the temperature and wind speed at all vertical levels (Fig. 1</w:t>
      </w:r>
      <w:r w:rsidR="000F1C5D">
        <w:rPr>
          <w:rFonts w:eastAsiaTheme="minorEastAsia" w:cstheme="minorBidi"/>
          <w:szCs w:val="22"/>
        </w:rPr>
        <w:t>5</w:t>
      </w:r>
      <w:r w:rsidR="00A80A0D" w:rsidRPr="00A80A0D">
        <w:rPr>
          <w:rFonts w:eastAsiaTheme="minorEastAsia" w:cstheme="minorBidi"/>
          <w:szCs w:val="22"/>
        </w:rPr>
        <w:t>a,b).  However, the MR204 experiment slight</w:t>
      </w:r>
      <w:r w:rsidR="00B11A1C">
        <w:rPr>
          <w:rFonts w:eastAsiaTheme="minorEastAsia" w:cstheme="minorBidi"/>
          <w:szCs w:val="22"/>
        </w:rPr>
        <w:t>ly</w:t>
      </w:r>
      <w:r w:rsidR="00A80A0D" w:rsidRPr="00A80A0D">
        <w:rPr>
          <w:rFonts w:eastAsiaTheme="minorEastAsia" w:cstheme="minorBidi"/>
          <w:szCs w:val="22"/>
        </w:rPr>
        <w:t xml:space="preserve"> degrad</w:t>
      </w:r>
      <w:r w:rsidR="00B11A1C">
        <w:rPr>
          <w:rFonts w:eastAsiaTheme="minorEastAsia" w:cstheme="minorBidi"/>
          <w:szCs w:val="22"/>
        </w:rPr>
        <w:t>es</w:t>
      </w:r>
      <w:r w:rsidR="00A80A0D" w:rsidRPr="00A80A0D">
        <w:rPr>
          <w:rFonts w:eastAsiaTheme="minorEastAsia" w:cstheme="minorBidi"/>
          <w:szCs w:val="22"/>
        </w:rPr>
        <w:t xml:space="preserve"> the</w:t>
      </w:r>
      <w:r w:rsidR="00B11A1C">
        <w:rPr>
          <w:rFonts w:eastAsiaTheme="minorEastAsia" w:cstheme="minorBidi"/>
          <w:szCs w:val="22"/>
        </w:rPr>
        <w:t xml:space="preserve"> accuracy of the</w:t>
      </w:r>
      <w:r w:rsidR="00A80A0D" w:rsidRPr="00A80A0D">
        <w:rPr>
          <w:rFonts w:eastAsiaTheme="minorEastAsia" w:cstheme="minorBidi"/>
          <w:szCs w:val="22"/>
        </w:rPr>
        <w:t xml:space="preserve"> 6-h forecast when compared with the MR170 experiment (Fig. 1</w:t>
      </w:r>
      <w:r w:rsidR="000F1C5D">
        <w:rPr>
          <w:rFonts w:eastAsiaTheme="minorEastAsia" w:cstheme="minorBidi"/>
          <w:szCs w:val="22"/>
        </w:rPr>
        <w:t>5</w:t>
      </w:r>
      <w:r w:rsidR="00A80A0D" w:rsidRPr="00A80A0D">
        <w:rPr>
          <w:rFonts w:eastAsiaTheme="minorEastAsia" w:cstheme="minorBidi"/>
          <w:szCs w:val="22"/>
        </w:rPr>
        <w:t xml:space="preserve">c,d). Similarly, at longer lead times, </w:t>
      </w:r>
      <w:r w:rsidR="00BB7D3D">
        <w:rPr>
          <w:rFonts w:eastAsiaTheme="minorEastAsia" w:cstheme="minorBidi"/>
          <w:szCs w:val="22"/>
        </w:rPr>
        <w:t>MR204 improves the</w:t>
      </w:r>
      <w:r w:rsidR="00A80A0D" w:rsidRPr="00A80A0D">
        <w:rPr>
          <w:rFonts w:eastAsiaTheme="minorEastAsia" w:cstheme="minorBidi"/>
          <w:szCs w:val="22"/>
        </w:rPr>
        <w:t xml:space="preserve"> RMSE compared to SR-High</w:t>
      </w:r>
      <w:r w:rsidR="00BB7D3D">
        <w:rPr>
          <w:rFonts w:eastAsiaTheme="minorEastAsia" w:cstheme="minorBidi"/>
          <w:szCs w:val="22"/>
        </w:rPr>
        <w:t>,</w:t>
      </w:r>
      <w:r w:rsidR="00A80A0D" w:rsidRPr="00A80A0D">
        <w:rPr>
          <w:rFonts w:eastAsiaTheme="minorEastAsia" w:cstheme="minorBidi"/>
          <w:szCs w:val="22"/>
        </w:rPr>
        <w:t xml:space="preserve"> </w:t>
      </w:r>
      <w:r w:rsidR="00BB7D3D">
        <w:rPr>
          <w:rFonts w:eastAsiaTheme="minorEastAsia" w:cstheme="minorBidi"/>
          <w:szCs w:val="22"/>
        </w:rPr>
        <w:t>demonstrating</w:t>
      </w:r>
      <w:r w:rsidR="00A80A0D" w:rsidRPr="00A80A0D">
        <w:rPr>
          <w:rFonts w:eastAsiaTheme="minorEastAsia" w:cstheme="minorBidi"/>
          <w:szCs w:val="22"/>
        </w:rPr>
        <w:t xml:space="preserve"> that the improvement in the global analysis leads to a better forecast (Fig. 1</w:t>
      </w:r>
      <w:r w:rsidR="000F1C5D">
        <w:rPr>
          <w:rFonts w:eastAsiaTheme="minorEastAsia" w:cstheme="minorBidi"/>
          <w:szCs w:val="22"/>
        </w:rPr>
        <w:t>6</w:t>
      </w:r>
      <w:r w:rsidR="00A80A0D" w:rsidRPr="00A80A0D">
        <w:rPr>
          <w:rFonts w:eastAsiaTheme="minorEastAsia" w:cstheme="minorBidi"/>
          <w:szCs w:val="22"/>
        </w:rPr>
        <w:t xml:space="preserve">).  </w:t>
      </w:r>
      <w:r>
        <w:rPr>
          <w:rFonts w:eastAsiaTheme="minorEastAsia" w:cstheme="minorBidi"/>
          <w:szCs w:val="22"/>
        </w:rPr>
        <w:t>If the same</w:t>
      </w:r>
      <w:r w:rsidR="00A80A0D" w:rsidRPr="00A80A0D">
        <w:rPr>
          <w:rFonts w:eastAsiaTheme="minorEastAsia" w:cstheme="minorBidi"/>
          <w:szCs w:val="22"/>
        </w:rPr>
        <w:t xml:space="preserve"> comparison </w:t>
      </w:r>
      <w:r>
        <w:rPr>
          <w:rFonts w:eastAsiaTheme="minorEastAsia" w:cstheme="minorBidi"/>
          <w:szCs w:val="22"/>
        </w:rPr>
        <w:t xml:space="preserve">is conducted </w:t>
      </w:r>
      <w:r w:rsidR="00A80A0D" w:rsidRPr="00A80A0D">
        <w:rPr>
          <w:rFonts w:eastAsiaTheme="minorEastAsia" w:cstheme="minorBidi"/>
          <w:szCs w:val="22"/>
        </w:rPr>
        <w:t>between MR170 and MR204, it is found that the MR170 experiment improves the global forecast over MR204 at most vertical levels and lead times (Fig. 1</w:t>
      </w:r>
      <w:r w:rsidR="000F1C5D">
        <w:rPr>
          <w:rFonts w:eastAsiaTheme="minorEastAsia" w:cstheme="minorBidi"/>
          <w:szCs w:val="22"/>
        </w:rPr>
        <w:t>7</w:t>
      </w:r>
      <w:r w:rsidR="00A80A0D" w:rsidRPr="00A80A0D">
        <w:rPr>
          <w:rFonts w:eastAsiaTheme="minorEastAsia" w:cstheme="minorBidi"/>
          <w:szCs w:val="22"/>
        </w:rPr>
        <w:t>).</w:t>
      </w:r>
      <w:r w:rsidR="00CB6A20">
        <w:rPr>
          <w:rFonts w:eastAsiaTheme="minorEastAsia" w:cstheme="minorBidi"/>
          <w:szCs w:val="22"/>
        </w:rPr>
        <w:t xml:space="preserve"> It should be noted, though, that there are a few levels and lead times with significant degradation for the MR170 experiment, such as for temperature at lower levels in the SH prior to 48 hours (Fig. 17e).</w:t>
      </w:r>
      <w:r w:rsidR="00BB7D3D">
        <w:rPr>
          <w:rFonts w:eastAsiaTheme="minorEastAsia" w:cstheme="minorBidi"/>
          <w:szCs w:val="22"/>
        </w:rPr>
        <w:t xml:space="preserve"> </w:t>
      </w:r>
      <w:r>
        <w:rPr>
          <w:rFonts w:eastAsiaTheme="minorEastAsia" w:cstheme="minorBidi"/>
          <w:szCs w:val="22"/>
        </w:rPr>
        <w:t>For</w:t>
      </w:r>
      <w:r w:rsidR="00A80A0D" w:rsidRPr="00A80A0D">
        <w:rPr>
          <w:rFonts w:eastAsiaTheme="minorEastAsia" w:cstheme="minorBidi"/>
          <w:szCs w:val="22"/>
        </w:rPr>
        <w:t xml:space="preserve"> TC track forecasts, MR204 has smaller track errors</w:t>
      </w:r>
      <w:r w:rsidR="00A05F50">
        <w:rPr>
          <w:rFonts w:eastAsiaTheme="minorEastAsia" w:cstheme="minorBidi"/>
          <w:szCs w:val="22"/>
        </w:rPr>
        <w:t xml:space="preserve"> compared with SR-High</w:t>
      </w:r>
      <w:r w:rsidR="00A80A0D" w:rsidRPr="00A80A0D">
        <w:rPr>
          <w:rFonts w:eastAsiaTheme="minorEastAsia" w:cstheme="minorBidi"/>
          <w:szCs w:val="22"/>
        </w:rPr>
        <w:t xml:space="preserve"> up to 120 hours with statistically significant differences up to 3</w:t>
      </w:r>
      <w:r w:rsidR="00010AF1">
        <w:rPr>
          <w:rFonts w:eastAsiaTheme="minorEastAsia" w:cstheme="minorBidi"/>
          <w:szCs w:val="22"/>
        </w:rPr>
        <w:t>6</w:t>
      </w:r>
      <w:r w:rsidR="00A80A0D" w:rsidRPr="00A80A0D">
        <w:rPr>
          <w:rFonts w:eastAsiaTheme="minorEastAsia" w:cstheme="minorBidi"/>
          <w:szCs w:val="22"/>
        </w:rPr>
        <w:t xml:space="preserve"> hours (Fig. 1</w:t>
      </w:r>
      <w:r w:rsidR="000F1C5D">
        <w:rPr>
          <w:rFonts w:eastAsiaTheme="minorEastAsia" w:cstheme="minorBidi"/>
          <w:szCs w:val="22"/>
        </w:rPr>
        <w:t>3</w:t>
      </w:r>
      <w:r w:rsidR="00A80A0D" w:rsidRPr="00A80A0D">
        <w:rPr>
          <w:rFonts w:eastAsiaTheme="minorEastAsia" w:cstheme="minorBidi"/>
          <w:szCs w:val="22"/>
        </w:rPr>
        <w:t>a). Also, between 24 and 108 hours MR204 improves the track forecast more than 50% of the time when compared with SR-High (Fig. 1</w:t>
      </w:r>
      <w:r w:rsidR="000F1C5D">
        <w:rPr>
          <w:rFonts w:eastAsiaTheme="minorEastAsia" w:cstheme="minorBidi"/>
          <w:szCs w:val="22"/>
        </w:rPr>
        <w:t>3</w:t>
      </w:r>
      <w:r w:rsidR="00A80A0D" w:rsidRPr="00A80A0D">
        <w:rPr>
          <w:rFonts w:eastAsiaTheme="minorEastAsia" w:cstheme="minorBidi"/>
          <w:szCs w:val="22"/>
        </w:rPr>
        <w:t xml:space="preserve">b). For nearly all lead times, however, there </w:t>
      </w:r>
      <w:r w:rsidR="00BB7D3D">
        <w:rPr>
          <w:rFonts w:eastAsiaTheme="minorEastAsia" w:cstheme="minorBidi"/>
          <w:szCs w:val="22"/>
        </w:rPr>
        <w:t>is a</w:t>
      </w:r>
      <w:r w:rsidR="00A80A0D" w:rsidRPr="00A80A0D">
        <w:rPr>
          <w:rFonts w:eastAsiaTheme="minorEastAsia" w:cstheme="minorBidi"/>
          <w:szCs w:val="22"/>
        </w:rPr>
        <w:t xml:space="preserve"> degradation in the track forecast for MR204 when compared to MR170, which is consistent with the global forecast</w:t>
      </w:r>
      <w:r w:rsidR="00010AF1">
        <w:rPr>
          <w:rFonts w:eastAsiaTheme="minorEastAsia" w:cstheme="minorBidi"/>
          <w:szCs w:val="22"/>
        </w:rPr>
        <w:t xml:space="preserve"> result</w:t>
      </w:r>
      <w:r w:rsidR="00A80A0D" w:rsidRPr="00A80A0D">
        <w:rPr>
          <w:rFonts w:eastAsiaTheme="minorEastAsia" w:cstheme="minorBidi"/>
          <w:szCs w:val="22"/>
        </w:rPr>
        <w:t>.</w:t>
      </w:r>
    </w:p>
    <w:p w14:paraId="178A8784" w14:textId="797EAC5F" w:rsidR="00A80A0D" w:rsidRPr="00A80A0D" w:rsidRDefault="00A80A0D" w:rsidP="00A80A0D">
      <w:pPr>
        <w:spacing w:line="480" w:lineRule="auto"/>
        <w:ind w:firstLine="720"/>
        <w:jc w:val="both"/>
        <w:rPr>
          <w:rFonts w:eastAsiaTheme="minorEastAsia" w:cstheme="minorBidi"/>
          <w:szCs w:val="22"/>
        </w:rPr>
      </w:pPr>
      <w:r w:rsidRPr="00A80A0D">
        <w:rPr>
          <w:rFonts w:eastAsiaTheme="minorEastAsia" w:cstheme="minorBidi"/>
          <w:szCs w:val="22"/>
        </w:rPr>
        <w:t xml:space="preserve">In section </w:t>
      </w:r>
      <w:r w:rsidR="00A05F50">
        <w:rPr>
          <w:rFonts w:eastAsiaTheme="minorEastAsia" w:cstheme="minorBidi"/>
          <w:szCs w:val="22"/>
        </w:rPr>
        <w:t>4</w:t>
      </w:r>
      <w:r w:rsidRPr="00A80A0D">
        <w:rPr>
          <w:rFonts w:eastAsiaTheme="minorEastAsia" w:cstheme="minorBidi"/>
          <w:szCs w:val="22"/>
        </w:rPr>
        <w:t>c, it was conjectured that the MR170 forecast was improved over SR-High</w:t>
      </w:r>
      <w:r w:rsidR="00950A20">
        <w:rPr>
          <w:rFonts w:eastAsiaTheme="minorEastAsia" w:cstheme="minorBidi"/>
          <w:szCs w:val="22"/>
        </w:rPr>
        <w:t>,</w:t>
      </w:r>
      <w:r w:rsidRPr="00A80A0D">
        <w:rPr>
          <w:rFonts w:eastAsiaTheme="minorEastAsia" w:cstheme="minorBidi"/>
          <w:szCs w:val="22"/>
        </w:rPr>
        <w:t xml:space="preserve"> at least in part</w:t>
      </w:r>
      <w:r w:rsidR="00950A20">
        <w:rPr>
          <w:rFonts w:eastAsiaTheme="minorEastAsia" w:cstheme="minorBidi"/>
          <w:szCs w:val="22"/>
        </w:rPr>
        <w:t>,</w:t>
      </w:r>
      <w:r w:rsidRPr="00A80A0D">
        <w:rPr>
          <w:rFonts w:eastAsiaTheme="minorEastAsia" w:cstheme="minorBidi"/>
          <w:szCs w:val="22"/>
        </w:rPr>
        <w:t xml:space="preserve"> due to the increase in the ensemble size </w:t>
      </w:r>
      <w:r w:rsidR="00CC0E69">
        <w:rPr>
          <w:rFonts w:eastAsiaTheme="minorEastAsia" w:cstheme="minorBidi"/>
          <w:szCs w:val="22"/>
        </w:rPr>
        <w:t>from</w:t>
      </w:r>
      <w:r w:rsidRPr="00A80A0D">
        <w:rPr>
          <w:rFonts w:eastAsiaTheme="minorEastAsia" w:cstheme="minorBidi"/>
          <w:szCs w:val="22"/>
        </w:rPr>
        <w:t xml:space="preserve"> the addition of several low-resolution members. Following this logic, it would be reasonable to assume that </w:t>
      </w:r>
      <w:r w:rsidR="00CC0E69">
        <w:rPr>
          <w:rFonts w:eastAsiaTheme="minorEastAsia" w:cstheme="minorBidi"/>
          <w:szCs w:val="22"/>
        </w:rPr>
        <w:t>adding</w:t>
      </w:r>
      <w:r w:rsidRPr="00A80A0D">
        <w:rPr>
          <w:rFonts w:eastAsiaTheme="minorEastAsia" w:cstheme="minorBidi"/>
          <w:szCs w:val="22"/>
        </w:rPr>
        <w:t xml:space="preserve"> an even larger number </w:t>
      </w:r>
      <w:r w:rsidRPr="00A80A0D">
        <w:rPr>
          <w:rFonts w:eastAsiaTheme="minorEastAsia" w:cstheme="minorBidi"/>
          <w:szCs w:val="22"/>
        </w:rPr>
        <w:lastRenderedPageBreak/>
        <w:t xml:space="preserve">of low-resolution members, as </w:t>
      </w:r>
      <w:r w:rsidR="00A05F50">
        <w:rPr>
          <w:rFonts w:eastAsiaTheme="minorEastAsia" w:cstheme="minorBidi"/>
          <w:szCs w:val="22"/>
        </w:rPr>
        <w:t xml:space="preserve">in the </w:t>
      </w:r>
      <w:r w:rsidRPr="00A80A0D">
        <w:rPr>
          <w:rFonts w:eastAsiaTheme="minorEastAsia" w:cstheme="minorBidi"/>
          <w:szCs w:val="22"/>
        </w:rPr>
        <w:t>MR204</w:t>
      </w:r>
      <w:r w:rsidR="00A05F50">
        <w:rPr>
          <w:rFonts w:eastAsiaTheme="minorEastAsia" w:cstheme="minorBidi"/>
          <w:szCs w:val="22"/>
        </w:rPr>
        <w:t xml:space="preserve"> experiment</w:t>
      </w:r>
      <w:r w:rsidRPr="00A80A0D">
        <w:rPr>
          <w:rFonts w:eastAsiaTheme="minorEastAsia" w:cstheme="minorBidi"/>
          <w:szCs w:val="22"/>
        </w:rPr>
        <w:t xml:space="preserve">, would result in further forecast improvements over MR170, but this is not the case. Instead, the lack of additional high-resolution members </w:t>
      </w:r>
      <w:r w:rsidR="00CC0E69">
        <w:rPr>
          <w:rFonts w:eastAsiaTheme="minorEastAsia" w:cstheme="minorBidi"/>
          <w:szCs w:val="22"/>
        </w:rPr>
        <w:t>leads</w:t>
      </w:r>
      <w:r w:rsidRPr="00A80A0D">
        <w:rPr>
          <w:rFonts w:eastAsiaTheme="minorEastAsia" w:cstheme="minorBidi"/>
          <w:szCs w:val="22"/>
        </w:rPr>
        <w:t xml:space="preserve"> to a loss of information at smaller spatial scales and an overall degradation of the forecast.  The necessity of high-resolution ensemble members is a result that is more consistent with Lei and Whitaker (2017), which determined that a high-resolution ensemble with smaller size provided a better forecast than a low-resolution ensemble with larger size at the same computational cost.  </w:t>
      </w:r>
    </w:p>
    <w:p w14:paraId="184F4174" w14:textId="39FC11F5" w:rsidR="00A80A0D" w:rsidRPr="00A80A0D" w:rsidRDefault="00A80A0D" w:rsidP="00A80A0D">
      <w:pPr>
        <w:spacing w:line="480" w:lineRule="auto"/>
        <w:ind w:firstLine="720"/>
        <w:jc w:val="both"/>
        <w:rPr>
          <w:rFonts w:eastAsiaTheme="minorEastAsia" w:cstheme="minorBidi"/>
          <w:szCs w:val="22"/>
        </w:rPr>
      </w:pPr>
      <w:r w:rsidRPr="00A80A0D">
        <w:rPr>
          <w:rFonts w:eastAsiaTheme="minorEastAsia" w:cstheme="minorBidi"/>
          <w:szCs w:val="22"/>
        </w:rPr>
        <w:t>Overall, both MR experiments improve upon SR-High</w:t>
      </w:r>
      <w:r w:rsidR="009532C5">
        <w:rPr>
          <w:rFonts w:eastAsiaTheme="minorEastAsia" w:cstheme="minorBidi"/>
          <w:szCs w:val="22"/>
        </w:rPr>
        <w:t>. However,</w:t>
      </w:r>
      <w:r w:rsidRPr="00A80A0D">
        <w:rPr>
          <w:rFonts w:eastAsiaTheme="minorEastAsia" w:cstheme="minorBidi"/>
          <w:szCs w:val="22"/>
        </w:rPr>
        <w:t xml:space="preserve"> MR170 shows greater improvement than MR204, which demonstrates that there may </w:t>
      </w:r>
      <w:r w:rsidR="00A05F50" w:rsidRPr="00A80A0D">
        <w:rPr>
          <w:rFonts w:eastAsiaTheme="minorEastAsia" w:cstheme="minorBidi"/>
          <w:szCs w:val="22"/>
        </w:rPr>
        <w:t>be</w:t>
      </w:r>
      <w:r w:rsidRPr="00A80A0D">
        <w:rPr>
          <w:rFonts w:eastAsiaTheme="minorEastAsia" w:cstheme="minorBidi"/>
          <w:szCs w:val="22"/>
        </w:rPr>
        <w:t xml:space="preserve"> some optimal value for the low- and high-resolution ensemble sizes in a multi-resolution ensemble.  In other words, forecast errors can be minimized using an MR</w:t>
      </w:r>
      <w:r w:rsidR="00E16225">
        <w:rPr>
          <w:rFonts w:eastAsiaTheme="minorEastAsia" w:cstheme="minorBidi"/>
          <w:szCs w:val="22"/>
        </w:rPr>
        <w:t>-ENS</w:t>
      </w:r>
      <w:r w:rsidRPr="00A80A0D">
        <w:rPr>
          <w:rFonts w:eastAsiaTheme="minorEastAsia" w:cstheme="minorBidi"/>
          <w:szCs w:val="22"/>
        </w:rPr>
        <w:t xml:space="preserve"> approach by finding a balance between ensemble size and ensemble resolution.</w:t>
      </w:r>
    </w:p>
    <w:p w14:paraId="478B8515" w14:textId="77777777" w:rsidR="00A80A0D" w:rsidRPr="00A80A0D" w:rsidRDefault="00A80A0D" w:rsidP="00A80A0D">
      <w:pPr>
        <w:spacing w:line="480" w:lineRule="auto"/>
        <w:jc w:val="both"/>
        <w:rPr>
          <w:rFonts w:eastAsiaTheme="minorEastAsia" w:cstheme="minorBidi"/>
          <w:szCs w:val="22"/>
        </w:rPr>
      </w:pPr>
    </w:p>
    <w:p w14:paraId="08A800BC" w14:textId="0CA88D13" w:rsidR="008235EA" w:rsidRPr="00313305" w:rsidRDefault="002305C7" w:rsidP="00A80A0D">
      <w:pPr>
        <w:pStyle w:val="NoSpacing"/>
        <w:spacing w:line="480" w:lineRule="auto"/>
        <w:jc w:val="both"/>
      </w:pPr>
      <w:r w:rsidRPr="00313305">
        <w:br w:type="page"/>
      </w:r>
    </w:p>
    <w:p w14:paraId="3030DF79" w14:textId="1C50FD2A" w:rsidR="009145B6" w:rsidRPr="00A80A0D" w:rsidRDefault="0022717D" w:rsidP="00A80A0D">
      <w:pPr>
        <w:pStyle w:val="NoSpacing"/>
        <w:spacing w:line="480" w:lineRule="auto"/>
        <w:jc w:val="both"/>
        <w:rPr>
          <w:rFonts w:ascii="Times New Roman" w:hAnsi="Times New Roman" w:cs="Times New Roman"/>
          <w:b/>
          <w:bCs/>
        </w:rPr>
      </w:pPr>
      <w:r w:rsidRPr="00A80A0D">
        <w:rPr>
          <w:rFonts w:ascii="Times New Roman" w:hAnsi="Times New Roman" w:cs="Times New Roman"/>
          <w:b/>
          <w:bCs/>
        </w:rPr>
        <w:lastRenderedPageBreak/>
        <w:t xml:space="preserve">5.  </w:t>
      </w:r>
      <w:r w:rsidR="00A80A0D" w:rsidRPr="00A80A0D">
        <w:rPr>
          <w:rFonts w:ascii="Times New Roman" w:hAnsi="Times New Roman" w:cs="Times New Roman"/>
          <w:b/>
          <w:bCs/>
        </w:rPr>
        <w:t>C</w:t>
      </w:r>
      <w:r w:rsidR="009145B6" w:rsidRPr="00A80A0D">
        <w:rPr>
          <w:rFonts w:ascii="Times New Roman" w:hAnsi="Times New Roman" w:cs="Times New Roman"/>
          <w:b/>
          <w:bCs/>
        </w:rPr>
        <w:t>onclusions</w:t>
      </w:r>
    </w:p>
    <w:p w14:paraId="4963F37A" w14:textId="77777777" w:rsidR="00A80A0D" w:rsidRPr="00A80A0D" w:rsidRDefault="00A80A0D" w:rsidP="00A80A0D">
      <w:pPr>
        <w:spacing w:line="480" w:lineRule="auto"/>
        <w:jc w:val="both"/>
        <w:rPr>
          <w:rFonts w:eastAsiaTheme="minorEastAsia" w:cstheme="minorBidi"/>
          <w:i/>
          <w:iCs/>
          <w:szCs w:val="22"/>
        </w:rPr>
      </w:pPr>
      <w:r w:rsidRPr="00A80A0D">
        <w:rPr>
          <w:rFonts w:eastAsiaTheme="minorEastAsia" w:cstheme="minorBidi"/>
          <w:i/>
          <w:iCs/>
          <w:szCs w:val="22"/>
        </w:rPr>
        <w:t>a. Summary</w:t>
      </w:r>
    </w:p>
    <w:p w14:paraId="4AD83C7B" w14:textId="67E5F9EE" w:rsidR="00A80A0D" w:rsidRPr="00A80A0D" w:rsidRDefault="00A80A0D" w:rsidP="00A80A0D">
      <w:pPr>
        <w:spacing w:line="480" w:lineRule="auto"/>
        <w:ind w:firstLine="720"/>
        <w:jc w:val="both"/>
        <w:rPr>
          <w:rFonts w:eastAsiaTheme="minorEastAsia" w:cstheme="minorBidi"/>
          <w:szCs w:val="22"/>
        </w:rPr>
      </w:pPr>
      <w:r w:rsidRPr="00A80A0D">
        <w:rPr>
          <w:rFonts w:eastAsiaTheme="minorEastAsia" w:cstheme="minorBidi"/>
          <w:szCs w:val="22"/>
        </w:rPr>
        <w:t xml:space="preserve">This study utilized a multi-resolution ensemble hybrid 4DEnVar that expands upon and further develops the work of Kay and Wang (2020).  The extended MR-ENS method allows for </w:t>
      </w:r>
      <w:r w:rsidR="00A74607">
        <w:rPr>
          <w:rFonts w:eastAsiaTheme="minorEastAsia" w:cstheme="minorBidi"/>
          <w:szCs w:val="22"/>
        </w:rPr>
        <w:t xml:space="preserve">a </w:t>
      </w:r>
      <w:r w:rsidRPr="00A80A0D">
        <w:rPr>
          <w:rFonts w:eastAsiaTheme="minorEastAsia" w:cstheme="minorBidi"/>
          <w:szCs w:val="22"/>
        </w:rPr>
        <w:t xml:space="preserve">varying </w:t>
      </w:r>
      <w:r w:rsidR="00A74607">
        <w:rPr>
          <w:rFonts w:eastAsiaTheme="minorEastAsia" w:cstheme="minorBidi"/>
          <w:szCs w:val="22"/>
        </w:rPr>
        <w:t xml:space="preserve">number of </w:t>
      </w:r>
      <w:r w:rsidRPr="00A80A0D">
        <w:rPr>
          <w:rFonts w:eastAsiaTheme="minorEastAsia" w:cstheme="minorBidi"/>
          <w:szCs w:val="22"/>
        </w:rPr>
        <w:t>members of the low- and high-resolution ensemble</w:t>
      </w:r>
      <w:r w:rsidR="00A74607">
        <w:rPr>
          <w:rFonts w:eastAsiaTheme="minorEastAsia" w:cstheme="minorBidi"/>
          <w:szCs w:val="22"/>
        </w:rPr>
        <w:t xml:space="preserve"> members</w:t>
      </w:r>
      <w:r w:rsidR="00077444">
        <w:rPr>
          <w:rFonts w:eastAsiaTheme="minorEastAsia" w:cstheme="minorBidi"/>
          <w:szCs w:val="22"/>
        </w:rPr>
        <w:t xml:space="preserve"> as well as</w:t>
      </w:r>
      <w:r w:rsidRPr="00A80A0D">
        <w:rPr>
          <w:rFonts w:eastAsiaTheme="minorEastAsia" w:cstheme="minorBidi"/>
          <w:szCs w:val="22"/>
        </w:rPr>
        <w:t xml:space="preserve"> different localization length scales for the low- and high-resolution ensembles.  One of the </w:t>
      </w:r>
      <w:r w:rsidR="00077444">
        <w:rPr>
          <w:rFonts w:eastAsiaTheme="minorEastAsia" w:cstheme="minorBidi"/>
          <w:szCs w:val="22"/>
        </w:rPr>
        <w:t>goals</w:t>
      </w:r>
      <w:r w:rsidR="00077444" w:rsidRPr="00A80A0D">
        <w:rPr>
          <w:rFonts w:eastAsiaTheme="minorEastAsia" w:cstheme="minorBidi"/>
          <w:szCs w:val="22"/>
        </w:rPr>
        <w:t xml:space="preserve"> </w:t>
      </w:r>
      <w:r w:rsidRPr="00A80A0D">
        <w:rPr>
          <w:rFonts w:eastAsiaTheme="minorEastAsia" w:cstheme="minorBidi"/>
          <w:szCs w:val="22"/>
        </w:rPr>
        <w:t xml:space="preserve">in further developing the technique </w:t>
      </w:r>
      <w:r w:rsidR="00671437">
        <w:rPr>
          <w:rFonts w:eastAsiaTheme="minorEastAsia" w:cstheme="minorBidi"/>
          <w:szCs w:val="22"/>
        </w:rPr>
        <w:t xml:space="preserve">is </w:t>
      </w:r>
      <w:r w:rsidR="00A74607">
        <w:rPr>
          <w:rFonts w:eastAsiaTheme="minorEastAsia" w:cstheme="minorBidi"/>
          <w:szCs w:val="22"/>
        </w:rPr>
        <w:t>so that</w:t>
      </w:r>
      <w:r w:rsidR="00671437">
        <w:rPr>
          <w:rFonts w:eastAsiaTheme="minorEastAsia" w:cstheme="minorBidi"/>
          <w:szCs w:val="22"/>
        </w:rPr>
        <w:t xml:space="preserve"> this method </w:t>
      </w:r>
      <w:r w:rsidR="00A74607">
        <w:rPr>
          <w:rFonts w:eastAsiaTheme="minorEastAsia" w:cstheme="minorBidi"/>
          <w:szCs w:val="22"/>
        </w:rPr>
        <w:t>may</w:t>
      </w:r>
      <w:r w:rsidR="00671437">
        <w:rPr>
          <w:rFonts w:eastAsiaTheme="minorEastAsia" w:cstheme="minorBidi"/>
          <w:szCs w:val="22"/>
        </w:rPr>
        <w:t xml:space="preserve"> be used as one </w:t>
      </w:r>
      <w:r w:rsidR="00403D9D">
        <w:rPr>
          <w:rFonts w:eastAsiaTheme="minorEastAsia" w:cstheme="minorBidi"/>
          <w:szCs w:val="22"/>
        </w:rPr>
        <w:t>component of an</w:t>
      </w:r>
      <w:r w:rsidR="00077444">
        <w:rPr>
          <w:rFonts w:eastAsiaTheme="minorHAnsi" w:cstheme="minorBidi"/>
          <w:szCs w:val="22"/>
        </w:rPr>
        <w:t xml:space="preserve"> effective m</w:t>
      </w:r>
      <w:r w:rsidRPr="00A80A0D">
        <w:rPr>
          <w:rFonts w:eastAsiaTheme="minorHAnsi" w:cstheme="minorBidi"/>
          <w:szCs w:val="22"/>
        </w:rPr>
        <w:t>ultiscale data assimilation</w:t>
      </w:r>
      <w:r w:rsidR="00077444">
        <w:rPr>
          <w:rFonts w:eastAsiaTheme="minorHAnsi" w:cstheme="minorBidi"/>
          <w:szCs w:val="22"/>
        </w:rPr>
        <w:t xml:space="preserve"> system</w:t>
      </w:r>
      <w:r w:rsidR="00A74607">
        <w:rPr>
          <w:rFonts w:eastAsiaTheme="minorHAnsi" w:cstheme="minorBidi"/>
          <w:szCs w:val="22"/>
        </w:rPr>
        <w:t xml:space="preserve"> for next-generation global NWP</w:t>
      </w:r>
      <w:r w:rsidRPr="00A80A0D">
        <w:rPr>
          <w:rFonts w:eastAsiaTheme="minorHAnsi" w:cstheme="minorBidi"/>
          <w:szCs w:val="22"/>
        </w:rPr>
        <w:t>.</w:t>
      </w:r>
    </w:p>
    <w:p w14:paraId="64951293" w14:textId="428BB514" w:rsidR="00A80A0D" w:rsidRPr="00A80A0D" w:rsidRDefault="00A80A0D" w:rsidP="00A80A0D">
      <w:pPr>
        <w:spacing w:line="480" w:lineRule="auto"/>
        <w:ind w:firstLine="720"/>
        <w:jc w:val="both"/>
        <w:rPr>
          <w:rFonts w:eastAsiaTheme="minorEastAsia" w:cstheme="minorBidi"/>
          <w:szCs w:val="22"/>
        </w:rPr>
      </w:pPr>
      <w:r w:rsidRPr="00A80A0D">
        <w:rPr>
          <w:rFonts w:eastAsiaTheme="minorEastAsia" w:cstheme="minorBidi"/>
          <w:szCs w:val="22"/>
        </w:rPr>
        <w:t>In this study, the extended MR-ENS technique was applied in GSI with 6-h cycling with the FV3GFS for a five-week period.  Two MR experiments were examined.  The first, MR170, had 130 low-resolution members and 40 high-resolution members; and the second, MR204, had 180 low-resolution members and 24 high-resolution members.  Both experiments had varying horizontal localization length scales with ensemble resolution to allow for the localization distance to be reflective of larger and smaller</w:t>
      </w:r>
      <w:r w:rsidR="003F5768">
        <w:rPr>
          <w:rFonts w:eastAsiaTheme="minorEastAsia" w:cstheme="minorBidi"/>
          <w:szCs w:val="22"/>
        </w:rPr>
        <w:t xml:space="preserve"> </w:t>
      </w:r>
      <w:r w:rsidRPr="00A80A0D">
        <w:rPr>
          <w:rFonts w:eastAsiaTheme="minorEastAsia" w:cstheme="minorBidi"/>
          <w:szCs w:val="22"/>
        </w:rPr>
        <w:t xml:space="preserve">scales.  The high-resolution ensemble had a 350-km horizontal localization e-folding distance, while the low-resolution ensemble had a 700-km horizontal localization e-folding distance. The impact on the analysis and forecast errors of these experiments were compared to a single-resolution hybrid 4DEnVar experiment, SR-High, at the same computational cost.  SR-High had 80 high-resolution ensemble members and single-scale localization with a 350-km horizontal e-folding distance. </w:t>
      </w:r>
    </w:p>
    <w:p w14:paraId="45F66DB7" w14:textId="152375DE" w:rsidR="00A80A0D" w:rsidRPr="00A80A0D" w:rsidRDefault="00A80A0D" w:rsidP="00A80A0D">
      <w:pPr>
        <w:spacing w:line="480" w:lineRule="auto"/>
        <w:ind w:firstLine="720"/>
        <w:jc w:val="both"/>
        <w:rPr>
          <w:rFonts w:eastAsiaTheme="minorEastAsia" w:cstheme="minorBidi"/>
          <w:szCs w:val="22"/>
        </w:rPr>
      </w:pPr>
      <w:r w:rsidRPr="00A80A0D">
        <w:rPr>
          <w:rFonts w:eastAsiaTheme="minorEastAsia" w:cstheme="minorBidi"/>
          <w:szCs w:val="22"/>
        </w:rPr>
        <w:t>The extended MR-ENS technique generally corrected a wider range of meteorological scales in the analysis increments.  Globally, larger analysis increment</w:t>
      </w:r>
      <w:r w:rsidR="001C44EF">
        <w:rPr>
          <w:rFonts w:eastAsiaTheme="minorEastAsia" w:cstheme="minorBidi"/>
          <w:szCs w:val="22"/>
        </w:rPr>
        <w:t xml:space="preserve"> power</w:t>
      </w:r>
      <w:r w:rsidRPr="00A80A0D">
        <w:rPr>
          <w:rFonts w:eastAsiaTheme="minorEastAsia" w:cstheme="minorBidi"/>
          <w:szCs w:val="22"/>
        </w:rPr>
        <w:t xml:space="preserve"> w</w:t>
      </w:r>
      <w:r w:rsidR="001C44EF">
        <w:rPr>
          <w:rFonts w:eastAsiaTheme="minorEastAsia" w:cstheme="minorBidi"/>
          <w:szCs w:val="22"/>
        </w:rPr>
        <w:t>as</w:t>
      </w:r>
      <w:r w:rsidRPr="00A80A0D">
        <w:rPr>
          <w:rFonts w:eastAsiaTheme="minorEastAsia" w:cstheme="minorBidi"/>
          <w:szCs w:val="22"/>
        </w:rPr>
        <w:t xml:space="preserve"> present for MR experiments at large scales</w:t>
      </w:r>
      <w:r w:rsidR="001C44EF">
        <w:rPr>
          <w:rFonts w:eastAsiaTheme="minorEastAsia" w:cstheme="minorBidi"/>
          <w:szCs w:val="22"/>
        </w:rPr>
        <w:t xml:space="preserve">.  At the smallest scales, MR experiments exhibited </w:t>
      </w:r>
      <w:r w:rsidRPr="00A80A0D">
        <w:rPr>
          <w:rFonts w:eastAsiaTheme="minorEastAsia" w:cstheme="minorBidi"/>
          <w:szCs w:val="22"/>
        </w:rPr>
        <w:t>slightly smaller increment</w:t>
      </w:r>
      <w:r w:rsidR="001C44EF">
        <w:rPr>
          <w:rFonts w:eastAsiaTheme="minorEastAsia" w:cstheme="minorBidi"/>
          <w:szCs w:val="22"/>
        </w:rPr>
        <w:t xml:space="preserve"> power</w:t>
      </w:r>
      <w:r w:rsidRPr="00A80A0D">
        <w:rPr>
          <w:rFonts w:eastAsiaTheme="minorEastAsia" w:cstheme="minorBidi"/>
          <w:szCs w:val="22"/>
        </w:rPr>
        <w:t xml:space="preserve">.  Based on the differences between the MR and SR-High experiments in </w:t>
      </w:r>
      <w:r w:rsidRPr="00A80A0D">
        <w:rPr>
          <w:rFonts w:eastAsiaTheme="minorEastAsia" w:cstheme="minorBidi"/>
          <w:szCs w:val="22"/>
        </w:rPr>
        <w:lastRenderedPageBreak/>
        <w:t xml:space="preserve">horizontal localization and weight on the high-resolution ensemble, this result </w:t>
      </w:r>
      <w:r w:rsidR="000B662C">
        <w:rPr>
          <w:rFonts w:eastAsiaTheme="minorEastAsia" w:cstheme="minorBidi"/>
          <w:szCs w:val="22"/>
        </w:rPr>
        <w:t>is</w:t>
      </w:r>
      <w:r w:rsidR="000B662C" w:rsidRPr="00A80A0D">
        <w:rPr>
          <w:rFonts w:eastAsiaTheme="minorEastAsia" w:cstheme="minorBidi"/>
          <w:szCs w:val="22"/>
        </w:rPr>
        <w:t xml:space="preserve"> </w:t>
      </w:r>
      <w:r w:rsidRPr="00A80A0D">
        <w:rPr>
          <w:rFonts w:eastAsiaTheme="minorEastAsia" w:cstheme="minorBidi"/>
          <w:szCs w:val="22"/>
        </w:rPr>
        <w:t>consistent with previous literature</w:t>
      </w:r>
      <w:r w:rsidR="00BF226B">
        <w:rPr>
          <w:rFonts w:eastAsiaTheme="minorEastAsia" w:cstheme="minorBidi"/>
          <w:szCs w:val="22"/>
        </w:rPr>
        <w:t xml:space="preserve"> (e.g., Huang et al. 2021)</w:t>
      </w:r>
      <w:r w:rsidRPr="00A80A0D">
        <w:rPr>
          <w:rFonts w:eastAsiaTheme="minorEastAsia" w:cstheme="minorBidi"/>
          <w:szCs w:val="22"/>
        </w:rPr>
        <w:t>. In medium scales, the extended MR-ENS technique</w:t>
      </w:r>
      <w:r w:rsidR="001C44EF">
        <w:rPr>
          <w:rFonts w:eastAsiaTheme="minorEastAsia" w:cstheme="minorBidi"/>
          <w:szCs w:val="22"/>
        </w:rPr>
        <w:t xml:space="preserve"> more substantially</w:t>
      </w:r>
      <w:r w:rsidRPr="00A80A0D">
        <w:rPr>
          <w:rFonts w:eastAsiaTheme="minorEastAsia" w:cstheme="minorBidi"/>
          <w:szCs w:val="22"/>
        </w:rPr>
        <w:t xml:space="preserve"> corrected the background forecast in most regions, most notably the SH</w:t>
      </w:r>
      <w:r w:rsidR="001C44EF">
        <w:rPr>
          <w:rFonts w:eastAsiaTheme="minorEastAsia" w:cstheme="minorBidi"/>
          <w:szCs w:val="22"/>
        </w:rPr>
        <w:t>,</w:t>
      </w:r>
      <w:r w:rsidRPr="00A80A0D">
        <w:rPr>
          <w:rFonts w:eastAsiaTheme="minorEastAsia" w:cstheme="minorBidi"/>
          <w:szCs w:val="22"/>
        </w:rPr>
        <w:t xml:space="preserve"> where large-scale forcing, such as th</w:t>
      </w:r>
      <w:r w:rsidR="001C44EF">
        <w:rPr>
          <w:rFonts w:eastAsiaTheme="minorEastAsia" w:cstheme="minorBidi"/>
          <w:szCs w:val="22"/>
        </w:rPr>
        <w:t>at</w:t>
      </w:r>
      <w:r w:rsidRPr="00A80A0D">
        <w:rPr>
          <w:rFonts w:eastAsiaTheme="minorEastAsia" w:cstheme="minorBidi"/>
          <w:szCs w:val="22"/>
        </w:rPr>
        <w:t xml:space="preserve"> associated with the extratropical cyclones and jet streams, had the largest impact on the region during the experiment period. The</w:t>
      </w:r>
      <w:r w:rsidR="00B5081E">
        <w:rPr>
          <w:rFonts w:eastAsiaTheme="minorEastAsia" w:cstheme="minorBidi"/>
          <w:szCs w:val="22"/>
        </w:rPr>
        <w:t xml:space="preserve">re was an exception to this notion </w:t>
      </w:r>
      <w:r w:rsidRPr="00A80A0D">
        <w:rPr>
          <w:rFonts w:eastAsiaTheme="minorEastAsia" w:cstheme="minorBidi"/>
          <w:szCs w:val="22"/>
        </w:rPr>
        <w:t>in the tropical and NH Atlantic, which w</w:t>
      </w:r>
      <w:r w:rsidR="00B5081E">
        <w:rPr>
          <w:rFonts w:eastAsiaTheme="minorEastAsia" w:cstheme="minorBidi"/>
          <w:szCs w:val="22"/>
        </w:rPr>
        <w:t>ere</w:t>
      </w:r>
      <w:r w:rsidRPr="00A80A0D">
        <w:rPr>
          <w:rFonts w:eastAsiaTheme="minorEastAsia" w:cstheme="minorBidi"/>
          <w:szCs w:val="22"/>
        </w:rPr>
        <w:t xml:space="preserve"> dominated by high-intensity convective activity during this period with contributions from five hurricanes (four of which were categorized as major hurricanes) and a substantial number of tropical easterly waves.  </w:t>
      </w:r>
    </w:p>
    <w:p w14:paraId="19DBD6EE" w14:textId="47BC57A5" w:rsidR="00A80A0D" w:rsidRPr="00A80A0D" w:rsidRDefault="00795A93" w:rsidP="00A80A0D">
      <w:pPr>
        <w:spacing w:line="480" w:lineRule="auto"/>
        <w:ind w:firstLine="720"/>
        <w:jc w:val="both"/>
        <w:rPr>
          <w:rFonts w:eastAsiaTheme="minorEastAsia" w:cstheme="minorBidi"/>
          <w:szCs w:val="22"/>
        </w:rPr>
      </w:pPr>
      <w:r>
        <w:rPr>
          <w:rFonts w:eastAsiaTheme="minorEastAsia" w:cstheme="minorBidi"/>
          <w:szCs w:val="22"/>
        </w:rPr>
        <w:t>L</w:t>
      </w:r>
      <w:r w:rsidR="00A80A0D" w:rsidRPr="00A80A0D">
        <w:rPr>
          <w:rFonts w:eastAsiaTheme="minorEastAsia" w:cstheme="minorBidi"/>
          <w:szCs w:val="22"/>
        </w:rPr>
        <w:t>arger analysis increment</w:t>
      </w:r>
      <w:r>
        <w:rPr>
          <w:rFonts w:eastAsiaTheme="minorEastAsia" w:cstheme="minorBidi"/>
          <w:szCs w:val="22"/>
        </w:rPr>
        <w:t xml:space="preserve"> power</w:t>
      </w:r>
      <w:r w:rsidR="00A80A0D" w:rsidRPr="00A80A0D">
        <w:rPr>
          <w:rFonts w:eastAsiaTheme="minorEastAsia" w:cstheme="minorBidi"/>
          <w:szCs w:val="22"/>
        </w:rPr>
        <w:t xml:space="preserve"> at most scales for the MR experiments tended to lead to an overall improvement in the analysis and forecast for up to five days in lead time when compared to SR-High, despite the experiments having the same computational cost.  This improvement was most apparent in large scales for all regions, which demonstrates the importance of having a DA method that is able to correct these scales.  Improvements were especially evident in the upper levels in the tropics at early lead times (</w:t>
      </w:r>
      <w:r w:rsidR="00D546BD">
        <w:rPr>
          <w:rFonts w:eastAsiaTheme="minorEastAsia" w:cstheme="minorBidi"/>
          <w:szCs w:val="22"/>
        </w:rPr>
        <w:t>prior to</w:t>
      </w:r>
      <w:r w:rsidR="00D546BD" w:rsidRPr="00A80A0D">
        <w:rPr>
          <w:rFonts w:eastAsiaTheme="minorEastAsia" w:cstheme="minorBidi"/>
          <w:szCs w:val="22"/>
        </w:rPr>
        <w:t xml:space="preserve"> </w:t>
      </w:r>
      <w:r w:rsidR="00A80A0D" w:rsidRPr="00A80A0D">
        <w:rPr>
          <w:rFonts w:eastAsiaTheme="minorEastAsia" w:cstheme="minorBidi"/>
          <w:szCs w:val="22"/>
        </w:rPr>
        <w:t xml:space="preserve">48 hours) and the SH at later lead times.  The SH improvements had contributions both from improved analyses at large scales in the SH and from improvements sourced in the tropics. The greatest improvement </w:t>
      </w:r>
      <w:r w:rsidR="00B5081E">
        <w:rPr>
          <w:rFonts w:eastAsiaTheme="minorEastAsia" w:cstheme="minorBidi"/>
          <w:szCs w:val="22"/>
        </w:rPr>
        <w:t>occurred</w:t>
      </w:r>
      <w:r w:rsidR="00A80A0D" w:rsidRPr="00A80A0D">
        <w:rPr>
          <w:rFonts w:eastAsiaTheme="minorEastAsia" w:cstheme="minorBidi"/>
          <w:szCs w:val="22"/>
        </w:rPr>
        <w:t xml:space="preserve"> after the interaction of large-scale features, such as the interaction of the </w:t>
      </w:r>
      <w:r w:rsidR="00B42404">
        <w:rPr>
          <w:rFonts w:eastAsiaTheme="minorEastAsia" w:cstheme="minorBidi"/>
          <w:szCs w:val="22"/>
        </w:rPr>
        <w:t>TEJ with the subtropical jet</w:t>
      </w:r>
      <w:r w:rsidR="00A80A0D" w:rsidRPr="00A80A0D">
        <w:rPr>
          <w:rFonts w:eastAsiaTheme="minorEastAsia" w:cstheme="minorBidi"/>
          <w:szCs w:val="22"/>
        </w:rPr>
        <w:t xml:space="preserve"> or the interaction of the subtropical and polar jets</w:t>
      </w:r>
      <w:r w:rsidR="00B5081E">
        <w:rPr>
          <w:rFonts w:eastAsiaTheme="minorEastAsia" w:cstheme="minorBidi"/>
          <w:szCs w:val="22"/>
        </w:rPr>
        <w:t xml:space="preserve">.  This result </w:t>
      </w:r>
      <w:r w:rsidR="00A80A0D" w:rsidRPr="00A80A0D">
        <w:rPr>
          <w:rFonts w:eastAsiaTheme="minorEastAsia" w:cstheme="minorBidi"/>
          <w:szCs w:val="22"/>
        </w:rPr>
        <w:t>demonstrates that it is important to create an analysis that can both correct the large-scale features themselves</w:t>
      </w:r>
      <w:r w:rsidR="00AC3E88">
        <w:rPr>
          <w:rFonts w:eastAsiaTheme="minorEastAsia" w:cstheme="minorBidi"/>
          <w:szCs w:val="22"/>
        </w:rPr>
        <w:t xml:space="preserve"> </w:t>
      </w:r>
      <w:r w:rsidR="00A80A0D" w:rsidRPr="00A80A0D">
        <w:rPr>
          <w:rFonts w:eastAsiaTheme="minorEastAsia" w:cstheme="minorBidi"/>
          <w:szCs w:val="22"/>
        </w:rPr>
        <w:t xml:space="preserve">as well as allow for the more multiscale interaction </w:t>
      </w:r>
      <w:r w:rsidR="00103FC8">
        <w:rPr>
          <w:rFonts w:eastAsiaTheme="minorEastAsia" w:cstheme="minorBidi"/>
          <w:szCs w:val="22"/>
        </w:rPr>
        <w:t>between</w:t>
      </w:r>
      <w:r w:rsidR="00A80A0D" w:rsidRPr="00A80A0D">
        <w:rPr>
          <w:rFonts w:eastAsiaTheme="minorEastAsia" w:cstheme="minorBidi"/>
          <w:szCs w:val="22"/>
        </w:rPr>
        <w:t xml:space="preserve"> these features</w:t>
      </w:r>
      <w:r w:rsidR="00046474">
        <w:rPr>
          <w:rFonts w:eastAsiaTheme="minorEastAsia" w:cstheme="minorBidi"/>
          <w:szCs w:val="22"/>
        </w:rPr>
        <w:t xml:space="preserve">.  </w:t>
      </w:r>
      <w:r w:rsidR="00AC3E88">
        <w:rPr>
          <w:rFonts w:eastAsiaTheme="minorEastAsia" w:cstheme="minorBidi"/>
          <w:szCs w:val="22"/>
        </w:rPr>
        <w:t>Yang et al. (2017)</w:t>
      </w:r>
      <w:r w:rsidR="00046474">
        <w:rPr>
          <w:rFonts w:eastAsiaTheme="minorEastAsia" w:cstheme="minorBidi"/>
          <w:szCs w:val="22"/>
        </w:rPr>
        <w:t xml:space="preserve"> had a similar conclusion in their study, which utilized multiscale covariance localization to examine the impact on forecasting a heavy rainfall event</w:t>
      </w:r>
      <w:r w:rsidR="00A80A0D" w:rsidRPr="00A80A0D">
        <w:rPr>
          <w:rFonts w:eastAsiaTheme="minorEastAsia" w:cstheme="minorBidi"/>
          <w:szCs w:val="22"/>
        </w:rPr>
        <w:t xml:space="preserve">. </w:t>
      </w:r>
    </w:p>
    <w:p w14:paraId="21D12CF3" w14:textId="0837BD60" w:rsidR="00A80A0D" w:rsidRPr="00A80A0D" w:rsidRDefault="00A80A0D" w:rsidP="00A80A0D">
      <w:pPr>
        <w:spacing w:line="480" w:lineRule="auto"/>
        <w:ind w:firstLine="720"/>
        <w:jc w:val="both"/>
        <w:rPr>
          <w:rFonts w:eastAsiaTheme="minorEastAsia" w:cstheme="minorBidi"/>
          <w:szCs w:val="22"/>
        </w:rPr>
      </w:pPr>
      <w:r w:rsidRPr="00A80A0D">
        <w:rPr>
          <w:rFonts w:eastAsiaTheme="minorEastAsia" w:cstheme="minorBidi"/>
          <w:szCs w:val="22"/>
        </w:rPr>
        <w:lastRenderedPageBreak/>
        <w:t>As with global forecasts, tropical cyclone track forecasts were generally improved for the MR experiments</w:t>
      </w:r>
      <w:r w:rsidR="00B5081E">
        <w:rPr>
          <w:rFonts w:eastAsiaTheme="minorEastAsia" w:cstheme="minorBidi"/>
          <w:szCs w:val="22"/>
        </w:rPr>
        <w:t>,</w:t>
      </w:r>
      <w:r w:rsidRPr="00A80A0D">
        <w:rPr>
          <w:rFonts w:eastAsiaTheme="minorEastAsia" w:cstheme="minorBidi"/>
          <w:szCs w:val="22"/>
        </w:rPr>
        <w:t xml:space="preserve"> with improvements exceeding 10% on average for most lead times.  The improvements </w:t>
      </w:r>
      <w:r w:rsidR="0013233F">
        <w:rPr>
          <w:rFonts w:eastAsiaTheme="minorEastAsia" w:cstheme="minorBidi"/>
          <w:szCs w:val="22"/>
        </w:rPr>
        <w:t>were mainly</w:t>
      </w:r>
      <w:r w:rsidRPr="00A80A0D">
        <w:rPr>
          <w:rFonts w:eastAsiaTheme="minorEastAsia" w:cstheme="minorBidi"/>
          <w:szCs w:val="22"/>
        </w:rPr>
        <w:t xml:space="preserve"> attributed to the ability of the extended MR-ENS technique to further correct the large-scale environmental flow due to the greater sampling at large scales and broader localization radius for the low-resolution ensemble.  At very early lead times (0-6 h), </w:t>
      </w:r>
      <w:r w:rsidR="00B5081E">
        <w:rPr>
          <w:rFonts w:eastAsiaTheme="minorEastAsia" w:cstheme="minorBidi"/>
          <w:szCs w:val="22"/>
        </w:rPr>
        <w:t>there was</w:t>
      </w:r>
      <w:r w:rsidR="009532C5">
        <w:rPr>
          <w:rFonts w:eastAsiaTheme="minorEastAsia" w:cstheme="minorBidi"/>
          <w:szCs w:val="22"/>
        </w:rPr>
        <w:t xml:space="preserve"> </w:t>
      </w:r>
      <w:r w:rsidR="00B5081E">
        <w:rPr>
          <w:rFonts w:eastAsiaTheme="minorEastAsia" w:cstheme="minorBidi"/>
          <w:szCs w:val="22"/>
        </w:rPr>
        <w:t>less</w:t>
      </w:r>
      <w:r w:rsidRPr="00A80A0D">
        <w:rPr>
          <w:rFonts w:eastAsiaTheme="minorEastAsia" w:cstheme="minorBidi"/>
          <w:szCs w:val="22"/>
        </w:rPr>
        <w:t xml:space="preserve"> </w:t>
      </w:r>
      <w:r w:rsidR="00B5081E">
        <w:rPr>
          <w:rFonts w:eastAsiaTheme="minorEastAsia" w:cstheme="minorBidi"/>
          <w:szCs w:val="22"/>
        </w:rPr>
        <w:t xml:space="preserve">notable </w:t>
      </w:r>
      <w:r w:rsidRPr="00A80A0D">
        <w:rPr>
          <w:rFonts w:eastAsiaTheme="minorEastAsia" w:cstheme="minorBidi"/>
          <w:szCs w:val="22"/>
        </w:rPr>
        <w:t>average improvement in track forecasts</w:t>
      </w:r>
      <w:r w:rsidR="00B5081E">
        <w:rPr>
          <w:rFonts w:eastAsiaTheme="minorEastAsia" w:cstheme="minorBidi"/>
          <w:szCs w:val="22"/>
        </w:rPr>
        <w:t xml:space="preserve"> when compared with </w:t>
      </w:r>
      <w:r w:rsidR="00B730F6">
        <w:rPr>
          <w:rFonts w:eastAsiaTheme="minorEastAsia" w:cstheme="minorBidi"/>
          <w:szCs w:val="22"/>
        </w:rPr>
        <w:t>later lead times</w:t>
      </w:r>
      <w:r w:rsidR="00B57C64">
        <w:rPr>
          <w:rFonts w:eastAsiaTheme="minorEastAsia" w:cstheme="minorBidi"/>
          <w:szCs w:val="22"/>
        </w:rPr>
        <w:t>,</w:t>
      </w:r>
      <w:r w:rsidR="00B730F6">
        <w:rPr>
          <w:rFonts w:eastAsiaTheme="minorEastAsia" w:cstheme="minorBidi"/>
          <w:szCs w:val="22"/>
        </w:rPr>
        <w:t xml:space="preserve"> </w:t>
      </w:r>
      <w:r w:rsidR="009532C5">
        <w:rPr>
          <w:rFonts w:eastAsiaTheme="minorEastAsia" w:cstheme="minorBidi"/>
          <w:szCs w:val="22"/>
        </w:rPr>
        <w:t>and</w:t>
      </w:r>
      <w:r w:rsidRPr="00A80A0D">
        <w:rPr>
          <w:rFonts w:eastAsiaTheme="minorEastAsia" w:cstheme="minorBidi"/>
          <w:szCs w:val="22"/>
        </w:rPr>
        <w:t xml:space="preserve"> a greater number of total tracks </w:t>
      </w:r>
      <w:r w:rsidR="00380618">
        <w:rPr>
          <w:rFonts w:eastAsiaTheme="minorEastAsia" w:cstheme="minorBidi"/>
          <w:szCs w:val="22"/>
        </w:rPr>
        <w:t>we</w:t>
      </w:r>
      <w:r w:rsidR="009532C5">
        <w:rPr>
          <w:rFonts w:eastAsiaTheme="minorEastAsia" w:cstheme="minorBidi"/>
          <w:szCs w:val="22"/>
        </w:rPr>
        <w:t xml:space="preserve">re </w:t>
      </w:r>
      <w:r w:rsidRPr="00A80A0D">
        <w:rPr>
          <w:rFonts w:eastAsiaTheme="minorEastAsia" w:cstheme="minorBidi"/>
          <w:szCs w:val="22"/>
        </w:rPr>
        <w:t xml:space="preserve">improved by the SR-High experiments over MR.  The slight degradation in MR from 0-6 hours compared to other lead times shows correspondence with the larger analysis increments for SR-High in TC basins </w:t>
      </w:r>
      <w:r w:rsidR="00380618">
        <w:rPr>
          <w:rFonts w:eastAsiaTheme="minorEastAsia" w:cstheme="minorBidi"/>
          <w:szCs w:val="22"/>
        </w:rPr>
        <w:t>during the experiment period</w:t>
      </w:r>
      <w:r w:rsidRPr="00A80A0D">
        <w:rPr>
          <w:rFonts w:eastAsiaTheme="minorEastAsia" w:cstheme="minorBidi"/>
          <w:szCs w:val="22"/>
        </w:rPr>
        <w:t xml:space="preserve">. The correspondence may indicate that there are still applications </w:t>
      </w:r>
      <w:r w:rsidR="00800EFF">
        <w:rPr>
          <w:rFonts w:eastAsiaTheme="minorEastAsia" w:cstheme="minorBidi"/>
          <w:szCs w:val="22"/>
        </w:rPr>
        <w:t>for which</w:t>
      </w:r>
      <w:r w:rsidR="00800EFF" w:rsidRPr="00A80A0D">
        <w:rPr>
          <w:rFonts w:eastAsiaTheme="minorEastAsia" w:cstheme="minorBidi"/>
          <w:szCs w:val="22"/>
        </w:rPr>
        <w:t xml:space="preserve"> </w:t>
      </w:r>
      <w:r w:rsidRPr="00A80A0D">
        <w:rPr>
          <w:rFonts w:eastAsiaTheme="minorEastAsia" w:cstheme="minorBidi"/>
          <w:szCs w:val="22"/>
        </w:rPr>
        <w:t xml:space="preserve">having greater information at high-resolution via more high-resolution ensemble members with smaller localization length scales is preferable to having greater sampling at low-resolution with longer localization length scales. Notably, this result </w:t>
      </w:r>
      <w:r w:rsidR="000B662C">
        <w:rPr>
          <w:rFonts w:eastAsiaTheme="minorEastAsia" w:cstheme="minorBidi"/>
          <w:szCs w:val="22"/>
        </w:rPr>
        <w:t>is</w:t>
      </w:r>
      <w:r w:rsidR="000B662C" w:rsidRPr="00A80A0D">
        <w:rPr>
          <w:rFonts w:eastAsiaTheme="minorEastAsia" w:cstheme="minorBidi"/>
          <w:szCs w:val="22"/>
        </w:rPr>
        <w:t xml:space="preserve"> </w:t>
      </w:r>
      <w:r w:rsidRPr="00A80A0D">
        <w:rPr>
          <w:rFonts w:eastAsiaTheme="minorEastAsia" w:cstheme="minorBidi"/>
          <w:szCs w:val="22"/>
        </w:rPr>
        <w:t xml:space="preserve">most applicable for very short lead times in </w:t>
      </w:r>
      <w:r w:rsidR="00B57C64">
        <w:rPr>
          <w:rFonts w:eastAsiaTheme="minorEastAsia" w:cstheme="minorBidi"/>
          <w:szCs w:val="22"/>
        </w:rPr>
        <w:t xml:space="preserve">features with </w:t>
      </w:r>
      <w:r w:rsidR="002160D2" w:rsidRPr="00A80A0D">
        <w:rPr>
          <w:rFonts w:eastAsiaTheme="minorEastAsia" w:cstheme="minorBidi"/>
          <w:szCs w:val="22"/>
        </w:rPr>
        <w:t>high intensity</w:t>
      </w:r>
      <w:r w:rsidR="00B57C64">
        <w:rPr>
          <w:rFonts w:eastAsiaTheme="minorEastAsia" w:cstheme="minorBidi"/>
          <w:szCs w:val="22"/>
        </w:rPr>
        <w:t xml:space="preserve"> over small scales</w:t>
      </w:r>
      <w:r w:rsidRPr="00A80A0D">
        <w:rPr>
          <w:rFonts w:eastAsiaTheme="minorEastAsia" w:cstheme="minorBidi"/>
          <w:szCs w:val="22"/>
        </w:rPr>
        <w:t>. However, at longer lead times, more substantial corrections in the larger scales still seem to provide better forecasts for the propagation of these same systems.</w:t>
      </w:r>
    </w:p>
    <w:p w14:paraId="70B61A80" w14:textId="5D68AE31" w:rsidR="00A80A0D" w:rsidRDefault="00A80A0D" w:rsidP="00A80A0D">
      <w:pPr>
        <w:spacing w:line="480" w:lineRule="auto"/>
        <w:ind w:firstLine="720"/>
        <w:jc w:val="both"/>
        <w:rPr>
          <w:rFonts w:eastAsiaTheme="minorEastAsia" w:cstheme="minorBidi"/>
          <w:szCs w:val="22"/>
        </w:rPr>
      </w:pPr>
      <w:r w:rsidRPr="00A80A0D">
        <w:rPr>
          <w:rFonts w:eastAsiaTheme="minorEastAsia" w:cstheme="minorBidi"/>
          <w:szCs w:val="22"/>
        </w:rPr>
        <w:t xml:space="preserve">Two MR configurations were compared to determine the sensitivity of the </w:t>
      </w:r>
      <w:r w:rsidR="00B57C64">
        <w:rPr>
          <w:rFonts w:eastAsiaTheme="minorEastAsia" w:cstheme="minorBidi"/>
          <w:szCs w:val="22"/>
        </w:rPr>
        <w:t>analysis</w:t>
      </w:r>
      <w:r w:rsidR="00B57C64" w:rsidRPr="00A80A0D">
        <w:rPr>
          <w:rFonts w:eastAsiaTheme="minorEastAsia" w:cstheme="minorBidi"/>
          <w:szCs w:val="22"/>
        </w:rPr>
        <w:t xml:space="preserve"> </w:t>
      </w:r>
      <w:r w:rsidRPr="00A80A0D">
        <w:rPr>
          <w:rFonts w:eastAsiaTheme="minorEastAsia" w:cstheme="minorBidi"/>
          <w:szCs w:val="22"/>
        </w:rPr>
        <w:t xml:space="preserve">and </w:t>
      </w:r>
      <w:r w:rsidR="00B57C64">
        <w:rPr>
          <w:rFonts w:eastAsiaTheme="minorEastAsia" w:cstheme="minorBidi"/>
          <w:szCs w:val="22"/>
        </w:rPr>
        <w:t>forecast</w:t>
      </w:r>
      <w:r w:rsidRPr="00A80A0D">
        <w:rPr>
          <w:rFonts w:eastAsiaTheme="minorEastAsia" w:cstheme="minorBidi"/>
          <w:szCs w:val="22"/>
        </w:rPr>
        <w:t xml:space="preserve"> to varied ensemble compositions.  Both MR configurations improved upon the SR-High analysis and </w:t>
      </w:r>
      <w:r w:rsidR="00B57C64">
        <w:rPr>
          <w:rFonts w:eastAsiaTheme="minorEastAsia" w:cstheme="minorBidi"/>
          <w:szCs w:val="22"/>
        </w:rPr>
        <w:t xml:space="preserve">subsequent </w:t>
      </w:r>
      <w:r w:rsidRPr="00A80A0D">
        <w:rPr>
          <w:rFonts w:eastAsiaTheme="minorEastAsia" w:cstheme="minorBidi"/>
          <w:szCs w:val="22"/>
        </w:rPr>
        <w:t>forecast</w:t>
      </w:r>
      <w:r w:rsidR="00B57C64">
        <w:rPr>
          <w:rFonts w:eastAsiaTheme="minorEastAsia" w:cstheme="minorBidi"/>
          <w:szCs w:val="22"/>
        </w:rPr>
        <w:t xml:space="preserve">.  This improvement </w:t>
      </w:r>
      <w:r w:rsidRPr="00A80A0D">
        <w:rPr>
          <w:rFonts w:eastAsiaTheme="minorEastAsia" w:cstheme="minorBidi"/>
          <w:szCs w:val="22"/>
        </w:rPr>
        <w:t>further demonstrates the importance of correcting the large scale in a global NWP forecast through reducing sampling error at these scales by using additional low-resolution ensemble members and increasing the horizontal localization radius.  Though it could be speculated that adding additional low-resolution members would further improve this result, the MR configuration with a smaller (larger) number of low-(high-)</w:t>
      </w:r>
      <w:r w:rsidR="00F711CF">
        <w:rPr>
          <w:rFonts w:eastAsiaTheme="minorEastAsia" w:cstheme="minorBidi"/>
          <w:szCs w:val="22"/>
        </w:rPr>
        <w:t xml:space="preserve"> </w:t>
      </w:r>
      <w:r w:rsidRPr="00A80A0D">
        <w:rPr>
          <w:rFonts w:eastAsiaTheme="minorEastAsia" w:cstheme="minorBidi"/>
          <w:szCs w:val="22"/>
        </w:rPr>
        <w:t xml:space="preserve">resolution ensemble members, MR170, outperformed its counterpart, MR204, in most metrics.  </w:t>
      </w:r>
      <w:r w:rsidRPr="00A80A0D">
        <w:rPr>
          <w:rFonts w:eastAsiaTheme="minorEastAsia" w:cstheme="minorBidi"/>
          <w:szCs w:val="22"/>
        </w:rPr>
        <w:lastRenderedPageBreak/>
        <w:t xml:space="preserve">This result shows that it is not enough to rely solely on the corrections at large scales. There is still evident forecast value in retaining more accurate information about the state and error correlations at </w:t>
      </w:r>
      <w:r w:rsidR="004812E9">
        <w:rPr>
          <w:rFonts w:eastAsiaTheme="minorEastAsia" w:cstheme="minorBidi"/>
          <w:szCs w:val="22"/>
        </w:rPr>
        <w:t xml:space="preserve">small scales </w:t>
      </w:r>
      <w:r w:rsidRPr="00A80A0D">
        <w:rPr>
          <w:rFonts w:eastAsiaTheme="minorEastAsia" w:cstheme="minorBidi"/>
          <w:szCs w:val="22"/>
        </w:rPr>
        <w:t xml:space="preserve">by having a sufficient sample of high-resolution ensemble members.  </w:t>
      </w:r>
    </w:p>
    <w:p w14:paraId="7727A779" w14:textId="0E908F8F" w:rsidR="00A80A0D" w:rsidRPr="00A80A0D" w:rsidRDefault="00A80A0D" w:rsidP="00A80A0D">
      <w:pPr>
        <w:spacing w:line="480" w:lineRule="auto"/>
        <w:jc w:val="both"/>
        <w:rPr>
          <w:rFonts w:eastAsiaTheme="minorEastAsia" w:cstheme="minorBidi"/>
          <w:i/>
          <w:iCs/>
          <w:szCs w:val="22"/>
        </w:rPr>
      </w:pPr>
      <w:r w:rsidRPr="00A80A0D">
        <w:rPr>
          <w:rFonts w:eastAsiaTheme="minorEastAsia" w:cstheme="minorBidi"/>
          <w:i/>
          <w:iCs/>
          <w:szCs w:val="22"/>
        </w:rPr>
        <w:t xml:space="preserve">b. Future </w:t>
      </w:r>
      <w:r w:rsidR="003F06F6">
        <w:rPr>
          <w:rFonts w:eastAsiaTheme="minorEastAsia" w:cstheme="minorBidi"/>
          <w:i/>
          <w:iCs/>
          <w:szCs w:val="22"/>
        </w:rPr>
        <w:t>w</w:t>
      </w:r>
      <w:r w:rsidRPr="00A80A0D">
        <w:rPr>
          <w:rFonts w:eastAsiaTheme="minorEastAsia" w:cstheme="minorBidi"/>
          <w:i/>
          <w:iCs/>
          <w:szCs w:val="22"/>
        </w:rPr>
        <w:t>ork</w:t>
      </w:r>
    </w:p>
    <w:p w14:paraId="49632CEC" w14:textId="698D59E6" w:rsidR="00A80A0D" w:rsidRPr="00A80A0D" w:rsidRDefault="00A80A0D" w:rsidP="00A80A0D">
      <w:pPr>
        <w:spacing w:line="480" w:lineRule="auto"/>
        <w:jc w:val="both"/>
        <w:rPr>
          <w:rFonts w:eastAsiaTheme="minorEastAsia" w:cstheme="minorBidi"/>
          <w:szCs w:val="22"/>
        </w:rPr>
      </w:pPr>
      <w:r>
        <w:rPr>
          <w:rFonts w:eastAsiaTheme="minorEastAsia" w:cstheme="minorBidi"/>
          <w:szCs w:val="22"/>
        </w:rPr>
        <w:tab/>
      </w:r>
      <w:bookmarkStart w:id="77" w:name="_Hlk99910736"/>
      <w:r w:rsidRPr="00A80A0D">
        <w:rPr>
          <w:rFonts w:eastAsiaTheme="minorEastAsia" w:cstheme="minorBidi"/>
          <w:szCs w:val="22"/>
        </w:rPr>
        <w:t>This study examined the impact of using multi-resolution capabilities with variable ensemble size to put different emphasis on large or small</w:t>
      </w:r>
      <w:r w:rsidR="00FC0FA3">
        <w:rPr>
          <w:rFonts w:eastAsiaTheme="minorEastAsia" w:cstheme="minorBidi"/>
          <w:szCs w:val="22"/>
        </w:rPr>
        <w:t xml:space="preserve"> </w:t>
      </w:r>
      <w:r w:rsidRPr="00A80A0D">
        <w:rPr>
          <w:rFonts w:eastAsiaTheme="minorEastAsia" w:cstheme="minorBidi"/>
          <w:szCs w:val="22"/>
        </w:rPr>
        <w:t>scales.  This method is only one aspect of building an effective multiscale DA system.  Additional aspects include using scale-aware covariance localization in both the horizontal and vertical directions.  Scale-dependent localization (SDL) is a horizontal covariance localization method that was developed for EnVar applications (Buehner and Shlyaeva 2015).  SDL decomposes ensemble perturbations into overlapping wavebands/scales and simultaneously updates these scales using localization radii appropriate for each scale. Huang et al. (2021) further developed and implement</w:t>
      </w:r>
      <w:r w:rsidR="00FC0FA3">
        <w:rPr>
          <w:rFonts w:eastAsiaTheme="minorEastAsia" w:cstheme="minorBidi"/>
          <w:szCs w:val="22"/>
        </w:rPr>
        <w:t>ed</w:t>
      </w:r>
      <w:r w:rsidRPr="00A80A0D">
        <w:rPr>
          <w:rFonts w:eastAsiaTheme="minorEastAsia" w:cstheme="minorBidi"/>
          <w:szCs w:val="22"/>
        </w:rPr>
        <w:t xml:space="preserve"> SDL in a GSI-based 4DEnVar framework. Their work found that the use of SDL leads to improvements in global forecasts when compared with scale-unaware covariance localization methods.  In the vertical direction, </w:t>
      </w:r>
      <w:r w:rsidR="002741F1">
        <w:rPr>
          <w:rFonts w:eastAsiaTheme="minorEastAsia" w:cstheme="minorBidi"/>
          <w:szCs w:val="22"/>
        </w:rPr>
        <w:t xml:space="preserve">the </w:t>
      </w:r>
      <w:r w:rsidRPr="00A80A0D">
        <w:rPr>
          <w:rFonts w:eastAsiaTheme="minorEastAsia" w:cstheme="minorBidi"/>
          <w:szCs w:val="22"/>
        </w:rPr>
        <w:t xml:space="preserve">current operational system </w:t>
      </w:r>
      <w:r w:rsidR="002741F1">
        <w:rPr>
          <w:rFonts w:eastAsiaTheme="minorEastAsia" w:cstheme="minorBidi"/>
          <w:szCs w:val="22"/>
        </w:rPr>
        <w:t xml:space="preserve">at NCEP </w:t>
      </w:r>
      <w:r w:rsidRPr="00A80A0D">
        <w:rPr>
          <w:rFonts w:eastAsiaTheme="minorEastAsia" w:cstheme="minorBidi"/>
          <w:szCs w:val="22"/>
        </w:rPr>
        <w:t>still uses scale- and level-invariant covariance localization</w:t>
      </w:r>
      <w:r w:rsidR="002741F1">
        <w:rPr>
          <w:rFonts w:eastAsiaTheme="minorEastAsia" w:cstheme="minorBidi"/>
          <w:szCs w:val="22"/>
        </w:rPr>
        <w:t>,</w:t>
      </w:r>
      <w:r w:rsidRPr="00A80A0D">
        <w:rPr>
          <w:rFonts w:eastAsiaTheme="minorEastAsia" w:cstheme="minorBidi"/>
          <w:szCs w:val="22"/>
        </w:rPr>
        <w:t xml:space="preserve"> even as vertical resolution continues to increase (Yang 2020).  Significant work is still needed in order to develop effective scale-aware vertical covariance localization.  However, once developed, scale-aware vertical localization may be combined with the SDL capabilities</w:t>
      </w:r>
      <w:r w:rsidR="00FC0FA3">
        <w:rPr>
          <w:rFonts w:eastAsiaTheme="minorEastAsia" w:cstheme="minorBidi"/>
          <w:szCs w:val="22"/>
        </w:rPr>
        <w:t xml:space="preserve">, </w:t>
      </w:r>
      <w:r w:rsidRPr="00A80A0D">
        <w:rPr>
          <w:rFonts w:eastAsiaTheme="minorEastAsia" w:cstheme="minorBidi"/>
          <w:szCs w:val="22"/>
        </w:rPr>
        <w:t>described in Huang et al. (2021)</w:t>
      </w:r>
      <w:r w:rsidR="00FC0FA3">
        <w:rPr>
          <w:rFonts w:eastAsiaTheme="minorEastAsia" w:cstheme="minorBidi"/>
          <w:szCs w:val="22"/>
        </w:rPr>
        <w:t>,</w:t>
      </w:r>
      <w:r w:rsidRPr="00A80A0D">
        <w:rPr>
          <w:rFonts w:eastAsiaTheme="minorEastAsia" w:cstheme="minorBidi"/>
          <w:szCs w:val="22"/>
        </w:rPr>
        <w:t xml:space="preserve"> as well as the methodologies of </w:t>
      </w:r>
      <w:r w:rsidR="00FC0FA3">
        <w:rPr>
          <w:rFonts w:eastAsiaTheme="minorEastAsia" w:cstheme="minorBidi"/>
          <w:szCs w:val="22"/>
        </w:rPr>
        <w:t xml:space="preserve">the </w:t>
      </w:r>
      <w:r w:rsidRPr="00A80A0D">
        <w:rPr>
          <w:rFonts w:eastAsiaTheme="minorEastAsia" w:cstheme="minorBidi"/>
          <w:szCs w:val="22"/>
        </w:rPr>
        <w:t xml:space="preserve">multi-resolution ensemble DA with variable ensemble size </w:t>
      </w:r>
      <w:r w:rsidR="00F711CF">
        <w:rPr>
          <w:rFonts w:eastAsiaTheme="minorEastAsia" w:cstheme="minorBidi"/>
          <w:szCs w:val="22"/>
        </w:rPr>
        <w:t xml:space="preserve">described </w:t>
      </w:r>
      <w:r w:rsidRPr="00A80A0D">
        <w:rPr>
          <w:rFonts w:eastAsiaTheme="minorEastAsia" w:cstheme="minorBidi"/>
          <w:szCs w:val="22"/>
        </w:rPr>
        <w:t>in this study.  Additional developments will be needed to ensure that all three capabilities are compatible with each other.</w:t>
      </w:r>
    </w:p>
    <w:p w14:paraId="56AE9593" w14:textId="6EBEB467" w:rsidR="0013233F" w:rsidRPr="00A80A0D" w:rsidRDefault="00A80A0D" w:rsidP="009319C4">
      <w:pPr>
        <w:spacing w:line="480" w:lineRule="auto"/>
        <w:ind w:firstLine="720"/>
        <w:jc w:val="both"/>
        <w:rPr>
          <w:rFonts w:eastAsiaTheme="minorEastAsia" w:cstheme="minorBidi"/>
          <w:szCs w:val="22"/>
        </w:rPr>
      </w:pPr>
      <w:r w:rsidRPr="00A80A0D">
        <w:rPr>
          <w:rFonts w:eastAsiaTheme="minorEastAsia" w:cstheme="minorBidi"/>
          <w:szCs w:val="22"/>
        </w:rPr>
        <w:t xml:space="preserve">Also, the current operational version of the GFS (i.e., version 16) is the final major version that will use the GSI framework (Thomas 2022).  The transition to the usage of the Joint Effort for </w:t>
      </w:r>
      <w:r w:rsidRPr="00A80A0D">
        <w:rPr>
          <w:rFonts w:eastAsiaTheme="minorEastAsia" w:cstheme="minorBidi"/>
          <w:szCs w:val="22"/>
        </w:rPr>
        <w:lastRenderedPageBreak/>
        <w:t xml:space="preserve">Data Assimilation Integration (JEDI) as the operational DA framework is currently scheduled to be concurrent with the release of the GFSv17 in 2024. Therefore, additional efforts </w:t>
      </w:r>
      <w:r w:rsidR="00FC0FA3">
        <w:rPr>
          <w:rFonts w:eastAsiaTheme="minorEastAsia" w:cstheme="minorBidi"/>
          <w:szCs w:val="22"/>
        </w:rPr>
        <w:t xml:space="preserve">are needed </w:t>
      </w:r>
      <w:r w:rsidRPr="00A80A0D">
        <w:rPr>
          <w:rFonts w:eastAsiaTheme="minorEastAsia" w:cstheme="minorBidi"/>
          <w:szCs w:val="22"/>
        </w:rPr>
        <w:t>to make the methodologies described in this study as well as other studies addressing multiscale DA compatible with JEDI to aid in effective research-to-operations transitions.</w:t>
      </w:r>
    </w:p>
    <w:bookmarkEnd w:id="77"/>
    <w:p w14:paraId="0AE247EB" w14:textId="4E3E7F2B" w:rsidR="00A80A0D" w:rsidRPr="00A80A0D" w:rsidRDefault="00A80A0D" w:rsidP="00A80A0D">
      <w:pPr>
        <w:spacing w:line="480" w:lineRule="auto"/>
        <w:rPr>
          <w:rFonts w:eastAsiaTheme="minorEastAsia" w:cstheme="minorBidi"/>
          <w:szCs w:val="22"/>
        </w:rPr>
      </w:pPr>
    </w:p>
    <w:p w14:paraId="6A0CEEED" w14:textId="1523917F" w:rsidR="00A80A0D" w:rsidRPr="00313305" w:rsidRDefault="00A80A0D" w:rsidP="0022717D">
      <w:pPr>
        <w:pStyle w:val="NoSpacing"/>
        <w:spacing w:line="480" w:lineRule="auto"/>
        <w:jc w:val="both"/>
        <w:rPr>
          <w:rFonts w:ascii="Times New Roman" w:hAnsi="Times New Roman" w:cs="Times New Roman"/>
          <w:b/>
          <w:bCs/>
        </w:rPr>
      </w:pPr>
    </w:p>
    <w:p w14:paraId="222CBD84" w14:textId="77777777" w:rsidR="001505EB" w:rsidRPr="00313305" w:rsidRDefault="002305C7" w:rsidP="002305C7">
      <w:r w:rsidRPr="00313305">
        <w:br w:type="page"/>
      </w:r>
    </w:p>
    <w:p w14:paraId="2A68E1E6" w14:textId="77777777" w:rsidR="005D23F3" w:rsidRPr="00834BB9" w:rsidRDefault="009145B6" w:rsidP="00834BB9">
      <w:pPr>
        <w:spacing w:line="480" w:lineRule="auto"/>
        <w:jc w:val="center"/>
        <w:rPr>
          <w:b/>
          <w:bCs/>
        </w:rPr>
      </w:pPr>
      <w:r w:rsidRPr="00834BB9">
        <w:rPr>
          <w:b/>
          <w:bCs/>
        </w:rPr>
        <w:lastRenderedPageBreak/>
        <w:t>References</w:t>
      </w:r>
    </w:p>
    <w:p w14:paraId="249C1CCE" w14:textId="146CB2A3" w:rsidR="00251925" w:rsidRPr="00251925" w:rsidRDefault="00251925" w:rsidP="00834BB9">
      <w:pPr>
        <w:spacing w:line="480" w:lineRule="auto"/>
        <w:ind w:left="475" w:hanging="475"/>
      </w:pPr>
      <w:r w:rsidRPr="00251925">
        <w:t xml:space="preserve">Anderson, J. L., 2001: An Ensemble Adjustment Kalman Filter for Data Assimilation. </w:t>
      </w:r>
      <w:r w:rsidRPr="00251925">
        <w:rPr>
          <w:i/>
          <w:iCs/>
        </w:rPr>
        <w:t>Monthly Weather Review</w:t>
      </w:r>
      <w:r w:rsidRPr="00251925">
        <w:t xml:space="preserve">, </w:t>
      </w:r>
      <w:r w:rsidRPr="00251925">
        <w:rPr>
          <w:b/>
          <w:bCs/>
        </w:rPr>
        <w:t>129</w:t>
      </w:r>
      <w:r w:rsidRPr="00251925">
        <w:t xml:space="preserve">, 2884–2903, </w:t>
      </w:r>
      <w:hyperlink r:id="rId11" w:history="1">
        <w:r w:rsidR="00565783" w:rsidRPr="001D47DB">
          <w:rPr>
            <w:rStyle w:val="Hyperlink"/>
          </w:rPr>
          <w:t>https://doi.org/10.1175/1520-0493(2001)129&lt;2884:AEAKFF&gt;2.0.CO;2</w:t>
        </w:r>
      </w:hyperlink>
      <w:r w:rsidRPr="00251925">
        <w:t>.</w:t>
      </w:r>
    </w:p>
    <w:p w14:paraId="1409D6D1" w14:textId="77777777" w:rsidR="00251925" w:rsidRPr="00251925" w:rsidRDefault="00251925" w:rsidP="00834BB9">
      <w:pPr>
        <w:spacing w:line="480" w:lineRule="auto"/>
        <w:ind w:left="475" w:hanging="475"/>
      </w:pPr>
      <w:r w:rsidRPr="00251925">
        <w:t xml:space="preserve">Bauer, P., A. Thorpe, and G. Brunet, 2015: The quiet revolution of numerical weather prediction. </w:t>
      </w:r>
      <w:r w:rsidRPr="00251925">
        <w:rPr>
          <w:i/>
          <w:iCs/>
        </w:rPr>
        <w:t>Nature</w:t>
      </w:r>
      <w:r w:rsidRPr="00251925">
        <w:t xml:space="preserve">, </w:t>
      </w:r>
      <w:r w:rsidRPr="00251925">
        <w:rPr>
          <w:b/>
          <w:bCs/>
        </w:rPr>
        <w:t>525</w:t>
      </w:r>
      <w:r w:rsidRPr="00251925">
        <w:t xml:space="preserve">, 47–55, </w:t>
      </w:r>
      <w:hyperlink r:id="rId12" w:history="1">
        <w:r w:rsidRPr="00251925">
          <w:rPr>
            <w:rStyle w:val="Hyperlink"/>
          </w:rPr>
          <w:t>https://doi.org/10.1038/nature14956</w:t>
        </w:r>
      </w:hyperlink>
      <w:r w:rsidRPr="00251925">
        <w:t>.</w:t>
      </w:r>
    </w:p>
    <w:p w14:paraId="5882CA72" w14:textId="77777777" w:rsidR="00251925" w:rsidRPr="00251925" w:rsidRDefault="00251925" w:rsidP="00834BB9">
      <w:pPr>
        <w:spacing w:line="480" w:lineRule="auto"/>
        <w:ind w:left="475" w:hanging="475"/>
      </w:pPr>
      <w:r w:rsidRPr="00251925">
        <w:t xml:space="preserve">Benjamin, S. G., J. M. Brown, G. Brunet, P. Lynch, K. Saito, and T. W. Schlatter, 2019: 100 Years of Progress in Forecasting and NWP Applications. </w:t>
      </w:r>
      <w:r w:rsidRPr="00251925">
        <w:rPr>
          <w:i/>
          <w:iCs/>
        </w:rPr>
        <w:t>Meteorological Monographs</w:t>
      </w:r>
      <w:r w:rsidRPr="00251925">
        <w:t xml:space="preserve">, </w:t>
      </w:r>
      <w:r w:rsidRPr="00251925">
        <w:rPr>
          <w:b/>
          <w:bCs/>
        </w:rPr>
        <w:t>59</w:t>
      </w:r>
      <w:r w:rsidRPr="00251925">
        <w:t xml:space="preserve">, 13.1-13.67, </w:t>
      </w:r>
      <w:hyperlink r:id="rId13" w:history="1">
        <w:r w:rsidRPr="00251925">
          <w:rPr>
            <w:rStyle w:val="Hyperlink"/>
          </w:rPr>
          <w:t>https://doi.org/10.1175/AMSMONOGRAPHS-D-18-0020.1</w:t>
        </w:r>
      </w:hyperlink>
      <w:r w:rsidRPr="00251925">
        <w:t>.</w:t>
      </w:r>
    </w:p>
    <w:p w14:paraId="2C9D4BEF" w14:textId="77777777" w:rsidR="00251925" w:rsidRPr="00251925" w:rsidRDefault="00251925" w:rsidP="00834BB9">
      <w:pPr>
        <w:spacing w:line="480" w:lineRule="auto"/>
        <w:ind w:left="475" w:hanging="475"/>
      </w:pPr>
      <w:r w:rsidRPr="00251925">
        <w:t>Berrisford, P., and Coauthors, 2011: The ERA-Interim archive Version 2.0. 23.</w:t>
      </w:r>
    </w:p>
    <w:p w14:paraId="2976E578" w14:textId="77777777" w:rsidR="00251925" w:rsidRPr="00251925" w:rsidRDefault="00251925" w:rsidP="00834BB9">
      <w:pPr>
        <w:spacing w:line="480" w:lineRule="auto"/>
        <w:ind w:left="475" w:hanging="475"/>
      </w:pPr>
      <w:r w:rsidRPr="00251925">
        <w:t xml:space="preserve">Bishop, C. H., B. J. Etherton, and S. J. Majumdar, 2001: Adaptive Sampling with the Ensemble Transform Kalman Filter. Part I: Theoretical Aspects. </w:t>
      </w:r>
      <w:r w:rsidRPr="00251925">
        <w:rPr>
          <w:i/>
          <w:iCs/>
        </w:rPr>
        <w:t>Monthly Weather Review</w:t>
      </w:r>
      <w:r w:rsidRPr="00251925">
        <w:t xml:space="preserve">, </w:t>
      </w:r>
      <w:r w:rsidRPr="00251925">
        <w:rPr>
          <w:b/>
          <w:bCs/>
        </w:rPr>
        <w:t>129</w:t>
      </w:r>
      <w:r w:rsidRPr="00251925">
        <w:t xml:space="preserve">, 420–436, </w:t>
      </w:r>
      <w:hyperlink r:id="rId14" w:history="1">
        <w:r w:rsidRPr="00251925">
          <w:rPr>
            <w:rStyle w:val="Hyperlink"/>
          </w:rPr>
          <w:t>https://doi.org/10.1175/1520-0493(2001)129&lt;0420:ASWTET&gt;2.0.CO;2</w:t>
        </w:r>
      </w:hyperlink>
      <w:r w:rsidRPr="00251925">
        <w:t>.</w:t>
      </w:r>
    </w:p>
    <w:p w14:paraId="514DF7AC" w14:textId="77777777" w:rsidR="00251925" w:rsidRPr="00251925" w:rsidRDefault="00251925" w:rsidP="00834BB9">
      <w:pPr>
        <w:spacing w:line="480" w:lineRule="auto"/>
        <w:ind w:left="475" w:hanging="475"/>
      </w:pPr>
      <w:r w:rsidRPr="00251925">
        <w:t>Blake, E. S., 2018: National Hurricane Center Tropical Cyclone Report Hurricane Lee (AL142017).</w:t>
      </w:r>
    </w:p>
    <w:p w14:paraId="37235B79" w14:textId="77777777" w:rsidR="00251925" w:rsidRPr="00251925" w:rsidRDefault="00251925" w:rsidP="00834BB9">
      <w:pPr>
        <w:spacing w:line="480" w:lineRule="auto"/>
        <w:ind w:left="475" w:hanging="475"/>
      </w:pPr>
      <w:r w:rsidRPr="00251925">
        <w:t xml:space="preserve">Bloom, S. C., L. L. Takacs, A. M. da Silva, and D. Ledvina, 1996: Data Assimilation Using Incremental Analysis Updates. </w:t>
      </w:r>
      <w:r w:rsidRPr="00251925">
        <w:rPr>
          <w:i/>
          <w:iCs/>
        </w:rPr>
        <w:t>Monthly Weather Review</w:t>
      </w:r>
      <w:r w:rsidRPr="00251925">
        <w:t xml:space="preserve">, </w:t>
      </w:r>
      <w:r w:rsidRPr="00251925">
        <w:rPr>
          <w:b/>
          <w:bCs/>
        </w:rPr>
        <w:t>124</w:t>
      </w:r>
      <w:r w:rsidRPr="00251925">
        <w:t xml:space="preserve">, 1256–1271, </w:t>
      </w:r>
      <w:hyperlink r:id="rId15" w:history="1">
        <w:r w:rsidRPr="00251925">
          <w:rPr>
            <w:rStyle w:val="Hyperlink"/>
          </w:rPr>
          <w:t>https://doi.org/10.1175/1520-0493(1996)124&lt;1256:DAUIAU&gt;2.0.CO;2</w:t>
        </w:r>
      </w:hyperlink>
      <w:r w:rsidRPr="00251925">
        <w:t>.</w:t>
      </w:r>
    </w:p>
    <w:p w14:paraId="62791090" w14:textId="77777777" w:rsidR="00251925" w:rsidRPr="00251925" w:rsidRDefault="00251925" w:rsidP="00834BB9">
      <w:pPr>
        <w:spacing w:line="480" w:lineRule="auto"/>
        <w:ind w:left="475" w:hanging="475"/>
      </w:pPr>
      <w:r w:rsidRPr="00251925">
        <w:t xml:space="preserve">Buehner, M., and A. Shlyaeva, 2015: Scale-dependent background-error covariance localisation. </w:t>
      </w:r>
      <w:r w:rsidRPr="00251925">
        <w:rPr>
          <w:i/>
          <w:iCs/>
        </w:rPr>
        <w:t>Tellus A: Dynamic Meteorology and Oceanography</w:t>
      </w:r>
      <w:r w:rsidRPr="00251925">
        <w:t xml:space="preserve">, </w:t>
      </w:r>
      <w:r w:rsidRPr="00251925">
        <w:rPr>
          <w:b/>
          <w:bCs/>
        </w:rPr>
        <w:t>67</w:t>
      </w:r>
      <w:r w:rsidRPr="00251925">
        <w:t xml:space="preserve">, 28027, </w:t>
      </w:r>
      <w:hyperlink r:id="rId16" w:history="1">
        <w:r w:rsidRPr="00251925">
          <w:rPr>
            <w:rStyle w:val="Hyperlink"/>
          </w:rPr>
          <w:t>https://doi.org/10.3402/tellusa.v67.28027</w:t>
        </w:r>
      </w:hyperlink>
      <w:r w:rsidRPr="00251925">
        <w:t>.</w:t>
      </w:r>
    </w:p>
    <w:p w14:paraId="597D5BD2" w14:textId="77777777" w:rsidR="00251925" w:rsidRPr="00251925" w:rsidRDefault="00251925" w:rsidP="00834BB9">
      <w:pPr>
        <w:spacing w:line="480" w:lineRule="auto"/>
        <w:ind w:left="475" w:hanging="475"/>
      </w:pPr>
      <w:r w:rsidRPr="00251925">
        <w:lastRenderedPageBreak/>
        <w:t xml:space="preserve">Buehner, M., J. Morneau, and C. Charette, 2013: Four-dimensional ensemble-variational data assimilation for global deterministic weather prediction. </w:t>
      </w:r>
      <w:r w:rsidRPr="00251925">
        <w:rPr>
          <w:i/>
          <w:iCs/>
        </w:rPr>
        <w:t>Nonlinear Processes in Geophysics</w:t>
      </w:r>
      <w:r w:rsidRPr="00251925">
        <w:t xml:space="preserve">, </w:t>
      </w:r>
      <w:r w:rsidRPr="00251925">
        <w:rPr>
          <w:b/>
          <w:bCs/>
        </w:rPr>
        <w:t>20</w:t>
      </w:r>
      <w:r w:rsidRPr="00251925">
        <w:t xml:space="preserve">, 669–682, </w:t>
      </w:r>
      <w:hyperlink r:id="rId17" w:history="1">
        <w:r w:rsidRPr="00251925">
          <w:rPr>
            <w:rStyle w:val="Hyperlink"/>
          </w:rPr>
          <w:t>https://doi.org/10.5194/npg-20-669-2013</w:t>
        </w:r>
      </w:hyperlink>
      <w:r w:rsidRPr="00251925">
        <w:t>.</w:t>
      </w:r>
    </w:p>
    <w:p w14:paraId="39387CA1" w14:textId="77777777" w:rsidR="00251925" w:rsidRPr="00251925" w:rsidRDefault="00251925" w:rsidP="00834BB9">
      <w:pPr>
        <w:spacing w:line="480" w:lineRule="auto"/>
        <w:ind w:left="475" w:hanging="475"/>
      </w:pPr>
      <w:r w:rsidRPr="00251925">
        <w:t xml:space="preserve">Buehner, M., and Coauthors, 2015: Implementation of Deterministic Weather Forecasting Systems Based on Ensemble–Variational Data Assimilation at Environment Canada. Part I: The Global System. </w:t>
      </w:r>
      <w:r w:rsidRPr="00251925">
        <w:rPr>
          <w:i/>
          <w:iCs/>
        </w:rPr>
        <w:t>Monthly Weather Review</w:t>
      </w:r>
      <w:r w:rsidRPr="00251925">
        <w:t xml:space="preserve">, </w:t>
      </w:r>
      <w:r w:rsidRPr="00251925">
        <w:rPr>
          <w:b/>
          <w:bCs/>
        </w:rPr>
        <w:t>143</w:t>
      </w:r>
      <w:r w:rsidRPr="00251925">
        <w:t xml:space="preserve">, 2532–2559, </w:t>
      </w:r>
      <w:hyperlink r:id="rId18" w:history="1">
        <w:r w:rsidRPr="00251925">
          <w:rPr>
            <w:rStyle w:val="Hyperlink"/>
          </w:rPr>
          <w:t>https://doi.org/10.1175/MWR-D-14-00354.1</w:t>
        </w:r>
      </w:hyperlink>
      <w:r w:rsidRPr="00251925">
        <w:t>.</w:t>
      </w:r>
    </w:p>
    <w:p w14:paraId="4711F133" w14:textId="77777777" w:rsidR="00251925" w:rsidRPr="00251925" w:rsidRDefault="00251925" w:rsidP="00834BB9">
      <w:pPr>
        <w:spacing w:line="480" w:lineRule="auto"/>
        <w:ind w:left="475" w:hanging="475"/>
      </w:pPr>
      <w:r w:rsidRPr="00251925">
        <w:t xml:space="preserve">Carlson, T. N., 1969: SOME REMARKS ON AFRICAN DISTURBANCES AND THEIR PROGRESS OVER THE TROPICAL ATLANTIC. </w:t>
      </w:r>
      <w:r w:rsidRPr="00251925">
        <w:rPr>
          <w:i/>
          <w:iCs/>
        </w:rPr>
        <w:t>Monthly Weather Review</w:t>
      </w:r>
      <w:r w:rsidRPr="00251925">
        <w:t xml:space="preserve">, </w:t>
      </w:r>
      <w:r w:rsidRPr="00251925">
        <w:rPr>
          <w:b/>
          <w:bCs/>
        </w:rPr>
        <w:t>97</w:t>
      </w:r>
      <w:r w:rsidRPr="00251925">
        <w:t xml:space="preserve">, 716–726, </w:t>
      </w:r>
      <w:hyperlink r:id="rId19" w:history="1">
        <w:r w:rsidRPr="00251925">
          <w:rPr>
            <w:rStyle w:val="Hyperlink"/>
          </w:rPr>
          <w:t>https://doi.org/10.1175/1520-0493(1969)097&lt;0716:SROADA&gt;2.3.CO;2</w:t>
        </w:r>
      </w:hyperlink>
      <w:r w:rsidRPr="00251925">
        <w:t>.</w:t>
      </w:r>
    </w:p>
    <w:p w14:paraId="165EFAA9" w14:textId="77777777" w:rsidR="00251925" w:rsidRPr="00251925" w:rsidRDefault="00251925" w:rsidP="00834BB9">
      <w:pPr>
        <w:spacing w:line="480" w:lineRule="auto"/>
        <w:ind w:left="475" w:hanging="475"/>
      </w:pPr>
      <w:r w:rsidRPr="00251925">
        <w:t xml:space="preserve">Chan, J. C. L., and W. M. Gray, 1982: Tropical Cyclone Movement and Surrounding Flow Relationships. </w:t>
      </w:r>
      <w:r w:rsidRPr="00251925">
        <w:rPr>
          <w:i/>
          <w:iCs/>
        </w:rPr>
        <w:t>Monthly Weather Review</w:t>
      </w:r>
      <w:r w:rsidRPr="00251925">
        <w:t xml:space="preserve">, </w:t>
      </w:r>
      <w:r w:rsidRPr="00251925">
        <w:rPr>
          <w:b/>
          <w:bCs/>
        </w:rPr>
        <w:t>110</w:t>
      </w:r>
      <w:r w:rsidRPr="00251925">
        <w:t xml:space="preserve">, 1354–1374, </w:t>
      </w:r>
      <w:hyperlink r:id="rId20" w:history="1">
        <w:r w:rsidRPr="00251925">
          <w:rPr>
            <w:rStyle w:val="Hyperlink"/>
          </w:rPr>
          <w:t>https://doi.org/10.1175/1520-0493(1982)110&lt;1354:TCMASF&gt;2.0.CO;2</w:t>
        </w:r>
      </w:hyperlink>
      <w:r w:rsidRPr="00251925">
        <w:t>.</w:t>
      </w:r>
    </w:p>
    <w:p w14:paraId="54C2E3A9" w14:textId="77777777" w:rsidR="00251925" w:rsidRPr="00251925" w:rsidRDefault="00251925" w:rsidP="00834BB9">
      <w:pPr>
        <w:spacing w:line="480" w:lineRule="auto"/>
        <w:ind w:left="475" w:hanging="475"/>
      </w:pPr>
      <w:r w:rsidRPr="00251925">
        <w:t xml:space="preserve">Chen, J.-H., and S.-J. Lin, 2011: The remarkable predictability of inter-annual variability of Atlantic hurricanes during the past decade. </w:t>
      </w:r>
      <w:r w:rsidRPr="00251925">
        <w:rPr>
          <w:i/>
          <w:iCs/>
        </w:rPr>
        <w:t>Geophysical Research Letters</w:t>
      </w:r>
      <w:r w:rsidRPr="00251925">
        <w:t xml:space="preserve">, </w:t>
      </w:r>
      <w:r w:rsidRPr="00251925">
        <w:rPr>
          <w:b/>
          <w:bCs/>
        </w:rPr>
        <w:t>38</w:t>
      </w:r>
      <w:r w:rsidRPr="00251925">
        <w:t xml:space="preserve">, </w:t>
      </w:r>
      <w:hyperlink r:id="rId21" w:history="1">
        <w:r w:rsidRPr="00251925">
          <w:rPr>
            <w:rStyle w:val="Hyperlink"/>
          </w:rPr>
          <w:t>https://doi.org/10.1029/2011GL047629</w:t>
        </w:r>
      </w:hyperlink>
      <w:r w:rsidRPr="00251925">
        <w:t>.</w:t>
      </w:r>
    </w:p>
    <w:p w14:paraId="53A4A20F" w14:textId="77777777" w:rsidR="00251925" w:rsidRPr="00251925" w:rsidRDefault="00251925" w:rsidP="00834BB9">
      <w:pPr>
        <w:spacing w:line="480" w:lineRule="auto"/>
        <w:ind w:left="475" w:hanging="475"/>
      </w:pPr>
      <w:r w:rsidRPr="00251925">
        <w:t xml:space="preserve">——, and ——, 2013: Seasonal Predictions of Tropical Cyclones Using a 25-km-Resolution General Circulation Model. </w:t>
      </w:r>
      <w:r w:rsidRPr="00251925">
        <w:rPr>
          <w:i/>
          <w:iCs/>
        </w:rPr>
        <w:t>Journal of Climate</w:t>
      </w:r>
      <w:r w:rsidRPr="00251925">
        <w:t xml:space="preserve">, </w:t>
      </w:r>
      <w:r w:rsidRPr="00251925">
        <w:rPr>
          <w:b/>
          <w:bCs/>
        </w:rPr>
        <w:t>26</w:t>
      </w:r>
      <w:r w:rsidRPr="00251925">
        <w:t xml:space="preserve">, 380–398, </w:t>
      </w:r>
      <w:hyperlink r:id="rId22" w:history="1">
        <w:r w:rsidRPr="00251925">
          <w:rPr>
            <w:rStyle w:val="Hyperlink"/>
          </w:rPr>
          <w:t>https://doi.org/10.1175/JCLI-D-12-00061.1</w:t>
        </w:r>
      </w:hyperlink>
      <w:r w:rsidRPr="00251925">
        <w:t>.</w:t>
      </w:r>
    </w:p>
    <w:p w14:paraId="6DEA0737" w14:textId="77777777" w:rsidR="00251925" w:rsidRPr="00251925" w:rsidRDefault="00251925" w:rsidP="00834BB9">
      <w:pPr>
        <w:spacing w:line="480" w:lineRule="auto"/>
        <w:ind w:left="475" w:hanging="475"/>
      </w:pPr>
      <w:r w:rsidRPr="00251925">
        <w:t xml:space="preserve">——, and Coauthors, 2019: Advancements in Hurricane Prediction With NOAA’s Next-Generation Forecast System. </w:t>
      </w:r>
      <w:r w:rsidRPr="00251925">
        <w:rPr>
          <w:i/>
          <w:iCs/>
        </w:rPr>
        <w:t>Geophysical Research Letters</w:t>
      </w:r>
      <w:r w:rsidRPr="00251925">
        <w:t xml:space="preserve">, </w:t>
      </w:r>
      <w:r w:rsidRPr="00251925">
        <w:rPr>
          <w:b/>
          <w:bCs/>
        </w:rPr>
        <w:t>46</w:t>
      </w:r>
      <w:r w:rsidRPr="00251925">
        <w:t xml:space="preserve">, 4495–4501, </w:t>
      </w:r>
      <w:hyperlink r:id="rId23" w:history="1">
        <w:r w:rsidRPr="00251925">
          <w:rPr>
            <w:rStyle w:val="Hyperlink"/>
          </w:rPr>
          <w:t>https://doi.org/10.1029/2019GL082410</w:t>
        </w:r>
      </w:hyperlink>
      <w:r w:rsidRPr="00251925">
        <w:t>.</w:t>
      </w:r>
    </w:p>
    <w:p w14:paraId="4623CD27" w14:textId="77777777" w:rsidR="00251925" w:rsidRPr="00251925" w:rsidRDefault="00251925" w:rsidP="00834BB9">
      <w:pPr>
        <w:spacing w:line="480" w:lineRule="auto"/>
        <w:ind w:left="475" w:hanging="475"/>
      </w:pPr>
      <w:r w:rsidRPr="00251925">
        <w:lastRenderedPageBreak/>
        <w:t xml:space="preserve">Domingues, M. O., O. Mendes, and A. M. da Costa, 2005: On wavelet techniques in atmospheric sciences. </w:t>
      </w:r>
      <w:r w:rsidRPr="00251925">
        <w:rPr>
          <w:i/>
          <w:iCs/>
        </w:rPr>
        <w:t>Advances in Space Research</w:t>
      </w:r>
      <w:r w:rsidRPr="00251925">
        <w:t xml:space="preserve">, </w:t>
      </w:r>
      <w:r w:rsidRPr="00251925">
        <w:rPr>
          <w:b/>
          <w:bCs/>
        </w:rPr>
        <w:t>35</w:t>
      </w:r>
      <w:r w:rsidRPr="00251925">
        <w:t xml:space="preserve">, 831–842, </w:t>
      </w:r>
      <w:hyperlink r:id="rId24" w:history="1">
        <w:r w:rsidRPr="00251925">
          <w:rPr>
            <w:rStyle w:val="Hyperlink"/>
          </w:rPr>
          <w:t>https://doi.org/10.1016/j.asr.2005.02.097</w:t>
        </w:r>
      </w:hyperlink>
      <w:r w:rsidRPr="00251925">
        <w:t>.</w:t>
      </w:r>
    </w:p>
    <w:p w14:paraId="66823AE4" w14:textId="77777777" w:rsidR="00251925" w:rsidRPr="00251925" w:rsidRDefault="00251925" w:rsidP="00834BB9">
      <w:pPr>
        <w:spacing w:line="480" w:lineRule="auto"/>
        <w:ind w:left="475" w:hanging="475"/>
      </w:pPr>
      <w:r w:rsidRPr="00251925">
        <w:t xml:space="preserve">Ehrendorfer, M., R. M. Errico, and K. D. Raeder, 1999: Singular-Vector Perturbation Growth in a Primitive Equation Model with Moist Physics. </w:t>
      </w:r>
      <w:r w:rsidRPr="00251925">
        <w:rPr>
          <w:i/>
          <w:iCs/>
        </w:rPr>
        <w:t>Journal of the Atmospheric Sciences</w:t>
      </w:r>
      <w:r w:rsidRPr="00251925">
        <w:t xml:space="preserve">, </w:t>
      </w:r>
      <w:r w:rsidRPr="00251925">
        <w:rPr>
          <w:b/>
          <w:bCs/>
        </w:rPr>
        <w:t>56</w:t>
      </w:r>
      <w:r w:rsidRPr="00251925">
        <w:t xml:space="preserve">, 1627–1648, </w:t>
      </w:r>
      <w:hyperlink r:id="rId25" w:history="1">
        <w:r w:rsidRPr="00251925">
          <w:rPr>
            <w:rStyle w:val="Hyperlink"/>
          </w:rPr>
          <w:t>https://doi.org/10.1175/1520-0469(1999)056&lt;1627:SVPGIA&gt;2.0.CO;2</w:t>
        </w:r>
      </w:hyperlink>
      <w:r w:rsidRPr="00251925">
        <w:t>.</w:t>
      </w:r>
    </w:p>
    <w:p w14:paraId="2D1A21FC" w14:textId="77777777" w:rsidR="00251925" w:rsidRPr="00251925" w:rsidRDefault="00251925" w:rsidP="00834BB9">
      <w:pPr>
        <w:spacing w:line="480" w:lineRule="auto"/>
        <w:ind w:left="475" w:hanging="475"/>
      </w:pPr>
      <w:r w:rsidRPr="00251925">
        <w:t xml:space="preserve">Evensen, G., 1994: Sequential data assimilation with a nonlinear quasi-geostrophic model using Monte Carlo methods to forecast error statistics. </w:t>
      </w:r>
      <w:r w:rsidRPr="00251925">
        <w:rPr>
          <w:i/>
          <w:iCs/>
        </w:rPr>
        <w:t>J. Geophys. Res.</w:t>
      </w:r>
      <w:r w:rsidRPr="00251925">
        <w:t xml:space="preserve">, </w:t>
      </w:r>
      <w:r w:rsidRPr="00251925">
        <w:rPr>
          <w:b/>
          <w:bCs/>
        </w:rPr>
        <w:t>99</w:t>
      </w:r>
      <w:r w:rsidRPr="00251925">
        <w:t xml:space="preserve">, 10143, </w:t>
      </w:r>
      <w:hyperlink r:id="rId26" w:history="1">
        <w:r w:rsidRPr="00251925">
          <w:rPr>
            <w:rStyle w:val="Hyperlink"/>
          </w:rPr>
          <w:t>https://doi.org/10.1029/94JC00572</w:t>
        </w:r>
      </w:hyperlink>
      <w:r w:rsidRPr="00251925">
        <w:t>.</w:t>
      </w:r>
    </w:p>
    <w:p w14:paraId="5E967C43" w14:textId="77777777" w:rsidR="00251925" w:rsidRPr="00251925" w:rsidRDefault="00251925" w:rsidP="00834BB9">
      <w:pPr>
        <w:spacing w:line="480" w:lineRule="auto"/>
        <w:ind w:left="475" w:hanging="475"/>
      </w:pPr>
      <w:r w:rsidRPr="00251925">
        <w:t xml:space="preserve">Fischer, C., A. Joly, and F. Lalaurette, 1998: Error growth and Kalman filtering within an idealized baroclinic flow. </w:t>
      </w:r>
      <w:r w:rsidRPr="00251925">
        <w:rPr>
          <w:i/>
          <w:iCs/>
        </w:rPr>
        <w:t>Tellus A: Dynamic Meteorology and Oceanography</w:t>
      </w:r>
      <w:r w:rsidRPr="00251925">
        <w:t xml:space="preserve">, </w:t>
      </w:r>
      <w:r w:rsidRPr="00251925">
        <w:rPr>
          <w:b/>
          <w:bCs/>
        </w:rPr>
        <w:t>50</w:t>
      </w:r>
      <w:r w:rsidRPr="00251925">
        <w:t xml:space="preserve">, 596–615, </w:t>
      </w:r>
      <w:hyperlink r:id="rId27" w:history="1">
        <w:r w:rsidRPr="00251925">
          <w:rPr>
            <w:rStyle w:val="Hyperlink"/>
          </w:rPr>
          <w:t>https://doi.org/10.3402/tellusa.v50i5.14561</w:t>
        </w:r>
      </w:hyperlink>
      <w:r w:rsidRPr="00251925">
        <w:t>.</w:t>
      </w:r>
    </w:p>
    <w:p w14:paraId="4E2A0DA0" w14:textId="77777777" w:rsidR="00251925" w:rsidRPr="00251925" w:rsidRDefault="00251925" w:rsidP="00834BB9">
      <w:pPr>
        <w:spacing w:line="480" w:lineRule="auto"/>
        <w:ind w:left="475" w:hanging="475"/>
      </w:pPr>
      <w:r w:rsidRPr="00251925">
        <w:t xml:space="preserve">Gao, S., N. Du, J. Min, and H. Yu, 2021: Impact of assimilating radar data using a hybrid 4DEnVar approach on prediction of convective events. </w:t>
      </w:r>
      <w:r w:rsidRPr="00251925">
        <w:rPr>
          <w:i/>
          <w:iCs/>
        </w:rPr>
        <w:t>Tellus A: Dynamic Meteorology and Oceanography</w:t>
      </w:r>
      <w:r w:rsidRPr="00251925">
        <w:t xml:space="preserve">, </w:t>
      </w:r>
      <w:r w:rsidRPr="00251925">
        <w:rPr>
          <w:b/>
          <w:bCs/>
        </w:rPr>
        <w:t>73</w:t>
      </w:r>
      <w:r w:rsidRPr="00251925">
        <w:t xml:space="preserve">, 1–19, </w:t>
      </w:r>
      <w:hyperlink r:id="rId28" w:history="1">
        <w:r w:rsidRPr="00251925">
          <w:rPr>
            <w:rStyle w:val="Hyperlink"/>
          </w:rPr>
          <w:t>https://doi.org/10.1080/16000870.2021.1903770</w:t>
        </w:r>
      </w:hyperlink>
      <w:r w:rsidRPr="00251925">
        <w:t>.</w:t>
      </w:r>
    </w:p>
    <w:p w14:paraId="3E59938F" w14:textId="77777777" w:rsidR="00251925" w:rsidRPr="00251925" w:rsidRDefault="00251925" w:rsidP="00834BB9">
      <w:pPr>
        <w:spacing w:line="480" w:lineRule="auto"/>
        <w:ind w:left="475" w:hanging="475"/>
      </w:pPr>
      <w:r w:rsidRPr="00251925">
        <w:t xml:space="preserve">Gaspari, G., and S. E. Cohn, 1999: Construction of correlation functions in two and three dimensions. </w:t>
      </w:r>
      <w:r w:rsidRPr="00251925">
        <w:rPr>
          <w:i/>
          <w:iCs/>
        </w:rPr>
        <w:t>Quarterly Journal of the Royal Meteorological Society</w:t>
      </w:r>
      <w:r w:rsidRPr="00251925">
        <w:t xml:space="preserve">, </w:t>
      </w:r>
      <w:r w:rsidRPr="00251925">
        <w:rPr>
          <w:b/>
          <w:bCs/>
        </w:rPr>
        <w:t>125</w:t>
      </w:r>
      <w:r w:rsidRPr="00251925">
        <w:t xml:space="preserve">, 723–757, </w:t>
      </w:r>
      <w:hyperlink r:id="rId29" w:history="1">
        <w:r w:rsidRPr="00251925">
          <w:rPr>
            <w:rStyle w:val="Hyperlink"/>
          </w:rPr>
          <w:t>https://doi.org/10.1002/qj.49712555417</w:t>
        </w:r>
      </w:hyperlink>
      <w:r w:rsidRPr="00251925">
        <w:t>.</w:t>
      </w:r>
    </w:p>
    <w:p w14:paraId="0D7EA606" w14:textId="77777777" w:rsidR="00251925" w:rsidRPr="00251925" w:rsidRDefault="00251925" w:rsidP="00834BB9">
      <w:pPr>
        <w:spacing w:line="480" w:lineRule="auto"/>
        <w:ind w:left="475" w:hanging="475"/>
      </w:pPr>
      <w:r w:rsidRPr="00251925">
        <w:t xml:space="preserve">George, J. E., and W. M. Gray, 1976: Tropical Cyclone Motion and Surrounding Parameter Relationships. </w:t>
      </w:r>
      <w:r w:rsidRPr="00251925">
        <w:rPr>
          <w:i/>
          <w:iCs/>
        </w:rPr>
        <w:t>Journal of Applied Meteorology and Climatology</w:t>
      </w:r>
      <w:r w:rsidRPr="00251925">
        <w:t xml:space="preserve">, </w:t>
      </w:r>
      <w:r w:rsidRPr="00251925">
        <w:rPr>
          <w:b/>
          <w:bCs/>
        </w:rPr>
        <w:t>15</w:t>
      </w:r>
      <w:r w:rsidRPr="00251925">
        <w:t xml:space="preserve">, 1252–1264, </w:t>
      </w:r>
      <w:hyperlink r:id="rId30" w:history="1">
        <w:r w:rsidRPr="00251925">
          <w:rPr>
            <w:rStyle w:val="Hyperlink"/>
          </w:rPr>
          <w:t>https://doi.org/10.1175/1520-0450(1976)015&lt;1252:TCMASP&gt;2.0.CO;2</w:t>
        </w:r>
      </w:hyperlink>
      <w:r w:rsidRPr="00251925">
        <w:t>.</w:t>
      </w:r>
    </w:p>
    <w:p w14:paraId="4EB3FC2F" w14:textId="77777777" w:rsidR="00251925" w:rsidRPr="00251925" w:rsidRDefault="00251925" w:rsidP="00834BB9">
      <w:pPr>
        <w:spacing w:line="480" w:lineRule="auto"/>
        <w:ind w:left="475" w:hanging="475"/>
      </w:pPr>
      <w:r w:rsidRPr="00251925">
        <w:t xml:space="preserve">Hamill, T. M., 2006: Ensemble-based atmospheric data assimilation. </w:t>
      </w:r>
      <w:r w:rsidRPr="00251925">
        <w:rPr>
          <w:i/>
          <w:iCs/>
        </w:rPr>
        <w:t>Predictability of Weather and Climate</w:t>
      </w:r>
      <w:r w:rsidRPr="00251925">
        <w:t>, T. Palmer and R. Hagedorn, Eds., Cambridge University Press, 124–156.</w:t>
      </w:r>
    </w:p>
    <w:p w14:paraId="69DE8644" w14:textId="77777777" w:rsidR="00251925" w:rsidRPr="00251925" w:rsidRDefault="00251925" w:rsidP="00834BB9">
      <w:pPr>
        <w:spacing w:line="480" w:lineRule="auto"/>
        <w:ind w:left="475" w:hanging="475"/>
      </w:pPr>
      <w:r w:rsidRPr="00251925">
        <w:lastRenderedPageBreak/>
        <w:t xml:space="preserve">——, and C. Snyder, 2000: A Hybrid Ensemble Kalman Filter–3D Variational Analysis Scheme. </w:t>
      </w:r>
      <w:r w:rsidRPr="00251925">
        <w:rPr>
          <w:i/>
          <w:iCs/>
        </w:rPr>
        <w:t>Monthly Weather Review</w:t>
      </w:r>
      <w:r w:rsidRPr="00251925">
        <w:t xml:space="preserve">, </w:t>
      </w:r>
      <w:r w:rsidRPr="00251925">
        <w:rPr>
          <w:b/>
          <w:bCs/>
        </w:rPr>
        <w:t>128</w:t>
      </w:r>
      <w:r w:rsidRPr="00251925">
        <w:t xml:space="preserve">, 2905–2919, </w:t>
      </w:r>
      <w:hyperlink r:id="rId31" w:history="1">
        <w:r w:rsidRPr="00251925">
          <w:rPr>
            <w:rStyle w:val="Hyperlink"/>
          </w:rPr>
          <w:t>https://doi.org/10.1175/1520-0493(2000)128&lt;2905:AHEKFV&gt;2.0.CO;2</w:t>
        </w:r>
      </w:hyperlink>
      <w:r w:rsidRPr="00251925">
        <w:t>.</w:t>
      </w:r>
    </w:p>
    <w:p w14:paraId="18D1CDD3" w14:textId="77777777" w:rsidR="00251925" w:rsidRPr="00251925" w:rsidRDefault="00251925" w:rsidP="00834BB9">
      <w:pPr>
        <w:spacing w:line="480" w:lineRule="auto"/>
        <w:ind w:left="475" w:hanging="475"/>
      </w:pPr>
      <w:r w:rsidRPr="00251925">
        <w:t xml:space="preserve">——, and J. S. Whitaker, 2005: Accounting for the Error due to Unresolved Scales in Ensemble Data Assimilation: A Comparison of Different Approaches. </w:t>
      </w:r>
      <w:r w:rsidRPr="00251925">
        <w:rPr>
          <w:i/>
          <w:iCs/>
        </w:rPr>
        <w:t>Monthly Weather Review</w:t>
      </w:r>
      <w:r w:rsidRPr="00251925">
        <w:t xml:space="preserve">, </w:t>
      </w:r>
      <w:r w:rsidRPr="00251925">
        <w:rPr>
          <w:b/>
          <w:bCs/>
        </w:rPr>
        <w:t>133</w:t>
      </w:r>
      <w:r w:rsidRPr="00251925">
        <w:t xml:space="preserve">, 3132–3147, </w:t>
      </w:r>
      <w:hyperlink r:id="rId32" w:history="1">
        <w:r w:rsidRPr="00251925">
          <w:rPr>
            <w:rStyle w:val="Hyperlink"/>
          </w:rPr>
          <w:t>https://doi.org/10.1175/MWR3020.1</w:t>
        </w:r>
      </w:hyperlink>
      <w:r w:rsidRPr="00251925">
        <w:t>.</w:t>
      </w:r>
    </w:p>
    <w:p w14:paraId="43D1D971" w14:textId="77777777" w:rsidR="00251925" w:rsidRPr="00251925" w:rsidRDefault="00251925" w:rsidP="00834BB9">
      <w:pPr>
        <w:spacing w:line="480" w:lineRule="auto"/>
        <w:ind w:left="475" w:hanging="475"/>
      </w:pPr>
      <w:r w:rsidRPr="00251925">
        <w:t xml:space="preserve">——, ——, and C. Snyder, 2001: Distance-Dependent Filtering of Background Error Covariance Estimates in an Ensemble Kalman Filter. </w:t>
      </w:r>
      <w:r w:rsidRPr="00251925">
        <w:rPr>
          <w:i/>
          <w:iCs/>
        </w:rPr>
        <w:t>Monthly Weather Review</w:t>
      </w:r>
      <w:r w:rsidRPr="00251925">
        <w:t xml:space="preserve">, </w:t>
      </w:r>
      <w:r w:rsidRPr="00251925">
        <w:rPr>
          <w:b/>
          <w:bCs/>
        </w:rPr>
        <w:t>129</w:t>
      </w:r>
      <w:r w:rsidRPr="00251925">
        <w:t xml:space="preserve">, 2776–2790, </w:t>
      </w:r>
      <w:hyperlink r:id="rId33" w:history="1">
        <w:r w:rsidRPr="00251925">
          <w:rPr>
            <w:rStyle w:val="Hyperlink"/>
          </w:rPr>
          <w:t>https://doi.org/10.1175/1520-0493(2001)129&lt;2776:DDFOBE&gt;2.0.CO;2</w:t>
        </w:r>
      </w:hyperlink>
      <w:r w:rsidRPr="00251925">
        <w:t>.</w:t>
      </w:r>
    </w:p>
    <w:p w14:paraId="648F89F5" w14:textId="77777777" w:rsidR="00251925" w:rsidRPr="00251925" w:rsidRDefault="00251925" w:rsidP="00834BB9">
      <w:pPr>
        <w:spacing w:line="480" w:lineRule="auto"/>
        <w:ind w:left="475" w:hanging="475"/>
      </w:pPr>
      <w:r w:rsidRPr="00251925">
        <w:t>——, ——, M. Fiorino, S. E. Koch, and S. J. Lord, 2010: Increasing NOAA’s computational capacity to improve global forecast modeling: A NOAA white paper.</w:t>
      </w:r>
    </w:p>
    <w:p w14:paraId="71AC67E6" w14:textId="77777777" w:rsidR="00251925" w:rsidRPr="00251925" w:rsidRDefault="00251925" w:rsidP="00834BB9">
      <w:pPr>
        <w:spacing w:line="480" w:lineRule="auto"/>
        <w:ind w:left="475" w:hanging="475"/>
      </w:pPr>
      <w:r w:rsidRPr="00251925">
        <w:t xml:space="preserve">Hamrud, M., M. Bonavita, and L. Isaksen, 2015: EnKF and Hybrid Gain Ensemble Data Assimilation. Part I: EnKF Implementation. </w:t>
      </w:r>
      <w:r w:rsidRPr="00251925">
        <w:rPr>
          <w:i/>
          <w:iCs/>
        </w:rPr>
        <w:t>Monthly Weather Review</w:t>
      </w:r>
      <w:r w:rsidRPr="00251925">
        <w:t xml:space="preserve">, </w:t>
      </w:r>
      <w:r w:rsidRPr="00251925">
        <w:rPr>
          <w:b/>
          <w:bCs/>
        </w:rPr>
        <w:t>143</w:t>
      </w:r>
      <w:r w:rsidRPr="00251925">
        <w:t xml:space="preserve">, 4847–4864, </w:t>
      </w:r>
      <w:hyperlink r:id="rId34" w:history="1">
        <w:r w:rsidRPr="00251925">
          <w:rPr>
            <w:rStyle w:val="Hyperlink"/>
          </w:rPr>
          <w:t>https://doi.org/10.1175/MWR-D-14-00333.1</w:t>
        </w:r>
      </w:hyperlink>
      <w:r w:rsidRPr="00251925">
        <w:t>.</w:t>
      </w:r>
    </w:p>
    <w:p w14:paraId="7E1AD1F8" w14:textId="77777777" w:rsidR="00251925" w:rsidRPr="00251925" w:rsidRDefault="00251925" w:rsidP="00834BB9">
      <w:pPr>
        <w:spacing w:line="480" w:lineRule="auto"/>
        <w:ind w:left="475" w:hanging="475"/>
      </w:pPr>
      <w:r w:rsidRPr="00251925">
        <w:t>Harris, L., X. Chen, W. M. Putman, L. Zhou, and J.-H. Chen, 2021: A Scientific Description of the GFDL Finite-Volume Cubed-Sphere Dynamical Core.</w:t>
      </w:r>
    </w:p>
    <w:p w14:paraId="65F61B31" w14:textId="77777777" w:rsidR="00251925" w:rsidRPr="00251925" w:rsidRDefault="00251925" w:rsidP="00834BB9">
      <w:pPr>
        <w:spacing w:line="480" w:lineRule="auto"/>
        <w:ind w:left="475" w:hanging="475"/>
      </w:pPr>
      <w:r w:rsidRPr="00251925">
        <w:t xml:space="preserve">Hayden, C. M., and R. J. Purser, 1995: Recursive Filter Objective Analysis of Meteorological Fields: Applications to NESDIS Operational Processing. </w:t>
      </w:r>
      <w:r w:rsidRPr="00251925">
        <w:rPr>
          <w:i/>
          <w:iCs/>
        </w:rPr>
        <w:t>Journal of Applied Meteorology and Climatology</w:t>
      </w:r>
      <w:r w:rsidRPr="00251925">
        <w:t xml:space="preserve">, </w:t>
      </w:r>
      <w:r w:rsidRPr="00251925">
        <w:rPr>
          <w:b/>
          <w:bCs/>
        </w:rPr>
        <w:t>34</w:t>
      </w:r>
      <w:r w:rsidRPr="00251925">
        <w:t xml:space="preserve">, 3–15, </w:t>
      </w:r>
      <w:hyperlink r:id="rId35" w:history="1">
        <w:r w:rsidRPr="00251925">
          <w:rPr>
            <w:rStyle w:val="Hyperlink"/>
          </w:rPr>
          <w:t>https://doi.org/10.1175/1520-0450-34.1.3</w:t>
        </w:r>
      </w:hyperlink>
      <w:r w:rsidRPr="00251925">
        <w:t>.</w:t>
      </w:r>
    </w:p>
    <w:p w14:paraId="2D7E09A2" w14:textId="77777777" w:rsidR="00251925" w:rsidRPr="00251925" w:rsidRDefault="00251925" w:rsidP="00834BB9">
      <w:pPr>
        <w:spacing w:line="480" w:lineRule="auto"/>
        <w:ind w:left="475" w:hanging="475"/>
      </w:pPr>
      <w:r w:rsidRPr="00251925">
        <w:t>Hollis, M., 2021: Global Analysis of Characteristics of Tropical Easterly Waves and Related Precipitation.</w:t>
      </w:r>
    </w:p>
    <w:p w14:paraId="574455BB" w14:textId="77777777" w:rsidR="00251925" w:rsidRPr="00251925" w:rsidRDefault="00251925" w:rsidP="00834BB9">
      <w:pPr>
        <w:spacing w:line="480" w:lineRule="auto"/>
        <w:ind w:left="475" w:hanging="475"/>
      </w:pPr>
      <w:r w:rsidRPr="00251925">
        <w:lastRenderedPageBreak/>
        <w:t xml:space="preserve">Houtekamer, P. L., and H. L. Mitchell, 1998: Data Assimilation Using an Ensemble Kalman Filter Technique. </w:t>
      </w:r>
      <w:r w:rsidRPr="00251925">
        <w:rPr>
          <w:i/>
          <w:iCs/>
        </w:rPr>
        <w:t>Monthly Weather Review</w:t>
      </w:r>
      <w:r w:rsidRPr="00251925">
        <w:t xml:space="preserve">, </w:t>
      </w:r>
      <w:r w:rsidRPr="00251925">
        <w:rPr>
          <w:b/>
          <w:bCs/>
        </w:rPr>
        <w:t>126</w:t>
      </w:r>
      <w:r w:rsidRPr="00251925">
        <w:t xml:space="preserve">, 796–811, </w:t>
      </w:r>
      <w:hyperlink r:id="rId36" w:history="1">
        <w:r w:rsidRPr="00251925">
          <w:rPr>
            <w:rStyle w:val="Hyperlink"/>
          </w:rPr>
          <w:t>https://doi.org/10.1175/1520-0493(1998)126&lt;0796:DAUAEK&gt;2.0.CO;2</w:t>
        </w:r>
      </w:hyperlink>
      <w:r w:rsidRPr="00251925">
        <w:t>.</w:t>
      </w:r>
    </w:p>
    <w:p w14:paraId="7399C484" w14:textId="77777777" w:rsidR="00251925" w:rsidRPr="00251925" w:rsidRDefault="00251925" w:rsidP="00834BB9">
      <w:pPr>
        <w:spacing w:line="480" w:lineRule="auto"/>
        <w:ind w:left="475" w:hanging="475"/>
      </w:pPr>
      <w:r w:rsidRPr="00251925">
        <w:t xml:space="preserve">——, and ——, 2001: A Sequential Ensemble Kalman Filter for Atmospheric Data Assimilation. </w:t>
      </w:r>
      <w:r w:rsidRPr="00251925">
        <w:rPr>
          <w:i/>
          <w:iCs/>
        </w:rPr>
        <w:t>Monthly Weather Review</w:t>
      </w:r>
      <w:r w:rsidRPr="00251925">
        <w:t xml:space="preserve">, </w:t>
      </w:r>
      <w:r w:rsidRPr="00251925">
        <w:rPr>
          <w:b/>
          <w:bCs/>
        </w:rPr>
        <w:t>129</w:t>
      </w:r>
      <w:r w:rsidRPr="00251925">
        <w:t xml:space="preserve">, 123–137, </w:t>
      </w:r>
      <w:hyperlink r:id="rId37" w:history="1">
        <w:r w:rsidRPr="00251925">
          <w:rPr>
            <w:rStyle w:val="Hyperlink"/>
          </w:rPr>
          <w:t>https://doi.org/10.1175/1520-0493(2001)129&lt;0123:ASEKFF&gt;2.0.CO;2</w:t>
        </w:r>
      </w:hyperlink>
      <w:r w:rsidRPr="00251925">
        <w:t>.</w:t>
      </w:r>
    </w:p>
    <w:p w14:paraId="6D14F722" w14:textId="77777777" w:rsidR="00251925" w:rsidRPr="00251925" w:rsidRDefault="00251925" w:rsidP="00834BB9">
      <w:pPr>
        <w:spacing w:line="480" w:lineRule="auto"/>
        <w:ind w:left="475" w:hanging="475"/>
      </w:pPr>
      <w:r w:rsidRPr="00251925">
        <w:t xml:space="preserve">——, and F. Zhang, 2016: Review of the Ensemble Kalman Filter for Atmospheric Data Assimilation. </w:t>
      </w:r>
      <w:r w:rsidRPr="00251925">
        <w:rPr>
          <w:i/>
          <w:iCs/>
        </w:rPr>
        <w:t>Monthly Weather Review</w:t>
      </w:r>
      <w:r w:rsidRPr="00251925">
        <w:t xml:space="preserve">, </w:t>
      </w:r>
      <w:r w:rsidRPr="00251925">
        <w:rPr>
          <w:b/>
          <w:bCs/>
        </w:rPr>
        <w:t>144</w:t>
      </w:r>
      <w:r w:rsidRPr="00251925">
        <w:t xml:space="preserve">, 4489–4532, </w:t>
      </w:r>
      <w:hyperlink r:id="rId38" w:history="1">
        <w:r w:rsidRPr="00251925">
          <w:rPr>
            <w:rStyle w:val="Hyperlink"/>
          </w:rPr>
          <w:t>https://doi.org/10.1175/MWR-D-15-0440.1</w:t>
        </w:r>
      </w:hyperlink>
      <w:r w:rsidRPr="00251925">
        <w:t>.</w:t>
      </w:r>
    </w:p>
    <w:p w14:paraId="5859C4DE" w14:textId="77777777" w:rsidR="00251925" w:rsidRPr="00251925" w:rsidRDefault="00251925" w:rsidP="00834BB9">
      <w:pPr>
        <w:spacing w:line="480" w:lineRule="auto"/>
        <w:ind w:left="475" w:hanging="475"/>
      </w:pPr>
      <w:r w:rsidRPr="00251925">
        <w:t xml:space="preserve">——, X. Deng, H. L. Mitchell, S.-J. Baek, and N. Gagnon, 2014: Higher Resolution in an Operational Ensemble Kalman Filter. </w:t>
      </w:r>
      <w:r w:rsidRPr="00251925">
        <w:rPr>
          <w:i/>
          <w:iCs/>
        </w:rPr>
        <w:t>Monthly Weather Review</w:t>
      </w:r>
      <w:r w:rsidRPr="00251925">
        <w:t xml:space="preserve">, </w:t>
      </w:r>
      <w:r w:rsidRPr="00251925">
        <w:rPr>
          <w:b/>
          <w:bCs/>
        </w:rPr>
        <w:t>142</w:t>
      </w:r>
      <w:r w:rsidRPr="00251925">
        <w:t xml:space="preserve">, 1143–1162, </w:t>
      </w:r>
      <w:hyperlink r:id="rId39" w:history="1">
        <w:r w:rsidRPr="00251925">
          <w:rPr>
            <w:rStyle w:val="Hyperlink"/>
          </w:rPr>
          <w:t>https://doi.org/10.1175/MWR-D-13-00138.1</w:t>
        </w:r>
      </w:hyperlink>
      <w:r w:rsidRPr="00251925">
        <w:t>.</w:t>
      </w:r>
    </w:p>
    <w:p w14:paraId="06E259AF" w14:textId="77777777" w:rsidR="00251925" w:rsidRPr="00251925" w:rsidRDefault="00251925" w:rsidP="00834BB9">
      <w:pPr>
        <w:spacing w:line="480" w:lineRule="auto"/>
        <w:ind w:left="475" w:hanging="475"/>
      </w:pPr>
      <w:r w:rsidRPr="00251925">
        <w:t xml:space="preserve">Huang, B., and X. Wang, 2018: On the Use of Cost-Effective Valid-Time-Shifting (VTS) Method to Increase Ensemble Size in the GFS Hybrid 4DEnVar System. </w:t>
      </w:r>
      <w:r w:rsidRPr="00251925">
        <w:rPr>
          <w:i/>
          <w:iCs/>
        </w:rPr>
        <w:t>Monthly Weather Review</w:t>
      </w:r>
      <w:r w:rsidRPr="00251925">
        <w:t xml:space="preserve">, </w:t>
      </w:r>
      <w:r w:rsidRPr="00251925">
        <w:rPr>
          <w:b/>
          <w:bCs/>
        </w:rPr>
        <w:t>146</w:t>
      </w:r>
      <w:r w:rsidRPr="00251925">
        <w:t xml:space="preserve">, 2973–2998, </w:t>
      </w:r>
      <w:hyperlink r:id="rId40" w:history="1">
        <w:r w:rsidRPr="00251925">
          <w:rPr>
            <w:rStyle w:val="Hyperlink"/>
          </w:rPr>
          <w:t>https://doi.org/10.1175/MWR-D-18-0009.1</w:t>
        </w:r>
      </w:hyperlink>
      <w:r w:rsidRPr="00251925">
        <w:t>.</w:t>
      </w:r>
    </w:p>
    <w:p w14:paraId="34974AAB" w14:textId="77777777" w:rsidR="00251925" w:rsidRPr="00251925" w:rsidRDefault="00251925" w:rsidP="00834BB9">
      <w:pPr>
        <w:spacing w:line="480" w:lineRule="auto"/>
        <w:ind w:left="475" w:hanging="475"/>
      </w:pPr>
      <w:r w:rsidRPr="00251925">
        <w:t xml:space="preserve">——, ——, D. T. Kleist, and T. Lei, 2021: A Simultaneous Multiscale Data Assimilation Using Scale-Dependent Localization in GSI-Based Hybrid 4DEnVar for NCEP FV3-Based GFS. </w:t>
      </w:r>
      <w:r w:rsidRPr="00251925">
        <w:rPr>
          <w:i/>
          <w:iCs/>
        </w:rPr>
        <w:t>Monthly Weather Review</w:t>
      </w:r>
      <w:r w:rsidRPr="00251925">
        <w:t xml:space="preserve">, </w:t>
      </w:r>
      <w:r w:rsidRPr="00251925">
        <w:rPr>
          <w:b/>
          <w:bCs/>
        </w:rPr>
        <w:t>149</w:t>
      </w:r>
      <w:r w:rsidRPr="00251925">
        <w:t xml:space="preserve">, 479–501, </w:t>
      </w:r>
      <w:hyperlink r:id="rId41" w:history="1">
        <w:r w:rsidRPr="00251925">
          <w:rPr>
            <w:rStyle w:val="Hyperlink"/>
          </w:rPr>
          <w:t>https://doi.org/10.1175/MWR-D-20-0166.1</w:t>
        </w:r>
      </w:hyperlink>
      <w:r w:rsidRPr="00251925">
        <w:t>.</w:t>
      </w:r>
    </w:p>
    <w:p w14:paraId="2B184F86" w14:textId="77777777" w:rsidR="00251925" w:rsidRPr="00251925" w:rsidRDefault="00251925" w:rsidP="00834BB9">
      <w:pPr>
        <w:spacing w:line="480" w:lineRule="auto"/>
        <w:ind w:left="475" w:hanging="475"/>
      </w:pPr>
      <w:r w:rsidRPr="00251925">
        <w:t xml:space="preserve">Hunt, B. R., E. J. Kostelich, and I. Szunyogh, 2007: Efficient data assimilation for spatiotemporal chaos: A local ensemble transform Kalman filter. </w:t>
      </w:r>
      <w:r w:rsidRPr="00251925">
        <w:rPr>
          <w:i/>
          <w:iCs/>
        </w:rPr>
        <w:t>Physica D: Nonlinear Phenomena</w:t>
      </w:r>
      <w:r w:rsidRPr="00251925">
        <w:t xml:space="preserve">, </w:t>
      </w:r>
      <w:r w:rsidRPr="00251925">
        <w:rPr>
          <w:b/>
          <w:bCs/>
        </w:rPr>
        <w:t>230</w:t>
      </w:r>
      <w:r w:rsidRPr="00251925">
        <w:t xml:space="preserve">, 112–126, </w:t>
      </w:r>
      <w:hyperlink r:id="rId42" w:history="1">
        <w:r w:rsidRPr="00251925">
          <w:rPr>
            <w:rStyle w:val="Hyperlink"/>
          </w:rPr>
          <w:t>https://doi.org/10.1016/j.physd.2006.11.008</w:t>
        </w:r>
      </w:hyperlink>
      <w:r w:rsidRPr="00251925">
        <w:t>.</w:t>
      </w:r>
    </w:p>
    <w:p w14:paraId="5EAF9381" w14:textId="584E5C68" w:rsidR="00251925" w:rsidRDefault="00251925" w:rsidP="00834BB9">
      <w:pPr>
        <w:spacing w:line="480" w:lineRule="auto"/>
        <w:ind w:left="475" w:hanging="475"/>
      </w:pPr>
      <w:r w:rsidRPr="00251925">
        <w:lastRenderedPageBreak/>
        <w:t xml:space="preserve">JCSDA, 2018: Data assimilation in the next generation global prediction system (NGGPS) Era: Initial implementation of FV3-based Global Forecast System (GFS). 34 pp., </w:t>
      </w:r>
      <w:hyperlink r:id="rId43" w:history="1">
        <w:r w:rsidRPr="00251925">
          <w:rPr>
            <w:rStyle w:val="Hyperlink"/>
          </w:rPr>
          <w:t>https://doi.org/10.25923/JW00-R987</w:t>
        </w:r>
      </w:hyperlink>
      <w:r w:rsidRPr="00251925">
        <w:t>.</w:t>
      </w:r>
    </w:p>
    <w:p w14:paraId="513BE2D0" w14:textId="29192F9C" w:rsidR="00565783" w:rsidRPr="00251925" w:rsidRDefault="00565783" w:rsidP="00565783">
      <w:pPr>
        <w:spacing w:line="480" w:lineRule="auto"/>
        <w:ind w:left="475" w:hanging="475"/>
      </w:pPr>
      <w:r w:rsidRPr="00565783">
        <w:t xml:space="preserve">Ji, M., 2016: </w:t>
      </w:r>
      <w:r w:rsidRPr="00565783">
        <w:rPr>
          <w:i/>
          <w:iCs/>
        </w:rPr>
        <w:t>Dynamical Core Evaluation Test Report for NOAA’s Next Generation Global Prediction System (NGGPS)</w:t>
      </w:r>
      <w:r w:rsidRPr="00565783">
        <w:t xml:space="preserve">. NOAA, </w:t>
      </w:r>
      <w:hyperlink r:id="rId44" w:history="1">
        <w:r w:rsidRPr="00565783">
          <w:rPr>
            <w:rStyle w:val="Hyperlink"/>
          </w:rPr>
          <w:t>https://www.weather.gov/media/sti/nggps/NGGPS%20Dycore%20Phase%202%20Test%20Report%20website.pdf</w:t>
        </w:r>
      </w:hyperlink>
      <w:r w:rsidRPr="00565783">
        <w:t>.</w:t>
      </w:r>
    </w:p>
    <w:p w14:paraId="10BAB52D" w14:textId="77777777" w:rsidR="00251925" w:rsidRPr="00251925" w:rsidRDefault="00251925" w:rsidP="00834BB9">
      <w:pPr>
        <w:spacing w:line="480" w:lineRule="auto"/>
        <w:ind w:left="475" w:hanging="475"/>
      </w:pPr>
      <w:r w:rsidRPr="00251925">
        <w:t xml:space="preserve">Kay, J., and X. Wang, 2020: A Multiresolution Ensemble Hybrid 4DEnVar for Global Numerical Prediction. </w:t>
      </w:r>
      <w:r w:rsidRPr="00251925">
        <w:rPr>
          <w:i/>
          <w:iCs/>
        </w:rPr>
        <w:t>Monthly Weather Review</w:t>
      </w:r>
      <w:r w:rsidRPr="00251925">
        <w:t xml:space="preserve">, </w:t>
      </w:r>
      <w:r w:rsidRPr="00251925">
        <w:rPr>
          <w:b/>
          <w:bCs/>
        </w:rPr>
        <w:t>148</w:t>
      </w:r>
      <w:r w:rsidRPr="00251925">
        <w:t xml:space="preserve">, 825–847, </w:t>
      </w:r>
      <w:hyperlink r:id="rId45" w:history="1">
        <w:r w:rsidRPr="00251925">
          <w:rPr>
            <w:rStyle w:val="Hyperlink"/>
          </w:rPr>
          <w:t>https://doi.org/10.1175/MWR-D-19-0002.1</w:t>
        </w:r>
      </w:hyperlink>
      <w:r w:rsidRPr="00251925">
        <w:t>.</w:t>
      </w:r>
    </w:p>
    <w:p w14:paraId="65C535BE" w14:textId="77777777" w:rsidR="00251925" w:rsidRPr="00251925" w:rsidRDefault="00251925" w:rsidP="00834BB9">
      <w:pPr>
        <w:spacing w:line="480" w:lineRule="auto"/>
        <w:ind w:left="475" w:hanging="475"/>
      </w:pPr>
      <w:r w:rsidRPr="00251925">
        <w:t xml:space="preserve">Kleist, D. T., and K. Ide, 2015: An OSSE-Based Evaluation of Hybrid Variational–Ensemble Data Assimilation for the NCEP GFS. Part I: System Description and 3D-Hybrid Results. </w:t>
      </w:r>
      <w:r w:rsidRPr="00251925">
        <w:rPr>
          <w:i/>
          <w:iCs/>
        </w:rPr>
        <w:t>Monthly Weather Review</w:t>
      </w:r>
      <w:r w:rsidRPr="00251925">
        <w:t xml:space="preserve">, </w:t>
      </w:r>
      <w:r w:rsidRPr="00251925">
        <w:rPr>
          <w:b/>
          <w:bCs/>
        </w:rPr>
        <w:t>143</w:t>
      </w:r>
      <w:r w:rsidRPr="00251925">
        <w:t xml:space="preserve">, 433–451, </w:t>
      </w:r>
      <w:hyperlink r:id="rId46" w:history="1">
        <w:r w:rsidRPr="00251925">
          <w:rPr>
            <w:rStyle w:val="Hyperlink"/>
          </w:rPr>
          <w:t>https://doi.org/10.1175/MWR-D-13-00351.1</w:t>
        </w:r>
      </w:hyperlink>
      <w:r w:rsidRPr="00251925">
        <w:t>.</w:t>
      </w:r>
    </w:p>
    <w:p w14:paraId="59ABB547" w14:textId="77777777" w:rsidR="00251925" w:rsidRPr="00251925" w:rsidRDefault="00251925" w:rsidP="00834BB9">
      <w:pPr>
        <w:spacing w:line="480" w:lineRule="auto"/>
        <w:ind w:left="475" w:hanging="475"/>
      </w:pPr>
      <w:r w:rsidRPr="00251925">
        <w:t xml:space="preserve">Koteswaram, P., 1958: The Easterly Jet Stream in the Tropics. </w:t>
      </w:r>
      <w:r w:rsidRPr="00251925">
        <w:rPr>
          <w:i/>
          <w:iCs/>
        </w:rPr>
        <w:t>Tellus</w:t>
      </w:r>
      <w:r w:rsidRPr="00251925">
        <w:t xml:space="preserve">, </w:t>
      </w:r>
      <w:r w:rsidRPr="00251925">
        <w:rPr>
          <w:b/>
          <w:bCs/>
        </w:rPr>
        <w:t>10</w:t>
      </w:r>
      <w:r w:rsidRPr="00251925">
        <w:t xml:space="preserve">, 43–57, </w:t>
      </w:r>
      <w:hyperlink r:id="rId47" w:history="1">
        <w:r w:rsidRPr="00251925">
          <w:rPr>
            <w:rStyle w:val="Hyperlink"/>
          </w:rPr>
          <w:t>https://doi.org/10.1111/j.2153-3490.1958.tb01984.x</w:t>
        </w:r>
      </w:hyperlink>
      <w:r w:rsidRPr="00251925">
        <w:t>.</w:t>
      </w:r>
    </w:p>
    <w:p w14:paraId="2B565D47" w14:textId="77777777" w:rsidR="00251925" w:rsidRPr="00251925" w:rsidRDefault="00251925" w:rsidP="00834BB9">
      <w:pPr>
        <w:spacing w:line="480" w:lineRule="auto"/>
        <w:ind w:left="475" w:hanging="475"/>
      </w:pPr>
      <w:r w:rsidRPr="00251925">
        <w:t xml:space="preserve">Landsea, C. W., and W. M. Gray, 1992: The Strong Association between Western Sahelian Monsoon Rainfall and Intense Atlantic Hurricanes. </w:t>
      </w:r>
      <w:r w:rsidRPr="00251925">
        <w:rPr>
          <w:i/>
          <w:iCs/>
        </w:rPr>
        <w:t>Journal of Climate</w:t>
      </w:r>
      <w:r w:rsidRPr="00251925">
        <w:t xml:space="preserve">, </w:t>
      </w:r>
      <w:r w:rsidRPr="00251925">
        <w:rPr>
          <w:b/>
          <w:bCs/>
        </w:rPr>
        <w:t>5</w:t>
      </w:r>
      <w:r w:rsidRPr="00251925">
        <w:t xml:space="preserve">, 435–453, </w:t>
      </w:r>
      <w:hyperlink r:id="rId48" w:history="1">
        <w:r w:rsidRPr="00251925">
          <w:rPr>
            <w:rStyle w:val="Hyperlink"/>
          </w:rPr>
          <w:t>https://doi.org/10.1175/1520-0442(1992)005&lt;0435:TSABWS&gt;2.0.CO;2</w:t>
        </w:r>
      </w:hyperlink>
      <w:r w:rsidRPr="00251925">
        <w:t>.</w:t>
      </w:r>
    </w:p>
    <w:p w14:paraId="2B4549A1" w14:textId="77777777" w:rsidR="00251925" w:rsidRPr="00251925" w:rsidRDefault="00251925" w:rsidP="00834BB9">
      <w:pPr>
        <w:spacing w:line="480" w:lineRule="auto"/>
        <w:ind w:left="475" w:hanging="475"/>
      </w:pPr>
      <w:r w:rsidRPr="00251925">
        <w:t xml:space="preserve">Lei, L., and J. S. Whitaker, 2017: Evaluating the trade-offs between ensemble size and ensemble resolution in an ensemble-variational data assimilation system. </w:t>
      </w:r>
      <w:r w:rsidRPr="00251925">
        <w:rPr>
          <w:i/>
          <w:iCs/>
        </w:rPr>
        <w:t>Journal of Advances in Modeling Earth Systems</w:t>
      </w:r>
      <w:r w:rsidRPr="00251925">
        <w:t xml:space="preserve">, </w:t>
      </w:r>
      <w:r w:rsidRPr="00251925">
        <w:rPr>
          <w:b/>
          <w:bCs/>
        </w:rPr>
        <w:t>9</w:t>
      </w:r>
      <w:r w:rsidRPr="00251925">
        <w:t xml:space="preserve">, 781–789, </w:t>
      </w:r>
      <w:hyperlink r:id="rId49" w:history="1">
        <w:r w:rsidRPr="00251925">
          <w:rPr>
            <w:rStyle w:val="Hyperlink"/>
          </w:rPr>
          <w:t>https://doi.org/10.1002/2016MS000864</w:t>
        </w:r>
      </w:hyperlink>
      <w:r w:rsidRPr="00251925">
        <w:t>.</w:t>
      </w:r>
    </w:p>
    <w:p w14:paraId="1C26815A" w14:textId="77777777" w:rsidR="00251925" w:rsidRPr="00251925" w:rsidRDefault="00251925" w:rsidP="00834BB9">
      <w:pPr>
        <w:spacing w:line="480" w:lineRule="auto"/>
        <w:ind w:left="475" w:hanging="475"/>
      </w:pPr>
      <w:r w:rsidRPr="00251925">
        <w:lastRenderedPageBreak/>
        <w:t xml:space="preserve">Lin, S.-J., 2004: A “Vertically Lagrangian” Finite-Volume Dynamical Core for Global Models. </w:t>
      </w:r>
      <w:r w:rsidRPr="00251925">
        <w:rPr>
          <w:i/>
          <w:iCs/>
        </w:rPr>
        <w:t>Monthly Weather Review</w:t>
      </w:r>
      <w:r w:rsidRPr="00251925">
        <w:t xml:space="preserve">, </w:t>
      </w:r>
      <w:r w:rsidRPr="00251925">
        <w:rPr>
          <w:b/>
          <w:bCs/>
        </w:rPr>
        <w:t>132</w:t>
      </w:r>
      <w:r w:rsidRPr="00251925">
        <w:t xml:space="preserve">, 2293–2307, </w:t>
      </w:r>
      <w:hyperlink r:id="rId50" w:history="1">
        <w:r w:rsidRPr="00251925">
          <w:rPr>
            <w:rStyle w:val="Hyperlink"/>
          </w:rPr>
          <w:t>https://doi.org/10.1175/1520-0493(2004)132&lt;2293:AVLFDC&gt;2.0.CO;2</w:t>
        </w:r>
      </w:hyperlink>
      <w:r w:rsidRPr="00251925">
        <w:t>.</w:t>
      </w:r>
    </w:p>
    <w:p w14:paraId="0C3D27B3" w14:textId="77777777" w:rsidR="00251925" w:rsidRPr="00251925" w:rsidRDefault="00251925" w:rsidP="00834BB9">
      <w:pPr>
        <w:spacing w:line="480" w:lineRule="auto"/>
        <w:ind w:left="475" w:hanging="475"/>
      </w:pPr>
      <w:r w:rsidRPr="00251925">
        <w:t xml:space="preserve">——, and R. B. Rood, 1996: Multidimensional Flux-Form Semi-Lagrangian Transport Schemes. </w:t>
      </w:r>
      <w:r w:rsidRPr="00251925">
        <w:rPr>
          <w:i/>
          <w:iCs/>
        </w:rPr>
        <w:t>Mon. Wea. Rev.</w:t>
      </w:r>
      <w:r w:rsidRPr="00251925">
        <w:t xml:space="preserve">, </w:t>
      </w:r>
      <w:r w:rsidRPr="00251925">
        <w:rPr>
          <w:b/>
          <w:bCs/>
        </w:rPr>
        <w:t>124</w:t>
      </w:r>
      <w:r w:rsidRPr="00251925">
        <w:t xml:space="preserve">, 2046–2070, </w:t>
      </w:r>
      <w:hyperlink r:id="rId51" w:history="1">
        <w:r w:rsidRPr="00251925">
          <w:rPr>
            <w:rStyle w:val="Hyperlink"/>
          </w:rPr>
          <w:t>https://doi.org/10.1175/1520-0493(1996)124&lt;2046:MFFSLT&gt;2.0.CO;2</w:t>
        </w:r>
      </w:hyperlink>
      <w:r w:rsidRPr="00251925">
        <w:t>.</w:t>
      </w:r>
    </w:p>
    <w:p w14:paraId="2128B4E1" w14:textId="77777777" w:rsidR="00251925" w:rsidRPr="00251925" w:rsidRDefault="00251925" w:rsidP="00834BB9">
      <w:pPr>
        <w:spacing w:line="480" w:lineRule="auto"/>
        <w:ind w:left="475" w:hanging="475"/>
      </w:pPr>
      <w:r w:rsidRPr="00251925">
        <w:t xml:space="preserve">——, and ——, 1997: An explicit flux-form semi-lagrangian shallow-water model on the sphere. </w:t>
      </w:r>
      <w:r w:rsidRPr="00251925">
        <w:rPr>
          <w:i/>
          <w:iCs/>
        </w:rPr>
        <w:t>Q.J Royal Met. Soc.</w:t>
      </w:r>
      <w:r w:rsidRPr="00251925">
        <w:t xml:space="preserve">, </w:t>
      </w:r>
      <w:r w:rsidRPr="00251925">
        <w:rPr>
          <w:b/>
          <w:bCs/>
        </w:rPr>
        <w:t>123</w:t>
      </w:r>
      <w:r w:rsidRPr="00251925">
        <w:t xml:space="preserve">, 2477–2498, </w:t>
      </w:r>
      <w:hyperlink r:id="rId52" w:history="1">
        <w:r w:rsidRPr="00251925">
          <w:rPr>
            <w:rStyle w:val="Hyperlink"/>
          </w:rPr>
          <w:t>https://doi.org/10.1002/qj.49712354416</w:t>
        </w:r>
      </w:hyperlink>
      <w:r w:rsidRPr="00251925">
        <w:t>.</w:t>
      </w:r>
    </w:p>
    <w:p w14:paraId="31AFCDB7" w14:textId="77777777" w:rsidR="00251925" w:rsidRPr="00251925" w:rsidRDefault="00251925" w:rsidP="00834BB9">
      <w:pPr>
        <w:spacing w:line="480" w:lineRule="auto"/>
        <w:ind w:left="475" w:hanging="475"/>
      </w:pPr>
      <w:r w:rsidRPr="00251925">
        <w:t xml:space="preserve">Lorenc, A. C., 2003: The potential of the ensemble Kalman filter for NWP—a comparison with 4D-Var. </w:t>
      </w:r>
      <w:r w:rsidRPr="00251925">
        <w:rPr>
          <w:i/>
          <w:iCs/>
        </w:rPr>
        <w:t>Quarterly Journal of the Royal Meteorological Society</w:t>
      </w:r>
      <w:r w:rsidRPr="00251925">
        <w:t xml:space="preserve">, </w:t>
      </w:r>
      <w:r w:rsidRPr="00251925">
        <w:rPr>
          <w:b/>
          <w:bCs/>
        </w:rPr>
        <w:t>129</w:t>
      </w:r>
      <w:r w:rsidRPr="00251925">
        <w:t xml:space="preserve">, 3183–3203, </w:t>
      </w:r>
      <w:hyperlink r:id="rId53" w:history="1">
        <w:r w:rsidRPr="00251925">
          <w:rPr>
            <w:rStyle w:val="Hyperlink"/>
          </w:rPr>
          <w:t>https://doi.org/10.1256/qj.02.132</w:t>
        </w:r>
      </w:hyperlink>
      <w:r w:rsidRPr="00251925">
        <w:t>.</w:t>
      </w:r>
    </w:p>
    <w:p w14:paraId="4073C53D" w14:textId="77777777" w:rsidR="00251925" w:rsidRPr="00251925" w:rsidRDefault="00251925" w:rsidP="00834BB9">
      <w:pPr>
        <w:spacing w:line="480" w:lineRule="auto"/>
        <w:ind w:left="475" w:hanging="475"/>
      </w:pPr>
      <w:r w:rsidRPr="00251925">
        <w:t xml:space="preserve">——, N. E. Bowler, A. M. Clayton, S. R. Pring, and D. Fairbairn, 2015: Comparison of Hybrid-4DEnVar and Hybrid-4DVar Data Assimilation Methods for Global NWP. </w:t>
      </w:r>
      <w:r w:rsidRPr="00251925">
        <w:rPr>
          <w:i/>
          <w:iCs/>
        </w:rPr>
        <w:t>Monthly Weather Review</w:t>
      </w:r>
      <w:r w:rsidRPr="00251925">
        <w:t xml:space="preserve">, </w:t>
      </w:r>
      <w:r w:rsidRPr="00251925">
        <w:rPr>
          <w:b/>
          <w:bCs/>
        </w:rPr>
        <w:t>143</w:t>
      </w:r>
      <w:r w:rsidRPr="00251925">
        <w:t xml:space="preserve">, 212–229, </w:t>
      </w:r>
      <w:hyperlink r:id="rId54" w:history="1">
        <w:r w:rsidRPr="00251925">
          <w:rPr>
            <w:rStyle w:val="Hyperlink"/>
          </w:rPr>
          <w:t>https://doi.org/10.1175/MWR-D-14-00195.1</w:t>
        </w:r>
      </w:hyperlink>
      <w:r w:rsidRPr="00251925">
        <w:t>.</w:t>
      </w:r>
    </w:p>
    <w:p w14:paraId="3462943F" w14:textId="77777777" w:rsidR="00251925" w:rsidRPr="00251925" w:rsidRDefault="00251925" w:rsidP="00834BB9">
      <w:pPr>
        <w:spacing w:line="480" w:lineRule="auto"/>
        <w:ind w:left="475" w:hanging="475"/>
      </w:pPr>
      <w:r w:rsidRPr="00251925">
        <w:t xml:space="preserve">Lorenz, E. N., 1996: Predictability: a problem partly solved. Vol. 1 of, Seminar on Predictability, Reading, United Kingdom, ECMWF, 1–19 </w:t>
      </w:r>
      <w:hyperlink r:id="rId55" w:history="1">
        <w:r w:rsidRPr="00251925">
          <w:rPr>
            <w:rStyle w:val="Hyperlink"/>
          </w:rPr>
          <w:t>https://www.ecmwf.int/node/10829</w:t>
        </w:r>
      </w:hyperlink>
      <w:r w:rsidRPr="00251925">
        <w:t>.</w:t>
      </w:r>
    </w:p>
    <w:p w14:paraId="44DDFB9E" w14:textId="77777777" w:rsidR="00251925" w:rsidRPr="00251925" w:rsidRDefault="00251925" w:rsidP="00834BB9">
      <w:pPr>
        <w:spacing w:line="480" w:lineRule="auto"/>
        <w:ind w:left="475" w:hanging="475"/>
      </w:pPr>
      <w:r w:rsidRPr="00251925">
        <w:t xml:space="preserve">Lu, X., X. Wang, M. Tong, and V. Tallapragada, 2017: GSI-Based, Continuously Cycled, Dual-Resolution Hybrid Ensemble–Variational Data Assimilation System for HWRF: System Description and Experiments with Edouard (2014). </w:t>
      </w:r>
      <w:r w:rsidRPr="00251925">
        <w:rPr>
          <w:i/>
          <w:iCs/>
        </w:rPr>
        <w:t>Monthly Weather Review</w:t>
      </w:r>
      <w:r w:rsidRPr="00251925">
        <w:t xml:space="preserve">, </w:t>
      </w:r>
      <w:r w:rsidRPr="00251925">
        <w:rPr>
          <w:b/>
          <w:bCs/>
        </w:rPr>
        <w:t>145</w:t>
      </w:r>
      <w:r w:rsidRPr="00251925">
        <w:t xml:space="preserve">, 4877–4898, </w:t>
      </w:r>
      <w:hyperlink r:id="rId56" w:history="1">
        <w:r w:rsidRPr="00251925">
          <w:rPr>
            <w:rStyle w:val="Hyperlink"/>
          </w:rPr>
          <w:t>https://doi.org/10.1175/MWR-D-17-0068.1</w:t>
        </w:r>
      </w:hyperlink>
      <w:r w:rsidRPr="00251925">
        <w:t>.</w:t>
      </w:r>
    </w:p>
    <w:p w14:paraId="130AC839" w14:textId="77777777" w:rsidR="00251925" w:rsidRPr="00251925" w:rsidRDefault="00251925" w:rsidP="00834BB9">
      <w:pPr>
        <w:spacing w:line="480" w:lineRule="auto"/>
        <w:ind w:left="475" w:hanging="475"/>
      </w:pPr>
      <w:r w:rsidRPr="00251925">
        <w:t xml:space="preserve">Ma, J., Y. Zhu, R. Wobus, and P. Wang, 2012: An effective configuration of ensemble size and horizontal resolution for the NCEP GEFS. </w:t>
      </w:r>
      <w:r w:rsidRPr="00251925">
        <w:rPr>
          <w:i/>
          <w:iCs/>
        </w:rPr>
        <w:t>Adv. Atmos. Sci.</w:t>
      </w:r>
      <w:r w:rsidRPr="00251925">
        <w:t xml:space="preserve">, </w:t>
      </w:r>
      <w:r w:rsidRPr="00251925">
        <w:rPr>
          <w:b/>
          <w:bCs/>
        </w:rPr>
        <w:t>29</w:t>
      </w:r>
      <w:r w:rsidRPr="00251925">
        <w:t xml:space="preserve">, 782–794, </w:t>
      </w:r>
      <w:hyperlink r:id="rId57" w:history="1">
        <w:r w:rsidRPr="00251925">
          <w:rPr>
            <w:rStyle w:val="Hyperlink"/>
          </w:rPr>
          <w:t>https://doi.org/10.1007/s00376-012-1249-y</w:t>
        </w:r>
      </w:hyperlink>
      <w:r w:rsidRPr="00251925">
        <w:t>.</w:t>
      </w:r>
    </w:p>
    <w:p w14:paraId="1FAFF4CC" w14:textId="77777777" w:rsidR="00251925" w:rsidRPr="00251925" w:rsidRDefault="00251925" w:rsidP="00834BB9">
      <w:pPr>
        <w:spacing w:line="480" w:lineRule="auto"/>
        <w:ind w:left="475" w:hanging="475"/>
      </w:pPr>
      <w:r w:rsidRPr="00251925">
        <w:lastRenderedPageBreak/>
        <w:t xml:space="preserve">Magnusson, L., and E. Källén, 2013: Factors Influencing Skill Improvements in the ECMWF Forecasting System. </w:t>
      </w:r>
      <w:r w:rsidRPr="00251925">
        <w:rPr>
          <w:i/>
          <w:iCs/>
        </w:rPr>
        <w:t>Monthly Weather Review</w:t>
      </w:r>
      <w:r w:rsidRPr="00251925">
        <w:t xml:space="preserve">, </w:t>
      </w:r>
      <w:r w:rsidRPr="00251925">
        <w:rPr>
          <w:b/>
          <w:bCs/>
        </w:rPr>
        <w:t>141</w:t>
      </w:r>
      <w:r w:rsidRPr="00251925">
        <w:t xml:space="preserve">, 3142–3153, </w:t>
      </w:r>
      <w:hyperlink r:id="rId58" w:history="1">
        <w:r w:rsidRPr="00251925">
          <w:rPr>
            <w:rStyle w:val="Hyperlink"/>
          </w:rPr>
          <w:t>https://doi.org/10.1175/MWR-D-12-00318.1</w:t>
        </w:r>
      </w:hyperlink>
      <w:r w:rsidRPr="00251925">
        <w:t>.</w:t>
      </w:r>
    </w:p>
    <w:p w14:paraId="3C4EF187" w14:textId="77777777" w:rsidR="00251925" w:rsidRPr="00251925" w:rsidRDefault="00251925" w:rsidP="00834BB9">
      <w:pPr>
        <w:spacing w:line="480" w:lineRule="auto"/>
        <w:ind w:left="475" w:hanging="475"/>
      </w:pPr>
      <w:r w:rsidRPr="00251925">
        <w:t xml:space="preserve">——, J.-H. Chen, S.-J. Lin, L. Zhou, and X. Chen, 2019: Dependence on initial conditions versus model formulations for medium-range forecast error variations. </w:t>
      </w:r>
      <w:r w:rsidRPr="00251925">
        <w:rPr>
          <w:i/>
          <w:iCs/>
        </w:rPr>
        <w:t>Quarterly Journal of the Royal Meteorological Society</w:t>
      </w:r>
      <w:r w:rsidRPr="00251925">
        <w:t xml:space="preserve">, </w:t>
      </w:r>
      <w:r w:rsidRPr="00251925">
        <w:rPr>
          <w:b/>
          <w:bCs/>
        </w:rPr>
        <w:t>145</w:t>
      </w:r>
      <w:r w:rsidRPr="00251925">
        <w:t xml:space="preserve">, 2085–2100, </w:t>
      </w:r>
      <w:hyperlink r:id="rId59" w:history="1">
        <w:r w:rsidRPr="00251925">
          <w:rPr>
            <w:rStyle w:val="Hyperlink"/>
          </w:rPr>
          <w:t>https://doi.org/10.1002/qj.3545</w:t>
        </w:r>
      </w:hyperlink>
      <w:r w:rsidRPr="00251925">
        <w:t>.</w:t>
      </w:r>
    </w:p>
    <w:p w14:paraId="3B94A375" w14:textId="77777777" w:rsidR="00251925" w:rsidRPr="00251925" w:rsidRDefault="00251925" w:rsidP="00834BB9">
      <w:pPr>
        <w:spacing w:line="480" w:lineRule="auto"/>
        <w:ind w:left="475" w:hanging="475"/>
      </w:pPr>
      <w:r w:rsidRPr="00251925">
        <w:t xml:space="preserve">Marchok, T. P., 2002: How the NCEP tropical cyclone tracker works. </w:t>
      </w:r>
      <w:r w:rsidRPr="00251925">
        <w:rPr>
          <w:i/>
          <w:iCs/>
        </w:rPr>
        <w:t>Preprints</w:t>
      </w:r>
      <w:r w:rsidRPr="00251925">
        <w:t xml:space="preserve">, Vol. P1.13 of, 25th Conf. on Hurricanes and Tropical Meteorology, San Diego, CA, Amer. Meteor. Soc. </w:t>
      </w:r>
      <w:hyperlink r:id="rId60" w:history="1">
        <w:r w:rsidRPr="00251925">
          <w:rPr>
            <w:rStyle w:val="Hyperlink"/>
          </w:rPr>
          <w:t>http://ams.confex.com/ams/pdfpapers/37628.pdf</w:t>
        </w:r>
      </w:hyperlink>
      <w:r w:rsidRPr="00251925">
        <w:t>.</w:t>
      </w:r>
    </w:p>
    <w:p w14:paraId="504F8A0F" w14:textId="77777777" w:rsidR="00251925" w:rsidRPr="00251925" w:rsidRDefault="00251925" w:rsidP="00834BB9">
      <w:pPr>
        <w:spacing w:line="480" w:lineRule="auto"/>
        <w:ind w:left="475" w:hanging="475"/>
      </w:pPr>
      <w:r w:rsidRPr="00251925">
        <w:t xml:space="preserve">Miyoshi, T., and K. Kondo, 2013: A Multi-Scale Localization Approach to an Ensemble Kalman filter. </w:t>
      </w:r>
      <w:r w:rsidRPr="00251925">
        <w:rPr>
          <w:i/>
          <w:iCs/>
        </w:rPr>
        <w:t>Sola</w:t>
      </w:r>
      <w:r w:rsidRPr="00251925">
        <w:t xml:space="preserve">, </w:t>
      </w:r>
      <w:r w:rsidRPr="00251925">
        <w:rPr>
          <w:b/>
          <w:bCs/>
        </w:rPr>
        <w:t>9</w:t>
      </w:r>
      <w:r w:rsidRPr="00251925">
        <w:t xml:space="preserve">, 170–173, </w:t>
      </w:r>
      <w:hyperlink r:id="rId61" w:history="1">
        <w:r w:rsidRPr="00251925">
          <w:rPr>
            <w:rStyle w:val="Hyperlink"/>
          </w:rPr>
          <w:t>https://doi.org/10.2151/sola.2013-038</w:t>
        </w:r>
      </w:hyperlink>
      <w:r w:rsidRPr="00251925">
        <w:t>.</w:t>
      </w:r>
    </w:p>
    <w:p w14:paraId="16703107" w14:textId="77777777" w:rsidR="00251925" w:rsidRPr="00251925" w:rsidRDefault="00251925" w:rsidP="00834BB9">
      <w:pPr>
        <w:spacing w:line="480" w:lineRule="auto"/>
        <w:ind w:left="475" w:hanging="475"/>
      </w:pPr>
      <w:r w:rsidRPr="00251925">
        <w:t xml:space="preserve">——, ——, and T. Imamura, 2014: The 10,240-member ensemble Kalman filtering with an intermediate AGCM. </w:t>
      </w:r>
      <w:r w:rsidRPr="00251925">
        <w:rPr>
          <w:i/>
          <w:iCs/>
        </w:rPr>
        <w:t>Geophysical Research Letters</w:t>
      </w:r>
      <w:r w:rsidRPr="00251925">
        <w:t xml:space="preserve">, </w:t>
      </w:r>
      <w:r w:rsidRPr="00251925">
        <w:rPr>
          <w:b/>
          <w:bCs/>
        </w:rPr>
        <w:t>41</w:t>
      </w:r>
      <w:r w:rsidRPr="00251925">
        <w:t xml:space="preserve">, 5264–5271, </w:t>
      </w:r>
      <w:hyperlink r:id="rId62" w:history="1">
        <w:r w:rsidRPr="00251925">
          <w:rPr>
            <w:rStyle w:val="Hyperlink"/>
          </w:rPr>
          <w:t>https://doi.org/10.1002/2014GL060863</w:t>
        </w:r>
      </w:hyperlink>
      <w:r w:rsidRPr="00251925">
        <w:t>.</w:t>
      </w:r>
    </w:p>
    <w:p w14:paraId="69158945" w14:textId="77777777" w:rsidR="00251925" w:rsidRPr="00251925" w:rsidRDefault="00251925" w:rsidP="00834BB9">
      <w:pPr>
        <w:spacing w:line="480" w:lineRule="auto"/>
        <w:ind w:left="475" w:hanging="475"/>
      </w:pPr>
      <w:r w:rsidRPr="00251925">
        <w:t xml:space="preserve">Mullen, S. L., and R. Buizza, 2002: The Impact of Horizontal Resolution and Ensemble Size on Probabilistic Forecasts of Precipitation by the ECMWF Ensemble Prediction System. </w:t>
      </w:r>
      <w:r w:rsidRPr="00251925">
        <w:rPr>
          <w:i/>
          <w:iCs/>
        </w:rPr>
        <w:t>Weather and Forecasting</w:t>
      </w:r>
      <w:r w:rsidRPr="00251925">
        <w:t xml:space="preserve">, </w:t>
      </w:r>
      <w:r w:rsidRPr="00251925">
        <w:rPr>
          <w:b/>
          <w:bCs/>
        </w:rPr>
        <w:t>17</w:t>
      </w:r>
      <w:r w:rsidRPr="00251925">
        <w:t xml:space="preserve">, 173–191, </w:t>
      </w:r>
      <w:hyperlink r:id="rId63" w:history="1">
        <w:r w:rsidRPr="00251925">
          <w:rPr>
            <w:rStyle w:val="Hyperlink"/>
          </w:rPr>
          <w:t>https://doi.org/10.1175/1520-0434(2002)017&lt;0173:TIOHRA&gt;2.0.CO;2</w:t>
        </w:r>
      </w:hyperlink>
      <w:r w:rsidRPr="00251925">
        <w:t>.</w:t>
      </w:r>
    </w:p>
    <w:p w14:paraId="7A4010F4" w14:textId="77777777" w:rsidR="00251925" w:rsidRPr="00251925" w:rsidRDefault="00251925" w:rsidP="00834BB9">
      <w:pPr>
        <w:spacing w:line="480" w:lineRule="auto"/>
        <w:ind w:left="475" w:hanging="475"/>
      </w:pPr>
      <w:r w:rsidRPr="00251925">
        <w:t xml:space="preserve">Pellerin, G., L. Lefaivre, P. Houtekamer, and C. Girard, 2003: Increasing the horizontal resolution of ensemble forecasts at CMC. </w:t>
      </w:r>
      <w:r w:rsidRPr="00251925">
        <w:rPr>
          <w:i/>
          <w:iCs/>
        </w:rPr>
        <w:t>Nonlinear Processes in Geophysics</w:t>
      </w:r>
      <w:r w:rsidRPr="00251925">
        <w:t xml:space="preserve">, </w:t>
      </w:r>
      <w:r w:rsidRPr="00251925">
        <w:rPr>
          <w:b/>
          <w:bCs/>
        </w:rPr>
        <w:t>10</w:t>
      </w:r>
      <w:r w:rsidRPr="00251925">
        <w:t xml:space="preserve">, 463–468, </w:t>
      </w:r>
      <w:hyperlink r:id="rId64" w:history="1">
        <w:r w:rsidRPr="00251925">
          <w:rPr>
            <w:rStyle w:val="Hyperlink"/>
          </w:rPr>
          <w:t>https://doi.org/10.5194/npg-10-463-2003</w:t>
        </w:r>
      </w:hyperlink>
      <w:r w:rsidRPr="00251925">
        <w:t>.</w:t>
      </w:r>
    </w:p>
    <w:p w14:paraId="06D74845" w14:textId="77777777" w:rsidR="00251925" w:rsidRPr="00251925" w:rsidRDefault="00251925" w:rsidP="00834BB9">
      <w:pPr>
        <w:spacing w:line="480" w:lineRule="auto"/>
        <w:ind w:left="475" w:hanging="475"/>
      </w:pPr>
      <w:r w:rsidRPr="00251925">
        <w:t xml:space="preserve">Putman, W. M., and S.-J. Lin, 2007: Finite-volume transport on various cubed-sphere grids. </w:t>
      </w:r>
      <w:r w:rsidRPr="00251925">
        <w:rPr>
          <w:i/>
          <w:iCs/>
        </w:rPr>
        <w:t>Journal of Computational Physics</w:t>
      </w:r>
      <w:r w:rsidRPr="00251925">
        <w:t xml:space="preserve">, </w:t>
      </w:r>
      <w:r w:rsidRPr="00251925">
        <w:rPr>
          <w:b/>
          <w:bCs/>
        </w:rPr>
        <w:t>227</w:t>
      </w:r>
      <w:r w:rsidRPr="00251925">
        <w:t xml:space="preserve">, 55–78, </w:t>
      </w:r>
      <w:hyperlink r:id="rId65" w:history="1">
        <w:r w:rsidRPr="00251925">
          <w:rPr>
            <w:rStyle w:val="Hyperlink"/>
          </w:rPr>
          <w:t>https://doi.org/10.1016/j.jcp.2007.07.022</w:t>
        </w:r>
      </w:hyperlink>
      <w:r w:rsidRPr="00251925">
        <w:t>.</w:t>
      </w:r>
    </w:p>
    <w:p w14:paraId="0BFC3AA3" w14:textId="77777777" w:rsidR="00251925" w:rsidRPr="00251925" w:rsidRDefault="00251925" w:rsidP="00834BB9">
      <w:pPr>
        <w:spacing w:line="480" w:lineRule="auto"/>
        <w:ind w:left="475" w:hanging="475"/>
      </w:pPr>
      <w:r w:rsidRPr="00251925">
        <w:lastRenderedPageBreak/>
        <w:t xml:space="preserve">Rainwater, S., and B. Hunt, 2013: Mixed-Resolution Ensemble Data Assimilation. </w:t>
      </w:r>
      <w:r w:rsidRPr="00251925">
        <w:rPr>
          <w:i/>
          <w:iCs/>
        </w:rPr>
        <w:t>Monthly Weather Review</w:t>
      </w:r>
      <w:r w:rsidRPr="00251925">
        <w:t xml:space="preserve">, </w:t>
      </w:r>
      <w:r w:rsidRPr="00251925">
        <w:rPr>
          <w:b/>
          <w:bCs/>
        </w:rPr>
        <w:t>141</w:t>
      </w:r>
      <w:r w:rsidRPr="00251925">
        <w:t xml:space="preserve">, 3007–3021, </w:t>
      </w:r>
      <w:hyperlink r:id="rId66" w:history="1">
        <w:r w:rsidRPr="00251925">
          <w:rPr>
            <w:rStyle w:val="Hyperlink"/>
          </w:rPr>
          <w:t>https://doi.org/10.1175/MWR-D-12-00234.1</w:t>
        </w:r>
      </w:hyperlink>
      <w:r w:rsidRPr="00251925">
        <w:t>.</w:t>
      </w:r>
    </w:p>
    <w:p w14:paraId="66624233" w14:textId="77777777" w:rsidR="00251925" w:rsidRPr="00251925" w:rsidRDefault="00251925" w:rsidP="00834BB9">
      <w:pPr>
        <w:spacing w:line="480" w:lineRule="auto"/>
        <w:ind w:left="475" w:hanging="475"/>
      </w:pPr>
      <w:r w:rsidRPr="00251925">
        <w:t xml:space="preserve">Raynaud, L., and F. Bouttier, 2017: The impact of horizontal resolution and ensemble size for convective-scale probabilistic forecasts. </w:t>
      </w:r>
      <w:r w:rsidRPr="00251925">
        <w:rPr>
          <w:i/>
          <w:iCs/>
        </w:rPr>
        <w:t>Quarterly Journal of the Royal Meteorological Society</w:t>
      </w:r>
      <w:r w:rsidRPr="00251925">
        <w:t xml:space="preserve">, </w:t>
      </w:r>
      <w:r w:rsidRPr="00251925">
        <w:rPr>
          <w:b/>
          <w:bCs/>
        </w:rPr>
        <w:t>143</w:t>
      </w:r>
      <w:r w:rsidRPr="00251925">
        <w:t xml:space="preserve">, 3037–3047, </w:t>
      </w:r>
      <w:hyperlink r:id="rId67" w:history="1">
        <w:r w:rsidRPr="00251925">
          <w:rPr>
            <w:rStyle w:val="Hyperlink"/>
          </w:rPr>
          <w:t>https://doi.org/10.1002/qj.3159</w:t>
        </w:r>
      </w:hyperlink>
      <w:r w:rsidRPr="00251925">
        <w:t>.</w:t>
      </w:r>
    </w:p>
    <w:p w14:paraId="62928733" w14:textId="77777777" w:rsidR="00251925" w:rsidRPr="00251925" w:rsidRDefault="00251925" w:rsidP="00834BB9">
      <w:pPr>
        <w:spacing w:line="480" w:lineRule="auto"/>
        <w:ind w:left="475" w:hanging="475"/>
      </w:pPr>
      <w:r w:rsidRPr="00251925">
        <w:t xml:space="preserve">Reynolds, C. A., J. G. McLay, J. S. Goerss, E. A. Serra, D. Hodyss, and C. R. Sampson, 2011: Impact of Resolution and Design on the U.S. Navy Global Ensemble Performance in the Tropics. </w:t>
      </w:r>
      <w:r w:rsidRPr="00251925">
        <w:rPr>
          <w:i/>
          <w:iCs/>
        </w:rPr>
        <w:t>Monthly Weather Review</w:t>
      </w:r>
      <w:r w:rsidRPr="00251925">
        <w:t xml:space="preserve">, </w:t>
      </w:r>
      <w:r w:rsidRPr="00251925">
        <w:rPr>
          <w:b/>
          <w:bCs/>
        </w:rPr>
        <w:t>139</w:t>
      </w:r>
      <w:r w:rsidRPr="00251925">
        <w:t xml:space="preserve">, 2145–2155, </w:t>
      </w:r>
      <w:hyperlink r:id="rId68" w:history="1">
        <w:r w:rsidRPr="00251925">
          <w:rPr>
            <w:rStyle w:val="Hyperlink"/>
          </w:rPr>
          <w:t>https://doi.org/10.1175/2011MWR3546.1</w:t>
        </w:r>
      </w:hyperlink>
      <w:r w:rsidRPr="00251925">
        <w:t>.</w:t>
      </w:r>
    </w:p>
    <w:p w14:paraId="2A59A637" w14:textId="77777777" w:rsidR="00251925" w:rsidRPr="00251925" w:rsidRDefault="00251925" w:rsidP="00834BB9">
      <w:pPr>
        <w:spacing w:line="480" w:lineRule="auto"/>
        <w:ind w:left="475" w:hanging="475"/>
      </w:pPr>
      <w:r w:rsidRPr="00251925">
        <w:t>Thomas, C. A., 2022: Future Plans for NCEP Global Data Assimilation: 2023 and Beyond.</w:t>
      </w:r>
    </w:p>
    <w:p w14:paraId="4C4A5B08" w14:textId="77777777" w:rsidR="00251925" w:rsidRPr="00251925" w:rsidRDefault="00251925" w:rsidP="00834BB9">
      <w:pPr>
        <w:spacing w:line="480" w:lineRule="auto"/>
        <w:ind w:left="475" w:hanging="475"/>
      </w:pPr>
      <w:r w:rsidRPr="00251925">
        <w:t xml:space="preserve">Torrence, C., and G. P. Compo, 1998: A Practical Guide to Wavelet Analysis. </w:t>
      </w:r>
      <w:r w:rsidRPr="00251925">
        <w:rPr>
          <w:i/>
          <w:iCs/>
        </w:rPr>
        <w:t>Bulletin of the American Meteorological Society</w:t>
      </w:r>
      <w:r w:rsidRPr="00251925">
        <w:t xml:space="preserve">, </w:t>
      </w:r>
      <w:r w:rsidRPr="00251925">
        <w:rPr>
          <w:b/>
          <w:bCs/>
        </w:rPr>
        <w:t>79</w:t>
      </w:r>
      <w:r w:rsidRPr="00251925">
        <w:t xml:space="preserve">, 61–78, </w:t>
      </w:r>
      <w:hyperlink r:id="rId69" w:history="1">
        <w:r w:rsidRPr="00251925">
          <w:rPr>
            <w:rStyle w:val="Hyperlink"/>
          </w:rPr>
          <w:t>https://doi.org/10.1175/1520-0477(1998)079&lt;0061:APGTWA&gt;2.0.CO;2</w:t>
        </w:r>
      </w:hyperlink>
      <w:r w:rsidRPr="00251925">
        <w:t>.</w:t>
      </w:r>
    </w:p>
    <w:p w14:paraId="5B930D95" w14:textId="77777777" w:rsidR="00251925" w:rsidRPr="00251925" w:rsidRDefault="00251925" w:rsidP="00834BB9">
      <w:pPr>
        <w:spacing w:line="480" w:lineRule="auto"/>
        <w:ind w:left="475" w:hanging="475"/>
      </w:pPr>
      <w:r w:rsidRPr="00251925">
        <w:t xml:space="preserve">Wang, X., 2010: Incorporating Ensemble Covariance in the Gridpoint Statistical Interpolation Variational Minimization: A Mathematical Framework. </w:t>
      </w:r>
      <w:r w:rsidRPr="00251925">
        <w:rPr>
          <w:i/>
          <w:iCs/>
        </w:rPr>
        <w:t>Monthly Weather Review</w:t>
      </w:r>
      <w:r w:rsidRPr="00251925">
        <w:t xml:space="preserve">, </w:t>
      </w:r>
      <w:r w:rsidRPr="00251925">
        <w:rPr>
          <w:b/>
          <w:bCs/>
        </w:rPr>
        <w:t>138</w:t>
      </w:r>
      <w:r w:rsidRPr="00251925">
        <w:t xml:space="preserve">, 2990–2995, </w:t>
      </w:r>
      <w:hyperlink r:id="rId70" w:history="1">
        <w:r w:rsidRPr="00251925">
          <w:rPr>
            <w:rStyle w:val="Hyperlink"/>
          </w:rPr>
          <w:t>https://doi.org/10.1175/2010MWR3245.1</w:t>
        </w:r>
      </w:hyperlink>
      <w:r w:rsidRPr="00251925">
        <w:t>.</w:t>
      </w:r>
    </w:p>
    <w:p w14:paraId="337CF881" w14:textId="77777777" w:rsidR="00251925" w:rsidRPr="00251925" w:rsidRDefault="00251925" w:rsidP="00834BB9">
      <w:pPr>
        <w:spacing w:line="480" w:lineRule="auto"/>
        <w:ind w:left="475" w:hanging="475"/>
      </w:pPr>
      <w:r w:rsidRPr="00251925">
        <w:t xml:space="preserve">——, and C. H. Bishop, 2003: A Comparison of Breeding and Ensemble Transform Kalman Filter Ensemble Forecast Schemes. </w:t>
      </w:r>
      <w:r w:rsidRPr="00251925">
        <w:rPr>
          <w:i/>
          <w:iCs/>
        </w:rPr>
        <w:t>Journal of the Atmospheric Sciences</w:t>
      </w:r>
      <w:r w:rsidRPr="00251925">
        <w:t xml:space="preserve">, </w:t>
      </w:r>
      <w:r w:rsidRPr="00251925">
        <w:rPr>
          <w:b/>
          <w:bCs/>
        </w:rPr>
        <w:t>60</w:t>
      </w:r>
      <w:r w:rsidRPr="00251925">
        <w:t xml:space="preserve">, 1140–1158, </w:t>
      </w:r>
      <w:hyperlink r:id="rId71" w:history="1">
        <w:r w:rsidRPr="00251925">
          <w:rPr>
            <w:rStyle w:val="Hyperlink"/>
          </w:rPr>
          <w:t>https://doi.org/10.1175/1520-0469(2003)060&lt;1140:ACOBAE&gt;2.0.CO;2</w:t>
        </w:r>
      </w:hyperlink>
      <w:r w:rsidRPr="00251925">
        <w:t>.</w:t>
      </w:r>
    </w:p>
    <w:p w14:paraId="5C562B80" w14:textId="77777777" w:rsidR="00251925" w:rsidRPr="00251925" w:rsidRDefault="00251925" w:rsidP="00834BB9">
      <w:pPr>
        <w:spacing w:line="480" w:lineRule="auto"/>
        <w:ind w:left="475" w:hanging="475"/>
      </w:pPr>
      <w:r w:rsidRPr="00251925">
        <w:t xml:space="preserve">——, and T. Lei, 2014: GSI-Based Four-Dimensional Ensemble–Variational (4DEnsVar) Data Assimilation: Formulation and Single-Resolution Experiments with Real Data for NCEP Global Forecast System. </w:t>
      </w:r>
      <w:r w:rsidRPr="00251925">
        <w:rPr>
          <w:i/>
          <w:iCs/>
        </w:rPr>
        <w:t>Monthly Weather Review</w:t>
      </w:r>
      <w:r w:rsidRPr="00251925">
        <w:t xml:space="preserve">, </w:t>
      </w:r>
      <w:r w:rsidRPr="00251925">
        <w:rPr>
          <w:b/>
          <w:bCs/>
        </w:rPr>
        <w:t>142</w:t>
      </w:r>
      <w:r w:rsidRPr="00251925">
        <w:t xml:space="preserve">, 3303–3325, </w:t>
      </w:r>
      <w:hyperlink r:id="rId72" w:history="1">
        <w:r w:rsidRPr="00251925">
          <w:rPr>
            <w:rStyle w:val="Hyperlink"/>
          </w:rPr>
          <w:t>https://doi.org/10.1175/MWR-D-13-00303.1</w:t>
        </w:r>
      </w:hyperlink>
      <w:r w:rsidRPr="00251925">
        <w:t>.</w:t>
      </w:r>
    </w:p>
    <w:p w14:paraId="70CFC801" w14:textId="77777777" w:rsidR="00251925" w:rsidRPr="00251925" w:rsidRDefault="00251925" w:rsidP="00834BB9">
      <w:pPr>
        <w:spacing w:line="480" w:lineRule="auto"/>
        <w:ind w:left="475" w:hanging="475"/>
      </w:pPr>
      <w:r w:rsidRPr="00251925">
        <w:lastRenderedPageBreak/>
        <w:t xml:space="preserve">——, C. H. Bishop, and S. J. Julier, 2004: Which Is Better, an Ensemble of Positive–Negative Pairs or a Centered Spherical Simplex Ensemble? </w:t>
      </w:r>
      <w:r w:rsidRPr="00251925">
        <w:rPr>
          <w:i/>
          <w:iCs/>
        </w:rPr>
        <w:t>Monthly Weather Review</w:t>
      </w:r>
      <w:r w:rsidRPr="00251925">
        <w:t xml:space="preserve">, </w:t>
      </w:r>
      <w:r w:rsidRPr="00251925">
        <w:rPr>
          <w:b/>
          <w:bCs/>
        </w:rPr>
        <w:t>132</w:t>
      </w:r>
      <w:r w:rsidRPr="00251925">
        <w:t xml:space="preserve">, 1590–1605, </w:t>
      </w:r>
      <w:hyperlink r:id="rId73" w:history="1">
        <w:r w:rsidRPr="00251925">
          <w:rPr>
            <w:rStyle w:val="Hyperlink"/>
          </w:rPr>
          <w:t>https://doi.org/10.1175/1520-0493(2004)132&lt;1590:WIBAEO&gt;2.0.CO;2</w:t>
        </w:r>
      </w:hyperlink>
      <w:r w:rsidRPr="00251925">
        <w:t>.</w:t>
      </w:r>
    </w:p>
    <w:p w14:paraId="6E38CDE4" w14:textId="77777777" w:rsidR="00251925" w:rsidRPr="00251925" w:rsidRDefault="00251925" w:rsidP="00834BB9">
      <w:pPr>
        <w:spacing w:line="480" w:lineRule="auto"/>
        <w:ind w:left="475" w:hanging="475"/>
      </w:pPr>
      <w:r w:rsidRPr="00251925">
        <w:t xml:space="preserve">——, T. M. Hamill, J. S. Whitaker, and C. H. Bishop, 2007a: A Comparison of Hybrid Ensemble Transform Kalman Filter–Optimum Interpolation and Ensemble Square Root Filter Analysis Schemes. </w:t>
      </w:r>
      <w:r w:rsidRPr="00251925">
        <w:rPr>
          <w:i/>
          <w:iCs/>
        </w:rPr>
        <w:t>Monthly Weather Review</w:t>
      </w:r>
      <w:r w:rsidRPr="00251925">
        <w:t xml:space="preserve">, </w:t>
      </w:r>
      <w:r w:rsidRPr="00251925">
        <w:rPr>
          <w:b/>
          <w:bCs/>
        </w:rPr>
        <w:t>135</w:t>
      </w:r>
      <w:r w:rsidRPr="00251925">
        <w:t xml:space="preserve">, 1055–1076, </w:t>
      </w:r>
      <w:hyperlink r:id="rId74" w:history="1">
        <w:r w:rsidRPr="00251925">
          <w:rPr>
            <w:rStyle w:val="Hyperlink"/>
          </w:rPr>
          <w:t>https://doi.org/10.1175/MWR3307.1</w:t>
        </w:r>
      </w:hyperlink>
      <w:r w:rsidRPr="00251925">
        <w:t>.</w:t>
      </w:r>
    </w:p>
    <w:p w14:paraId="143F83AA" w14:textId="77777777" w:rsidR="00251925" w:rsidRPr="00251925" w:rsidRDefault="00251925" w:rsidP="00834BB9">
      <w:pPr>
        <w:spacing w:line="480" w:lineRule="auto"/>
        <w:ind w:left="475" w:hanging="475"/>
      </w:pPr>
      <w:r w:rsidRPr="00251925">
        <w:t xml:space="preserve">——, C. Snyder, and T. M. Hamill, 2007b: On the Theoretical Equivalence of Differently Proposed Ensemble–3DVAR Hybrid Analysis Schemes. </w:t>
      </w:r>
      <w:r w:rsidRPr="00251925">
        <w:rPr>
          <w:i/>
          <w:iCs/>
        </w:rPr>
        <w:t>Monthly Weather Review</w:t>
      </w:r>
      <w:r w:rsidRPr="00251925">
        <w:t xml:space="preserve">, </w:t>
      </w:r>
      <w:r w:rsidRPr="00251925">
        <w:rPr>
          <w:b/>
          <w:bCs/>
        </w:rPr>
        <w:t>135</w:t>
      </w:r>
      <w:r w:rsidRPr="00251925">
        <w:t xml:space="preserve">, 222–227, </w:t>
      </w:r>
      <w:hyperlink r:id="rId75" w:history="1">
        <w:r w:rsidRPr="00251925">
          <w:rPr>
            <w:rStyle w:val="Hyperlink"/>
          </w:rPr>
          <w:t>https://doi.org/10.1175/MWR3282.1</w:t>
        </w:r>
      </w:hyperlink>
      <w:r w:rsidRPr="00251925">
        <w:t>.</w:t>
      </w:r>
    </w:p>
    <w:p w14:paraId="63AAD085" w14:textId="77777777" w:rsidR="00251925" w:rsidRPr="00251925" w:rsidRDefault="00251925" w:rsidP="00834BB9">
      <w:pPr>
        <w:spacing w:line="480" w:lineRule="auto"/>
        <w:ind w:left="475" w:hanging="475"/>
      </w:pPr>
      <w:r w:rsidRPr="00251925">
        <w:t xml:space="preserve">——, T. M. Hamill, J. S. Whitaker, and C. H. Bishop, 2009: A Comparison of the Hybrid and EnSRF Analysis Schemes in the Presence of Model Errors due to Unresolved Scales. </w:t>
      </w:r>
      <w:r w:rsidRPr="00251925">
        <w:rPr>
          <w:i/>
          <w:iCs/>
        </w:rPr>
        <w:t>Monthly Weather Review</w:t>
      </w:r>
      <w:r w:rsidRPr="00251925">
        <w:t xml:space="preserve">, </w:t>
      </w:r>
      <w:r w:rsidRPr="00251925">
        <w:rPr>
          <w:b/>
          <w:bCs/>
        </w:rPr>
        <w:t>137</w:t>
      </w:r>
      <w:r w:rsidRPr="00251925">
        <w:t xml:space="preserve">, 3219–3232, </w:t>
      </w:r>
      <w:hyperlink r:id="rId76" w:history="1">
        <w:r w:rsidRPr="00251925">
          <w:rPr>
            <w:rStyle w:val="Hyperlink"/>
          </w:rPr>
          <w:t>https://doi.org/10.1175/2009MWR2923.1</w:t>
        </w:r>
      </w:hyperlink>
      <w:r w:rsidRPr="00251925">
        <w:t>.</w:t>
      </w:r>
    </w:p>
    <w:p w14:paraId="2B0E6E43" w14:textId="77777777" w:rsidR="00251925" w:rsidRPr="00251925" w:rsidRDefault="00251925" w:rsidP="00834BB9">
      <w:pPr>
        <w:spacing w:line="480" w:lineRule="auto"/>
        <w:ind w:left="475" w:hanging="475"/>
      </w:pPr>
      <w:r w:rsidRPr="00251925">
        <w:t xml:space="preserve">——, D. Parrish, D. Kleist, and J. Whitaker, 2013: GSI 3DVar-Based Ensemble–Variational Hybrid Data Assimilation for NCEP Global Forecast System: Single-Resolution Experiments. </w:t>
      </w:r>
      <w:r w:rsidRPr="00251925">
        <w:rPr>
          <w:i/>
          <w:iCs/>
        </w:rPr>
        <w:t>Monthly Weather Review</w:t>
      </w:r>
      <w:r w:rsidRPr="00251925">
        <w:t xml:space="preserve">, </w:t>
      </w:r>
      <w:r w:rsidRPr="00251925">
        <w:rPr>
          <w:b/>
          <w:bCs/>
        </w:rPr>
        <w:t>141</w:t>
      </w:r>
      <w:r w:rsidRPr="00251925">
        <w:t xml:space="preserve">, 4098–4117, </w:t>
      </w:r>
      <w:hyperlink r:id="rId77" w:history="1">
        <w:r w:rsidRPr="00251925">
          <w:rPr>
            <w:rStyle w:val="Hyperlink"/>
          </w:rPr>
          <w:t>https://doi.org/10.1175/MWR-D-12-00141.1</w:t>
        </w:r>
      </w:hyperlink>
      <w:r w:rsidRPr="00251925">
        <w:t>.</w:t>
      </w:r>
    </w:p>
    <w:p w14:paraId="63A8C20D" w14:textId="77777777" w:rsidR="00251925" w:rsidRPr="00251925" w:rsidRDefault="00251925" w:rsidP="00834BB9">
      <w:pPr>
        <w:spacing w:line="480" w:lineRule="auto"/>
        <w:ind w:left="475" w:hanging="475"/>
      </w:pPr>
      <w:r w:rsidRPr="00251925">
        <w:t xml:space="preserve">——, H. G. Chipilski, C. H. Bishop, E. Satterfield, N. Baker, and J. S. Whitaker, 2021: A Multiscale Local Gain Form Ensemble Transform Kalman Filter (MLGETKF). </w:t>
      </w:r>
      <w:r w:rsidRPr="00251925">
        <w:rPr>
          <w:i/>
          <w:iCs/>
        </w:rPr>
        <w:t>Monthly Weather Review</w:t>
      </w:r>
      <w:r w:rsidRPr="00251925">
        <w:t xml:space="preserve">, </w:t>
      </w:r>
      <w:r w:rsidRPr="00251925">
        <w:rPr>
          <w:b/>
          <w:bCs/>
        </w:rPr>
        <w:t>149</w:t>
      </w:r>
      <w:r w:rsidRPr="00251925">
        <w:t xml:space="preserve">, 605–622, </w:t>
      </w:r>
      <w:hyperlink r:id="rId78" w:history="1">
        <w:r w:rsidRPr="00251925">
          <w:rPr>
            <w:rStyle w:val="Hyperlink"/>
          </w:rPr>
          <w:t>https://doi.org/10.1175/MWR-D-20-0290.1</w:t>
        </w:r>
      </w:hyperlink>
      <w:r w:rsidRPr="00251925">
        <w:t>.</w:t>
      </w:r>
    </w:p>
    <w:p w14:paraId="5C295206" w14:textId="77777777" w:rsidR="00251925" w:rsidRPr="00251925" w:rsidRDefault="00251925" w:rsidP="00834BB9">
      <w:pPr>
        <w:spacing w:line="480" w:lineRule="auto"/>
        <w:ind w:left="475" w:hanging="475"/>
      </w:pPr>
      <w:r w:rsidRPr="00251925">
        <w:t xml:space="preserve">Wang, Y., and X. Wang, 2021: Development of Convective-Scale Static Background Error Covariance within GSI-Based Hybrid EnVar System for Direct Radar Reflectivity Data </w:t>
      </w:r>
      <w:r w:rsidRPr="00251925">
        <w:lastRenderedPageBreak/>
        <w:t xml:space="preserve">Assimilation. </w:t>
      </w:r>
      <w:r w:rsidRPr="00251925">
        <w:rPr>
          <w:i/>
          <w:iCs/>
        </w:rPr>
        <w:t>Monthly Weather Review</w:t>
      </w:r>
      <w:r w:rsidRPr="00251925">
        <w:t xml:space="preserve">, </w:t>
      </w:r>
      <w:r w:rsidRPr="00251925">
        <w:rPr>
          <w:b/>
          <w:bCs/>
        </w:rPr>
        <w:t>149</w:t>
      </w:r>
      <w:r w:rsidRPr="00251925">
        <w:t xml:space="preserve">, 2713–2736, </w:t>
      </w:r>
      <w:hyperlink r:id="rId79" w:history="1">
        <w:r w:rsidRPr="00251925">
          <w:rPr>
            <w:rStyle w:val="Hyperlink"/>
          </w:rPr>
          <w:t>https://doi.org/10.1175/MWR-D-20-0215.1</w:t>
        </w:r>
      </w:hyperlink>
      <w:r w:rsidRPr="00251925">
        <w:t>.</w:t>
      </w:r>
    </w:p>
    <w:p w14:paraId="383CA033" w14:textId="77777777" w:rsidR="00251925" w:rsidRPr="00251925" w:rsidRDefault="00251925" w:rsidP="00834BB9">
      <w:pPr>
        <w:spacing w:line="480" w:lineRule="auto"/>
        <w:ind w:left="475" w:hanging="475"/>
      </w:pPr>
      <w:r w:rsidRPr="00251925">
        <w:t xml:space="preserve">Whitaker, J. S., and T. M. Hamill, 2002: Ensemble Data Assimilation without Perturbed Observations. </w:t>
      </w:r>
      <w:r w:rsidRPr="00251925">
        <w:rPr>
          <w:i/>
          <w:iCs/>
        </w:rPr>
        <w:t>Monthly Weather Review</w:t>
      </w:r>
      <w:r w:rsidRPr="00251925">
        <w:t xml:space="preserve">, </w:t>
      </w:r>
      <w:r w:rsidRPr="00251925">
        <w:rPr>
          <w:b/>
          <w:bCs/>
        </w:rPr>
        <w:t>130</w:t>
      </w:r>
      <w:r w:rsidRPr="00251925">
        <w:t xml:space="preserve">, 1913–1924, </w:t>
      </w:r>
      <w:hyperlink r:id="rId80" w:history="1">
        <w:r w:rsidRPr="00251925">
          <w:rPr>
            <w:rStyle w:val="Hyperlink"/>
          </w:rPr>
          <w:t>https://doi.org/10.1175/1520-0493(2002)130&lt;1913:EDAWPO&gt;2.0.CO;2</w:t>
        </w:r>
      </w:hyperlink>
      <w:r w:rsidRPr="00251925">
        <w:t>.</w:t>
      </w:r>
    </w:p>
    <w:p w14:paraId="08DA8D36" w14:textId="77777777" w:rsidR="00251925" w:rsidRPr="00251925" w:rsidRDefault="00251925" w:rsidP="00834BB9">
      <w:pPr>
        <w:spacing w:line="480" w:lineRule="auto"/>
        <w:ind w:left="475" w:hanging="475"/>
      </w:pPr>
      <w:r w:rsidRPr="00251925">
        <w:t xml:space="preserve">——, and ——, 2012: Evaluating Methods to Account for System Errors in Ensemble Data Assimilation. </w:t>
      </w:r>
      <w:r w:rsidRPr="00251925">
        <w:rPr>
          <w:i/>
          <w:iCs/>
        </w:rPr>
        <w:t>Monthly Weather Review</w:t>
      </w:r>
      <w:r w:rsidRPr="00251925">
        <w:t xml:space="preserve">, </w:t>
      </w:r>
      <w:r w:rsidRPr="00251925">
        <w:rPr>
          <w:b/>
          <w:bCs/>
        </w:rPr>
        <w:t>140</w:t>
      </w:r>
      <w:r w:rsidRPr="00251925">
        <w:t xml:space="preserve">, 3078–3089, </w:t>
      </w:r>
      <w:hyperlink r:id="rId81" w:history="1">
        <w:r w:rsidRPr="00251925">
          <w:rPr>
            <w:rStyle w:val="Hyperlink"/>
          </w:rPr>
          <w:t>https://doi.org/10.1175/MWR-D-11-00276.1</w:t>
        </w:r>
      </w:hyperlink>
      <w:r w:rsidRPr="00251925">
        <w:t>.</w:t>
      </w:r>
    </w:p>
    <w:p w14:paraId="43680B70" w14:textId="77777777" w:rsidR="00251925" w:rsidRPr="00251925" w:rsidRDefault="00251925" w:rsidP="00834BB9">
      <w:pPr>
        <w:spacing w:line="480" w:lineRule="auto"/>
        <w:ind w:left="475" w:hanging="475"/>
      </w:pPr>
      <w:r w:rsidRPr="00251925">
        <w:t xml:space="preserve">Wu, L., and X. Chen, 2016: Revisiting the steering principal of tropical cyclone motion in a numerical experiment. </w:t>
      </w:r>
      <w:r w:rsidRPr="00251925">
        <w:rPr>
          <w:i/>
          <w:iCs/>
        </w:rPr>
        <w:t>Atmospheric Chemistry and Physics</w:t>
      </w:r>
      <w:r w:rsidRPr="00251925">
        <w:t xml:space="preserve">, </w:t>
      </w:r>
      <w:r w:rsidRPr="00251925">
        <w:rPr>
          <w:b/>
          <w:bCs/>
        </w:rPr>
        <w:t>16</w:t>
      </w:r>
      <w:r w:rsidRPr="00251925">
        <w:t xml:space="preserve">, 14925–14936, </w:t>
      </w:r>
      <w:hyperlink r:id="rId82" w:history="1">
        <w:r w:rsidRPr="00251925">
          <w:rPr>
            <w:rStyle w:val="Hyperlink"/>
          </w:rPr>
          <w:t>https://doi.org/10.5194/acp-16-14925-2016</w:t>
        </w:r>
      </w:hyperlink>
      <w:r w:rsidRPr="00251925">
        <w:t>.</w:t>
      </w:r>
    </w:p>
    <w:p w14:paraId="098B91B8" w14:textId="12CDFC9C" w:rsidR="00251925" w:rsidRDefault="00251925" w:rsidP="00834BB9">
      <w:pPr>
        <w:spacing w:line="480" w:lineRule="auto"/>
        <w:ind w:left="475" w:hanging="475"/>
      </w:pPr>
      <w:r w:rsidRPr="00251925">
        <w:t>Yang, F., 2020: GFS Development and Transition to Operations.</w:t>
      </w:r>
    </w:p>
    <w:p w14:paraId="0360AF96" w14:textId="2A7A4A00" w:rsidR="00103FC8" w:rsidRPr="00251925" w:rsidRDefault="00103FC8" w:rsidP="00103FC8">
      <w:pPr>
        <w:spacing w:line="480" w:lineRule="auto"/>
        <w:ind w:left="475" w:hanging="475"/>
      </w:pPr>
      <w:r w:rsidRPr="00103FC8">
        <w:t xml:space="preserve">Yang, S.-C., S.-H. Chen, K. Kondo, T. Miyoshi, Y.-C. Liou, Y.-L. Teng, and H.-L. Chang, 2017: Multilocalization data assimilation for predicting heavy precipitation associated with a multiscale weather system. </w:t>
      </w:r>
      <w:r w:rsidRPr="00103FC8">
        <w:rPr>
          <w:i/>
          <w:iCs/>
        </w:rPr>
        <w:t>Journal of Advances in Modeling Earth Systems</w:t>
      </w:r>
      <w:r w:rsidRPr="00103FC8">
        <w:t xml:space="preserve">, </w:t>
      </w:r>
      <w:r w:rsidRPr="00103FC8">
        <w:rPr>
          <w:b/>
          <w:bCs/>
        </w:rPr>
        <w:t>9</w:t>
      </w:r>
      <w:r w:rsidRPr="00103FC8">
        <w:t xml:space="preserve">, 1684–1702, </w:t>
      </w:r>
      <w:hyperlink r:id="rId83" w:history="1">
        <w:r w:rsidRPr="00103FC8">
          <w:rPr>
            <w:rStyle w:val="Hyperlink"/>
          </w:rPr>
          <w:t>https://doi.org/10.1002/2017MS001009</w:t>
        </w:r>
      </w:hyperlink>
      <w:r w:rsidRPr="00103FC8">
        <w:t>.</w:t>
      </w:r>
    </w:p>
    <w:p w14:paraId="4A620501" w14:textId="77777777" w:rsidR="00251925" w:rsidRPr="00251925" w:rsidRDefault="00251925" w:rsidP="00834BB9">
      <w:pPr>
        <w:spacing w:line="480" w:lineRule="auto"/>
        <w:ind w:left="475" w:hanging="475"/>
      </w:pPr>
      <w:r w:rsidRPr="00251925">
        <w:t xml:space="preserve">Ying, Y., F. Zhang, and J. L. Anderson, 2018: On the Selection of Localization Radius in Ensemble Filtering for Multiscale Quasigeostrophic Dynamics. </w:t>
      </w:r>
      <w:r w:rsidRPr="00251925">
        <w:rPr>
          <w:i/>
          <w:iCs/>
        </w:rPr>
        <w:t>Monthly Weather Review</w:t>
      </w:r>
      <w:r w:rsidRPr="00251925">
        <w:t xml:space="preserve">, </w:t>
      </w:r>
      <w:r w:rsidRPr="00251925">
        <w:rPr>
          <w:b/>
          <w:bCs/>
        </w:rPr>
        <w:t>146</w:t>
      </w:r>
      <w:r w:rsidRPr="00251925">
        <w:t xml:space="preserve">, 543–560, </w:t>
      </w:r>
      <w:hyperlink r:id="rId84" w:history="1">
        <w:r w:rsidRPr="00251925">
          <w:rPr>
            <w:rStyle w:val="Hyperlink"/>
          </w:rPr>
          <w:t>https://doi.org/10.1175/MWR-D-17-0336.1</w:t>
        </w:r>
      </w:hyperlink>
      <w:r w:rsidRPr="00251925">
        <w:t>.</w:t>
      </w:r>
    </w:p>
    <w:p w14:paraId="2D66C3F1" w14:textId="77777777" w:rsidR="00251925" w:rsidRPr="00251925" w:rsidRDefault="00251925" w:rsidP="00834BB9">
      <w:pPr>
        <w:spacing w:line="480" w:lineRule="auto"/>
        <w:ind w:left="475" w:hanging="475"/>
      </w:pPr>
      <w:r w:rsidRPr="00251925">
        <w:t xml:space="preserve">Zhang, F., Y. Weng, J. A. Sippel, Z. Meng, and C. H. Bishop, 2009: Cloud-Resolving Hurricane Initialization and Prediction through Assimilation of Doppler Radar Observations with an Ensemble Kalman Filter. </w:t>
      </w:r>
      <w:r w:rsidRPr="00251925">
        <w:rPr>
          <w:i/>
          <w:iCs/>
        </w:rPr>
        <w:t>Monthly Weather Review</w:t>
      </w:r>
      <w:r w:rsidRPr="00251925">
        <w:t xml:space="preserve">, </w:t>
      </w:r>
      <w:r w:rsidRPr="00251925">
        <w:rPr>
          <w:b/>
          <w:bCs/>
        </w:rPr>
        <w:t>137</w:t>
      </w:r>
      <w:r w:rsidRPr="00251925">
        <w:t xml:space="preserve">, 2105–2125, </w:t>
      </w:r>
      <w:hyperlink r:id="rId85" w:history="1">
        <w:r w:rsidRPr="00251925">
          <w:rPr>
            <w:rStyle w:val="Hyperlink"/>
          </w:rPr>
          <w:t>https://doi.org/10.1175/2009MWR2645.1</w:t>
        </w:r>
      </w:hyperlink>
      <w:r w:rsidRPr="00251925">
        <w:t>.</w:t>
      </w:r>
    </w:p>
    <w:p w14:paraId="5A77C074" w14:textId="77777777" w:rsidR="00251925" w:rsidRPr="00251925" w:rsidRDefault="00251925" w:rsidP="00834BB9">
      <w:pPr>
        <w:spacing w:line="480" w:lineRule="auto"/>
        <w:ind w:left="475" w:hanging="475"/>
      </w:pPr>
      <w:r w:rsidRPr="00251925">
        <w:lastRenderedPageBreak/>
        <w:t xml:space="preserve">Zhao, Q., and F. H. Carr, 1997: A Prognostic Cloud Scheme for Operational NWP Models. </w:t>
      </w:r>
      <w:r w:rsidRPr="00251925">
        <w:rPr>
          <w:i/>
          <w:iCs/>
        </w:rPr>
        <w:t>Monthly Weather Review</w:t>
      </w:r>
      <w:r w:rsidRPr="00251925">
        <w:t xml:space="preserve">, </w:t>
      </w:r>
      <w:r w:rsidRPr="00251925">
        <w:rPr>
          <w:b/>
          <w:bCs/>
        </w:rPr>
        <w:t>125</w:t>
      </w:r>
      <w:r w:rsidRPr="00251925">
        <w:t xml:space="preserve">, 1931–1953, </w:t>
      </w:r>
      <w:hyperlink r:id="rId86" w:history="1">
        <w:r w:rsidRPr="00251925">
          <w:rPr>
            <w:rStyle w:val="Hyperlink"/>
          </w:rPr>
          <w:t>https://doi.org/10.1175/1520-0493(1997)125&lt;1931:APCSFO&gt;2.0.CO;2</w:t>
        </w:r>
      </w:hyperlink>
      <w:r w:rsidRPr="00251925">
        <w:t>.</w:t>
      </w:r>
    </w:p>
    <w:p w14:paraId="3F1EFC0E" w14:textId="77777777" w:rsidR="00251925" w:rsidRPr="00251925" w:rsidRDefault="00251925" w:rsidP="00834BB9">
      <w:pPr>
        <w:spacing w:line="480" w:lineRule="auto"/>
        <w:ind w:left="475" w:hanging="475"/>
      </w:pPr>
      <w:r w:rsidRPr="00251925">
        <w:t xml:space="preserve">Zhou, L., S.-J. Lin, J.-H. Chen, L. M. Harris, X. Chen, and S. L. Rees, 2019: Toward Convective-Scale Prediction within the Next Generation Global Prediction System. </w:t>
      </w:r>
      <w:r w:rsidRPr="00251925">
        <w:rPr>
          <w:i/>
          <w:iCs/>
        </w:rPr>
        <w:t>Bulletin of the American Meteorological Society</w:t>
      </w:r>
      <w:r w:rsidRPr="00251925">
        <w:t xml:space="preserve">, </w:t>
      </w:r>
      <w:r w:rsidRPr="00251925">
        <w:rPr>
          <w:b/>
          <w:bCs/>
        </w:rPr>
        <w:t>100</w:t>
      </w:r>
      <w:r w:rsidRPr="00251925">
        <w:t xml:space="preserve">, 1225–1243, </w:t>
      </w:r>
      <w:hyperlink r:id="rId87" w:history="1">
        <w:r w:rsidRPr="00251925">
          <w:rPr>
            <w:rStyle w:val="Hyperlink"/>
          </w:rPr>
          <w:t>https://doi.org/10.1175/BAMS-D-17-0246.1</w:t>
        </w:r>
      </w:hyperlink>
      <w:r w:rsidRPr="00251925">
        <w:t>.</w:t>
      </w:r>
    </w:p>
    <w:p w14:paraId="7A345302" w14:textId="77777777" w:rsidR="00251925" w:rsidRPr="00313305" w:rsidRDefault="00251925" w:rsidP="008A4EE4">
      <w:pPr>
        <w:spacing w:line="480" w:lineRule="auto"/>
        <w:ind w:left="480" w:hanging="480"/>
      </w:pPr>
    </w:p>
    <w:p w14:paraId="40E830ED" w14:textId="11AAD28A" w:rsidR="00726C3B" w:rsidRPr="00313305" w:rsidRDefault="00726C3B" w:rsidP="007D20AA">
      <w:pPr>
        <w:autoSpaceDE w:val="0"/>
        <w:autoSpaceDN w:val="0"/>
        <w:adjustRightInd w:val="0"/>
        <w:spacing w:line="480" w:lineRule="auto"/>
        <w:jc w:val="both"/>
        <w:rPr>
          <w:rFonts w:eastAsiaTheme="minorHAnsi"/>
        </w:rPr>
      </w:pPr>
      <w:r w:rsidRPr="00313305">
        <w:rPr>
          <w:b/>
          <w:bCs/>
        </w:rPr>
        <w:br w:type="page"/>
      </w:r>
    </w:p>
    <w:p w14:paraId="26A9D56E" w14:textId="77777777" w:rsidR="0086168A" w:rsidRPr="00313305" w:rsidRDefault="009145B6" w:rsidP="00F40C9A">
      <w:pPr>
        <w:pStyle w:val="NoSpacing"/>
        <w:spacing w:line="480" w:lineRule="auto"/>
        <w:rPr>
          <w:rFonts w:ascii="Times New Roman" w:hAnsi="Times New Roman" w:cs="Times New Roman"/>
          <w:b/>
          <w:bCs/>
        </w:rPr>
      </w:pPr>
      <w:r w:rsidRPr="00313305">
        <w:rPr>
          <w:rFonts w:ascii="Times New Roman" w:hAnsi="Times New Roman" w:cs="Times New Roman"/>
          <w:b/>
          <w:bCs/>
        </w:rPr>
        <w:lastRenderedPageBreak/>
        <w:t>Tables</w:t>
      </w:r>
    </w:p>
    <w:p w14:paraId="004339E7" w14:textId="77777777" w:rsidR="008A4EE4" w:rsidRPr="00313305" w:rsidRDefault="0086168A" w:rsidP="008A4EE4">
      <w:r w:rsidRPr="00313305">
        <w:t xml:space="preserve">Table 1.  </w:t>
      </w:r>
      <w:r w:rsidR="008A4EE4" w:rsidRPr="00313305">
        <w:t xml:space="preserve">The computational cost for the SR-High, MR170, and MR204 experiments for each DA and forecast step. Ratios are calculated in reference to the SR-High experiment. Costs of all experiments were estimated using the vjet partition on </w:t>
      </w:r>
      <w:bookmarkStart w:id="78" w:name="_Hlk99905840"/>
      <w:r w:rsidR="008A4EE4" w:rsidRPr="00313305">
        <w:t>NOAA’s Research and Development High-Performance Computing System Jet machine</w:t>
      </w:r>
      <w:bookmarkEnd w:id="78"/>
      <w:r w:rsidR="008A4EE4" w:rsidRPr="00313305">
        <w:t>. I/O cost is ignored in the estimation.</w:t>
      </w:r>
    </w:p>
    <w:p w14:paraId="5C6DB4ED" w14:textId="2E1102F3" w:rsidR="0086168A" w:rsidRPr="00313305" w:rsidRDefault="0086168A" w:rsidP="0086168A"/>
    <w:tbl>
      <w:tblPr>
        <w:tblW w:w="6570" w:type="dxa"/>
        <w:tblInd w:w="1350" w:type="dxa"/>
        <w:tblLook w:val="04A0" w:firstRow="1" w:lastRow="0" w:firstColumn="1" w:lastColumn="0" w:noHBand="0" w:noVBand="1"/>
      </w:tblPr>
      <w:tblGrid>
        <w:gridCol w:w="1250"/>
        <w:gridCol w:w="1600"/>
        <w:gridCol w:w="1240"/>
        <w:gridCol w:w="1240"/>
        <w:gridCol w:w="1240"/>
      </w:tblGrid>
      <w:tr w:rsidR="008A4EE4" w:rsidRPr="00724B18" w14:paraId="64C52DCA" w14:textId="77777777" w:rsidTr="00B56072">
        <w:trPr>
          <w:trHeight w:val="360"/>
        </w:trPr>
        <w:tc>
          <w:tcPr>
            <w:tcW w:w="1250" w:type="dxa"/>
            <w:tcBorders>
              <w:top w:val="nil"/>
              <w:left w:val="nil"/>
              <w:bottom w:val="nil"/>
              <w:right w:val="nil"/>
            </w:tcBorders>
            <w:shd w:val="clear" w:color="auto" w:fill="auto"/>
            <w:noWrap/>
            <w:vAlign w:val="bottom"/>
            <w:hideMark/>
          </w:tcPr>
          <w:p w14:paraId="68EA0CC8" w14:textId="77777777" w:rsidR="008A4EE4" w:rsidRPr="00724B18" w:rsidRDefault="008A4EE4" w:rsidP="00B56072">
            <w:bookmarkStart w:id="79" w:name="_Hlk101432536"/>
          </w:p>
        </w:tc>
        <w:tc>
          <w:tcPr>
            <w:tcW w:w="16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5F93DA1" w14:textId="77777777" w:rsidR="008A4EE4" w:rsidRPr="00724B18" w:rsidRDefault="008A4EE4" w:rsidP="00B56072">
            <w:pPr>
              <w:rPr>
                <w:rFonts w:ascii="Calibri" w:hAnsi="Calibri" w:cs="Calibri"/>
                <w:color w:val="000000"/>
                <w:sz w:val="22"/>
              </w:rPr>
            </w:pPr>
            <w:r w:rsidRPr="00724B18">
              <w:rPr>
                <w:rFonts w:ascii="Calibri" w:hAnsi="Calibri" w:cs="Calibri"/>
                <w:color w:val="000000"/>
                <w:sz w:val="22"/>
              </w:rPr>
              <w:t>Experiment</w:t>
            </w:r>
          </w:p>
        </w:tc>
        <w:tc>
          <w:tcPr>
            <w:tcW w:w="1240" w:type="dxa"/>
            <w:tcBorders>
              <w:top w:val="single" w:sz="8" w:space="0" w:color="auto"/>
              <w:left w:val="nil"/>
              <w:bottom w:val="single" w:sz="8" w:space="0" w:color="auto"/>
              <w:right w:val="single" w:sz="4" w:space="0" w:color="auto"/>
            </w:tcBorders>
            <w:shd w:val="clear" w:color="auto" w:fill="auto"/>
            <w:noWrap/>
            <w:vAlign w:val="bottom"/>
            <w:hideMark/>
          </w:tcPr>
          <w:p w14:paraId="75BE35AF" w14:textId="77777777" w:rsidR="008A4EE4" w:rsidRPr="00724B18" w:rsidRDefault="008A4EE4" w:rsidP="00B56072">
            <w:pPr>
              <w:rPr>
                <w:rFonts w:ascii="Calibri" w:hAnsi="Calibri" w:cs="Calibri"/>
                <w:color w:val="000000"/>
                <w:sz w:val="22"/>
              </w:rPr>
            </w:pPr>
            <w:r w:rsidRPr="00724B18">
              <w:rPr>
                <w:rFonts w:ascii="Calibri" w:hAnsi="Calibri" w:cs="Calibri"/>
                <w:color w:val="000000"/>
                <w:sz w:val="22"/>
              </w:rPr>
              <w:t>SR-High</w:t>
            </w:r>
          </w:p>
        </w:tc>
        <w:tc>
          <w:tcPr>
            <w:tcW w:w="1240" w:type="dxa"/>
            <w:tcBorders>
              <w:top w:val="single" w:sz="8" w:space="0" w:color="auto"/>
              <w:left w:val="nil"/>
              <w:bottom w:val="single" w:sz="8" w:space="0" w:color="auto"/>
              <w:right w:val="single" w:sz="4" w:space="0" w:color="auto"/>
            </w:tcBorders>
            <w:shd w:val="clear" w:color="auto" w:fill="auto"/>
            <w:noWrap/>
            <w:vAlign w:val="bottom"/>
            <w:hideMark/>
          </w:tcPr>
          <w:p w14:paraId="1D1E5F81" w14:textId="77777777" w:rsidR="008A4EE4" w:rsidRPr="00724B18" w:rsidRDefault="008A4EE4" w:rsidP="00B56072">
            <w:pPr>
              <w:rPr>
                <w:rFonts w:ascii="Calibri" w:hAnsi="Calibri" w:cs="Calibri"/>
                <w:color w:val="000000"/>
                <w:sz w:val="22"/>
              </w:rPr>
            </w:pPr>
            <w:r w:rsidRPr="00724B18">
              <w:rPr>
                <w:rFonts w:ascii="Calibri" w:hAnsi="Calibri" w:cs="Calibri"/>
                <w:color w:val="000000"/>
                <w:sz w:val="22"/>
              </w:rPr>
              <w:t>MR170</w:t>
            </w:r>
          </w:p>
        </w:tc>
        <w:tc>
          <w:tcPr>
            <w:tcW w:w="1240" w:type="dxa"/>
            <w:tcBorders>
              <w:top w:val="single" w:sz="8" w:space="0" w:color="auto"/>
              <w:left w:val="nil"/>
              <w:bottom w:val="single" w:sz="8" w:space="0" w:color="auto"/>
              <w:right w:val="single" w:sz="8" w:space="0" w:color="auto"/>
            </w:tcBorders>
            <w:shd w:val="clear" w:color="auto" w:fill="auto"/>
            <w:noWrap/>
            <w:vAlign w:val="bottom"/>
            <w:hideMark/>
          </w:tcPr>
          <w:p w14:paraId="3142A51E" w14:textId="77777777" w:rsidR="008A4EE4" w:rsidRPr="00724B18" w:rsidRDefault="008A4EE4" w:rsidP="00B56072">
            <w:pPr>
              <w:rPr>
                <w:rFonts w:ascii="Calibri" w:hAnsi="Calibri" w:cs="Calibri"/>
                <w:color w:val="000000"/>
                <w:sz w:val="22"/>
              </w:rPr>
            </w:pPr>
            <w:r w:rsidRPr="00724B18">
              <w:rPr>
                <w:rFonts w:ascii="Calibri" w:hAnsi="Calibri" w:cs="Calibri"/>
                <w:color w:val="000000"/>
                <w:sz w:val="22"/>
              </w:rPr>
              <w:t>MR204</w:t>
            </w:r>
          </w:p>
        </w:tc>
      </w:tr>
      <w:tr w:rsidR="008A4EE4" w:rsidRPr="00724B18" w14:paraId="64F5D22A" w14:textId="77777777" w:rsidTr="00B56072">
        <w:trPr>
          <w:trHeight w:val="360"/>
        </w:trPr>
        <w:tc>
          <w:tcPr>
            <w:tcW w:w="1250"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bottom"/>
            <w:hideMark/>
          </w:tcPr>
          <w:p w14:paraId="7B7A7991" w14:textId="77777777" w:rsidR="008A4EE4" w:rsidRPr="00724B18" w:rsidRDefault="008A4EE4" w:rsidP="00B56072">
            <w:pPr>
              <w:ind w:left="113" w:right="113"/>
              <w:jc w:val="center"/>
              <w:rPr>
                <w:rFonts w:ascii="Calibri" w:hAnsi="Calibri" w:cs="Calibri"/>
                <w:color w:val="000000"/>
                <w:sz w:val="22"/>
              </w:rPr>
            </w:pPr>
            <w:r w:rsidRPr="00724B18">
              <w:rPr>
                <w:rFonts w:ascii="Calibri" w:hAnsi="Calibri" w:cs="Calibri"/>
                <w:color w:val="000000"/>
                <w:sz w:val="22"/>
              </w:rPr>
              <w:t>4DEnVar</w:t>
            </w:r>
          </w:p>
        </w:tc>
        <w:tc>
          <w:tcPr>
            <w:tcW w:w="1600" w:type="dxa"/>
            <w:tcBorders>
              <w:top w:val="nil"/>
              <w:left w:val="nil"/>
              <w:bottom w:val="nil"/>
              <w:right w:val="single" w:sz="8" w:space="0" w:color="auto"/>
            </w:tcBorders>
            <w:shd w:val="clear" w:color="auto" w:fill="auto"/>
            <w:noWrap/>
            <w:vAlign w:val="bottom"/>
            <w:hideMark/>
          </w:tcPr>
          <w:p w14:paraId="2496B20E" w14:textId="77777777" w:rsidR="008A4EE4" w:rsidRPr="00724B18" w:rsidRDefault="008A4EE4" w:rsidP="00B56072">
            <w:pPr>
              <w:rPr>
                <w:rFonts w:ascii="Calibri" w:hAnsi="Calibri" w:cs="Calibri"/>
                <w:color w:val="000000"/>
                <w:sz w:val="22"/>
              </w:rPr>
            </w:pPr>
            <w:r w:rsidRPr="00724B18">
              <w:rPr>
                <w:rFonts w:ascii="Calibri" w:hAnsi="Calibri" w:cs="Calibri"/>
                <w:color w:val="000000"/>
                <w:sz w:val="22"/>
              </w:rPr>
              <w:t># of Cores</w:t>
            </w:r>
          </w:p>
        </w:tc>
        <w:tc>
          <w:tcPr>
            <w:tcW w:w="1240" w:type="dxa"/>
            <w:tcBorders>
              <w:top w:val="nil"/>
              <w:left w:val="nil"/>
              <w:bottom w:val="nil"/>
              <w:right w:val="single" w:sz="4" w:space="0" w:color="auto"/>
            </w:tcBorders>
            <w:shd w:val="clear" w:color="auto" w:fill="auto"/>
            <w:noWrap/>
            <w:vAlign w:val="bottom"/>
            <w:hideMark/>
          </w:tcPr>
          <w:p w14:paraId="443978A9" w14:textId="77777777" w:rsidR="008A4EE4" w:rsidRPr="00724B18" w:rsidRDefault="008A4EE4" w:rsidP="00B56072">
            <w:pPr>
              <w:jc w:val="right"/>
              <w:rPr>
                <w:rFonts w:ascii="Calibri" w:hAnsi="Calibri" w:cs="Calibri"/>
                <w:color w:val="000000"/>
                <w:sz w:val="22"/>
              </w:rPr>
            </w:pPr>
            <w:r w:rsidRPr="00724B18">
              <w:rPr>
                <w:rFonts w:ascii="Calibri" w:hAnsi="Calibri" w:cs="Calibri"/>
                <w:color w:val="000000"/>
                <w:sz w:val="22"/>
              </w:rPr>
              <w:t>1260</w:t>
            </w:r>
          </w:p>
        </w:tc>
        <w:tc>
          <w:tcPr>
            <w:tcW w:w="1240" w:type="dxa"/>
            <w:tcBorders>
              <w:top w:val="nil"/>
              <w:left w:val="nil"/>
              <w:bottom w:val="nil"/>
              <w:right w:val="single" w:sz="4" w:space="0" w:color="auto"/>
            </w:tcBorders>
            <w:shd w:val="clear" w:color="auto" w:fill="auto"/>
            <w:noWrap/>
            <w:vAlign w:val="bottom"/>
            <w:hideMark/>
          </w:tcPr>
          <w:p w14:paraId="6BD6C05C" w14:textId="77777777" w:rsidR="008A4EE4" w:rsidRPr="00724B18" w:rsidRDefault="008A4EE4" w:rsidP="00B56072">
            <w:pPr>
              <w:jc w:val="right"/>
              <w:rPr>
                <w:rFonts w:ascii="Calibri" w:hAnsi="Calibri" w:cs="Calibri"/>
                <w:color w:val="000000"/>
                <w:sz w:val="22"/>
              </w:rPr>
            </w:pPr>
            <w:r w:rsidRPr="00724B18">
              <w:rPr>
                <w:rFonts w:ascii="Calibri" w:hAnsi="Calibri" w:cs="Calibri"/>
                <w:color w:val="000000"/>
                <w:sz w:val="22"/>
              </w:rPr>
              <w:t>1260</w:t>
            </w:r>
          </w:p>
        </w:tc>
        <w:tc>
          <w:tcPr>
            <w:tcW w:w="1240" w:type="dxa"/>
            <w:tcBorders>
              <w:top w:val="nil"/>
              <w:left w:val="nil"/>
              <w:bottom w:val="nil"/>
              <w:right w:val="single" w:sz="8" w:space="0" w:color="auto"/>
            </w:tcBorders>
            <w:shd w:val="clear" w:color="auto" w:fill="auto"/>
            <w:noWrap/>
            <w:vAlign w:val="bottom"/>
            <w:hideMark/>
          </w:tcPr>
          <w:p w14:paraId="289E88E0" w14:textId="77777777" w:rsidR="008A4EE4" w:rsidRPr="00724B18" w:rsidRDefault="008A4EE4" w:rsidP="00B56072">
            <w:pPr>
              <w:jc w:val="right"/>
              <w:rPr>
                <w:rFonts w:ascii="Calibri" w:hAnsi="Calibri" w:cs="Calibri"/>
                <w:color w:val="000000"/>
                <w:sz w:val="22"/>
              </w:rPr>
            </w:pPr>
            <w:r w:rsidRPr="00724B18">
              <w:rPr>
                <w:rFonts w:ascii="Calibri" w:hAnsi="Calibri" w:cs="Calibri"/>
                <w:color w:val="000000"/>
                <w:sz w:val="22"/>
              </w:rPr>
              <w:t>1260</w:t>
            </w:r>
          </w:p>
        </w:tc>
      </w:tr>
      <w:tr w:rsidR="008A4EE4" w:rsidRPr="00724B18" w14:paraId="17E1D675" w14:textId="77777777" w:rsidTr="00B56072">
        <w:trPr>
          <w:trHeight w:val="360"/>
        </w:trPr>
        <w:tc>
          <w:tcPr>
            <w:tcW w:w="1250" w:type="dxa"/>
            <w:vMerge/>
            <w:tcBorders>
              <w:top w:val="single" w:sz="8" w:space="0" w:color="auto"/>
              <w:left w:val="single" w:sz="8" w:space="0" w:color="auto"/>
              <w:bottom w:val="single" w:sz="8" w:space="0" w:color="000000"/>
              <w:right w:val="single" w:sz="8" w:space="0" w:color="auto"/>
            </w:tcBorders>
            <w:textDirection w:val="btLr"/>
            <w:vAlign w:val="center"/>
            <w:hideMark/>
          </w:tcPr>
          <w:p w14:paraId="458C7876" w14:textId="77777777" w:rsidR="008A4EE4" w:rsidRPr="00724B18" w:rsidRDefault="008A4EE4" w:rsidP="00B56072">
            <w:pPr>
              <w:ind w:left="113" w:right="113"/>
              <w:rPr>
                <w:rFonts w:ascii="Calibri" w:hAnsi="Calibri" w:cs="Calibri"/>
                <w:color w:val="000000"/>
                <w:sz w:val="22"/>
              </w:rPr>
            </w:pPr>
          </w:p>
        </w:tc>
        <w:tc>
          <w:tcPr>
            <w:tcW w:w="1600" w:type="dxa"/>
            <w:tcBorders>
              <w:top w:val="single" w:sz="4" w:space="0" w:color="auto"/>
              <w:left w:val="nil"/>
              <w:bottom w:val="single" w:sz="4" w:space="0" w:color="auto"/>
              <w:right w:val="single" w:sz="8" w:space="0" w:color="auto"/>
            </w:tcBorders>
            <w:shd w:val="clear" w:color="auto" w:fill="auto"/>
            <w:noWrap/>
            <w:vAlign w:val="bottom"/>
            <w:hideMark/>
          </w:tcPr>
          <w:p w14:paraId="38F63397" w14:textId="77777777" w:rsidR="008A4EE4" w:rsidRPr="00724B18" w:rsidRDefault="008A4EE4" w:rsidP="00B56072">
            <w:pPr>
              <w:rPr>
                <w:rFonts w:ascii="Calibri" w:hAnsi="Calibri" w:cs="Calibri"/>
                <w:color w:val="000000"/>
                <w:sz w:val="22"/>
              </w:rPr>
            </w:pPr>
            <w:r w:rsidRPr="00724B18">
              <w:rPr>
                <w:rFonts w:ascii="Calibri" w:hAnsi="Calibri" w:cs="Calibri"/>
                <w:color w:val="000000"/>
                <w:sz w:val="22"/>
              </w:rPr>
              <w:t>Time (h)</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5825F0D6" w14:textId="77777777" w:rsidR="008A4EE4" w:rsidRPr="00724B18" w:rsidRDefault="008A4EE4" w:rsidP="00B56072">
            <w:pPr>
              <w:jc w:val="right"/>
              <w:rPr>
                <w:rFonts w:ascii="Calibri" w:hAnsi="Calibri" w:cs="Calibri"/>
                <w:color w:val="000000"/>
                <w:sz w:val="22"/>
              </w:rPr>
            </w:pPr>
            <w:r w:rsidRPr="00724B18">
              <w:rPr>
                <w:rFonts w:ascii="Calibri" w:hAnsi="Calibri" w:cs="Calibri"/>
                <w:color w:val="000000"/>
                <w:sz w:val="22"/>
              </w:rPr>
              <w:t>0.92</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4295186F" w14:textId="77777777" w:rsidR="008A4EE4" w:rsidRPr="00724B18" w:rsidRDefault="008A4EE4" w:rsidP="00B56072">
            <w:pPr>
              <w:jc w:val="right"/>
              <w:rPr>
                <w:rFonts w:ascii="Calibri" w:hAnsi="Calibri" w:cs="Calibri"/>
                <w:color w:val="000000"/>
                <w:sz w:val="22"/>
              </w:rPr>
            </w:pPr>
            <w:r w:rsidRPr="00724B18">
              <w:rPr>
                <w:rFonts w:ascii="Calibri" w:hAnsi="Calibri" w:cs="Calibri"/>
                <w:color w:val="000000"/>
                <w:sz w:val="22"/>
              </w:rPr>
              <w:t>0.91</w:t>
            </w:r>
          </w:p>
        </w:tc>
        <w:tc>
          <w:tcPr>
            <w:tcW w:w="1240" w:type="dxa"/>
            <w:tcBorders>
              <w:top w:val="single" w:sz="4" w:space="0" w:color="auto"/>
              <w:left w:val="nil"/>
              <w:bottom w:val="single" w:sz="4" w:space="0" w:color="auto"/>
              <w:right w:val="single" w:sz="8" w:space="0" w:color="auto"/>
            </w:tcBorders>
            <w:shd w:val="clear" w:color="auto" w:fill="auto"/>
            <w:noWrap/>
            <w:vAlign w:val="bottom"/>
            <w:hideMark/>
          </w:tcPr>
          <w:p w14:paraId="6CD73A3B" w14:textId="77777777" w:rsidR="008A4EE4" w:rsidRPr="00724B18" w:rsidRDefault="008A4EE4" w:rsidP="00B56072">
            <w:pPr>
              <w:jc w:val="right"/>
              <w:rPr>
                <w:rFonts w:ascii="Calibri" w:hAnsi="Calibri" w:cs="Calibri"/>
                <w:color w:val="000000"/>
                <w:sz w:val="22"/>
              </w:rPr>
            </w:pPr>
            <w:r w:rsidRPr="00724B18">
              <w:rPr>
                <w:rFonts w:ascii="Calibri" w:hAnsi="Calibri" w:cs="Calibri"/>
                <w:color w:val="000000"/>
                <w:sz w:val="22"/>
              </w:rPr>
              <w:t>0.91</w:t>
            </w:r>
          </w:p>
        </w:tc>
      </w:tr>
      <w:tr w:rsidR="008A4EE4" w:rsidRPr="00724B18" w14:paraId="080C6488" w14:textId="77777777" w:rsidTr="00B56072">
        <w:trPr>
          <w:trHeight w:val="360"/>
        </w:trPr>
        <w:tc>
          <w:tcPr>
            <w:tcW w:w="1250" w:type="dxa"/>
            <w:vMerge/>
            <w:tcBorders>
              <w:top w:val="single" w:sz="8" w:space="0" w:color="auto"/>
              <w:left w:val="single" w:sz="8" w:space="0" w:color="auto"/>
              <w:bottom w:val="single" w:sz="8" w:space="0" w:color="000000"/>
              <w:right w:val="single" w:sz="8" w:space="0" w:color="auto"/>
            </w:tcBorders>
            <w:textDirection w:val="btLr"/>
            <w:vAlign w:val="center"/>
            <w:hideMark/>
          </w:tcPr>
          <w:p w14:paraId="4DED0512" w14:textId="77777777" w:rsidR="008A4EE4" w:rsidRPr="00724B18" w:rsidRDefault="008A4EE4" w:rsidP="00B56072">
            <w:pPr>
              <w:ind w:left="113" w:right="113"/>
              <w:rPr>
                <w:rFonts w:ascii="Calibri" w:hAnsi="Calibri" w:cs="Calibri"/>
                <w:color w:val="000000"/>
                <w:sz w:val="22"/>
              </w:rPr>
            </w:pPr>
          </w:p>
        </w:tc>
        <w:tc>
          <w:tcPr>
            <w:tcW w:w="1600" w:type="dxa"/>
            <w:tcBorders>
              <w:top w:val="nil"/>
              <w:left w:val="nil"/>
              <w:bottom w:val="single" w:sz="8" w:space="0" w:color="auto"/>
              <w:right w:val="single" w:sz="8" w:space="0" w:color="auto"/>
            </w:tcBorders>
            <w:shd w:val="clear" w:color="auto" w:fill="auto"/>
            <w:noWrap/>
            <w:vAlign w:val="bottom"/>
            <w:hideMark/>
          </w:tcPr>
          <w:p w14:paraId="18E850B8" w14:textId="77777777" w:rsidR="008A4EE4" w:rsidRPr="00724B18" w:rsidRDefault="008A4EE4" w:rsidP="00B56072">
            <w:pPr>
              <w:rPr>
                <w:rFonts w:ascii="Calibri" w:hAnsi="Calibri" w:cs="Calibri"/>
                <w:color w:val="000000"/>
                <w:sz w:val="22"/>
              </w:rPr>
            </w:pPr>
            <w:r w:rsidRPr="00724B18">
              <w:rPr>
                <w:rFonts w:ascii="Calibri" w:hAnsi="Calibri" w:cs="Calibri"/>
                <w:color w:val="000000"/>
                <w:sz w:val="22"/>
              </w:rPr>
              <w:t>Core Hours</w:t>
            </w:r>
          </w:p>
        </w:tc>
        <w:tc>
          <w:tcPr>
            <w:tcW w:w="1240" w:type="dxa"/>
            <w:tcBorders>
              <w:top w:val="nil"/>
              <w:left w:val="nil"/>
              <w:bottom w:val="single" w:sz="8" w:space="0" w:color="auto"/>
              <w:right w:val="single" w:sz="4" w:space="0" w:color="auto"/>
            </w:tcBorders>
            <w:shd w:val="clear" w:color="auto" w:fill="auto"/>
            <w:noWrap/>
            <w:vAlign w:val="bottom"/>
            <w:hideMark/>
          </w:tcPr>
          <w:p w14:paraId="236D59C5" w14:textId="77777777" w:rsidR="008A4EE4" w:rsidRPr="00724B18" w:rsidRDefault="008A4EE4" w:rsidP="00B56072">
            <w:pPr>
              <w:jc w:val="right"/>
              <w:rPr>
                <w:rFonts w:ascii="Calibri" w:hAnsi="Calibri" w:cs="Calibri"/>
                <w:b/>
                <w:bCs/>
                <w:color w:val="000000"/>
                <w:sz w:val="22"/>
              </w:rPr>
            </w:pPr>
            <w:r w:rsidRPr="00724B18">
              <w:rPr>
                <w:rFonts w:ascii="Calibri" w:hAnsi="Calibri" w:cs="Calibri"/>
                <w:b/>
                <w:bCs/>
                <w:color w:val="000000"/>
                <w:sz w:val="22"/>
              </w:rPr>
              <w:t>1159.20</w:t>
            </w:r>
          </w:p>
        </w:tc>
        <w:tc>
          <w:tcPr>
            <w:tcW w:w="1240" w:type="dxa"/>
            <w:tcBorders>
              <w:top w:val="nil"/>
              <w:left w:val="nil"/>
              <w:bottom w:val="single" w:sz="8" w:space="0" w:color="auto"/>
              <w:right w:val="single" w:sz="4" w:space="0" w:color="auto"/>
            </w:tcBorders>
            <w:shd w:val="clear" w:color="auto" w:fill="auto"/>
            <w:noWrap/>
            <w:vAlign w:val="bottom"/>
            <w:hideMark/>
          </w:tcPr>
          <w:p w14:paraId="35199383" w14:textId="77777777" w:rsidR="008A4EE4" w:rsidRPr="00724B18" w:rsidRDefault="008A4EE4" w:rsidP="00B56072">
            <w:pPr>
              <w:jc w:val="right"/>
              <w:rPr>
                <w:rFonts w:ascii="Calibri" w:hAnsi="Calibri" w:cs="Calibri"/>
                <w:b/>
                <w:bCs/>
                <w:color w:val="000000"/>
                <w:sz w:val="22"/>
              </w:rPr>
            </w:pPr>
            <w:r w:rsidRPr="00724B18">
              <w:rPr>
                <w:rFonts w:ascii="Calibri" w:hAnsi="Calibri" w:cs="Calibri"/>
                <w:b/>
                <w:bCs/>
                <w:color w:val="000000"/>
                <w:sz w:val="22"/>
              </w:rPr>
              <w:t>1146.60</w:t>
            </w:r>
          </w:p>
        </w:tc>
        <w:tc>
          <w:tcPr>
            <w:tcW w:w="1240" w:type="dxa"/>
            <w:tcBorders>
              <w:top w:val="nil"/>
              <w:left w:val="nil"/>
              <w:bottom w:val="single" w:sz="8" w:space="0" w:color="auto"/>
              <w:right w:val="single" w:sz="8" w:space="0" w:color="auto"/>
            </w:tcBorders>
            <w:shd w:val="clear" w:color="auto" w:fill="auto"/>
            <w:noWrap/>
            <w:vAlign w:val="bottom"/>
            <w:hideMark/>
          </w:tcPr>
          <w:p w14:paraId="313CE43A" w14:textId="77777777" w:rsidR="008A4EE4" w:rsidRPr="00724B18" w:rsidRDefault="008A4EE4" w:rsidP="00B56072">
            <w:pPr>
              <w:jc w:val="right"/>
              <w:rPr>
                <w:rFonts w:ascii="Calibri" w:hAnsi="Calibri" w:cs="Calibri"/>
                <w:b/>
                <w:bCs/>
                <w:color w:val="000000"/>
                <w:sz w:val="22"/>
              </w:rPr>
            </w:pPr>
            <w:r w:rsidRPr="00724B18">
              <w:rPr>
                <w:rFonts w:ascii="Calibri" w:hAnsi="Calibri" w:cs="Calibri"/>
                <w:b/>
                <w:bCs/>
                <w:color w:val="000000"/>
                <w:sz w:val="22"/>
              </w:rPr>
              <w:t>1146.60</w:t>
            </w:r>
          </w:p>
        </w:tc>
      </w:tr>
      <w:tr w:rsidR="008A4EE4" w:rsidRPr="00724B18" w14:paraId="7A8D5279" w14:textId="77777777" w:rsidTr="00B56072">
        <w:trPr>
          <w:trHeight w:val="360"/>
        </w:trPr>
        <w:tc>
          <w:tcPr>
            <w:tcW w:w="1250" w:type="dxa"/>
            <w:vMerge w:val="restart"/>
            <w:tcBorders>
              <w:top w:val="nil"/>
              <w:left w:val="single" w:sz="8" w:space="0" w:color="auto"/>
              <w:bottom w:val="single" w:sz="8" w:space="0" w:color="000000"/>
              <w:right w:val="single" w:sz="8" w:space="0" w:color="auto"/>
            </w:tcBorders>
            <w:shd w:val="clear" w:color="auto" w:fill="auto"/>
            <w:noWrap/>
            <w:textDirection w:val="btLr"/>
            <w:vAlign w:val="bottom"/>
            <w:hideMark/>
          </w:tcPr>
          <w:p w14:paraId="5E79789E" w14:textId="77777777" w:rsidR="008A4EE4" w:rsidRPr="00724B18" w:rsidRDefault="008A4EE4" w:rsidP="00B56072">
            <w:pPr>
              <w:ind w:left="113" w:right="113"/>
              <w:jc w:val="center"/>
              <w:rPr>
                <w:rFonts w:ascii="Calibri" w:hAnsi="Calibri" w:cs="Calibri"/>
                <w:color w:val="000000"/>
                <w:sz w:val="22"/>
              </w:rPr>
            </w:pPr>
            <w:r w:rsidRPr="00724B18">
              <w:rPr>
                <w:rFonts w:ascii="Calibri" w:hAnsi="Calibri" w:cs="Calibri"/>
                <w:color w:val="000000"/>
                <w:sz w:val="22"/>
              </w:rPr>
              <w:t>LETKF</w:t>
            </w:r>
          </w:p>
        </w:tc>
        <w:tc>
          <w:tcPr>
            <w:tcW w:w="1600" w:type="dxa"/>
            <w:tcBorders>
              <w:top w:val="nil"/>
              <w:left w:val="nil"/>
              <w:bottom w:val="nil"/>
              <w:right w:val="single" w:sz="8" w:space="0" w:color="auto"/>
            </w:tcBorders>
            <w:shd w:val="clear" w:color="auto" w:fill="auto"/>
            <w:noWrap/>
            <w:vAlign w:val="bottom"/>
            <w:hideMark/>
          </w:tcPr>
          <w:p w14:paraId="75151C9D" w14:textId="77777777" w:rsidR="008A4EE4" w:rsidRPr="00724B18" w:rsidRDefault="008A4EE4" w:rsidP="00B56072">
            <w:pPr>
              <w:rPr>
                <w:rFonts w:ascii="Calibri" w:hAnsi="Calibri" w:cs="Calibri"/>
                <w:color w:val="000000"/>
                <w:sz w:val="22"/>
              </w:rPr>
            </w:pPr>
            <w:r w:rsidRPr="00724B18">
              <w:rPr>
                <w:rFonts w:ascii="Calibri" w:hAnsi="Calibri" w:cs="Calibri"/>
                <w:color w:val="000000"/>
                <w:sz w:val="22"/>
              </w:rPr>
              <w:t># of Cores</w:t>
            </w:r>
          </w:p>
        </w:tc>
        <w:tc>
          <w:tcPr>
            <w:tcW w:w="1240" w:type="dxa"/>
            <w:tcBorders>
              <w:top w:val="nil"/>
              <w:left w:val="nil"/>
              <w:bottom w:val="nil"/>
              <w:right w:val="single" w:sz="4" w:space="0" w:color="auto"/>
            </w:tcBorders>
            <w:shd w:val="clear" w:color="auto" w:fill="auto"/>
            <w:noWrap/>
            <w:vAlign w:val="bottom"/>
            <w:hideMark/>
          </w:tcPr>
          <w:p w14:paraId="45F79D5C" w14:textId="77777777" w:rsidR="008A4EE4" w:rsidRPr="00724B18" w:rsidRDefault="008A4EE4" w:rsidP="00B56072">
            <w:pPr>
              <w:jc w:val="right"/>
              <w:rPr>
                <w:rFonts w:ascii="Calibri" w:hAnsi="Calibri" w:cs="Calibri"/>
                <w:color w:val="000000"/>
                <w:sz w:val="22"/>
              </w:rPr>
            </w:pPr>
            <w:r w:rsidRPr="00724B18">
              <w:rPr>
                <w:rFonts w:ascii="Calibri" w:hAnsi="Calibri" w:cs="Calibri"/>
                <w:color w:val="000000"/>
                <w:sz w:val="22"/>
              </w:rPr>
              <w:t>1260</w:t>
            </w:r>
          </w:p>
        </w:tc>
        <w:tc>
          <w:tcPr>
            <w:tcW w:w="1240" w:type="dxa"/>
            <w:tcBorders>
              <w:top w:val="nil"/>
              <w:left w:val="nil"/>
              <w:bottom w:val="nil"/>
              <w:right w:val="single" w:sz="4" w:space="0" w:color="auto"/>
            </w:tcBorders>
            <w:shd w:val="clear" w:color="auto" w:fill="auto"/>
            <w:noWrap/>
            <w:vAlign w:val="bottom"/>
            <w:hideMark/>
          </w:tcPr>
          <w:p w14:paraId="475CA2AC" w14:textId="77777777" w:rsidR="008A4EE4" w:rsidRPr="00724B18" w:rsidRDefault="008A4EE4" w:rsidP="00B56072">
            <w:pPr>
              <w:jc w:val="right"/>
              <w:rPr>
                <w:rFonts w:ascii="Calibri" w:hAnsi="Calibri" w:cs="Calibri"/>
                <w:color w:val="000000"/>
                <w:sz w:val="22"/>
              </w:rPr>
            </w:pPr>
            <w:r w:rsidRPr="00724B18">
              <w:rPr>
                <w:rFonts w:ascii="Calibri" w:hAnsi="Calibri" w:cs="Calibri"/>
                <w:color w:val="000000"/>
                <w:sz w:val="22"/>
              </w:rPr>
              <w:t>1260</w:t>
            </w:r>
          </w:p>
        </w:tc>
        <w:tc>
          <w:tcPr>
            <w:tcW w:w="1240" w:type="dxa"/>
            <w:tcBorders>
              <w:top w:val="nil"/>
              <w:left w:val="nil"/>
              <w:bottom w:val="nil"/>
              <w:right w:val="single" w:sz="8" w:space="0" w:color="auto"/>
            </w:tcBorders>
            <w:shd w:val="clear" w:color="auto" w:fill="auto"/>
            <w:noWrap/>
            <w:vAlign w:val="bottom"/>
            <w:hideMark/>
          </w:tcPr>
          <w:p w14:paraId="47D96891" w14:textId="77777777" w:rsidR="008A4EE4" w:rsidRPr="00724B18" w:rsidRDefault="008A4EE4" w:rsidP="00B56072">
            <w:pPr>
              <w:jc w:val="right"/>
              <w:rPr>
                <w:rFonts w:ascii="Calibri" w:hAnsi="Calibri" w:cs="Calibri"/>
                <w:color w:val="000000"/>
                <w:sz w:val="22"/>
              </w:rPr>
            </w:pPr>
            <w:r w:rsidRPr="00724B18">
              <w:rPr>
                <w:rFonts w:ascii="Calibri" w:hAnsi="Calibri" w:cs="Calibri"/>
                <w:color w:val="000000"/>
                <w:sz w:val="22"/>
              </w:rPr>
              <w:t>1260</w:t>
            </w:r>
          </w:p>
        </w:tc>
      </w:tr>
      <w:tr w:rsidR="008A4EE4" w:rsidRPr="00724B18" w14:paraId="5283BC70" w14:textId="77777777" w:rsidTr="00B56072">
        <w:trPr>
          <w:trHeight w:val="360"/>
        </w:trPr>
        <w:tc>
          <w:tcPr>
            <w:tcW w:w="1250" w:type="dxa"/>
            <w:vMerge/>
            <w:tcBorders>
              <w:top w:val="nil"/>
              <w:left w:val="single" w:sz="8" w:space="0" w:color="auto"/>
              <w:bottom w:val="single" w:sz="8" w:space="0" w:color="000000"/>
              <w:right w:val="single" w:sz="8" w:space="0" w:color="auto"/>
            </w:tcBorders>
            <w:textDirection w:val="btLr"/>
            <w:vAlign w:val="center"/>
            <w:hideMark/>
          </w:tcPr>
          <w:p w14:paraId="1AA1D6F5" w14:textId="77777777" w:rsidR="008A4EE4" w:rsidRPr="00724B18" w:rsidRDefault="008A4EE4" w:rsidP="00B56072">
            <w:pPr>
              <w:ind w:left="113" w:right="113"/>
              <w:rPr>
                <w:rFonts w:ascii="Calibri" w:hAnsi="Calibri" w:cs="Calibri"/>
                <w:color w:val="000000"/>
                <w:sz w:val="22"/>
              </w:rPr>
            </w:pPr>
          </w:p>
        </w:tc>
        <w:tc>
          <w:tcPr>
            <w:tcW w:w="1600" w:type="dxa"/>
            <w:tcBorders>
              <w:top w:val="single" w:sz="4" w:space="0" w:color="auto"/>
              <w:left w:val="nil"/>
              <w:bottom w:val="single" w:sz="4" w:space="0" w:color="auto"/>
              <w:right w:val="single" w:sz="8" w:space="0" w:color="auto"/>
            </w:tcBorders>
            <w:shd w:val="clear" w:color="auto" w:fill="auto"/>
            <w:noWrap/>
            <w:vAlign w:val="bottom"/>
            <w:hideMark/>
          </w:tcPr>
          <w:p w14:paraId="4DC0372A" w14:textId="77777777" w:rsidR="008A4EE4" w:rsidRPr="00724B18" w:rsidRDefault="008A4EE4" w:rsidP="00B56072">
            <w:pPr>
              <w:rPr>
                <w:rFonts w:ascii="Calibri" w:hAnsi="Calibri" w:cs="Calibri"/>
                <w:color w:val="000000"/>
                <w:sz w:val="22"/>
              </w:rPr>
            </w:pPr>
            <w:r w:rsidRPr="00724B18">
              <w:rPr>
                <w:rFonts w:ascii="Calibri" w:hAnsi="Calibri" w:cs="Calibri"/>
                <w:color w:val="000000"/>
                <w:sz w:val="22"/>
              </w:rPr>
              <w:t>Time (h)</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62112F01" w14:textId="77777777" w:rsidR="008A4EE4" w:rsidRPr="00724B18" w:rsidRDefault="008A4EE4" w:rsidP="00B56072">
            <w:pPr>
              <w:jc w:val="right"/>
              <w:rPr>
                <w:rFonts w:ascii="Calibri" w:hAnsi="Calibri" w:cs="Calibri"/>
                <w:color w:val="000000"/>
                <w:sz w:val="22"/>
              </w:rPr>
            </w:pPr>
            <w:r w:rsidRPr="00724B18">
              <w:rPr>
                <w:rFonts w:ascii="Calibri" w:hAnsi="Calibri" w:cs="Calibri"/>
                <w:color w:val="000000"/>
                <w:sz w:val="22"/>
              </w:rPr>
              <w:t>0.21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48453705" w14:textId="77777777" w:rsidR="008A4EE4" w:rsidRPr="00724B18" w:rsidRDefault="008A4EE4" w:rsidP="00B56072">
            <w:pPr>
              <w:jc w:val="right"/>
              <w:rPr>
                <w:rFonts w:ascii="Calibri" w:hAnsi="Calibri" w:cs="Calibri"/>
                <w:color w:val="000000"/>
                <w:sz w:val="22"/>
              </w:rPr>
            </w:pPr>
            <w:r w:rsidRPr="00724B18">
              <w:rPr>
                <w:rFonts w:ascii="Calibri" w:hAnsi="Calibri" w:cs="Calibri"/>
                <w:color w:val="000000"/>
                <w:sz w:val="22"/>
              </w:rPr>
              <w:t>0.67</w:t>
            </w:r>
          </w:p>
        </w:tc>
        <w:tc>
          <w:tcPr>
            <w:tcW w:w="1240" w:type="dxa"/>
            <w:tcBorders>
              <w:top w:val="single" w:sz="4" w:space="0" w:color="auto"/>
              <w:left w:val="nil"/>
              <w:bottom w:val="single" w:sz="4" w:space="0" w:color="auto"/>
              <w:right w:val="single" w:sz="8" w:space="0" w:color="auto"/>
            </w:tcBorders>
            <w:shd w:val="clear" w:color="auto" w:fill="auto"/>
            <w:noWrap/>
            <w:vAlign w:val="bottom"/>
            <w:hideMark/>
          </w:tcPr>
          <w:p w14:paraId="225C85BF" w14:textId="77777777" w:rsidR="008A4EE4" w:rsidRPr="00724B18" w:rsidRDefault="008A4EE4" w:rsidP="00B56072">
            <w:pPr>
              <w:jc w:val="right"/>
              <w:rPr>
                <w:rFonts w:ascii="Calibri" w:hAnsi="Calibri" w:cs="Calibri"/>
                <w:color w:val="000000"/>
                <w:sz w:val="22"/>
              </w:rPr>
            </w:pPr>
            <w:r w:rsidRPr="00724B18">
              <w:rPr>
                <w:rFonts w:ascii="Calibri" w:hAnsi="Calibri" w:cs="Calibri"/>
                <w:color w:val="000000"/>
                <w:sz w:val="22"/>
              </w:rPr>
              <w:t>0.9</w:t>
            </w:r>
            <w:r w:rsidRPr="00313305">
              <w:rPr>
                <w:rFonts w:ascii="Calibri" w:hAnsi="Calibri" w:cs="Calibri"/>
                <w:color w:val="000000"/>
                <w:sz w:val="22"/>
              </w:rPr>
              <w:t>0</w:t>
            </w:r>
          </w:p>
        </w:tc>
      </w:tr>
      <w:tr w:rsidR="008A4EE4" w:rsidRPr="00724B18" w14:paraId="203BAB5D" w14:textId="77777777" w:rsidTr="00B56072">
        <w:trPr>
          <w:trHeight w:val="360"/>
        </w:trPr>
        <w:tc>
          <w:tcPr>
            <w:tcW w:w="1250" w:type="dxa"/>
            <w:vMerge/>
            <w:tcBorders>
              <w:top w:val="nil"/>
              <w:left w:val="single" w:sz="8" w:space="0" w:color="auto"/>
              <w:bottom w:val="single" w:sz="8" w:space="0" w:color="000000"/>
              <w:right w:val="single" w:sz="8" w:space="0" w:color="auto"/>
            </w:tcBorders>
            <w:textDirection w:val="btLr"/>
            <w:vAlign w:val="center"/>
            <w:hideMark/>
          </w:tcPr>
          <w:p w14:paraId="22E0FC8A" w14:textId="77777777" w:rsidR="008A4EE4" w:rsidRPr="00724B18" w:rsidRDefault="008A4EE4" w:rsidP="00B56072">
            <w:pPr>
              <w:ind w:left="113" w:right="113"/>
              <w:rPr>
                <w:rFonts w:ascii="Calibri" w:hAnsi="Calibri" w:cs="Calibri"/>
                <w:color w:val="000000"/>
                <w:sz w:val="22"/>
              </w:rPr>
            </w:pPr>
          </w:p>
        </w:tc>
        <w:tc>
          <w:tcPr>
            <w:tcW w:w="1600" w:type="dxa"/>
            <w:tcBorders>
              <w:top w:val="nil"/>
              <w:left w:val="nil"/>
              <w:bottom w:val="single" w:sz="8" w:space="0" w:color="auto"/>
              <w:right w:val="single" w:sz="8" w:space="0" w:color="auto"/>
            </w:tcBorders>
            <w:shd w:val="clear" w:color="auto" w:fill="auto"/>
            <w:noWrap/>
            <w:vAlign w:val="bottom"/>
            <w:hideMark/>
          </w:tcPr>
          <w:p w14:paraId="2C450A88" w14:textId="77777777" w:rsidR="008A4EE4" w:rsidRPr="00724B18" w:rsidRDefault="008A4EE4" w:rsidP="00B56072">
            <w:pPr>
              <w:rPr>
                <w:rFonts w:ascii="Calibri" w:hAnsi="Calibri" w:cs="Calibri"/>
                <w:color w:val="000000"/>
                <w:sz w:val="22"/>
              </w:rPr>
            </w:pPr>
            <w:r w:rsidRPr="00724B18">
              <w:rPr>
                <w:rFonts w:ascii="Calibri" w:hAnsi="Calibri" w:cs="Calibri"/>
                <w:color w:val="000000"/>
                <w:sz w:val="22"/>
              </w:rPr>
              <w:t>Core Hours</w:t>
            </w:r>
          </w:p>
        </w:tc>
        <w:tc>
          <w:tcPr>
            <w:tcW w:w="1240" w:type="dxa"/>
            <w:tcBorders>
              <w:top w:val="nil"/>
              <w:left w:val="nil"/>
              <w:bottom w:val="single" w:sz="8" w:space="0" w:color="auto"/>
              <w:right w:val="single" w:sz="4" w:space="0" w:color="auto"/>
            </w:tcBorders>
            <w:shd w:val="clear" w:color="auto" w:fill="auto"/>
            <w:noWrap/>
            <w:vAlign w:val="bottom"/>
            <w:hideMark/>
          </w:tcPr>
          <w:p w14:paraId="6FB1D96C" w14:textId="77777777" w:rsidR="008A4EE4" w:rsidRPr="00724B18" w:rsidRDefault="008A4EE4" w:rsidP="00B56072">
            <w:pPr>
              <w:jc w:val="right"/>
              <w:rPr>
                <w:rFonts w:ascii="Calibri" w:hAnsi="Calibri" w:cs="Calibri"/>
                <w:b/>
                <w:bCs/>
                <w:color w:val="000000"/>
                <w:sz w:val="22"/>
              </w:rPr>
            </w:pPr>
            <w:r w:rsidRPr="00724B18">
              <w:rPr>
                <w:rFonts w:ascii="Calibri" w:hAnsi="Calibri" w:cs="Calibri"/>
                <w:b/>
                <w:bCs/>
                <w:color w:val="000000"/>
                <w:sz w:val="22"/>
              </w:rPr>
              <w:t>264.60</w:t>
            </w:r>
          </w:p>
        </w:tc>
        <w:tc>
          <w:tcPr>
            <w:tcW w:w="1240" w:type="dxa"/>
            <w:tcBorders>
              <w:top w:val="nil"/>
              <w:left w:val="nil"/>
              <w:bottom w:val="single" w:sz="8" w:space="0" w:color="auto"/>
              <w:right w:val="single" w:sz="4" w:space="0" w:color="auto"/>
            </w:tcBorders>
            <w:shd w:val="clear" w:color="auto" w:fill="auto"/>
            <w:noWrap/>
            <w:vAlign w:val="bottom"/>
            <w:hideMark/>
          </w:tcPr>
          <w:p w14:paraId="14EEF228" w14:textId="77777777" w:rsidR="008A4EE4" w:rsidRPr="00724B18" w:rsidRDefault="008A4EE4" w:rsidP="00B56072">
            <w:pPr>
              <w:jc w:val="right"/>
              <w:rPr>
                <w:rFonts w:ascii="Calibri" w:hAnsi="Calibri" w:cs="Calibri"/>
                <w:b/>
                <w:bCs/>
                <w:color w:val="000000"/>
                <w:sz w:val="22"/>
              </w:rPr>
            </w:pPr>
            <w:r w:rsidRPr="00724B18">
              <w:rPr>
                <w:rFonts w:ascii="Calibri" w:hAnsi="Calibri" w:cs="Calibri"/>
                <w:b/>
                <w:bCs/>
                <w:color w:val="000000"/>
                <w:sz w:val="22"/>
              </w:rPr>
              <w:t>844.20</w:t>
            </w:r>
          </w:p>
        </w:tc>
        <w:tc>
          <w:tcPr>
            <w:tcW w:w="1240" w:type="dxa"/>
            <w:tcBorders>
              <w:top w:val="nil"/>
              <w:left w:val="nil"/>
              <w:bottom w:val="single" w:sz="8" w:space="0" w:color="auto"/>
              <w:right w:val="single" w:sz="8" w:space="0" w:color="auto"/>
            </w:tcBorders>
            <w:shd w:val="clear" w:color="auto" w:fill="auto"/>
            <w:noWrap/>
            <w:vAlign w:val="bottom"/>
            <w:hideMark/>
          </w:tcPr>
          <w:p w14:paraId="2DCCADFE" w14:textId="77777777" w:rsidR="008A4EE4" w:rsidRPr="00724B18" w:rsidRDefault="008A4EE4" w:rsidP="00B56072">
            <w:pPr>
              <w:jc w:val="right"/>
              <w:rPr>
                <w:rFonts w:ascii="Calibri" w:hAnsi="Calibri" w:cs="Calibri"/>
                <w:b/>
                <w:bCs/>
                <w:color w:val="000000"/>
                <w:sz w:val="22"/>
              </w:rPr>
            </w:pPr>
            <w:r w:rsidRPr="00724B18">
              <w:rPr>
                <w:rFonts w:ascii="Calibri" w:hAnsi="Calibri" w:cs="Calibri"/>
                <w:b/>
                <w:bCs/>
                <w:color w:val="000000"/>
                <w:sz w:val="22"/>
              </w:rPr>
              <w:t>1134.00</w:t>
            </w:r>
          </w:p>
        </w:tc>
      </w:tr>
      <w:tr w:rsidR="008A4EE4" w:rsidRPr="00724B18" w14:paraId="718FB530" w14:textId="77777777" w:rsidTr="00B56072">
        <w:trPr>
          <w:trHeight w:val="360"/>
        </w:trPr>
        <w:tc>
          <w:tcPr>
            <w:tcW w:w="1250" w:type="dxa"/>
            <w:vMerge w:val="restart"/>
            <w:tcBorders>
              <w:top w:val="nil"/>
              <w:left w:val="single" w:sz="8" w:space="0" w:color="auto"/>
              <w:bottom w:val="single" w:sz="8" w:space="0" w:color="000000"/>
              <w:right w:val="single" w:sz="8" w:space="0" w:color="auto"/>
            </w:tcBorders>
            <w:shd w:val="clear" w:color="auto" w:fill="auto"/>
            <w:noWrap/>
            <w:textDirection w:val="btLr"/>
            <w:vAlign w:val="bottom"/>
            <w:hideMark/>
          </w:tcPr>
          <w:p w14:paraId="2C29CA34" w14:textId="77777777" w:rsidR="008A4EE4" w:rsidRPr="00724B18" w:rsidRDefault="008A4EE4" w:rsidP="00B56072">
            <w:pPr>
              <w:ind w:left="113" w:right="113"/>
              <w:jc w:val="center"/>
              <w:rPr>
                <w:rFonts w:ascii="Calibri" w:hAnsi="Calibri" w:cs="Calibri"/>
                <w:color w:val="000000"/>
                <w:sz w:val="22"/>
              </w:rPr>
            </w:pPr>
            <w:r w:rsidRPr="00724B18">
              <w:rPr>
                <w:rFonts w:ascii="Calibri" w:hAnsi="Calibri" w:cs="Calibri"/>
                <w:color w:val="000000"/>
                <w:sz w:val="22"/>
              </w:rPr>
              <w:t>Control Member Forecast</w:t>
            </w:r>
          </w:p>
        </w:tc>
        <w:tc>
          <w:tcPr>
            <w:tcW w:w="1600" w:type="dxa"/>
            <w:tcBorders>
              <w:top w:val="nil"/>
              <w:left w:val="nil"/>
              <w:bottom w:val="nil"/>
              <w:right w:val="single" w:sz="8" w:space="0" w:color="auto"/>
            </w:tcBorders>
            <w:shd w:val="clear" w:color="auto" w:fill="auto"/>
            <w:noWrap/>
            <w:vAlign w:val="bottom"/>
            <w:hideMark/>
          </w:tcPr>
          <w:p w14:paraId="5A3F084D" w14:textId="77777777" w:rsidR="008A4EE4" w:rsidRPr="00724B18" w:rsidRDefault="008A4EE4" w:rsidP="00B56072">
            <w:pPr>
              <w:rPr>
                <w:rFonts w:ascii="Calibri" w:hAnsi="Calibri" w:cs="Calibri"/>
                <w:color w:val="000000"/>
                <w:sz w:val="22"/>
              </w:rPr>
            </w:pPr>
            <w:r w:rsidRPr="00724B18">
              <w:rPr>
                <w:rFonts w:ascii="Calibri" w:hAnsi="Calibri" w:cs="Calibri"/>
                <w:color w:val="000000"/>
                <w:sz w:val="22"/>
              </w:rPr>
              <w:t># of Cores</w:t>
            </w:r>
          </w:p>
        </w:tc>
        <w:tc>
          <w:tcPr>
            <w:tcW w:w="1240" w:type="dxa"/>
            <w:tcBorders>
              <w:top w:val="nil"/>
              <w:left w:val="nil"/>
              <w:bottom w:val="nil"/>
              <w:right w:val="single" w:sz="4" w:space="0" w:color="auto"/>
            </w:tcBorders>
            <w:shd w:val="clear" w:color="auto" w:fill="auto"/>
            <w:noWrap/>
            <w:vAlign w:val="bottom"/>
            <w:hideMark/>
          </w:tcPr>
          <w:p w14:paraId="3F2E62E4" w14:textId="77777777" w:rsidR="008A4EE4" w:rsidRPr="00724B18" w:rsidRDefault="008A4EE4" w:rsidP="00B56072">
            <w:pPr>
              <w:jc w:val="right"/>
              <w:rPr>
                <w:rFonts w:ascii="Calibri" w:hAnsi="Calibri" w:cs="Calibri"/>
                <w:color w:val="000000"/>
                <w:sz w:val="22"/>
              </w:rPr>
            </w:pPr>
            <w:r w:rsidRPr="00724B18">
              <w:rPr>
                <w:rFonts w:ascii="Calibri" w:hAnsi="Calibri" w:cs="Calibri"/>
                <w:color w:val="000000"/>
                <w:sz w:val="22"/>
              </w:rPr>
              <w:t>396</w:t>
            </w:r>
          </w:p>
        </w:tc>
        <w:tc>
          <w:tcPr>
            <w:tcW w:w="1240" w:type="dxa"/>
            <w:tcBorders>
              <w:top w:val="nil"/>
              <w:left w:val="nil"/>
              <w:bottom w:val="nil"/>
              <w:right w:val="single" w:sz="4" w:space="0" w:color="auto"/>
            </w:tcBorders>
            <w:shd w:val="clear" w:color="auto" w:fill="auto"/>
            <w:noWrap/>
            <w:vAlign w:val="bottom"/>
            <w:hideMark/>
          </w:tcPr>
          <w:p w14:paraId="71949466" w14:textId="77777777" w:rsidR="008A4EE4" w:rsidRPr="00724B18" w:rsidRDefault="008A4EE4" w:rsidP="00B56072">
            <w:pPr>
              <w:jc w:val="right"/>
              <w:rPr>
                <w:rFonts w:ascii="Calibri" w:hAnsi="Calibri" w:cs="Calibri"/>
                <w:color w:val="000000"/>
                <w:sz w:val="22"/>
              </w:rPr>
            </w:pPr>
            <w:r w:rsidRPr="00724B18">
              <w:rPr>
                <w:rFonts w:ascii="Calibri" w:hAnsi="Calibri" w:cs="Calibri"/>
                <w:color w:val="000000"/>
                <w:sz w:val="22"/>
              </w:rPr>
              <w:t>396</w:t>
            </w:r>
          </w:p>
        </w:tc>
        <w:tc>
          <w:tcPr>
            <w:tcW w:w="1240" w:type="dxa"/>
            <w:tcBorders>
              <w:top w:val="nil"/>
              <w:left w:val="nil"/>
              <w:bottom w:val="nil"/>
              <w:right w:val="single" w:sz="8" w:space="0" w:color="auto"/>
            </w:tcBorders>
            <w:shd w:val="clear" w:color="auto" w:fill="auto"/>
            <w:noWrap/>
            <w:vAlign w:val="bottom"/>
            <w:hideMark/>
          </w:tcPr>
          <w:p w14:paraId="6C0E0982" w14:textId="77777777" w:rsidR="008A4EE4" w:rsidRPr="00724B18" w:rsidRDefault="008A4EE4" w:rsidP="00B56072">
            <w:pPr>
              <w:jc w:val="right"/>
              <w:rPr>
                <w:rFonts w:ascii="Calibri" w:hAnsi="Calibri" w:cs="Calibri"/>
                <w:color w:val="000000"/>
                <w:sz w:val="22"/>
              </w:rPr>
            </w:pPr>
            <w:r w:rsidRPr="00724B18">
              <w:rPr>
                <w:rFonts w:ascii="Calibri" w:hAnsi="Calibri" w:cs="Calibri"/>
                <w:color w:val="000000"/>
                <w:sz w:val="22"/>
              </w:rPr>
              <w:t>396</w:t>
            </w:r>
          </w:p>
        </w:tc>
      </w:tr>
      <w:tr w:rsidR="008A4EE4" w:rsidRPr="00724B18" w14:paraId="613AB618" w14:textId="77777777" w:rsidTr="00B56072">
        <w:trPr>
          <w:trHeight w:val="360"/>
        </w:trPr>
        <w:tc>
          <w:tcPr>
            <w:tcW w:w="1250" w:type="dxa"/>
            <w:vMerge/>
            <w:tcBorders>
              <w:top w:val="nil"/>
              <w:left w:val="single" w:sz="8" w:space="0" w:color="auto"/>
              <w:bottom w:val="single" w:sz="8" w:space="0" w:color="000000"/>
              <w:right w:val="single" w:sz="8" w:space="0" w:color="auto"/>
            </w:tcBorders>
            <w:textDirection w:val="btLr"/>
            <w:vAlign w:val="center"/>
            <w:hideMark/>
          </w:tcPr>
          <w:p w14:paraId="3126E11C" w14:textId="77777777" w:rsidR="008A4EE4" w:rsidRPr="00724B18" w:rsidRDefault="008A4EE4" w:rsidP="00B56072">
            <w:pPr>
              <w:ind w:left="113" w:right="113"/>
              <w:rPr>
                <w:rFonts w:ascii="Calibri" w:hAnsi="Calibri" w:cs="Calibri"/>
                <w:color w:val="000000"/>
                <w:sz w:val="22"/>
              </w:rPr>
            </w:pPr>
          </w:p>
        </w:tc>
        <w:tc>
          <w:tcPr>
            <w:tcW w:w="1600" w:type="dxa"/>
            <w:tcBorders>
              <w:top w:val="single" w:sz="4" w:space="0" w:color="auto"/>
              <w:left w:val="nil"/>
              <w:bottom w:val="single" w:sz="4" w:space="0" w:color="auto"/>
              <w:right w:val="single" w:sz="8" w:space="0" w:color="auto"/>
            </w:tcBorders>
            <w:shd w:val="clear" w:color="auto" w:fill="auto"/>
            <w:noWrap/>
            <w:vAlign w:val="bottom"/>
            <w:hideMark/>
          </w:tcPr>
          <w:p w14:paraId="3B96AD96" w14:textId="77777777" w:rsidR="008A4EE4" w:rsidRPr="00724B18" w:rsidRDefault="008A4EE4" w:rsidP="00B56072">
            <w:pPr>
              <w:rPr>
                <w:rFonts w:ascii="Calibri" w:hAnsi="Calibri" w:cs="Calibri"/>
                <w:color w:val="000000"/>
                <w:sz w:val="22"/>
              </w:rPr>
            </w:pPr>
            <w:r w:rsidRPr="00724B18">
              <w:rPr>
                <w:rFonts w:ascii="Calibri" w:hAnsi="Calibri" w:cs="Calibri"/>
                <w:color w:val="000000"/>
                <w:sz w:val="22"/>
              </w:rPr>
              <w:t>Time (h)</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1E8E3919" w14:textId="77777777" w:rsidR="008A4EE4" w:rsidRPr="00724B18" w:rsidRDefault="008A4EE4" w:rsidP="00B56072">
            <w:pPr>
              <w:jc w:val="right"/>
              <w:rPr>
                <w:rFonts w:ascii="Calibri" w:hAnsi="Calibri" w:cs="Calibri"/>
                <w:color w:val="000000"/>
                <w:sz w:val="22"/>
              </w:rPr>
            </w:pPr>
            <w:r w:rsidRPr="00724B18">
              <w:rPr>
                <w:rFonts w:ascii="Calibri" w:hAnsi="Calibri" w:cs="Calibri"/>
                <w:color w:val="000000"/>
                <w:sz w:val="22"/>
              </w:rPr>
              <w:t>0.079</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5131333F" w14:textId="77777777" w:rsidR="008A4EE4" w:rsidRPr="00724B18" w:rsidRDefault="008A4EE4" w:rsidP="00B56072">
            <w:pPr>
              <w:jc w:val="right"/>
              <w:rPr>
                <w:rFonts w:ascii="Calibri" w:hAnsi="Calibri" w:cs="Calibri"/>
                <w:color w:val="000000"/>
                <w:sz w:val="22"/>
              </w:rPr>
            </w:pPr>
            <w:r w:rsidRPr="00724B18">
              <w:rPr>
                <w:rFonts w:ascii="Calibri" w:hAnsi="Calibri" w:cs="Calibri"/>
                <w:color w:val="000000"/>
                <w:sz w:val="22"/>
              </w:rPr>
              <w:t>0.079</w:t>
            </w:r>
          </w:p>
        </w:tc>
        <w:tc>
          <w:tcPr>
            <w:tcW w:w="1240" w:type="dxa"/>
            <w:tcBorders>
              <w:top w:val="single" w:sz="4" w:space="0" w:color="auto"/>
              <w:left w:val="nil"/>
              <w:bottom w:val="single" w:sz="4" w:space="0" w:color="auto"/>
              <w:right w:val="single" w:sz="8" w:space="0" w:color="auto"/>
            </w:tcBorders>
            <w:shd w:val="clear" w:color="auto" w:fill="auto"/>
            <w:noWrap/>
            <w:vAlign w:val="bottom"/>
            <w:hideMark/>
          </w:tcPr>
          <w:p w14:paraId="6787D672" w14:textId="77777777" w:rsidR="008A4EE4" w:rsidRPr="00724B18" w:rsidRDefault="008A4EE4" w:rsidP="00B56072">
            <w:pPr>
              <w:jc w:val="right"/>
              <w:rPr>
                <w:rFonts w:ascii="Calibri" w:hAnsi="Calibri" w:cs="Calibri"/>
                <w:color w:val="000000"/>
                <w:sz w:val="22"/>
              </w:rPr>
            </w:pPr>
            <w:r w:rsidRPr="00724B18">
              <w:rPr>
                <w:rFonts w:ascii="Calibri" w:hAnsi="Calibri" w:cs="Calibri"/>
                <w:color w:val="000000"/>
                <w:sz w:val="22"/>
              </w:rPr>
              <w:t>0.079</w:t>
            </w:r>
          </w:p>
        </w:tc>
      </w:tr>
      <w:tr w:rsidR="008A4EE4" w:rsidRPr="00724B18" w14:paraId="61AB35B0" w14:textId="77777777" w:rsidTr="00B56072">
        <w:trPr>
          <w:trHeight w:val="360"/>
        </w:trPr>
        <w:tc>
          <w:tcPr>
            <w:tcW w:w="1250" w:type="dxa"/>
            <w:vMerge/>
            <w:tcBorders>
              <w:top w:val="nil"/>
              <w:left w:val="single" w:sz="8" w:space="0" w:color="auto"/>
              <w:bottom w:val="single" w:sz="8" w:space="0" w:color="000000"/>
              <w:right w:val="single" w:sz="8" w:space="0" w:color="auto"/>
            </w:tcBorders>
            <w:textDirection w:val="btLr"/>
            <w:vAlign w:val="center"/>
            <w:hideMark/>
          </w:tcPr>
          <w:p w14:paraId="24689907" w14:textId="77777777" w:rsidR="008A4EE4" w:rsidRPr="00724B18" w:rsidRDefault="008A4EE4" w:rsidP="00B56072">
            <w:pPr>
              <w:ind w:left="113" w:right="113"/>
              <w:rPr>
                <w:rFonts w:ascii="Calibri" w:hAnsi="Calibri" w:cs="Calibri"/>
                <w:color w:val="000000"/>
                <w:sz w:val="22"/>
              </w:rPr>
            </w:pPr>
          </w:p>
        </w:tc>
        <w:tc>
          <w:tcPr>
            <w:tcW w:w="1600" w:type="dxa"/>
            <w:tcBorders>
              <w:top w:val="nil"/>
              <w:left w:val="nil"/>
              <w:bottom w:val="single" w:sz="8" w:space="0" w:color="auto"/>
              <w:right w:val="single" w:sz="8" w:space="0" w:color="auto"/>
            </w:tcBorders>
            <w:shd w:val="clear" w:color="auto" w:fill="auto"/>
            <w:noWrap/>
            <w:vAlign w:val="bottom"/>
            <w:hideMark/>
          </w:tcPr>
          <w:p w14:paraId="5BC36102" w14:textId="77777777" w:rsidR="008A4EE4" w:rsidRPr="00724B18" w:rsidRDefault="008A4EE4" w:rsidP="00B56072">
            <w:pPr>
              <w:rPr>
                <w:rFonts w:ascii="Calibri" w:hAnsi="Calibri" w:cs="Calibri"/>
                <w:color w:val="000000"/>
                <w:sz w:val="22"/>
              </w:rPr>
            </w:pPr>
            <w:r w:rsidRPr="00724B18">
              <w:rPr>
                <w:rFonts w:ascii="Calibri" w:hAnsi="Calibri" w:cs="Calibri"/>
                <w:color w:val="000000"/>
                <w:sz w:val="22"/>
              </w:rPr>
              <w:t>Core Hours</w:t>
            </w:r>
          </w:p>
        </w:tc>
        <w:tc>
          <w:tcPr>
            <w:tcW w:w="1240" w:type="dxa"/>
            <w:tcBorders>
              <w:top w:val="nil"/>
              <w:left w:val="nil"/>
              <w:bottom w:val="single" w:sz="8" w:space="0" w:color="auto"/>
              <w:right w:val="single" w:sz="4" w:space="0" w:color="auto"/>
            </w:tcBorders>
            <w:shd w:val="clear" w:color="auto" w:fill="auto"/>
            <w:noWrap/>
            <w:vAlign w:val="bottom"/>
            <w:hideMark/>
          </w:tcPr>
          <w:p w14:paraId="716D5DCB" w14:textId="77777777" w:rsidR="008A4EE4" w:rsidRPr="00724B18" w:rsidRDefault="008A4EE4" w:rsidP="00B56072">
            <w:pPr>
              <w:jc w:val="right"/>
              <w:rPr>
                <w:rFonts w:ascii="Calibri" w:hAnsi="Calibri" w:cs="Calibri"/>
                <w:b/>
                <w:bCs/>
                <w:color w:val="000000"/>
                <w:sz w:val="22"/>
              </w:rPr>
            </w:pPr>
            <w:r w:rsidRPr="00724B18">
              <w:rPr>
                <w:rFonts w:ascii="Calibri" w:hAnsi="Calibri" w:cs="Calibri"/>
                <w:b/>
                <w:bCs/>
                <w:color w:val="000000"/>
                <w:sz w:val="22"/>
              </w:rPr>
              <w:t>31.28</w:t>
            </w:r>
          </w:p>
        </w:tc>
        <w:tc>
          <w:tcPr>
            <w:tcW w:w="1240" w:type="dxa"/>
            <w:tcBorders>
              <w:top w:val="nil"/>
              <w:left w:val="nil"/>
              <w:bottom w:val="single" w:sz="8" w:space="0" w:color="auto"/>
              <w:right w:val="single" w:sz="4" w:space="0" w:color="auto"/>
            </w:tcBorders>
            <w:shd w:val="clear" w:color="auto" w:fill="auto"/>
            <w:noWrap/>
            <w:vAlign w:val="bottom"/>
            <w:hideMark/>
          </w:tcPr>
          <w:p w14:paraId="0BB42D4F" w14:textId="77777777" w:rsidR="008A4EE4" w:rsidRPr="00724B18" w:rsidRDefault="008A4EE4" w:rsidP="00B56072">
            <w:pPr>
              <w:jc w:val="right"/>
              <w:rPr>
                <w:rFonts w:ascii="Calibri" w:hAnsi="Calibri" w:cs="Calibri"/>
                <w:b/>
                <w:bCs/>
                <w:color w:val="000000"/>
                <w:sz w:val="22"/>
              </w:rPr>
            </w:pPr>
            <w:r w:rsidRPr="00724B18">
              <w:rPr>
                <w:rFonts w:ascii="Calibri" w:hAnsi="Calibri" w:cs="Calibri"/>
                <w:b/>
                <w:bCs/>
                <w:color w:val="000000"/>
                <w:sz w:val="22"/>
              </w:rPr>
              <w:t>31.28</w:t>
            </w:r>
          </w:p>
        </w:tc>
        <w:tc>
          <w:tcPr>
            <w:tcW w:w="1240" w:type="dxa"/>
            <w:tcBorders>
              <w:top w:val="nil"/>
              <w:left w:val="nil"/>
              <w:bottom w:val="single" w:sz="8" w:space="0" w:color="auto"/>
              <w:right w:val="single" w:sz="8" w:space="0" w:color="auto"/>
            </w:tcBorders>
            <w:shd w:val="clear" w:color="auto" w:fill="auto"/>
            <w:noWrap/>
            <w:vAlign w:val="bottom"/>
            <w:hideMark/>
          </w:tcPr>
          <w:p w14:paraId="1A3AED38" w14:textId="77777777" w:rsidR="008A4EE4" w:rsidRPr="00724B18" w:rsidRDefault="008A4EE4" w:rsidP="00B56072">
            <w:pPr>
              <w:jc w:val="right"/>
              <w:rPr>
                <w:rFonts w:ascii="Calibri" w:hAnsi="Calibri" w:cs="Calibri"/>
                <w:b/>
                <w:bCs/>
                <w:color w:val="000000"/>
                <w:sz w:val="22"/>
              </w:rPr>
            </w:pPr>
            <w:r w:rsidRPr="00724B18">
              <w:rPr>
                <w:rFonts w:ascii="Calibri" w:hAnsi="Calibri" w:cs="Calibri"/>
                <w:b/>
                <w:bCs/>
                <w:color w:val="000000"/>
                <w:sz w:val="22"/>
              </w:rPr>
              <w:t>31.28</w:t>
            </w:r>
          </w:p>
        </w:tc>
      </w:tr>
      <w:tr w:rsidR="008A4EE4" w:rsidRPr="00724B18" w14:paraId="65AA0BB0" w14:textId="77777777" w:rsidTr="00B56072">
        <w:trPr>
          <w:trHeight w:val="360"/>
        </w:trPr>
        <w:tc>
          <w:tcPr>
            <w:tcW w:w="1250" w:type="dxa"/>
            <w:vMerge w:val="restart"/>
            <w:tcBorders>
              <w:top w:val="nil"/>
              <w:left w:val="single" w:sz="8" w:space="0" w:color="auto"/>
              <w:bottom w:val="single" w:sz="8" w:space="0" w:color="000000"/>
              <w:right w:val="single" w:sz="8" w:space="0" w:color="auto"/>
            </w:tcBorders>
            <w:shd w:val="clear" w:color="auto" w:fill="auto"/>
            <w:noWrap/>
            <w:textDirection w:val="btLr"/>
            <w:vAlign w:val="bottom"/>
            <w:hideMark/>
          </w:tcPr>
          <w:p w14:paraId="0037918F" w14:textId="77777777" w:rsidR="008A4EE4" w:rsidRPr="00724B18" w:rsidRDefault="008A4EE4" w:rsidP="00B56072">
            <w:pPr>
              <w:ind w:left="113" w:right="113"/>
              <w:jc w:val="center"/>
              <w:rPr>
                <w:rFonts w:ascii="Calibri" w:hAnsi="Calibri" w:cs="Calibri"/>
                <w:color w:val="000000"/>
                <w:sz w:val="22"/>
              </w:rPr>
            </w:pPr>
            <w:r w:rsidRPr="00724B18">
              <w:rPr>
                <w:rFonts w:ascii="Calibri" w:hAnsi="Calibri" w:cs="Calibri"/>
                <w:color w:val="000000"/>
                <w:sz w:val="22"/>
              </w:rPr>
              <w:t>High-Res Ensemble Forecast</w:t>
            </w:r>
          </w:p>
        </w:tc>
        <w:tc>
          <w:tcPr>
            <w:tcW w:w="1600" w:type="dxa"/>
            <w:tcBorders>
              <w:top w:val="nil"/>
              <w:left w:val="nil"/>
              <w:bottom w:val="nil"/>
              <w:right w:val="single" w:sz="8" w:space="0" w:color="auto"/>
            </w:tcBorders>
            <w:shd w:val="clear" w:color="auto" w:fill="auto"/>
            <w:noWrap/>
            <w:vAlign w:val="bottom"/>
            <w:hideMark/>
          </w:tcPr>
          <w:p w14:paraId="6ED7CEA6" w14:textId="77777777" w:rsidR="008A4EE4" w:rsidRPr="00724B18" w:rsidRDefault="008A4EE4" w:rsidP="00B56072">
            <w:pPr>
              <w:rPr>
                <w:rFonts w:ascii="Calibri" w:hAnsi="Calibri" w:cs="Calibri"/>
                <w:color w:val="000000"/>
                <w:sz w:val="22"/>
              </w:rPr>
            </w:pPr>
            <w:r w:rsidRPr="00724B18">
              <w:rPr>
                <w:rFonts w:ascii="Calibri" w:hAnsi="Calibri" w:cs="Calibri"/>
                <w:color w:val="000000"/>
                <w:sz w:val="22"/>
              </w:rPr>
              <w:t># of Cores</w:t>
            </w:r>
          </w:p>
        </w:tc>
        <w:tc>
          <w:tcPr>
            <w:tcW w:w="1240" w:type="dxa"/>
            <w:tcBorders>
              <w:top w:val="nil"/>
              <w:left w:val="nil"/>
              <w:bottom w:val="nil"/>
              <w:right w:val="single" w:sz="4" w:space="0" w:color="auto"/>
            </w:tcBorders>
            <w:shd w:val="clear" w:color="auto" w:fill="auto"/>
            <w:noWrap/>
            <w:vAlign w:val="bottom"/>
            <w:hideMark/>
          </w:tcPr>
          <w:p w14:paraId="681F9CE2" w14:textId="77777777" w:rsidR="008A4EE4" w:rsidRPr="00724B18" w:rsidRDefault="008A4EE4" w:rsidP="00B56072">
            <w:pPr>
              <w:jc w:val="right"/>
              <w:rPr>
                <w:rFonts w:ascii="Calibri" w:hAnsi="Calibri" w:cs="Calibri"/>
                <w:color w:val="000000"/>
                <w:sz w:val="22"/>
              </w:rPr>
            </w:pPr>
            <w:r w:rsidRPr="00724B18">
              <w:rPr>
                <w:rFonts w:ascii="Calibri" w:hAnsi="Calibri" w:cs="Calibri"/>
                <w:color w:val="000000"/>
                <w:sz w:val="22"/>
              </w:rPr>
              <w:t>396</w:t>
            </w:r>
          </w:p>
        </w:tc>
        <w:tc>
          <w:tcPr>
            <w:tcW w:w="1240" w:type="dxa"/>
            <w:tcBorders>
              <w:top w:val="nil"/>
              <w:left w:val="nil"/>
              <w:bottom w:val="nil"/>
              <w:right w:val="single" w:sz="4" w:space="0" w:color="auto"/>
            </w:tcBorders>
            <w:shd w:val="clear" w:color="auto" w:fill="auto"/>
            <w:noWrap/>
            <w:vAlign w:val="bottom"/>
            <w:hideMark/>
          </w:tcPr>
          <w:p w14:paraId="1FD26597" w14:textId="77777777" w:rsidR="008A4EE4" w:rsidRPr="00724B18" w:rsidRDefault="008A4EE4" w:rsidP="00B56072">
            <w:pPr>
              <w:jc w:val="right"/>
              <w:rPr>
                <w:rFonts w:ascii="Calibri" w:hAnsi="Calibri" w:cs="Calibri"/>
                <w:color w:val="000000"/>
                <w:sz w:val="22"/>
              </w:rPr>
            </w:pPr>
            <w:r w:rsidRPr="00724B18">
              <w:rPr>
                <w:rFonts w:ascii="Calibri" w:hAnsi="Calibri" w:cs="Calibri"/>
                <w:color w:val="000000"/>
                <w:sz w:val="22"/>
              </w:rPr>
              <w:t>396</w:t>
            </w:r>
          </w:p>
        </w:tc>
        <w:tc>
          <w:tcPr>
            <w:tcW w:w="1240" w:type="dxa"/>
            <w:tcBorders>
              <w:top w:val="nil"/>
              <w:left w:val="nil"/>
              <w:bottom w:val="nil"/>
              <w:right w:val="single" w:sz="8" w:space="0" w:color="auto"/>
            </w:tcBorders>
            <w:shd w:val="clear" w:color="auto" w:fill="auto"/>
            <w:noWrap/>
            <w:vAlign w:val="bottom"/>
            <w:hideMark/>
          </w:tcPr>
          <w:p w14:paraId="65902360" w14:textId="77777777" w:rsidR="008A4EE4" w:rsidRPr="00724B18" w:rsidRDefault="008A4EE4" w:rsidP="00B56072">
            <w:pPr>
              <w:jc w:val="right"/>
              <w:rPr>
                <w:rFonts w:ascii="Calibri" w:hAnsi="Calibri" w:cs="Calibri"/>
                <w:color w:val="000000"/>
                <w:sz w:val="22"/>
              </w:rPr>
            </w:pPr>
            <w:r w:rsidRPr="00724B18">
              <w:rPr>
                <w:rFonts w:ascii="Calibri" w:hAnsi="Calibri" w:cs="Calibri"/>
                <w:color w:val="000000"/>
                <w:sz w:val="22"/>
              </w:rPr>
              <w:t>396</w:t>
            </w:r>
          </w:p>
        </w:tc>
      </w:tr>
      <w:tr w:rsidR="008A4EE4" w:rsidRPr="00724B18" w14:paraId="7B73B68A" w14:textId="77777777" w:rsidTr="00B56072">
        <w:trPr>
          <w:trHeight w:val="360"/>
        </w:trPr>
        <w:tc>
          <w:tcPr>
            <w:tcW w:w="1250" w:type="dxa"/>
            <w:vMerge/>
            <w:tcBorders>
              <w:top w:val="nil"/>
              <w:left w:val="single" w:sz="8" w:space="0" w:color="auto"/>
              <w:bottom w:val="single" w:sz="8" w:space="0" w:color="000000"/>
              <w:right w:val="single" w:sz="8" w:space="0" w:color="auto"/>
            </w:tcBorders>
            <w:textDirection w:val="btLr"/>
            <w:vAlign w:val="center"/>
            <w:hideMark/>
          </w:tcPr>
          <w:p w14:paraId="478F5BC5" w14:textId="77777777" w:rsidR="008A4EE4" w:rsidRPr="00724B18" w:rsidRDefault="008A4EE4" w:rsidP="00B56072">
            <w:pPr>
              <w:ind w:left="113" w:right="113"/>
              <w:rPr>
                <w:rFonts w:ascii="Calibri" w:hAnsi="Calibri" w:cs="Calibri"/>
                <w:color w:val="000000"/>
                <w:sz w:val="22"/>
              </w:rPr>
            </w:pPr>
          </w:p>
        </w:tc>
        <w:tc>
          <w:tcPr>
            <w:tcW w:w="1600" w:type="dxa"/>
            <w:tcBorders>
              <w:top w:val="single" w:sz="4" w:space="0" w:color="auto"/>
              <w:left w:val="nil"/>
              <w:bottom w:val="single" w:sz="4" w:space="0" w:color="auto"/>
              <w:right w:val="single" w:sz="8" w:space="0" w:color="auto"/>
            </w:tcBorders>
            <w:shd w:val="clear" w:color="auto" w:fill="auto"/>
            <w:noWrap/>
            <w:vAlign w:val="bottom"/>
            <w:hideMark/>
          </w:tcPr>
          <w:p w14:paraId="61C05F91" w14:textId="77777777" w:rsidR="008A4EE4" w:rsidRPr="00724B18" w:rsidRDefault="008A4EE4" w:rsidP="00B56072">
            <w:pPr>
              <w:rPr>
                <w:rFonts w:ascii="Calibri" w:hAnsi="Calibri" w:cs="Calibri"/>
                <w:color w:val="000000"/>
                <w:sz w:val="22"/>
              </w:rPr>
            </w:pPr>
            <w:r w:rsidRPr="00724B18">
              <w:rPr>
                <w:rFonts w:ascii="Calibri" w:hAnsi="Calibri" w:cs="Calibri"/>
                <w:color w:val="000000"/>
                <w:sz w:val="22"/>
              </w:rPr>
              <w:t>Time (h)</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2C1F3710" w14:textId="77777777" w:rsidR="008A4EE4" w:rsidRPr="00724B18" w:rsidRDefault="008A4EE4" w:rsidP="00B56072">
            <w:pPr>
              <w:jc w:val="right"/>
              <w:rPr>
                <w:rFonts w:ascii="Calibri" w:hAnsi="Calibri" w:cs="Calibri"/>
                <w:color w:val="000000"/>
                <w:sz w:val="22"/>
              </w:rPr>
            </w:pPr>
            <w:r w:rsidRPr="00724B18">
              <w:rPr>
                <w:rFonts w:ascii="Calibri" w:hAnsi="Calibri" w:cs="Calibri"/>
                <w:color w:val="000000"/>
                <w:sz w:val="22"/>
              </w:rPr>
              <w:t>0.079</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44901E2E" w14:textId="77777777" w:rsidR="008A4EE4" w:rsidRPr="00724B18" w:rsidRDefault="008A4EE4" w:rsidP="00B56072">
            <w:pPr>
              <w:jc w:val="right"/>
              <w:rPr>
                <w:rFonts w:ascii="Calibri" w:hAnsi="Calibri" w:cs="Calibri"/>
                <w:color w:val="000000"/>
                <w:sz w:val="22"/>
              </w:rPr>
            </w:pPr>
            <w:r w:rsidRPr="00724B18">
              <w:rPr>
                <w:rFonts w:ascii="Calibri" w:hAnsi="Calibri" w:cs="Calibri"/>
                <w:color w:val="000000"/>
                <w:sz w:val="22"/>
              </w:rPr>
              <w:t>0.079</w:t>
            </w:r>
          </w:p>
        </w:tc>
        <w:tc>
          <w:tcPr>
            <w:tcW w:w="1240" w:type="dxa"/>
            <w:tcBorders>
              <w:top w:val="single" w:sz="4" w:space="0" w:color="auto"/>
              <w:left w:val="nil"/>
              <w:bottom w:val="single" w:sz="4" w:space="0" w:color="auto"/>
              <w:right w:val="single" w:sz="8" w:space="0" w:color="auto"/>
            </w:tcBorders>
            <w:shd w:val="clear" w:color="auto" w:fill="auto"/>
            <w:noWrap/>
            <w:vAlign w:val="bottom"/>
            <w:hideMark/>
          </w:tcPr>
          <w:p w14:paraId="67E29B7B" w14:textId="77777777" w:rsidR="008A4EE4" w:rsidRPr="00724B18" w:rsidRDefault="008A4EE4" w:rsidP="00B56072">
            <w:pPr>
              <w:jc w:val="right"/>
              <w:rPr>
                <w:rFonts w:ascii="Calibri" w:hAnsi="Calibri" w:cs="Calibri"/>
                <w:color w:val="000000"/>
                <w:sz w:val="22"/>
              </w:rPr>
            </w:pPr>
            <w:r w:rsidRPr="00724B18">
              <w:rPr>
                <w:rFonts w:ascii="Calibri" w:hAnsi="Calibri" w:cs="Calibri"/>
                <w:color w:val="000000"/>
                <w:sz w:val="22"/>
              </w:rPr>
              <w:t>0.079</w:t>
            </w:r>
          </w:p>
        </w:tc>
      </w:tr>
      <w:tr w:rsidR="008A4EE4" w:rsidRPr="00724B18" w14:paraId="31667447" w14:textId="77777777" w:rsidTr="00B56072">
        <w:trPr>
          <w:trHeight w:val="360"/>
        </w:trPr>
        <w:tc>
          <w:tcPr>
            <w:tcW w:w="1250" w:type="dxa"/>
            <w:vMerge/>
            <w:tcBorders>
              <w:top w:val="nil"/>
              <w:left w:val="single" w:sz="8" w:space="0" w:color="auto"/>
              <w:bottom w:val="single" w:sz="8" w:space="0" w:color="000000"/>
              <w:right w:val="single" w:sz="8" w:space="0" w:color="auto"/>
            </w:tcBorders>
            <w:textDirection w:val="btLr"/>
            <w:vAlign w:val="center"/>
            <w:hideMark/>
          </w:tcPr>
          <w:p w14:paraId="212ECBD0" w14:textId="77777777" w:rsidR="008A4EE4" w:rsidRPr="00724B18" w:rsidRDefault="008A4EE4" w:rsidP="00B56072">
            <w:pPr>
              <w:ind w:left="113" w:right="113"/>
              <w:rPr>
                <w:rFonts w:ascii="Calibri" w:hAnsi="Calibri" w:cs="Calibri"/>
                <w:color w:val="000000"/>
                <w:sz w:val="22"/>
              </w:rPr>
            </w:pPr>
          </w:p>
        </w:tc>
        <w:tc>
          <w:tcPr>
            <w:tcW w:w="1600" w:type="dxa"/>
            <w:tcBorders>
              <w:top w:val="nil"/>
              <w:left w:val="nil"/>
              <w:bottom w:val="single" w:sz="4" w:space="0" w:color="auto"/>
              <w:right w:val="single" w:sz="8" w:space="0" w:color="auto"/>
            </w:tcBorders>
            <w:shd w:val="clear" w:color="auto" w:fill="auto"/>
            <w:noWrap/>
            <w:vAlign w:val="bottom"/>
            <w:hideMark/>
          </w:tcPr>
          <w:p w14:paraId="1B4DB1D2" w14:textId="77777777" w:rsidR="008A4EE4" w:rsidRPr="00724B18" w:rsidRDefault="008A4EE4" w:rsidP="00B56072">
            <w:pPr>
              <w:rPr>
                <w:rFonts w:ascii="Calibri" w:hAnsi="Calibri" w:cs="Calibri"/>
                <w:color w:val="000000"/>
                <w:sz w:val="22"/>
              </w:rPr>
            </w:pPr>
            <w:r w:rsidRPr="00724B18">
              <w:rPr>
                <w:rFonts w:ascii="Calibri" w:hAnsi="Calibri" w:cs="Calibri"/>
                <w:color w:val="000000"/>
                <w:sz w:val="22"/>
              </w:rPr>
              <w:t>Ensemble Size</w:t>
            </w:r>
          </w:p>
        </w:tc>
        <w:tc>
          <w:tcPr>
            <w:tcW w:w="1240" w:type="dxa"/>
            <w:tcBorders>
              <w:top w:val="nil"/>
              <w:left w:val="nil"/>
              <w:bottom w:val="single" w:sz="4" w:space="0" w:color="auto"/>
              <w:right w:val="single" w:sz="4" w:space="0" w:color="auto"/>
            </w:tcBorders>
            <w:shd w:val="clear" w:color="auto" w:fill="auto"/>
            <w:noWrap/>
            <w:vAlign w:val="bottom"/>
            <w:hideMark/>
          </w:tcPr>
          <w:p w14:paraId="0EAB952A" w14:textId="77777777" w:rsidR="008A4EE4" w:rsidRPr="00724B18" w:rsidRDefault="008A4EE4" w:rsidP="00B56072">
            <w:pPr>
              <w:jc w:val="right"/>
              <w:rPr>
                <w:rFonts w:ascii="Calibri" w:hAnsi="Calibri" w:cs="Calibri"/>
                <w:color w:val="000000"/>
                <w:sz w:val="22"/>
              </w:rPr>
            </w:pPr>
            <w:r w:rsidRPr="00724B18">
              <w:rPr>
                <w:rFonts w:ascii="Calibri" w:hAnsi="Calibri" w:cs="Calibri"/>
                <w:color w:val="000000"/>
                <w:sz w:val="22"/>
              </w:rPr>
              <w:t>80</w:t>
            </w:r>
          </w:p>
        </w:tc>
        <w:tc>
          <w:tcPr>
            <w:tcW w:w="1240" w:type="dxa"/>
            <w:tcBorders>
              <w:top w:val="nil"/>
              <w:left w:val="nil"/>
              <w:bottom w:val="single" w:sz="4" w:space="0" w:color="auto"/>
              <w:right w:val="single" w:sz="4" w:space="0" w:color="auto"/>
            </w:tcBorders>
            <w:shd w:val="clear" w:color="auto" w:fill="auto"/>
            <w:noWrap/>
            <w:vAlign w:val="bottom"/>
            <w:hideMark/>
          </w:tcPr>
          <w:p w14:paraId="678637DC" w14:textId="77777777" w:rsidR="008A4EE4" w:rsidRPr="00724B18" w:rsidRDefault="008A4EE4" w:rsidP="00B56072">
            <w:pPr>
              <w:jc w:val="right"/>
              <w:rPr>
                <w:rFonts w:ascii="Calibri" w:hAnsi="Calibri" w:cs="Calibri"/>
                <w:color w:val="000000"/>
                <w:sz w:val="22"/>
              </w:rPr>
            </w:pPr>
            <w:r w:rsidRPr="00724B18">
              <w:rPr>
                <w:rFonts w:ascii="Calibri" w:hAnsi="Calibri" w:cs="Calibri"/>
                <w:color w:val="000000"/>
                <w:sz w:val="22"/>
              </w:rPr>
              <w:t>40</w:t>
            </w:r>
          </w:p>
        </w:tc>
        <w:tc>
          <w:tcPr>
            <w:tcW w:w="1240" w:type="dxa"/>
            <w:tcBorders>
              <w:top w:val="nil"/>
              <w:left w:val="nil"/>
              <w:bottom w:val="single" w:sz="4" w:space="0" w:color="auto"/>
              <w:right w:val="single" w:sz="8" w:space="0" w:color="auto"/>
            </w:tcBorders>
            <w:shd w:val="clear" w:color="auto" w:fill="auto"/>
            <w:noWrap/>
            <w:vAlign w:val="bottom"/>
            <w:hideMark/>
          </w:tcPr>
          <w:p w14:paraId="2319D754" w14:textId="77777777" w:rsidR="008A4EE4" w:rsidRPr="00724B18" w:rsidRDefault="008A4EE4" w:rsidP="00B56072">
            <w:pPr>
              <w:jc w:val="right"/>
              <w:rPr>
                <w:rFonts w:ascii="Calibri" w:hAnsi="Calibri" w:cs="Calibri"/>
                <w:color w:val="000000"/>
                <w:sz w:val="22"/>
              </w:rPr>
            </w:pPr>
            <w:r w:rsidRPr="00724B18">
              <w:rPr>
                <w:rFonts w:ascii="Calibri" w:hAnsi="Calibri" w:cs="Calibri"/>
                <w:color w:val="000000"/>
                <w:sz w:val="22"/>
              </w:rPr>
              <w:t>24</w:t>
            </w:r>
          </w:p>
        </w:tc>
      </w:tr>
      <w:tr w:rsidR="008A4EE4" w:rsidRPr="00724B18" w14:paraId="25606490" w14:textId="77777777" w:rsidTr="00B56072">
        <w:trPr>
          <w:trHeight w:val="360"/>
        </w:trPr>
        <w:tc>
          <w:tcPr>
            <w:tcW w:w="1250" w:type="dxa"/>
            <w:vMerge/>
            <w:tcBorders>
              <w:top w:val="nil"/>
              <w:left w:val="single" w:sz="8" w:space="0" w:color="auto"/>
              <w:bottom w:val="single" w:sz="8" w:space="0" w:color="000000"/>
              <w:right w:val="single" w:sz="8" w:space="0" w:color="auto"/>
            </w:tcBorders>
            <w:textDirection w:val="btLr"/>
            <w:vAlign w:val="center"/>
            <w:hideMark/>
          </w:tcPr>
          <w:p w14:paraId="42879B90" w14:textId="77777777" w:rsidR="008A4EE4" w:rsidRPr="00724B18" w:rsidRDefault="008A4EE4" w:rsidP="00B56072">
            <w:pPr>
              <w:ind w:left="113" w:right="113"/>
              <w:rPr>
                <w:rFonts w:ascii="Calibri" w:hAnsi="Calibri" w:cs="Calibri"/>
                <w:color w:val="000000"/>
                <w:sz w:val="22"/>
              </w:rPr>
            </w:pPr>
          </w:p>
        </w:tc>
        <w:tc>
          <w:tcPr>
            <w:tcW w:w="1600" w:type="dxa"/>
            <w:tcBorders>
              <w:top w:val="nil"/>
              <w:left w:val="nil"/>
              <w:bottom w:val="single" w:sz="8" w:space="0" w:color="auto"/>
              <w:right w:val="single" w:sz="8" w:space="0" w:color="auto"/>
            </w:tcBorders>
            <w:shd w:val="clear" w:color="auto" w:fill="auto"/>
            <w:noWrap/>
            <w:vAlign w:val="bottom"/>
            <w:hideMark/>
          </w:tcPr>
          <w:p w14:paraId="6767BFFF" w14:textId="77777777" w:rsidR="008A4EE4" w:rsidRPr="00724B18" w:rsidRDefault="008A4EE4" w:rsidP="00B56072">
            <w:pPr>
              <w:rPr>
                <w:rFonts w:ascii="Calibri" w:hAnsi="Calibri" w:cs="Calibri"/>
                <w:color w:val="000000"/>
                <w:sz w:val="22"/>
              </w:rPr>
            </w:pPr>
            <w:r w:rsidRPr="00724B18">
              <w:rPr>
                <w:rFonts w:ascii="Calibri" w:hAnsi="Calibri" w:cs="Calibri"/>
                <w:color w:val="000000"/>
                <w:sz w:val="22"/>
              </w:rPr>
              <w:t>Core Hours</w:t>
            </w:r>
          </w:p>
        </w:tc>
        <w:tc>
          <w:tcPr>
            <w:tcW w:w="1240" w:type="dxa"/>
            <w:tcBorders>
              <w:top w:val="nil"/>
              <w:left w:val="nil"/>
              <w:bottom w:val="single" w:sz="8" w:space="0" w:color="auto"/>
              <w:right w:val="single" w:sz="4" w:space="0" w:color="auto"/>
            </w:tcBorders>
            <w:shd w:val="clear" w:color="auto" w:fill="auto"/>
            <w:noWrap/>
            <w:vAlign w:val="bottom"/>
            <w:hideMark/>
          </w:tcPr>
          <w:p w14:paraId="123D8DEE" w14:textId="77777777" w:rsidR="008A4EE4" w:rsidRPr="00724B18" w:rsidRDefault="008A4EE4" w:rsidP="00B56072">
            <w:pPr>
              <w:jc w:val="right"/>
              <w:rPr>
                <w:rFonts w:ascii="Calibri" w:hAnsi="Calibri" w:cs="Calibri"/>
                <w:b/>
                <w:bCs/>
                <w:color w:val="000000"/>
                <w:sz w:val="22"/>
              </w:rPr>
            </w:pPr>
            <w:r w:rsidRPr="00724B18">
              <w:rPr>
                <w:rFonts w:ascii="Calibri" w:hAnsi="Calibri" w:cs="Calibri"/>
                <w:b/>
                <w:bCs/>
                <w:color w:val="000000"/>
                <w:sz w:val="22"/>
              </w:rPr>
              <w:t>2502.72</w:t>
            </w:r>
          </w:p>
        </w:tc>
        <w:tc>
          <w:tcPr>
            <w:tcW w:w="1240" w:type="dxa"/>
            <w:tcBorders>
              <w:top w:val="nil"/>
              <w:left w:val="nil"/>
              <w:bottom w:val="single" w:sz="8" w:space="0" w:color="auto"/>
              <w:right w:val="single" w:sz="4" w:space="0" w:color="auto"/>
            </w:tcBorders>
            <w:shd w:val="clear" w:color="auto" w:fill="auto"/>
            <w:noWrap/>
            <w:vAlign w:val="bottom"/>
            <w:hideMark/>
          </w:tcPr>
          <w:p w14:paraId="5E7A9357" w14:textId="77777777" w:rsidR="008A4EE4" w:rsidRPr="00724B18" w:rsidRDefault="008A4EE4" w:rsidP="00B56072">
            <w:pPr>
              <w:jc w:val="right"/>
              <w:rPr>
                <w:rFonts w:ascii="Calibri" w:hAnsi="Calibri" w:cs="Calibri"/>
                <w:b/>
                <w:bCs/>
                <w:color w:val="000000"/>
                <w:sz w:val="22"/>
              </w:rPr>
            </w:pPr>
            <w:r w:rsidRPr="00724B18">
              <w:rPr>
                <w:rFonts w:ascii="Calibri" w:hAnsi="Calibri" w:cs="Calibri"/>
                <w:b/>
                <w:bCs/>
                <w:color w:val="000000"/>
                <w:sz w:val="22"/>
              </w:rPr>
              <w:t>1251.36</w:t>
            </w:r>
          </w:p>
        </w:tc>
        <w:tc>
          <w:tcPr>
            <w:tcW w:w="1240" w:type="dxa"/>
            <w:tcBorders>
              <w:top w:val="nil"/>
              <w:left w:val="nil"/>
              <w:bottom w:val="single" w:sz="8" w:space="0" w:color="auto"/>
              <w:right w:val="single" w:sz="8" w:space="0" w:color="auto"/>
            </w:tcBorders>
            <w:shd w:val="clear" w:color="auto" w:fill="auto"/>
            <w:noWrap/>
            <w:vAlign w:val="bottom"/>
            <w:hideMark/>
          </w:tcPr>
          <w:p w14:paraId="1F734D12" w14:textId="77777777" w:rsidR="008A4EE4" w:rsidRPr="00724B18" w:rsidRDefault="008A4EE4" w:rsidP="00B56072">
            <w:pPr>
              <w:jc w:val="right"/>
              <w:rPr>
                <w:rFonts w:ascii="Calibri" w:hAnsi="Calibri" w:cs="Calibri"/>
                <w:b/>
                <w:bCs/>
                <w:color w:val="000000"/>
                <w:sz w:val="22"/>
              </w:rPr>
            </w:pPr>
            <w:r w:rsidRPr="00724B18">
              <w:rPr>
                <w:rFonts w:ascii="Calibri" w:hAnsi="Calibri" w:cs="Calibri"/>
                <w:b/>
                <w:bCs/>
                <w:color w:val="000000"/>
                <w:sz w:val="22"/>
              </w:rPr>
              <w:t>750.82</w:t>
            </w:r>
          </w:p>
        </w:tc>
      </w:tr>
      <w:tr w:rsidR="008A4EE4" w:rsidRPr="00724B18" w14:paraId="43CF6B45" w14:textId="77777777" w:rsidTr="00B56072">
        <w:trPr>
          <w:trHeight w:val="360"/>
        </w:trPr>
        <w:tc>
          <w:tcPr>
            <w:tcW w:w="1250" w:type="dxa"/>
            <w:vMerge w:val="restart"/>
            <w:tcBorders>
              <w:top w:val="nil"/>
              <w:left w:val="single" w:sz="8" w:space="0" w:color="auto"/>
              <w:bottom w:val="single" w:sz="8" w:space="0" w:color="000000"/>
              <w:right w:val="single" w:sz="8" w:space="0" w:color="auto"/>
            </w:tcBorders>
            <w:shd w:val="clear" w:color="auto" w:fill="auto"/>
            <w:noWrap/>
            <w:textDirection w:val="btLr"/>
            <w:vAlign w:val="bottom"/>
            <w:hideMark/>
          </w:tcPr>
          <w:p w14:paraId="7DFEA48D" w14:textId="77777777" w:rsidR="008A4EE4" w:rsidRPr="00724B18" w:rsidRDefault="008A4EE4" w:rsidP="00B56072">
            <w:pPr>
              <w:ind w:left="113" w:right="113"/>
              <w:jc w:val="center"/>
              <w:rPr>
                <w:rFonts w:ascii="Calibri" w:hAnsi="Calibri" w:cs="Calibri"/>
                <w:color w:val="000000"/>
                <w:sz w:val="22"/>
              </w:rPr>
            </w:pPr>
            <w:r w:rsidRPr="00724B18">
              <w:rPr>
                <w:rFonts w:ascii="Calibri" w:hAnsi="Calibri" w:cs="Calibri"/>
                <w:color w:val="000000"/>
                <w:sz w:val="22"/>
              </w:rPr>
              <w:t>Low-Res Ensemble Forecast</w:t>
            </w:r>
          </w:p>
        </w:tc>
        <w:tc>
          <w:tcPr>
            <w:tcW w:w="1600" w:type="dxa"/>
            <w:tcBorders>
              <w:top w:val="nil"/>
              <w:left w:val="nil"/>
              <w:bottom w:val="nil"/>
              <w:right w:val="single" w:sz="8" w:space="0" w:color="auto"/>
            </w:tcBorders>
            <w:shd w:val="clear" w:color="auto" w:fill="auto"/>
            <w:noWrap/>
            <w:vAlign w:val="bottom"/>
            <w:hideMark/>
          </w:tcPr>
          <w:p w14:paraId="2CFBB6ED" w14:textId="77777777" w:rsidR="008A4EE4" w:rsidRPr="00724B18" w:rsidRDefault="008A4EE4" w:rsidP="00B56072">
            <w:pPr>
              <w:rPr>
                <w:rFonts w:ascii="Calibri" w:hAnsi="Calibri" w:cs="Calibri"/>
                <w:color w:val="000000"/>
                <w:sz w:val="22"/>
              </w:rPr>
            </w:pPr>
            <w:r w:rsidRPr="00724B18">
              <w:rPr>
                <w:rFonts w:ascii="Calibri" w:hAnsi="Calibri" w:cs="Calibri"/>
                <w:color w:val="000000"/>
                <w:sz w:val="22"/>
              </w:rPr>
              <w:t># of Cores</w:t>
            </w:r>
          </w:p>
        </w:tc>
        <w:tc>
          <w:tcPr>
            <w:tcW w:w="1240" w:type="dxa"/>
            <w:tcBorders>
              <w:top w:val="nil"/>
              <w:left w:val="nil"/>
              <w:bottom w:val="nil"/>
              <w:right w:val="single" w:sz="4" w:space="0" w:color="auto"/>
            </w:tcBorders>
            <w:shd w:val="clear" w:color="auto" w:fill="auto"/>
            <w:noWrap/>
            <w:vAlign w:val="bottom"/>
            <w:hideMark/>
          </w:tcPr>
          <w:p w14:paraId="4FA565C2" w14:textId="77777777" w:rsidR="008A4EE4" w:rsidRPr="00724B18" w:rsidRDefault="008A4EE4" w:rsidP="00B56072">
            <w:pPr>
              <w:rPr>
                <w:rFonts w:ascii="Calibri" w:hAnsi="Calibri" w:cs="Calibri"/>
                <w:color w:val="000000"/>
                <w:sz w:val="22"/>
              </w:rPr>
            </w:pPr>
            <w:r w:rsidRPr="00724B18">
              <w:rPr>
                <w:rFonts w:ascii="Calibri" w:hAnsi="Calibri" w:cs="Calibri"/>
                <w:color w:val="000000"/>
                <w:sz w:val="22"/>
              </w:rPr>
              <w:t> </w:t>
            </w:r>
          </w:p>
        </w:tc>
        <w:tc>
          <w:tcPr>
            <w:tcW w:w="1240" w:type="dxa"/>
            <w:tcBorders>
              <w:top w:val="nil"/>
              <w:left w:val="nil"/>
              <w:bottom w:val="nil"/>
              <w:right w:val="single" w:sz="4" w:space="0" w:color="auto"/>
            </w:tcBorders>
            <w:shd w:val="clear" w:color="auto" w:fill="auto"/>
            <w:noWrap/>
            <w:vAlign w:val="bottom"/>
            <w:hideMark/>
          </w:tcPr>
          <w:p w14:paraId="173D9E25" w14:textId="77777777" w:rsidR="008A4EE4" w:rsidRPr="00724B18" w:rsidRDefault="008A4EE4" w:rsidP="00B56072">
            <w:pPr>
              <w:jc w:val="right"/>
              <w:rPr>
                <w:rFonts w:ascii="Calibri" w:hAnsi="Calibri" w:cs="Calibri"/>
                <w:color w:val="000000"/>
                <w:sz w:val="22"/>
              </w:rPr>
            </w:pPr>
            <w:r w:rsidRPr="00724B18">
              <w:rPr>
                <w:rFonts w:ascii="Calibri" w:hAnsi="Calibri" w:cs="Calibri"/>
                <w:color w:val="000000"/>
                <w:sz w:val="22"/>
              </w:rPr>
              <w:t>108</w:t>
            </w:r>
          </w:p>
        </w:tc>
        <w:tc>
          <w:tcPr>
            <w:tcW w:w="1240" w:type="dxa"/>
            <w:tcBorders>
              <w:top w:val="nil"/>
              <w:left w:val="nil"/>
              <w:bottom w:val="nil"/>
              <w:right w:val="single" w:sz="8" w:space="0" w:color="auto"/>
            </w:tcBorders>
            <w:shd w:val="clear" w:color="auto" w:fill="auto"/>
            <w:noWrap/>
            <w:vAlign w:val="bottom"/>
            <w:hideMark/>
          </w:tcPr>
          <w:p w14:paraId="31E89CAD" w14:textId="77777777" w:rsidR="008A4EE4" w:rsidRPr="00724B18" w:rsidRDefault="008A4EE4" w:rsidP="00B56072">
            <w:pPr>
              <w:jc w:val="right"/>
              <w:rPr>
                <w:rFonts w:ascii="Calibri" w:hAnsi="Calibri" w:cs="Calibri"/>
                <w:color w:val="000000"/>
                <w:sz w:val="22"/>
              </w:rPr>
            </w:pPr>
            <w:r w:rsidRPr="00724B18">
              <w:rPr>
                <w:rFonts w:ascii="Calibri" w:hAnsi="Calibri" w:cs="Calibri"/>
                <w:color w:val="000000"/>
                <w:sz w:val="22"/>
              </w:rPr>
              <w:t>108</w:t>
            </w:r>
          </w:p>
        </w:tc>
      </w:tr>
      <w:tr w:rsidR="008A4EE4" w:rsidRPr="00724B18" w14:paraId="14ADEC25" w14:textId="77777777" w:rsidTr="00B56072">
        <w:trPr>
          <w:trHeight w:val="360"/>
        </w:trPr>
        <w:tc>
          <w:tcPr>
            <w:tcW w:w="1250" w:type="dxa"/>
            <w:vMerge/>
            <w:tcBorders>
              <w:top w:val="nil"/>
              <w:left w:val="single" w:sz="8" w:space="0" w:color="auto"/>
              <w:bottom w:val="single" w:sz="8" w:space="0" w:color="000000"/>
              <w:right w:val="single" w:sz="8" w:space="0" w:color="auto"/>
            </w:tcBorders>
            <w:vAlign w:val="center"/>
            <w:hideMark/>
          </w:tcPr>
          <w:p w14:paraId="0753086B" w14:textId="77777777" w:rsidR="008A4EE4" w:rsidRPr="00724B18" w:rsidRDefault="008A4EE4" w:rsidP="00B56072">
            <w:pPr>
              <w:rPr>
                <w:rFonts w:ascii="Calibri" w:hAnsi="Calibri" w:cs="Calibri"/>
                <w:color w:val="000000"/>
                <w:sz w:val="22"/>
              </w:rPr>
            </w:pPr>
          </w:p>
        </w:tc>
        <w:tc>
          <w:tcPr>
            <w:tcW w:w="1600" w:type="dxa"/>
            <w:tcBorders>
              <w:top w:val="single" w:sz="4" w:space="0" w:color="auto"/>
              <w:left w:val="nil"/>
              <w:bottom w:val="nil"/>
              <w:right w:val="single" w:sz="8" w:space="0" w:color="auto"/>
            </w:tcBorders>
            <w:shd w:val="clear" w:color="auto" w:fill="auto"/>
            <w:noWrap/>
            <w:vAlign w:val="bottom"/>
            <w:hideMark/>
          </w:tcPr>
          <w:p w14:paraId="177695E3" w14:textId="77777777" w:rsidR="008A4EE4" w:rsidRPr="00724B18" w:rsidRDefault="008A4EE4" w:rsidP="00B56072">
            <w:pPr>
              <w:rPr>
                <w:rFonts w:ascii="Calibri" w:hAnsi="Calibri" w:cs="Calibri"/>
                <w:color w:val="000000"/>
                <w:sz w:val="22"/>
              </w:rPr>
            </w:pPr>
            <w:r w:rsidRPr="00724B18">
              <w:rPr>
                <w:rFonts w:ascii="Calibri" w:hAnsi="Calibri" w:cs="Calibri"/>
                <w:color w:val="000000"/>
                <w:sz w:val="22"/>
              </w:rPr>
              <w:t>Time (h)</w:t>
            </w:r>
          </w:p>
        </w:tc>
        <w:tc>
          <w:tcPr>
            <w:tcW w:w="1240" w:type="dxa"/>
            <w:tcBorders>
              <w:top w:val="single" w:sz="4" w:space="0" w:color="auto"/>
              <w:left w:val="nil"/>
              <w:bottom w:val="nil"/>
              <w:right w:val="single" w:sz="4" w:space="0" w:color="auto"/>
            </w:tcBorders>
            <w:shd w:val="clear" w:color="auto" w:fill="auto"/>
            <w:noWrap/>
            <w:vAlign w:val="bottom"/>
            <w:hideMark/>
          </w:tcPr>
          <w:p w14:paraId="3B60F4F7" w14:textId="77777777" w:rsidR="008A4EE4" w:rsidRPr="00724B18" w:rsidRDefault="008A4EE4" w:rsidP="00B56072">
            <w:pPr>
              <w:rPr>
                <w:rFonts w:ascii="Calibri" w:hAnsi="Calibri" w:cs="Calibri"/>
                <w:color w:val="000000"/>
                <w:sz w:val="22"/>
              </w:rPr>
            </w:pPr>
            <w:r w:rsidRPr="00724B18">
              <w:rPr>
                <w:rFonts w:ascii="Calibri" w:hAnsi="Calibri" w:cs="Calibri"/>
                <w:color w:val="000000"/>
                <w:sz w:val="22"/>
              </w:rPr>
              <w:t> </w:t>
            </w:r>
          </w:p>
        </w:tc>
        <w:tc>
          <w:tcPr>
            <w:tcW w:w="1240" w:type="dxa"/>
            <w:tcBorders>
              <w:top w:val="single" w:sz="4" w:space="0" w:color="auto"/>
              <w:left w:val="nil"/>
              <w:bottom w:val="nil"/>
              <w:right w:val="single" w:sz="4" w:space="0" w:color="auto"/>
            </w:tcBorders>
            <w:shd w:val="clear" w:color="auto" w:fill="auto"/>
            <w:noWrap/>
            <w:vAlign w:val="bottom"/>
            <w:hideMark/>
          </w:tcPr>
          <w:p w14:paraId="11A276DC" w14:textId="77777777" w:rsidR="008A4EE4" w:rsidRPr="00724B18" w:rsidRDefault="008A4EE4" w:rsidP="00B56072">
            <w:pPr>
              <w:jc w:val="right"/>
              <w:rPr>
                <w:rFonts w:ascii="Calibri" w:hAnsi="Calibri" w:cs="Calibri"/>
                <w:color w:val="000000"/>
                <w:sz w:val="22"/>
              </w:rPr>
            </w:pPr>
            <w:r w:rsidRPr="00724B18">
              <w:rPr>
                <w:rFonts w:ascii="Calibri" w:hAnsi="Calibri" w:cs="Calibri"/>
                <w:color w:val="000000"/>
                <w:sz w:val="22"/>
              </w:rPr>
              <w:t>0.047</w:t>
            </w:r>
          </w:p>
        </w:tc>
        <w:tc>
          <w:tcPr>
            <w:tcW w:w="1240" w:type="dxa"/>
            <w:tcBorders>
              <w:top w:val="single" w:sz="4" w:space="0" w:color="auto"/>
              <w:left w:val="nil"/>
              <w:bottom w:val="nil"/>
              <w:right w:val="single" w:sz="8" w:space="0" w:color="auto"/>
            </w:tcBorders>
            <w:shd w:val="clear" w:color="auto" w:fill="auto"/>
            <w:noWrap/>
            <w:vAlign w:val="bottom"/>
            <w:hideMark/>
          </w:tcPr>
          <w:p w14:paraId="20B68235" w14:textId="77777777" w:rsidR="008A4EE4" w:rsidRPr="00724B18" w:rsidRDefault="008A4EE4" w:rsidP="00B56072">
            <w:pPr>
              <w:jc w:val="right"/>
              <w:rPr>
                <w:rFonts w:ascii="Calibri" w:hAnsi="Calibri" w:cs="Calibri"/>
                <w:color w:val="000000"/>
                <w:sz w:val="22"/>
              </w:rPr>
            </w:pPr>
            <w:r w:rsidRPr="00724B18">
              <w:rPr>
                <w:rFonts w:ascii="Calibri" w:hAnsi="Calibri" w:cs="Calibri"/>
                <w:color w:val="000000"/>
                <w:sz w:val="22"/>
              </w:rPr>
              <w:t>0.047</w:t>
            </w:r>
          </w:p>
        </w:tc>
      </w:tr>
      <w:tr w:rsidR="008A4EE4" w:rsidRPr="00724B18" w14:paraId="406F1428" w14:textId="77777777" w:rsidTr="00B56072">
        <w:trPr>
          <w:trHeight w:val="360"/>
        </w:trPr>
        <w:tc>
          <w:tcPr>
            <w:tcW w:w="1250" w:type="dxa"/>
            <w:vMerge/>
            <w:tcBorders>
              <w:top w:val="nil"/>
              <w:left w:val="single" w:sz="8" w:space="0" w:color="auto"/>
              <w:bottom w:val="single" w:sz="8" w:space="0" w:color="000000"/>
              <w:right w:val="single" w:sz="8" w:space="0" w:color="auto"/>
            </w:tcBorders>
            <w:vAlign w:val="center"/>
            <w:hideMark/>
          </w:tcPr>
          <w:p w14:paraId="6F490674" w14:textId="77777777" w:rsidR="008A4EE4" w:rsidRPr="00724B18" w:rsidRDefault="008A4EE4" w:rsidP="00B56072">
            <w:pPr>
              <w:rPr>
                <w:rFonts w:ascii="Calibri" w:hAnsi="Calibri" w:cs="Calibri"/>
                <w:color w:val="000000"/>
                <w:sz w:val="22"/>
              </w:rPr>
            </w:pPr>
          </w:p>
        </w:tc>
        <w:tc>
          <w:tcPr>
            <w:tcW w:w="1600" w:type="dxa"/>
            <w:tcBorders>
              <w:top w:val="single" w:sz="4" w:space="0" w:color="auto"/>
              <w:left w:val="nil"/>
              <w:bottom w:val="single" w:sz="4" w:space="0" w:color="auto"/>
              <w:right w:val="single" w:sz="8" w:space="0" w:color="auto"/>
            </w:tcBorders>
            <w:shd w:val="clear" w:color="auto" w:fill="auto"/>
            <w:noWrap/>
            <w:vAlign w:val="bottom"/>
            <w:hideMark/>
          </w:tcPr>
          <w:p w14:paraId="5F898720" w14:textId="77777777" w:rsidR="008A4EE4" w:rsidRPr="00724B18" w:rsidRDefault="008A4EE4" w:rsidP="00B56072">
            <w:pPr>
              <w:rPr>
                <w:rFonts w:ascii="Calibri" w:hAnsi="Calibri" w:cs="Calibri"/>
                <w:color w:val="000000"/>
                <w:sz w:val="22"/>
              </w:rPr>
            </w:pPr>
            <w:r w:rsidRPr="00724B18">
              <w:rPr>
                <w:rFonts w:ascii="Calibri" w:hAnsi="Calibri" w:cs="Calibri"/>
                <w:color w:val="000000"/>
                <w:sz w:val="22"/>
              </w:rPr>
              <w:t>Ensemble Size</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3A11C18C" w14:textId="77777777" w:rsidR="008A4EE4" w:rsidRPr="00724B18" w:rsidRDefault="008A4EE4" w:rsidP="00B56072">
            <w:pPr>
              <w:rPr>
                <w:rFonts w:ascii="Calibri" w:hAnsi="Calibri" w:cs="Calibri"/>
                <w:color w:val="000000"/>
                <w:sz w:val="22"/>
              </w:rPr>
            </w:pPr>
            <w:r w:rsidRPr="00724B18">
              <w:rPr>
                <w:rFonts w:ascii="Calibri" w:hAnsi="Calibri" w:cs="Calibri"/>
                <w:color w:val="000000"/>
                <w:sz w:val="22"/>
              </w:rPr>
              <w:t> </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563AF96A" w14:textId="77777777" w:rsidR="008A4EE4" w:rsidRPr="00724B18" w:rsidRDefault="008A4EE4" w:rsidP="00B56072">
            <w:pPr>
              <w:jc w:val="right"/>
              <w:rPr>
                <w:rFonts w:ascii="Calibri" w:hAnsi="Calibri" w:cs="Calibri"/>
                <w:color w:val="000000"/>
                <w:sz w:val="22"/>
              </w:rPr>
            </w:pPr>
            <w:r w:rsidRPr="00724B18">
              <w:rPr>
                <w:rFonts w:ascii="Calibri" w:hAnsi="Calibri" w:cs="Calibri"/>
                <w:color w:val="000000"/>
                <w:sz w:val="22"/>
              </w:rPr>
              <w:t>130</w:t>
            </w:r>
          </w:p>
        </w:tc>
        <w:tc>
          <w:tcPr>
            <w:tcW w:w="1240" w:type="dxa"/>
            <w:tcBorders>
              <w:top w:val="single" w:sz="4" w:space="0" w:color="auto"/>
              <w:left w:val="nil"/>
              <w:bottom w:val="single" w:sz="4" w:space="0" w:color="auto"/>
              <w:right w:val="single" w:sz="8" w:space="0" w:color="auto"/>
            </w:tcBorders>
            <w:shd w:val="clear" w:color="auto" w:fill="auto"/>
            <w:noWrap/>
            <w:vAlign w:val="bottom"/>
            <w:hideMark/>
          </w:tcPr>
          <w:p w14:paraId="2F7F4461" w14:textId="77777777" w:rsidR="008A4EE4" w:rsidRPr="00724B18" w:rsidRDefault="008A4EE4" w:rsidP="00B56072">
            <w:pPr>
              <w:jc w:val="right"/>
              <w:rPr>
                <w:rFonts w:ascii="Calibri" w:hAnsi="Calibri" w:cs="Calibri"/>
                <w:color w:val="000000"/>
                <w:sz w:val="22"/>
              </w:rPr>
            </w:pPr>
            <w:r w:rsidRPr="00724B18">
              <w:rPr>
                <w:rFonts w:ascii="Calibri" w:hAnsi="Calibri" w:cs="Calibri"/>
                <w:color w:val="000000"/>
                <w:sz w:val="22"/>
              </w:rPr>
              <w:t>180</w:t>
            </w:r>
          </w:p>
        </w:tc>
      </w:tr>
      <w:tr w:rsidR="008A4EE4" w:rsidRPr="00724B18" w14:paraId="1B76AE2F" w14:textId="77777777" w:rsidTr="00B56072">
        <w:trPr>
          <w:trHeight w:val="360"/>
        </w:trPr>
        <w:tc>
          <w:tcPr>
            <w:tcW w:w="1250" w:type="dxa"/>
            <w:vMerge/>
            <w:tcBorders>
              <w:top w:val="nil"/>
              <w:left w:val="single" w:sz="8" w:space="0" w:color="auto"/>
              <w:bottom w:val="single" w:sz="8" w:space="0" w:color="000000"/>
              <w:right w:val="single" w:sz="8" w:space="0" w:color="auto"/>
            </w:tcBorders>
            <w:vAlign w:val="center"/>
            <w:hideMark/>
          </w:tcPr>
          <w:p w14:paraId="006510FC" w14:textId="77777777" w:rsidR="008A4EE4" w:rsidRPr="00724B18" w:rsidRDefault="008A4EE4" w:rsidP="00B56072">
            <w:pPr>
              <w:rPr>
                <w:rFonts w:ascii="Calibri" w:hAnsi="Calibri" w:cs="Calibri"/>
                <w:color w:val="000000"/>
                <w:sz w:val="22"/>
              </w:rPr>
            </w:pPr>
          </w:p>
        </w:tc>
        <w:tc>
          <w:tcPr>
            <w:tcW w:w="1600" w:type="dxa"/>
            <w:tcBorders>
              <w:top w:val="nil"/>
              <w:left w:val="nil"/>
              <w:bottom w:val="single" w:sz="8" w:space="0" w:color="auto"/>
              <w:right w:val="single" w:sz="8" w:space="0" w:color="auto"/>
            </w:tcBorders>
            <w:shd w:val="clear" w:color="auto" w:fill="auto"/>
            <w:noWrap/>
            <w:vAlign w:val="bottom"/>
            <w:hideMark/>
          </w:tcPr>
          <w:p w14:paraId="40494DD7" w14:textId="77777777" w:rsidR="008A4EE4" w:rsidRPr="00724B18" w:rsidRDefault="008A4EE4" w:rsidP="00B56072">
            <w:pPr>
              <w:rPr>
                <w:rFonts w:ascii="Calibri" w:hAnsi="Calibri" w:cs="Calibri"/>
                <w:color w:val="000000"/>
                <w:sz w:val="22"/>
              </w:rPr>
            </w:pPr>
            <w:r w:rsidRPr="00724B18">
              <w:rPr>
                <w:rFonts w:ascii="Calibri" w:hAnsi="Calibri" w:cs="Calibri"/>
                <w:color w:val="000000"/>
                <w:sz w:val="22"/>
              </w:rPr>
              <w:t>Core Hours</w:t>
            </w:r>
          </w:p>
        </w:tc>
        <w:tc>
          <w:tcPr>
            <w:tcW w:w="1240" w:type="dxa"/>
            <w:tcBorders>
              <w:top w:val="nil"/>
              <w:left w:val="nil"/>
              <w:bottom w:val="single" w:sz="8" w:space="0" w:color="auto"/>
              <w:right w:val="single" w:sz="4" w:space="0" w:color="auto"/>
            </w:tcBorders>
            <w:shd w:val="clear" w:color="auto" w:fill="auto"/>
            <w:noWrap/>
            <w:vAlign w:val="bottom"/>
            <w:hideMark/>
          </w:tcPr>
          <w:p w14:paraId="573C1715" w14:textId="77777777" w:rsidR="008A4EE4" w:rsidRPr="00724B18" w:rsidRDefault="008A4EE4" w:rsidP="00B56072">
            <w:pPr>
              <w:jc w:val="right"/>
              <w:rPr>
                <w:rFonts w:ascii="Calibri" w:hAnsi="Calibri" w:cs="Calibri"/>
                <w:b/>
                <w:bCs/>
                <w:color w:val="000000"/>
                <w:sz w:val="22"/>
              </w:rPr>
            </w:pPr>
            <w:r w:rsidRPr="00724B18">
              <w:rPr>
                <w:rFonts w:ascii="Calibri" w:hAnsi="Calibri" w:cs="Calibri"/>
                <w:b/>
                <w:bCs/>
                <w:color w:val="000000"/>
                <w:sz w:val="22"/>
              </w:rPr>
              <w:t>0.00</w:t>
            </w:r>
          </w:p>
        </w:tc>
        <w:tc>
          <w:tcPr>
            <w:tcW w:w="1240" w:type="dxa"/>
            <w:tcBorders>
              <w:top w:val="nil"/>
              <w:left w:val="nil"/>
              <w:bottom w:val="single" w:sz="8" w:space="0" w:color="auto"/>
              <w:right w:val="single" w:sz="4" w:space="0" w:color="auto"/>
            </w:tcBorders>
            <w:shd w:val="clear" w:color="auto" w:fill="auto"/>
            <w:noWrap/>
            <w:vAlign w:val="bottom"/>
            <w:hideMark/>
          </w:tcPr>
          <w:p w14:paraId="374E7106" w14:textId="77777777" w:rsidR="008A4EE4" w:rsidRPr="00724B18" w:rsidRDefault="008A4EE4" w:rsidP="00B56072">
            <w:pPr>
              <w:jc w:val="right"/>
              <w:rPr>
                <w:rFonts w:ascii="Calibri" w:hAnsi="Calibri" w:cs="Calibri"/>
                <w:b/>
                <w:bCs/>
                <w:color w:val="000000"/>
                <w:sz w:val="22"/>
              </w:rPr>
            </w:pPr>
            <w:r w:rsidRPr="00724B18">
              <w:rPr>
                <w:rFonts w:ascii="Calibri" w:hAnsi="Calibri" w:cs="Calibri"/>
                <w:b/>
                <w:bCs/>
                <w:color w:val="000000"/>
                <w:sz w:val="22"/>
              </w:rPr>
              <w:t>659.88</w:t>
            </w:r>
          </w:p>
        </w:tc>
        <w:tc>
          <w:tcPr>
            <w:tcW w:w="1240" w:type="dxa"/>
            <w:tcBorders>
              <w:top w:val="nil"/>
              <w:left w:val="nil"/>
              <w:bottom w:val="single" w:sz="8" w:space="0" w:color="auto"/>
              <w:right w:val="single" w:sz="8" w:space="0" w:color="auto"/>
            </w:tcBorders>
            <w:shd w:val="clear" w:color="auto" w:fill="auto"/>
            <w:noWrap/>
            <w:vAlign w:val="bottom"/>
            <w:hideMark/>
          </w:tcPr>
          <w:p w14:paraId="5752B856" w14:textId="77777777" w:rsidR="008A4EE4" w:rsidRPr="00724B18" w:rsidRDefault="008A4EE4" w:rsidP="00B56072">
            <w:pPr>
              <w:jc w:val="right"/>
              <w:rPr>
                <w:rFonts w:ascii="Calibri" w:hAnsi="Calibri" w:cs="Calibri"/>
                <w:b/>
                <w:bCs/>
                <w:color w:val="000000"/>
                <w:sz w:val="22"/>
              </w:rPr>
            </w:pPr>
            <w:r w:rsidRPr="00724B18">
              <w:rPr>
                <w:rFonts w:ascii="Calibri" w:hAnsi="Calibri" w:cs="Calibri"/>
                <w:b/>
                <w:bCs/>
                <w:color w:val="000000"/>
                <w:sz w:val="22"/>
              </w:rPr>
              <w:t>913.68</w:t>
            </w:r>
          </w:p>
        </w:tc>
      </w:tr>
      <w:tr w:rsidR="008A4EE4" w:rsidRPr="00724B18" w14:paraId="73991B09" w14:textId="77777777" w:rsidTr="00B56072">
        <w:trPr>
          <w:trHeight w:val="288"/>
        </w:trPr>
        <w:tc>
          <w:tcPr>
            <w:tcW w:w="1250" w:type="dxa"/>
            <w:tcBorders>
              <w:top w:val="nil"/>
              <w:left w:val="nil"/>
              <w:bottom w:val="nil"/>
              <w:right w:val="nil"/>
            </w:tcBorders>
            <w:shd w:val="clear" w:color="auto" w:fill="auto"/>
            <w:noWrap/>
            <w:vAlign w:val="bottom"/>
            <w:hideMark/>
          </w:tcPr>
          <w:p w14:paraId="33050CFA" w14:textId="77777777" w:rsidR="008A4EE4" w:rsidRPr="00724B18" w:rsidRDefault="008A4EE4" w:rsidP="00B56072">
            <w:pPr>
              <w:jc w:val="right"/>
              <w:rPr>
                <w:rFonts w:ascii="Calibri" w:hAnsi="Calibri" w:cs="Calibri"/>
                <w:b/>
                <w:bCs/>
                <w:color w:val="000000"/>
                <w:sz w:val="22"/>
              </w:rPr>
            </w:pPr>
          </w:p>
        </w:tc>
        <w:tc>
          <w:tcPr>
            <w:tcW w:w="1600" w:type="dxa"/>
            <w:tcBorders>
              <w:top w:val="nil"/>
              <w:left w:val="single" w:sz="8" w:space="0" w:color="auto"/>
              <w:bottom w:val="nil"/>
              <w:right w:val="single" w:sz="8" w:space="0" w:color="auto"/>
            </w:tcBorders>
            <w:shd w:val="clear" w:color="auto" w:fill="auto"/>
            <w:noWrap/>
            <w:vAlign w:val="bottom"/>
            <w:hideMark/>
          </w:tcPr>
          <w:p w14:paraId="63CFACBB" w14:textId="77777777" w:rsidR="008A4EE4" w:rsidRPr="00724B18" w:rsidRDefault="008A4EE4" w:rsidP="00B56072">
            <w:pPr>
              <w:rPr>
                <w:rFonts w:ascii="Calibri" w:hAnsi="Calibri" w:cs="Calibri"/>
                <w:color w:val="000000"/>
                <w:sz w:val="22"/>
              </w:rPr>
            </w:pPr>
            <w:r w:rsidRPr="00724B18">
              <w:rPr>
                <w:rFonts w:ascii="Calibri" w:hAnsi="Calibri" w:cs="Calibri"/>
                <w:color w:val="000000"/>
                <w:sz w:val="22"/>
              </w:rPr>
              <w:t>Total Core Hours</w:t>
            </w:r>
          </w:p>
        </w:tc>
        <w:tc>
          <w:tcPr>
            <w:tcW w:w="1240" w:type="dxa"/>
            <w:tcBorders>
              <w:top w:val="nil"/>
              <w:left w:val="nil"/>
              <w:bottom w:val="nil"/>
              <w:right w:val="single" w:sz="4" w:space="0" w:color="auto"/>
            </w:tcBorders>
            <w:shd w:val="clear" w:color="auto" w:fill="auto"/>
            <w:noWrap/>
            <w:vAlign w:val="bottom"/>
            <w:hideMark/>
          </w:tcPr>
          <w:p w14:paraId="312280F0" w14:textId="77777777" w:rsidR="008A4EE4" w:rsidRPr="00724B18" w:rsidRDefault="008A4EE4" w:rsidP="00B56072">
            <w:pPr>
              <w:jc w:val="right"/>
              <w:rPr>
                <w:rFonts w:ascii="Calibri" w:hAnsi="Calibri" w:cs="Calibri"/>
                <w:b/>
                <w:bCs/>
                <w:color w:val="000000"/>
                <w:sz w:val="22"/>
              </w:rPr>
            </w:pPr>
            <w:r w:rsidRPr="00724B18">
              <w:rPr>
                <w:rFonts w:ascii="Calibri" w:hAnsi="Calibri" w:cs="Calibri"/>
                <w:b/>
                <w:bCs/>
                <w:color w:val="000000"/>
                <w:sz w:val="22"/>
              </w:rPr>
              <w:t>3957.80</w:t>
            </w:r>
          </w:p>
        </w:tc>
        <w:tc>
          <w:tcPr>
            <w:tcW w:w="1240" w:type="dxa"/>
            <w:tcBorders>
              <w:top w:val="nil"/>
              <w:left w:val="nil"/>
              <w:bottom w:val="nil"/>
              <w:right w:val="single" w:sz="4" w:space="0" w:color="auto"/>
            </w:tcBorders>
            <w:shd w:val="clear" w:color="auto" w:fill="auto"/>
            <w:noWrap/>
            <w:vAlign w:val="bottom"/>
            <w:hideMark/>
          </w:tcPr>
          <w:p w14:paraId="13B94C75" w14:textId="77777777" w:rsidR="008A4EE4" w:rsidRPr="00724B18" w:rsidRDefault="008A4EE4" w:rsidP="00B56072">
            <w:pPr>
              <w:jc w:val="right"/>
              <w:rPr>
                <w:rFonts w:ascii="Calibri" w:hAnsi="Calibri" w:cs="Calibri"/>
                <w:b/>
                <w:bCs/>
                <w:color w:val="000000"/>
                <w:sz w:val="22"/>
              </w:rPr>
            </w:pPr>
            <w:r w:rsidRPr="00724B18">
              <w:rPr>
                <w:rFonts w:ascii="Calibri" w:hAnsi="Calibri" w:cs="Calibri"/>
                <w:b/>
                <w:bCs/>
                <w:color w:val="000000"/>
                <w:sz w:val="22"/>
              </w:rPr>
              <w:t>3933.32</w:t>
            </w:r>
          </w:p>
        </w:tc>
        <w:tc>
          <w:tcPr>
            <w:tcW w:w="1240" w:type="dxa"/>
            <w:tcBorders>
              <w:top w:val="nil"/>
              <w:left w:val="nil"/>
              <w:bottom w:val="nil"/>
              <w:right w:val="single" w:sz="8" w:space="0" w:color="auto"/>
            </w:tcBorders>
            <w:shd w:val="clear" w:color="auto" w:fill="auto"/>
            <w:noWrap/>
            <w:vAlign w:val="bottom"/>
            <w:hideMark/>
          </w:tcPr>
          <w:p w14:paraId="46B6F31B" w14:textId="77777777" w:rsidR="008A4EE4" w:rsidRPr="00724B18" w:rsidRDefault="008A4EE4" w:rsidP="00B56072">
            <w:pPr>
              <w:jc w:val="right"/>
              <w:rPr>
                <w:rFonts w:ascii="Calibri" w:hAnsi="Calibri" w:cs="Calibri"/>
                <w:b/>
                <w:bCs/>
                <w:color w:val="000000"/>
                <w:sz w:val="22"/>
              </w:rPr>
            </w:pPr>
            <w:r w:rsidRPr="00724B18">
              <w:rPr>
                <w:rFonts w:ascii="Calibri" w:hAnsi="Calibri" w:cs="Calibri"/>
                <w:b/>
                <w:bCs/>
                <w:color w:val="000000"/>
                <w:sz w:val="22"/>
              </w:rPr>
              <w:t>3976.38</w:t>
            </w:r>
          </w:p>
        </w:tc>
      </w:tr>
      <w:tr w:rsidR="008A4EE4" w:rsidRPr="00724B18" w14:paraId="72542FE6" w14:textId="77777777" w:rsidTr="00B56072">
        <w:trPr>
          <w:trHeight w:val="300"/>
        </w:trPr>
        <w:tc>
          <w:tcPr>
            <w:tcW w:w="1250" w:type="dxa"/>
            <w:tcBorders>
              <w:top w:val="nil"/>
              <w:left w:val="nil"/>
              <w:bottom w:val="nil"/>
              <w:right w:val="nil"/>
            </w:tcBorders>
            <w:shd w:val="clear" w:color="auto" w:fill="auto"/>
            <w:noWrap/>
            <w:vAlign w:val="bottom"/>
            <w:hideMark/>
          </w:tcPr>
          <w:p w14:paraId="53AF2C5E" w14:textId="77777777" w:rsidR="008A4EE4" w:rsidRPr="00724B18" w:rsidRDefault="008A4EE4" w:rsidP="00B56072">
            <w:pPr>
              <w:jc w:val="right"/>
              <w:rPr>
                <w:rFonts w:ascii="Calibri" w:hAnsi="Calibri" w:cs="Calibri"/>
                <w:b/>
                <w:bCs/>
                <w:color w:val="000000"/>
                <w:sz w:val="22"/>
              </w:rPr>
            </w:pPr>
          </w:p>
        </w:tc>
        <w:tc>
          <w:tcPr>
            <w:tcW w:w="1600"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14:paraId="0245F4FC" w14:textId="77777777" w:rsidR="008A4EE4" w:rsidRPr="00724B18" w:rsidRDefault="008A4EE4" w:rsidP="00B56072">
            <w:pPr>
              <w:rPr>
                <w:rFonts w:ascii="Calibri" w:hAnsi="Calibri" w:cs="Calibri"/>
                <w:color w:val="000000"/>
                <w:sz w:val="22"/>
              </w:rPr>
            </w:pPr>
            <w:r w:rsidRPr="00724B18">
              <w:rPr>
                <w:rFonts w:ascii="Calibri" w:hAnsi="Calibri" w:cs="Calibri"/>
                <w:color w:val="000000"/>
                <w:sz w:val="22"/>
              </w:rPr>
              <w:t>Ratio</w:t>
            </w:r>
          </w:p>
        </w:tc>
        <w:tc>
          <w:tcPr>
            <w:tcW w:w="1240" w:type="dxa"/>
            <w:tcBorders>
              <w:top w:val="single" w:sz="4" w:space="0" w:color="auto"/>
              <w:left w:val="nil"/>
              <w:bottom w:val="single" w:sz="8" w:space="0" w:color="auto"/>
              <w:right w:val="single" w:sz="4" w:space="0" w:color="auto"/>
            </w:tcBorders>
            <w:shd w:val="clear" w:color="auto" w:fill="auto"/>
            <w:noWrap/>
            <w:vAlign w:val="bottom"/>
            <w:hideMark/>
          </w:tcPr>
          <w:p w14:paraId="50D40B10" w14:textId="77777777" w:rsidR="008A4EE4" w:rsidRPr="00724B18" w:rsidRDefault="008A4EE4" w:rsidP="00B56072">
            <w:pPr>
              <w:jc w:val="right"/>
              <w:rPr>
                <w:rFonts w:ascii="Calibri" w:hAnsi="Calibri" w:cs="Calibri"/>
                <w:color w:val="000000"/>
                <w:sz w:val="22"/>
              </w:rPr>
            </w:pPr>
            <w:r w:rsidRPr="00724B18">
              <w:rPr>
                <w:rFonts w:ascii="Calibri" w:hAnsi="Calibri" w:cs="Calibri"/>
                <w:color w:val="000000"/>
                <w:sz w:val="22"/>
              </w:rPr>
              <w:t>1.00</w:t>
            </w:r>
            <w:r w:rsidRPr="00313305">
              <w:rPr>
                <w:rFonts w:ascii="Calibri" w:hAnsi="Calibri" w:cs="Calibri"/>
                <w:color w:val="000000"/>
                <w:sz w:val="22"/>
              </w:rPr>
              <w:t>0</w:t>
            </w:r>
          </w:p>
        </w:tc>
        <w:tc>
          <w:tcPr>
            <w:tcW w:w="1240" w:type="dxa"/>
            <w:tcBorders>
              <w:top w:val="single" w:sz="4" w:space="0" w:color="auto"/>
              <w:left w:val="nil"/>
              <w:bottom w:val="single" w:sz="8" w:space="0" w:color="auto"/>
              <w:right w:val="single" w:sz="4" w:space="0" w:color="auto"/>
            </w:tcBorders>
            <w:shd w:val="clear" w:color="auto" w:fill="auto"/>
            <w:noWrap/>
            <w:vAlign w:val="bottom"/>
            <w:hideMark/>
          </w:tcPr>
          <w:p w14:paraId="71B94266" w14:textId="77777777" w:rsidR="008A4EE4" w:rsidRPr="00724B18" w:rsidRDefault="008A4EE4" w:rsidP="00B56072">
            <w:pPr>
              <w:jc w:val="right"/>
              <w:rPr>
                <w:rFonts w:ascii="Calibri" w:hAnsi="Calibri" w:cs="Calibri"/>
                <w:color w:val="000000"/>
                <w:sz w:val="22"/>
              </w:rPr>
            </w:pPr>
            <w:r w:rsidRPr="00724B18">
              <w:rPr>
                <w:rFonts w:ascii="Calibri" w:hAnsi="Calibri" w:cs="Calibri"/>
                <w:color w:val="000000"/>
                <w:sz w:val="22"/>
              </w:rPr>
              <w:t>0.99</w:t>
            </w:r>
            <w:r w:rsidRPr="00313305">
              <w:rPr>
                <w:rFonts w:ascii="Calibri" w:hAnsi="Calibri" w:cs="Calibri"/>
                <w:color w:val="000000"/>
                <w:sz w:val="22"/>
              </w:rPr>
              <w:t>4</w:t>
            </w:r>
          </w:p>
        </w:tc>
        <w:tc>
          <w:tcPr>
            <w:tcW w:w="1240" w:type="dxa"/>
            <w:tcBorders>
              <w:top w:val="single" w:sz="4" w:space="0" w:color="auto"/>
              <w:left w:val="nil"/>
              <w:bottom w:val="single" w:sz="8" w:space="0" w:color="auto"/>
              <w:right w:val="single" w:sz="8" w:space="0" w:color="auto"/>
            </w:tcBorders>
            <w:shd w:val="clear" w:color="auto" w:fill="auto"/>
            <w:noWrap/>
            <w:vAlign w:val="bottom"/>
            <w:hideMark/>
          </w:tcPr>
          <w:p w14:paraId="6B352EE0" w14:textId="77777777" w:rsidR="008A4EE4" w:rsidRPr="00724B18" w:rsidRDefault="008A4EE4" w:rsidP="00B56072">
            <w:pPr>
              <w:jc w:val="right"/>
              <w:rPr>
                <w:rFonts w:ascii="Calibri" w:hAnsi="Calibri" w:cs="Calibri"/>
                <w:color w:val="000000"/>
                <w:sz w:val="22"/>
              </w:rPr>
            </w:pPr>
            <w:r w:rsidRPr="00724B18">
              <w:rPr>
                <w:rFonts w:ascii="Calibri" w:hAnsi="Calibri" w:cs="Calibri"/>
                <w:color w:val="000000"/>
                <w:sz w:val="22"/>
              </w:rPr>
              <w:t>1.00</w:t>
            </w:r>
            <w:r w:rsidRPr="00313305">
              <w:rPr>
                <w:rFonts w:ascii="Calibri" w:hAnsi="Calibri" w:cs="Calibri"/>
                <w:color w:val="000000"/>
                <w:sz w:val="22"/>
              </w:rPr>
              <w:t>5</w:t>
            </w:r>
          </w:p>
        </w:tc>
      </w:tr>
      <w:bookmarkEnd w:id="79"/>
    </w:tbl>
    <w:p w14:paraId="19418BBD" w14:textId="77341FEC" w:rsidR="008D3A63" w:rsidRPr="00313305" w:rsidRDefault="008D3A63"/>
    <w:p w14:paraId="029AA270" w14:textId="77777777" w:rsidR="008D3A63" w:rsidRPr="00313305" w:rsidRDefault="008D3A63"/>
    <w:p w14:paraId="01564ED3" w14:textId="77777777" w:rsidR="008D3A63" w:rsidRPr="00313305" w:rsidRDefault="008D3A63" w:rsidP="008D3A63">
      <w:pPr>
        <w:jc w:val="center"/>
        <w:rPr>
          <w:b/>
          <w:bCs/>
        </w:rPr>
      </w:pPr>
      <w:r w:rsidRPr="00313305">
        <w:rPr>
          <w:b/>
          <w:bCs/>
        </w:rPr>
        <w:br w:type="page"/>
      </w:r>
    </w:p>
    <w:p w14:paraId="671AA79B" w14:textId="77777777" w:rsidR="00F40C9A" w:rsidRPr="00313305" w:rsidRDefault="00F40C9A">
      <w:pPr>
        <w:rPr>
          <w:b/>
          <w:bCs/>
        </w:rPr>
      </w:pPr>
    </w:p>
    <w:p w14:paraId="049CC391" w14:textId="77777777" w:rsidR="008D3A63" w:rsidRPr="00313305" w:rsidRDefault="009145B6" w:rsidP="008D3A63">
      <w:pPr>
        <w:pStyle w:val="NoSpacing"/>
        <w:spacing w:line="480" w:lineRule="auto"/>
        <w:rPr>
          <w:rFonts w:ascii="Times New Roman" w:hAnsi="Times New Roman" w:cs="Times New Roman"/>
          <w:b/>
          <w:bCs/>
        </w:rPr>
      </w:pPr>
      <w:r w:rsidRPr="00313305">
        <w:rPr>
          <w:rFonts w:ascii="Times New Roman" w:hAnsi="Times New Roman" w:cs="Times New Roman"/>
          <w:b/>
          <w:bCs/>
        </w:rPr>
        <w:t>Figures</w:t>
      </w:r>
    </w:p>
    <w:p w14:paraId="74AF90D7" w14:textId="77777777" w:rsidR="00313305" w:rsidRPr="00313305" w:rsidRDefault="00313305" w:rsidP="00313305">
      <w:r w:rsidRPr="00313305">
        <w:rPr>
          <w:noProof/>
        </w:rPr>
        <w:drawing>
          <wp:inline distT="0" distB="0" distL="0" distR="0" wp14:anchorId="425265B3" wp14:editId="6E146342">
            <wp:extent cx="3538131" cy="4884420"/>
            <wp:effectExtent l="0" t="0" r="5715" b="0"/>
            <wp:docPr id="3" name="Picture 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line chart&#10;&#10;Description automatically generated"/>
                    <pic:cNvPicPr>
                      <a:picLocks noChangeAspect="1" noChangeArrowheads="1"/>
                    </pic:cNvPicPr>
                  </pic:nvPicPr>
                  <pic:blipFill rotWithShape="1">
                    <a:blip r:embed="rId88" cstate="print">
                      <a:extLst>
                        <a:ext uri="{28A0092B-C50C-407E-A947-70E740481C1C}">
                          <a14:useLocalDpi xmlns:a14="http://schemas.microsoft.com/office/drawing/2010/main" val="0"/>
                        </a:ext>
                      </a:extLst>
                    </a:blip>
                    <a:srcRect t="8884" b="4834"/>
                    <a:stretch/>
                  </pic:blipFill>
                  <pic:spPr bwMode="auto">
                    <a:xfrm>
                      <a:off x="0" y="0"/>
                      <a:ext cx="3543072" cy="4891241"/>
                    </a:xfrm>
                    <a:prstGeom prst="rect">
                      <a:avLst/>
                    </a:prstGeom>
                    <a:noFill/>
                    <a:ln>
                      <a:noFill/>
                    </a:ln>
                    <a:extLst>
                      <a:ext uri="{53640926-AAD7-44D8-BBD7-CCE9431645EC}">
                        <a14:shadowObscured xmlns:a14="http://schemas.microsoft.com/office/drawing/2010/main"/>
                      </a:ext>
                    </a:extLst>
                  </pic:spPr>
                </pic:pic>
              </a:graphicData>
            </a:graphic>
          </wp:inline>
        </w:drawing>
      </w:r>
    </w:p>
    <w:p w14:paraId="0E547E0C" w14:textId="77777777" w:rsidR="00313305" w:rsidRPr="00313305" w:rsidRDefault="00313305" w:rsidP="00313305">
      <w:r w:rsidRPr="00313305">
        <w:t>Fig. 1. Level-dependent localization length scales in e-folding distance (km) for 4DEnVar for the SR-High experiment and high-resolution ensemble for the MR experiments (blue) and for the low-resolution ensemble for the MR experiments (red).</w:t>
      </w:r>
    </w:p>
    <w:p w14:paraId="5A74423D" w14:textId="77777777" w:rsidR="00313305" w:rsidRPr="00313305" w:rsidRDefault="00313305" w:rsidP="00313305">
      <w:r w:rsidRPr="00313305">
        <w:rPr>
          <w:noProof/>
        </w:rPr>
        <w:lastRenderedPageBreak/>
        <w:drawing>
          <wp:inline distT="0" distB="0" distL="0" distR="0" wp14:anchorId="1F30D603" wp14:editId="2F8EEE75">
            <wp:extent cx="5935980" cy="3825240"/>
            <wp:effectExtent l="0" t="0" r="7620" b="3810"/>
            <wp:docPr id="20" name="Picture 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10;&#10;Description automatically generated"/>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935980" cy="3825240"/>
                    </a:xfrm>
                    <a:prstGeom prst="rect">
                      <a:avLst/>
                    </a:prstGeom>
                    <a:noFill/>
                    <a:ln>
                      <a:noFill/>
                    </a:ln>
                  </pic:spPr>
                </pic:pic>
              </a:graphicData>
            </a:graphic>
          </wp:inline>
        </w:drawing>
      </w:r>
    </w:p>
    <w:p w14:paraId="6983864C" w14:textId="6495B8B7" w:rsidR="00340D2C" w:rsidRDefault="00313305" w:rsidP="00313305">
      <w:r w:rsidRPr="00313305">
        <w:t xml:space="preserve">Fig. 2. Flow charts for </w:t>
      </w:r>
      <w:r w:rsidR="00E05630">
        <w:t>a cycle of the</w:t>
      </w:r>
      <w:r w:rsidRPr="00313305">
        <w:t xml:space="preserve"> (a) SR-High and (b) MR experiments. </w:t>
      </w:r>
    </w:p>
    <w:p w14:paraId="5682A055" w14:textId="6C4DC780" w:rsidR="00340D2C" w:rsidRDefault="00340D2C" w:rsidP="00313305"/>
    <w:p w14:paraId="7EEB658B" w14:textId="27A38301" w:rsidR="00340D2C" w:rsidRDefault="00340D2C" w:rsidP="00313305"/>
    <w:p w14:paraId="46E57A6E" w14:textId="6C96A939" w:rsidR="00340D2C" w:rsidRDefault="00340D2C" w:rsidP="00313305"/>
    <w:p w14:paraId="6AE6D2AF" w14:textId="342D81D4" w:rsidR="00340D2C" w:rsidRDefault="00340D2C" w:rsidP="00313305"/>
    <w:p w14:paraId="50DA7E67" w14:textId="69300DD5" w:rsidR="00340D2C" w:rsidRDefault="00340D2C" w:rsidP="00313305"/>
    <w:p w14:paraId="5CC5242F" w14:textId="77777777" w:rsidR="00340D2C" w:rsidRPr="00313305" w:rsidRDefault="00340D2C" w:rsidP="00313305"/>
    <w:p w14:paraId="4E248525" w14:textId="77777777" w:rsidR="00313305" w:rsidRPr="00313305" w:rsidRDefault="00313305" w:rsidP="00313305">
      <w:r w:rsidRPr="00313305">
        <w:rPr>
          <w:noProof/>
        </w:rPr>
        <w:lastRenderedPageBreak/>
        <w:drawing>
          <wp:inline distT="0" distB="0" distL="0" distR="0" wp14:anchorId="195ECF47" wp14:editId="703551E8">
            <wp:extent cx="5608320" cy="3249295"/>
            <wp:effectExtent l="0" t="0" r="0" b="8255"/>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a:picLocks noChangeAspect="1" noChangeArrowheads="1"/>
                    </pic:cNvPicPr>
                  </pic:nvPicPr>
                  <pic:blipFill rotWithShape="1">
                    <a:blip r:embed="rId90" cstate="print">
                      <a:extLst>
                        <a:ext uri="{28A0092B-C50C-407E-A947-70E740481C1C}">
                          <a14:useLocalDpi xmlns:a14="http://schemas.microsoft.com/office/drawing/2010/main" val="0"/>
                        </a:ext>
                      </a:extLst>
                    </a:blip>
                    <a:srcRect l="5159" r="8540"/>
                    <a:stretch/>
                  </pic:blipFill>
                  <pic:spPr bwMode="auto">
                    <a:xfrm>
                      <a:off x="0" y="0"/>
                      <a:ext cx="5635237" cy="3264890"/>
                    </a:xfrm>
                    <a:prstGeom prst="rect">
                      <a:avLst/>
                    </a:prstGeom>
                    <a:noFill/>
                    <a:ln>
                      <a:noFill/>
                    </a:ln>
                    <a:extLst>
                      <a:ext uri="{53640926-AAD7-44D8-BBD7-CCE9431645EC}">
                        <a14:shadowObscured xmlns:a14="http://schemas.microsoft.com/office/drawing/2010/main"/>
                      </a:ext>
                    </a:extLst>
                  </pic:spPr>
                </pic:pic>
              </a:graphicData>
            </a:graphic>
          </wp:inline>
        </w:drawing>
      </w:r>
    </w:p>
    <w:p w14:paraId="6A14BF0B" w14:textId="6DE15403" w:rsidR="00313305" w:rsidRDefault="00313305" w:rsidP="00313305">
      <w:r w:rsidRPr="00313305">
        <w:t>Fig. 3. Averaged analysis increment power at 500 hPa over all DA cycles as a function of wavenumber and wavelength for (a) temperature (K</w:t>
      </w:r>
      <w:r w:rsidRPr="00313305">
        <w:rPr>
          <w:vertAlign w:val="superscript"/>
        </w:rPr>
        <w:t>2</w:t>
      </w:r>
      <w:r w:rsidRPr="00313305">
        <w:t>) and (b) zonal wind speed (m</w:t>
      </w:r>
      <w:r w:rsidRPr="00313305">
        <w:rPr>
          <w:vertAlign w:val="superscript"/>
        </w:rPr>
        <w:t>2</w:t>
      </w:r>
      <w:r w:rsidRPr="00313305">
        <w:t xml:space="preserve"> s</w:t>
      </w:r>
      <w:r w:rsidRPr="00313305">
        <w:rPr>
          <w:vertAlign w:val="superscript"/>
        </w:rPr>
        <w:t>-2</w:t>
      </w:r>
      <w:r w:rsidRPr="00313305">
        <w:t>) for the SR-High (blue), MR170 (red), and MR204 (purple) experiment</w:t>
      </w:r>
      <w:r w:rsidR="007F774C">
        <w:t>s</w:t>
      </w:r>
      <w:r w:rsidRPr="00313305">
        <w:t>.</w:t>
      </w:r>
    </w:p>
    <w:p w14:paraId="2BD44B54" w14:textId="2F39B095" w:rsidR="00340D2C" w:rsidRDefault="00340D2C" w:rsidP="00313305"/>
    <w:p w14:paraId="5338149A" w14:textId="77777777" w:rsidR="00301D34" w:rsidRDefault="00301D34" w:rsidP="00313305"/>
    <w:p w14:paraId="5453A43D" w14:textId="77777777" w:rsidR="00340D2C" w:rsidRPr="00313305" w:rsidRDefault="00340D2C" w:rsidP="00313305"/>
    <w:p w14:paraId="38F20AB3" w14:textId="77777777" w:rsidR="00313305" w:rsidRPr="00313305" w:rsidRDefault="00313305" w:rsidP="00313305">
      <w:r w:rsidRPr="00313305">
        <w:rPr>
          <w:noProof/>
        </w:rPr>
        <w:lastRenderedPageBreak/>
        <w:drawing>
          <wp:inline distT="0" distB="0" distL="0" distR="0" wp14:anchorId="49655532" wp14:editId="28AA7AE7">
            <wp:extent cx="5829300" cy="409253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l="8524" t="8077" r="9368" b="5457"/>
                    <a:stretch/>
                  </pic:blipFill>
                  <pic:spPr bwMode="auto">
                    <a:xfrm>
                      <a:off x="0" y="0"/>
                      <a:ext cx="5832662" cy="4094890"/>
                    </a:xfrm>
                    <a:prstGeom prst="rect">
                      <a:avLst/>
                    </a:prstGeom>
                    <a:noFill/>
                    <a:ln>
                      <a:noFill/>
                    </a:ln>
                    <a:extLst>
                      <a:ext uri="{53640926-AAD7-44D8-BBD7-CCE9431645EC}">
                        <a14:shadowObscured xmlns:a14="http://schemas.microsoft.com/office/drawing/2010/main"/>
                      </a:ext>
                    </a:extLst>
                  </pic:spPr>
                </pic:pic>
              </a:graphicData>
            </a:graphic>
          </wp:inline>
        </w:drawing>
      </w:r>
    </w:p>
    <w:p w14:paraId="3891389D" w14:textId="3850C561" w:rsidR="00313305" w:rsidRPr="00313305" w:rsidRDefault="00313305" w:rsidP="00313305">
      <w:r w:rsidRPr="00313305">
        <w:t xml:space="preserve">Fig. 4. Difference in kinetic energy wavelet analysis between MR170 and SR-High averaged </w:t>
      </w:r>
      <w:r w:rsidR="00BC5C06">
        <w:t xml:space="preserve">over </w:t>
      </w:r>
      <w:r w:rsidRPr="00313305">
        <w:t>all DA cycles</w:t>
      </w:r>
      <w:r w:rsidR="00BC5C06">
        <w:t xml:space="preserve"> and</w:t>
      </w:r>
      <w:r w:rsidRPr="00313305">
        <w:t xml:space="preserve"> over the (a) global, (b) Northern Hemisphere extratropical, (c) Southern Hemisphere extratropical, and (d) tropical latitudes.  The x-axis represents the longitude.  The left y-axis represents the wavenumber and the right y-axis represents the corresponding wavelength.</w:t>
      </w:r>
      <w:r w:rsidR="008A11CE">
        <w:t xml:space="preserve">  The cutoffs between small, medium, and large scales are denoted by dashed black lines.</w:t>
      </w:r>
    </w:p>
    <w:p w14:paraId="3635B2BB" w14:textId="77777777" w:rsidR="00313305" w:rsidRPr="00313305" w:rsidRDefault="00313305" w:rsidP="00313305">
      <w:r w:rsidRPr="00313305">
        <w:rPr>
          <w:noProof/>
        </w:rPr>
        <w:lastRenderedPageBreak/>
        <w:drawing>
          <wp:inline distT="0" distB="0" distL="0" distR="0" wp14:anchorId="54C88AE4" wp14:editId="78571D85">
            <wp:extent cx="4244340" cy="5882639"/>
            <wp:effectExtent l="0" t="0" r="381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l="4198" t="9042" r="5867" b="7858"/>
                    <a:stretch/>
                  </pic:blipFill>
                  <pic:spPr bwMode="auto">
                    <a:xfrm>
                      <a:off x="0" y="0"/>
                      <a:ext cx="4244669" cy="5883095"/>
                    </a:xfrm>
                    <a:prstGeom prst="rect">
                      <a:avLst/>
                    </a:prstGeom>
                    <a:noFill/>
                    <a:ln>
                      <a:noFill/>
                    </a:ln>
                    <a:extLst>
                      <a:ext uri="{53640926-AAD7-44D8-BBD7-CCE9431645EC}">
                        <a14:shadowObscured xmlns:a14="http://schemas.microsoft.com/office/drawing/2010/main"/>
                      </a:ext>
                    </a:extLst>
                  </pic:spPr>
                </pic:pic>
              </a:graphicData>
            </a:graphic>
          </wp:inline>
        </w:drawing>
      </w:r>
    </w:p>
    <w:p w14:paraId="451685A7" w14:textId="77777777" w:rsidR="00313305" w:rsidRPr="00313305" w:rsidRDefault="00313305" w:rsidP="00313305">
      <w:r w:rsidRPr="00313305">
        <w:t>Fig. 5. Difference in the wavelet kinetic energy analysis increment power (m</w:t>
      </w:r>
      <w:r w:rsidRPr="00313305">
        <w:rPr>
          <w:vertAlign w:val="superscript"/>
        </w:rPr>
        <w:t>2</w:t>
      </w:r>
      <w:r w:rsidRPr="00313305">
        <w:t xml:space="preserve"> s</w:t>
      </w:r>
      <w:r w:rsidRPr="00313305">
        <w:rPr>
          <w:vertAlign w:val="superscript"/>
        </w:rPr>
        <w:t>-2</w:t>
      </w:r>
      <w:r w:rsidRPr="00313305">
        <w:t>) between MR170 and SR-High averaged over all cycles and over (a) medium scales (wavelet scales 16-30) and (b) small scales (wavelet scales 1-15).  The tracks of (a) the tropical easterly waves that occurred at 850 hPa or (b) the Atlantic hurricanes that occurred during September 2017 are plotted in cyan.</w:t>
      </w:r>
    </w:p>
    <w:p w14:paraId="0C1229B8" w14:textId="77777777" w:rsidR="00313305" w:rsidRPr="00313305" w:rsidRDefault="00313305" w:rsidP="00313305"/>
    <w:p w14:paraId="2FD72759" w14:textId="77777777" w:rsidR="00313305" w:rsidRPr="00313305" w:rsidRDefault="00313305" w:rsidP="00313305">
      <w:r w:rsidRPr="00313305">
        <w:rPr>
          <w:noProof/>
        </w:rPr>
        <w:lastRenderedPageBreak/>
        <w:drawing>
          <wp:inline distT="0" distB="0" distL="0" distR="0" wp14:anchorId="0EC6D627" wp14:editId="7D1258ED">
            <wp:extent cx="5943599" cy="2377440"/>
            <wp:effectExtent l="0" t="0" r="635" b="3810"/>
            <wp:docPr id="4" name="Picture 4"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radar chart&#10;&#10;Description automatically generated"/>
                    <pic:cNvPicPr>
                      <a:picLocks noChangeAspect="1" noChangeArrowheads="1"/>
                    </pic:cNvPicPr>
                  </pic:nvPicPr>
                  <pic:blipFill>
                    <a:blip r:embed="rId93" cstate="print">
                      <a:extLst>
                        <a:ext uri="{28A0092B-C50C-407E-A947-70E740481C1C}">
                          <a14:useLocalDpi xmlns:a14="http://schemas.microsoft.com/office/drawing/2010/main" val="0"/>
                        </a:ext>
                      </a:extLst>
                    </a:blip>
                    <a:stretch>
                      <a:fillRect/>
                    </a:stretch>
                  </pic:blipFill>
                  <pic:spPr bwMode="auto">
                    <a:xfrm>
                      <a:off x="0" y="0"/>
                      <a:ext cx="5943599" cy="2377440"/>
                    </a:xfrm>
                    <a:prstGeom prst="rect">
                      <a:avLst/>
                    </a:prstGeom>
                    <a:noFill/>
                    <a:ln>
                      <a:noFill/>
                    </a:ln>
                  </pic:spPr>
                </pic:pic>
              </a:graphicData>
            </a:graphic>
          </wp:inline>
        </w:drawing>
      </w:r>
    </w:p>
    <w:p w14:paraId="6C0D6150" w14:textId="16DB4E42" w:rsidR="00313305" w:rsidRPr="00313305" w:rsidRDefault="00313305" w:rsidP="00313305">
      <w:r w:rsidRPr="00313305">
        <w:t xml:space="preserve">Fig. 6.  Difference in the root mean square fit (RMSF) of the 6-h </w:t>
      </w:r>
      <w:r w:rsidR="005136B2">
        <w:t xml:space="preserve">forecast of </w:t>
      </w:r>
      <w:r w:rsidRPr="00313305">
        <w:t>(a) temperature (K) and (b) wind speed (m s</w:t>
      </w:r>
      <w:r w:rsidRPr="00313305">
        <w:rPr>
          <w:vertAlign w:val="superscript"/>
        </w:rPr>
        <w:t>-1</w:t>
      </w:r>
      <w:r w:rsidRPr="00313305">
        <w:t>) to the rawinsonde observations between the MR170 and SR-High experiments as a function of pressure</w:t>
      </w:r>
      <w:r w:rsidR="005136B2">
        <w:t>,</w:t>
      </w:r>
      <w:r w:rsidRPr="00313305">
        <w:t xml:space="preserve"> averaged over all cycles every 100 hPa over global (red), Northern Hemisphere extratropical (green), Southern Hemisphere extratropical (gold), and tropical (blue) latitudes.  Dots indicate levels where the RMSF difference is statistically significant using a paired-</w:t>
      </w:r>
      <w:r w:rsidRPr="00313305">
        <w:rPr>
          <w:i/>
          <w:iCs/>
        </w:rPr>
        <w:t>t</w:t>
      </w:r>
      <w:r w:rsidRPr="00313305">
        <w:t xml:space="preserve"> test and a 95% confidence interval.</w:t>
      </w:r>
    </w:p>
    <w:p w14:paraId="585B2E0D" w14:textId="77777777" w:rsidR="00313305" w:rsidRPr="00313305" w:rsidRDefault="00313305" w:rsidP="00313305"/>
    <w:p w14:paraId="3D028975" w14:textId="77777777" w:rsidR="00313305" w:rsidRPr="00313305" w:rsidRDefault="00313305" w:rsidP="00313305"/>
    <w:p w14:paraId="25601417" w14:textId="77777777" w:rsidR="00313305" w:rsidRPr="00313305" w:rsidRDefault="00313305" w:rsidP="00313305"/>
    <w:p w14:paraId="71EF6DE0" w14:textId="77777777" w:rsidR="00313305" w:rsidRPr="00313305" w:rsidRDefault="00313305" w:rsidP="00313305">
      <w:r w:rsidRPr="00313305">
        <w:rPr>
          <w:noProof/>
        </w:rPr>
        <w:lastRenderedPageBreak/>
        <w:drawing>
          <wp:inline distT="0" distB="0" distL="0" distR="0" wp14:anchorId="43EA763B" wp14:editId="14C69246">
            <wp:extent cx="4565292" cy="6972300"/>
            <wp:effectExtent l="0" t="0" r="6985" b="0"/>
            <wp:docPr id="6" name="Picture 6"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radar chart&#10;&#10;Description automatically generated"/>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t="9273" b="6724"/>
                    <a:stretch/>
                  </pic:blipFill>
                  <pic:spPr bwMode="auto">
                    <a:xfrm>
                      <a:off x="0" y="0"/>
                      <a:ext cx="4577800" cy="6991402"/>
                    </a:xfrm>
                    <a:prstGeom prst="rect">
                      <a:avLst/>
                    </a:prstGeom>
                    <a:noFill/>
                    <a:ln>
                      <a:noFill/>
                    </a:ln>
                    <a:extLst>
                      <a:ext uri="{53640926-AAD7-44D8-BBD7-CCE9431645EC}">
                        <a14:shadowObscured xmlns:a14="http://schemas.microsoft.com/office/drawing/2010/main"/>
                      </a:ext>
                    </a:extLst>
                  </pic:spPr>
                </pic:pic>
              </a:graphicData>
            </a:graphic>
          </wp:inline>
        </w:drawing>
      </w:r>
    </w:p>
    <w:p w14:paraId="09571B12" w14:textId="18A0F4BF" w:rsidR="00313305" w:rsidRPr="00313305" w:rsidRDefault="00313305" w:rsidP="00313305">
      <w:r w:rsidRPr="00313305">
        <w:t>Fig. 7. The root mean square fit (RMSF) of the 6-h forecast to the rawinsonde observations (solid lines) and square root of the observation error variance plus the 6-h background ensemble variance (dotted lines) for the temperature (left; K) and wind speed (right; m s</w:t>
      </w:r>
      <w:r w:rsidRPr="00313305">
        <w:rPr>
          <w:vertAlign w:val="superscript"/>
        </w:rPr>
        <w:t>-1</w:t>
      </w:r>
      <w:r w:rsidRPr="00313305">
        <w:t>) for the MR170 (red) and SR-High (blue) experiments as a function of pressure averaged over all cycles every 100 hPa over global (a,b), Northern Hemisphere extratropical (c,d), Southern Hemisphere extratropical (e,f), and tropical (g,h) latitudes</w:t>
      </w:r>
      <w:r w:rsidR="00800EFF">
        <w:t>.</w:t>
      </w:r>
    </w:p>
    <w:p w14:paraId="6DB63C35" w14:textId="77777777" w:rsidR="00313305" w:rsidRPr="00313305" w:rsidRDefault="00313305" w:rsidP="00313305">
      <w:r w:rsidRPr="00313305">
        <w:rPr>
          <w:noProof/>
        </w:rPr>
        <w:lastRenderedPageBreak/>
        <w:drawing>
          <wp:inline distT="0" distB="0" distL="0" distR="0" wp14:anchorId="20E63CEE" wp14:editId="3BBC4476">
            <wp:extent cx="5943599" cy="2377440"/>
            <wp:effectExtent l="0" t="0" r="635" b="3810"/>
            <wp:docPr id="5" name="Picture 5"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radar chart&#10;&#10;Description automatically generated"/>
                    <pic:cNvPicPr>
                      <a:picLocks noChangeAspect="1" noChangeArrowheads="1"/>
                    </pic:cNvPicPr>
                  </pic:nvPicPr>
                  <pic:blipFill>
                    <a:blip r:embed="rId95" cstate="print">
                      <a:extLst>
                        <a:ext uri="{28A0092B-C50C-407E-A947-70E740481C1C}">
                          <a14:useLocalDpi xmlns:a14="http://schemas.microsoft.com/office/drawing/2010/main" val="0"/>
                        </a:ext>
                      </a:extLst>
                    </a:blip>
                    <a:stretch>
                      <a:fillRect/>
                    </a:stretch>
                  </pic:blipFill>
                  <pic:spPr bwMode="auto">
                    <a:xfrm>
                      <a:off x="0" y="0"/>
                      <a:ext cx="5943599" cy="2377440"/>
                    </a:xfrm>
                    <a:prstGeom prst="rect">
                      <a:avLst/>
                    </a:prstGeom>
                    <a:noFill/>
                    <a:ln>
                      <a:noFill/>
                    </a:ln>
                  </pic:spPr>
                </pic:pic>
              </a:graphicData>
            </a:graphic>
          </wp:inline>
        </w:drawing>
      </w:r>
    </w:p>
    <w:p w14:paraId="03309FB7" w14:textId="2FA6448F" w:rsidR="00313305" w:rsidRDefault="00313305" w:rsidP="00313305">
      <w:r w:rsidRPr="00313305">
        <w:t>Fig. 8. As in Fig. 6 except of difference of the square root of the 6-h forecast ensemble variance (i.e., the ensemble spread) at locations of the rawinsonde observations</w:t>
      </w:r>
      <w:r w:rsidR="00800EFF">
        <w:t>.</w:t>
      </w:r>
    </w:p>
    <w:p w14:paraId="02771146" w14:textId="2CDE6CD1" w:rsidR="00340D2C" w:rsidRDefault="00340D2C" w:rsidP="00313305"/>
    <w:p w14:paraId="6C016538" w14:textId="0C94F747" w:rsidR="00340D2C" w:rsidRDefault="00340D2C" w:rsidP="00313305"/>
    <w:p w14:paraId="49DF21DB" w14:textId="102297D7" w:rsidR="00340D2C" w:rsidRDefault="00340D2C" w:rsidP="00313305"/>
    <w:p w14:paraId="1A27DF4F" w14:textId="06AEA921" w:rsidR="00340D2C" w:rsidRDefault="00340D2C" w:rsidP="00313305"/>
    <w:p w14:paraId="759AF8C7" w14:textId="5546E76C" w:rsidR="00340D2C" w:rsidRDefault="00340D2C" w:rsidP="00313305"/>
    <w:p w14:paraId="1C290143" w14:textId="6C2237CF" w:rsidR="00340D2C" w:rsidRDefault="00340D2C" w:rsidP="00313305"/>
    <w:p w14:paraId="77C4038C" w14:textId="35C8FBBC" w:rsidR="00340D2C" w:rsidRDefault="00340D2C" w:rsidP="00313305"/>
    <w:p w14:paraId="7A6E2818" w14:textId="6F0527E3" w:rsidR="00340D2C" w:rsidRDefault="00340D2C" w:rsidP="00313305"/>
    <w:p w14:paraId="33D82361" w14:textId="05D21A15" w:rsidR="00340D2C" w:rsidRDefault="00340D2C" w:rsidP="00313305"/>
    <w:p w14:paraId="683F42EF" w14:textId="5DF7CA93" w:rsidR="00340D2C" w:rsidRDefault="00340D2C" w:rsidP="00313305"/>
    <w:p w14:paraId="06235DFF" w14:textId="15D9A507" w:rsidR="00340D2C" w:rsidRDefault="00340D2C" w:rsidP="00313305"/>
    <w:p w14:paraId="599CC985" w14:textId="6EEBD432" w:rsidR="00340D2C" w:rsidRDefault="00340D2C" w:rsidP="00313305"/>
    <w:p w14:paraId="68387D0B" w14:textId="5A220B00" w:rsidR="00340D2C" w:rsidRDefault="00340D2C" w:rsidP="00313305"/>
    <w:p w14:paraId="670CF070" w14:textId="7670F909" w:rsidR="00340D2C" w:rsidRDefault="00340D2C" w:rsidP="00313305"/>
    <w:p w14:paraId="670ED43D" w14:textId="77777777" w:rsidR="00340D2C" w:rsidRPr="00313305" w:rsidRDefault="00340D2C" w:rsidP="00313305"/>
    <w:p w14:paraId="0A897967" w14:textId="77777777" w:rsidR="00313305" w:rsidRPr="00313305" w:rsidRDefault="00313305" w:rsidP="00313305">
      <w:r w:rsidRPr="00313305">
        <w:rPr>
          <w:noProof/>
        </w:rPr>
        <w:lastRenderedPageBreak/>
        <w:drawing>
          <wp:inline distT="0" distB="0" distL="0" distR="0" wp14:anchorId="67E38D12" wp14:editId="1FA7D75D">
            <wp:extent cx="5385829" cy="6553200"/>
            <wp:effectExtent l="0" t="0" r="5715" b="0"/>
            <wp:docPr id="8" name="Picture 8"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 engineering drawing&#10;&#10;Description automatically generated"/>
                    <pic:cNvPicPr>
                      <a:picLocks noChangeAspect="1" noChangeArrowheads="1"/>
                    </pic:cNvPicPr>
                  </pic:nvPicPr>
                  <pic:blipFill rotWithShape="1">
                    <a:blip r:embed="rId96" cstate="print">
                      <a:extLst>
                        <a:ext uri="{28A0092B-C50C-407E-A947-70E740481C1C}">
                          <a14:useLocalDpi xmlns:a14="http://schemas.microsoft.com/office/drawing/2010/main" val="0"/>
                        </a:ext>
                      </a:extLst>
                    </a:blip>
                    <a:srcRect t="8503" r="7936" b="7483"/>
                    <a:stretch/>
                  </pic:blipFill>
                  <pic:spPr bwMode="auto">
                    <a:xfrm>
                      <a:off x="0" y="0"/>
                      <a:ext cx="5391670" cy="6560308"/>
                    </a:xfrm>
                    <a:prstGeom prst="rect">
                      <a:avLst/>
                    </a:prstGeom>
                    <a:noFill/>
                    <a:ln>
                      <a:noFill/>
                    </a:ln>
                    <a:extLst>
                      <a:ext uri="{53640926-AAD7-44D8-BBD7-CCE9431645EC}">
                        <a14:shadowObscured xmlns:a14="http://schemas.microsoft.com/office/drawing/2010/main"/>
                      </a:ext>
                    </a:extLst>
                  </pic:spPr>
                </pic:pic>
              </a:graphicData>
            </a:graphic>
          </wp:inline>
        </w:drawing>
      </w:r>
    </w:p>
    <w:p w14:paraId="57030982" w14:textId="7655EAC0" w:rsidR="00313305" w:rsidRPr="00313305" w:rsidRDefault="00313305" w:rsidP="00313305">
      <w:r w:rsidRPr="00313305">
        <w:t xml:space="preserve">Fig. </w:t>
      </w:r>
      <w:r w:rsidR="00854FA6">
        <w:t>9</w:t>
      </w:r>
      <w:r w:rsidRPr="00313305">
        <w:t>. Difference in root mean square error (RMSE) of the MR170 and SR-High forecasts verified against ERA-Interim temperatures (left; K) and wind speeds (right; m s</w:t>
      </w:r>
      <w:r w:rsidRPr="00313305">
        <w:rPr>
          <w:vertAlign w:val="superscript"/>
        </w:rPr>
        <w:t>-1</w:t>
      </w:r>
      <w:r w:rsidRPr="00313305">
        <w:t xml:space="preserve">) averaged over all cycles for global (a,b), Northern Hemisphere extratropical (c,d), Southern Hemisphere extratropical (e,f), and </w:t>
      </w:r>
      <w:r w:rsidR="00EE277D">
        <w:t>t</w:t>
      </w:r>
      <w:r w:rsidRPr="00313305">
        <w:t xml:space="preserve">ropical (g,h) latitudes </w:t>
      </w:r>
      <w:r w:rsidR="005341B6">
        <w:t>for</w:t>
      </w:r>
      <w:r w:rsidR="005341B6" w:rsidRPr="00313305">
        <w:t xml:space="preserve"> </w:t>
      </w:r>
      <w:r w:rsidRPr="00313305">
        <w:t>5-days in lead time.  Purple dots indicate levels where the RMSE difference is statistically significant using a paired-</w:t>
      </w:r>
      <w:r w:rsidRPr="00313305">
        <w:rPr>
          <w:i/>
          <w:iCs/>
        </w:rPr>
        <w:t>t</w:t>
      </w:r>
      <w:r w:rsidRPr="00313305">
        <w:t xml:space="preserve"> test and a 95% confidence interval.</w:t>
      </w:r>
    </w:p>
    <w:p w14:paraId="2A9096B2" w14:textId="77777777" w:rsidR="00313305" w:rsidRPr="00313305" w:rsidRDefault="00313305" w:rsidP="00313305">
      <w:r w:rsidRPr="00313305">
        <w:rPr>
          <w:noProof/>
        </w:rPr>
        <w:lastRenderedPageBreak/>
        <w:drawing>
          <wp:inline distT="0" distB="0" distL="0" distR="0" wp14:anchorId="04FDCCE0" wp14:editId="17A968CC">
            <wp:extent cx="5943600" cy="4457700"/>
            <wp:effectExtent l="0" t="0" r="0" b="0"/>
            <wp:docPr id="9" name="Picture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07F1F5AC" w14:textId="4C02DBDE" w:rsidR="00313305" w:rsidRPr="00313305" w:rsidRDefault="00313305" w:rsidP="00313305">
      <w:r w:rsidRPr="00313305">
        <w:t>Fig. 1</w:t>
      </w:r>
      <w:r w:rsidR="00854FA6">
        <w:t>0</w:t>
      </w:r>
      <w:r w:rsidRPr="00313305">
        <w:t>. Difference in total power error (m</w:t>
      </w:r>
      <w:r w:rsidRPr="00313305">
        <w:rPr>
          <w:vertAlign w:val="superscript"/>
        </w:rPr>
        <w:t xml:space="preserve">2 </w:t>
      </w:r>
      <w:r w:rsidRPr="00313305">
        <w:t>s</w:t>
      </w:r>
      <w:r w:rsidRPr="00313305">
        <w:rPr>
          <w:vertAlign w:val="superscript"/>
        </w:rPr>
        <w:t>-3</w:t>
      </w:r>
      <w:r w:rsidRPr="00313305">
        <w:t xml:space="preserve">) between the MR170 and SR-High experiments verified against ERA-Interim, averaged over all DA cycles and pressure levels selected in Fig. </w:t>
      </w:r>
      <w:r w:rsidR="00EE277D">
        <w:t>9</w:t>
      </w:r>
      <w:r w:rsidRPr="00313305">
        <w:t xml:space="preserve"> and decomposed into wavenumber (left y-axis) and corresponding wavelength (right y-axis) for up to 5 days in lead time. Purple dots indicate levels where the difference is statistically significant using a paired-</w:t>
      </w:r>
      <w:r w:rsidRPr="00313305">
        <w:rPr>
          <w:i/>
          <w:iCs/>
        </w:rPr>
        <w:t>t</w:t>
      </w:r>
      <w:r w:rsidRPr="00313305">
        <w:t xml:space="preserve"> test and a 95% confidence interval.</w:t>
      </w:r>
    </w:p>
    <w:p w14:paraId="686A7424" w14:textId="77777777" w:rsidR="00313305" w:rsidRPr="00313305" w:rsidRDefault="00313305" w:rsidP="00313305">
      <w:r w:rsidRPr="00313305">
        <w:rPr>
          <w:noProof/>
        </w:rPr>
        <w:lastRenderedPageBreak/>
        <w:drawing>
          <wp:inline distT="0" distB="0" distL="0" distR="0" wp14:anchorId="59260F28" wp14:editId="743FA337">
            <wp:extent cx="5852160" cy="43891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98">
                      <a:extLst>
                        <a:ext uri="{28A0092B-C50C-407E-A947-70E740481C1C}">
                          <a14:useLocalDpi xmlns:a14="http://schemas.microsoft.com/office/drawing/2010/main" val="0"/>
                        </a:ext>
                      </a:extLst>
                    </a:blip>
                    <a:stretch>
                      <a:fillRect/>
                    </a:stretch>
                  </pic:blipFill>
                  <pic:spPr bwMode="auto">
                    <a:xfrm>
                      <a:off x="0" y="0"/>
                      <a:ext cx="5852160" cy="4389120"/>
                    </a:xfrm>
                    <a:prstGeom prst="rect">
                      <a:avLst/>
                    </a:prstGeom>
                    <a:noFill/>
                    <a:ln>
                      <a:noFill/>
                    </a:ln>
                  </pic:spPr>
                </pic:pic>
              </a:graphicData>
            </a:graphic>
          </wp:inline>
        </w:drawing>
      </w:r>
    </w:p>
    <w:p w14:paraId="56F66CCE" w14:textId="59CA67B2" w:rsidR="00313305" w:rsidRPr="00313305" w:rsidRDefault="00313305" w:rsidP="00313305">
      <w:r w:rsidRPr="00313305">
        <w:t>Fig. 1</w:t>
      </w:r>
      <w:r w:rsidR="00854FA6">
        <w:t>1</w:t>
      </w:r>
      <w:r w:rsidRPr="00313305">
        <w:t>. Difference in total energy error (m</w:t>
      </w:r>
      <w:r w:rsidRPr="00313305">
        <w:rPr>
          <w:vertAlign w:val="superscript"/>
        </w:rPr>
        <w:t xml:space="preserve"> </w:t>
      </w:r>
      <w:r w:rsidRPr="00313305">
        <w:t>s</w:t>
      </w:r>
      <w:r w:rsidRPr="00313305">
        <w:rPr>
          <w:vertAlign w:val="superscript"/>
        </w:rPr>
        <w:t>-</w:t>
      </w:r>
      <w:r w:rsidR="00185003">
        <w:rPr>
          <w:vertAlign w:val="superscript"/>
        </w:rPr>
        <w:t>2</w:t>
      </w:r>
      <w:r w:rsidRPr="00313305">
        <w:t>)</w:t>
      </w:r>
      <w:r w:rsidR="001B3FA9">
        <w:t xml:space="preserve"> at 250 hPa</w:t>
      </w:r>
      <w:r w:rsidRPr="00313305">
        <w:t xml:space="preserve"> </w:t>
      </w:r>
      <w:r w:rsidR="0013653C">
        <w:t xml:space="preserve">filtered to include wavenumbers 5 to 25 </w:t>
      </w:r>
      <w:r w:rsidRPr="00313305">
        <w:t>for the 0000 UTC on</w:t>
      </w:r>
      <w:r w:rsidR="00EB6429">
        <w:t xml:space="preserve"> 12</w:t>
      </w:r>
      <w:r w:rsidRPr="00313305">
        <w:t xml:space="preserve"> September 2017 cycle between the MR170 and SR-High experiments verified against ERA-Interim and averaged over all longitudes at a given latitude and up to 5 days in lead time.</w:t>
      </w:r>
    </w:p>
    <w:p w14:paraId="46B911F9" w14:textId="77777777" w:rsidR="00313305" w:rsidRPr="00313305" w:rsidRDefault="00313305" w:rsidP="00313305">
      <w:r w:rsidRPr="00313305">
        <w:rPr>
          <w:noProof/>
        </w:rPr>
        <w:lastRenderedPageBreak/>
        <w:drawing>
          <wp:inline distT="0" distB="0" distL="0" distR="0" wp14:anchorId="096DA55B" wp14:editId="42B3A6A9">
            <wp:extent cx="5937967" cy="4686300"/>
            <wp:effectExtent l="0" t="0" r="571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rotWithShape="1">
                    <a:blip r:embed="rId99" cstate="print">
                      <a:extLst>
                        <a:ext uri="{28A0092B-C50C-407E-A947-70E740481C1C}">
                          <a14:useLocalDpi xmlns:a14="http://schemas.microsoft.com/office/drawing/2010/main" val="0"/>
                        </a:ext>
                      </a:extLst>
                    </a:blip>
                    <a:srcRect l="8234" t="11225" r="10200" b="8825"/>
                    <a:stretch/>
                  </pic:blipFill>
                  <pic:spPr bwMode="auto">
                    <a:xfrm>
                      <a:off x="0" y="0"/>
                      <a:ext cx="5944797" cy="4691690"/>
                    </a:xfrm>
                    <a:prstGeom prst="rect">
                      <a:avLst/>
                    </a:prstGeom>
                    <a:noFill/>
                    <a:ln>
                      <a:noFill/>
                    </a:ln>
                    <a:extLst>
                      <a:ext uri="{53640926-AAD7-44D8-BBD7-CCE9431645EC}">
                        <a14:shadowObscured xmlns:a14="http://schemas.microsoft.com/office/drawing/2010/main"/>
                      </a:ext>
                    </a:extLst>
                  </pic:spPr>
                </pic:pic>
              </a:graphicData>
            </a:graphic>
          </wp:inline>
        </w:drawing>
      </w:r>
    </w:p>
    <w:p w14:paraId="44F34FF4" w14:textId="16C301A0" w:rsidR="00313305" w:rsidRPr="00313305" w:rsidRDefault="00313305" w:rsidP="00313305">
      <w:r w:rsidRPr="00313305">
        <w:t>Fig. 1</w:t>
      </w:r>
      <w:r w:rsidR="00854FA6">
        <w:t>2</w:t>
      </w:r>
      <w:r w:rsidRPr="00313305">
        <w:t xml:space="preserve">. ERA-Interim wind speed </w:t>
      </w:r>
      <w:r w:rsidR="00B326EE">
        <w:t xml:space="preserve">at 250 hPa </w:t>
      </w:r>
      <w:r w:rsidR="009C133F">
        <w:t xml:space="preserve">for the 12 </w:t>
      </w:r>
      <w:r w:rsidR="009C133F" w:rsidRPr="00313305">
        <w:t>September 2017 at 0000 UTC cycle</w:t>
      </w:r>
      <w:r w:rsidR="009C133F">
        <w:t xml:space="preserve"> </w:t>
      </w:r>
      <w:r w:rsidR="009C133F" w:rsidRPr="00313305">
        <w:t>for the analysis time and every 24-h forecast up to 5 days</w:t>
      </w:r>
      <w:r w:rsidR="009C133F">
        <w:t>.</w:t>
      </w:r>
      <w:r w:rsidRPr="00313305">
        <w:t xml:space="preserve"> </w:t>
      </w:r>
      <w:r w:rsidR="009C133F">
        <w:t>T</w:t>
      </w:r>
      <w:r w:rsidRPr="00313305">
        <w:t xml:space="preserve">he 5% minimum difference in total energy error </w:t>
      </w:r>
      <w:r w:rsidR="009C133F">
        <w:t xml:space="preserve">at 250 hPa </w:t>
      </w:r>
      <w:r w:rsidR="00D863EC" w:rsidRPr="00313305">
        <w:t xml:space="preserve">relative to ERA-Interim between the MR170 and SR-High experiments filtered to include wavenumbers 5 to 25 </w:t>
      </w:r>
      <w:r w:rsidR="009C133F">
        <w:t>is c</w:t>
      </w:r>
      <w:r w:rsidR="00D863EC">
        <w:t>ontoured in cyan</w:t>
      </w:r>
      <w:r w:rsidR="00800EFF">
        <w:t>.</w:t>
      </w:r>
      <w:r w:rsidR="00D863EC" w:rsidRPr="00313305">
        <w:t xml:space="preserve"> </w:t>
      </w:r>
    </w:p>
    <w:p w14:paraId="454F1CF5" w14:textId="77777777" w:rsidR="00313305" w:rsidRPr="00313305" w:rsidRDefault="00313305" w:rsidP="00313305"/>
    <w:p w14:paraId="0716AA44" w14:textId="77777777" w:rsidR="00313305" w:rsidRPr="00313305" w:rsidRDefault="00313305" w:rsidP="00313305">
      <w:r w:rsidRPr="00313305">
        <w:rPr>
          <w:noProof/>
        </w:rPr>
        <w:lastRenderedPageBreak/>
        <w:drawing>
          <wp:inline distT="0" distB="0" distL="0" distR="0" wp14:anchorId="50CE6AE8" wp14:editId="19E82DE9">
            <wp:extent cx="4449445" cy="5760720"/>
            <wp:effectExtent l="0" t="0" r="8255" b="0"/>
            <wp:docPr id="11" name="Picture 1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line chart&#10;&#10;Description automatically generated"/>
                    <pic:cNvPicPr>
                      <a:picLocks noChangeAspect="1" noChangeArrowheads="1"/>
                    </pic:cNvPicPr>
                  </pic:nvPicPr>
                  <pic:blipFill rotWithShape="1">
                    <a:blip r:embed="rId100" cstate="print">
                      <a:extLst>
                        <a:ext uri="{28A0092B-C50C-407E-A947-70E740481C1C}">
                          <a14:useLocalDpi xmlns:a14="http://schemas.microsoft.com/office/drawing/2010/main" val="0"/>
                        </a:ext>
                      </a:extLst>
                    </a:blip>
                    <a:srcRect t="7992" b="5695"/>
                    <a:stretch/>
                  </pic:blipFill>
                  <pic:spPr bwMode="auto">
                    <a:xfrm>
                      <a:off x="0" y="0"/>
                      <a:ext cx="4450080" cy="5761542"/>
                    </a:xfrm>
                    <a:prstGeom prst="rect">
                      <a:avLst/>
                    </a:prstGeom>
                    <a:noFill/>
                    <a:ln>
                      <a:noFill/>
                    </a:ln>
                    <a:extLst>
                      <a:ext uri="{53640926-AAD7-44D8-BBD7-CCE9431645EC}">
                        <a14:shadowObscured xmlns:a14="http://schemas.microsoft.com/office/drawing/2010/main"/>
                      </a:ext>
                    </a:extLst>
                  </pic:spPr>
                </pic:pic>
              </a:graphicData>
            </a:graphic>
          </wp:inline>
        </w:drawing>
      </w:r>
    </w:p>
    <w:p w14:paraId="0B8E9C38" w14:textId="6621D828" w:rsidR="00313305" w:rsidRPr="00313305" w:rsidRDefault="00313305" w:rsidP="00313305">
      <w:r w:rsidRPr="00313305">
        <w:t>Fig. 1</w:t>
      </w:r>
      <w:r w:rsidR="00854FA6">
        <w:t>3</w:t>
      </w:r>
      <w:r w:rsidRPr="00313305">
        <w:t>. (a) Percentage of track forecast error differences of MR170 (red) and MR204 (purple) relative to SR-High for lead times up to 5 days. Dots indicate levels where the difference is statistically significant using a paired-</w:t>
      </w:r>
      <w:r w:rsidRPr="00313305">
        <w:rPr>
          <w:i/>
          <w:iCs/>
        </w:rPr>
        <w:t>t</w:t>
      </w:r>
      <w:r w:rsidRPr="00313305">
        <w:t xml:space="preserve"> test and a 95% confidence interval. (b) Percentage of track forecasts that are more accurate than SR-High with the same colors and lead times as in (a).  The numbers above the x-axes indicate the sample size of tracks at the corresponding lead time.</w:t>
      </w:r>
    </w:p>
    <w:p w14:paraId="790BB594" w14:textId="77777777" w:rsidR="00313305" w:rsidRPr="00313305" w:rsidRDefault="00313305" w:rsidP="00313305"/>
    <w:p w14:paraId="5141F988" w14:textId="77777777" w:rsidR="00313305" w:rsidRPr="00313305" w:rsidRDefault="00313305" w:rsidP="00313305">
      <w:r w:rsidRPr="00313305">
        <w:rPr>
          <w:noProof/>
        </w:rPr>
        <w:lastRenderedPageBreak/>
        <w:drawing>
          <wp:inline distT="0" distB="0" distL="0" distR="0" wp14:anchorId="7B35FF22" wp14:editId="370CD37B">
            <wp:extent cx="5918382" cy="4572000"/>
            <wp:effectExtent l="0" t="0" r="6350" b="0"/>
            <wp:docPr id="12" name="Picture 12" descr="Graphical user interface, diagram, su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diagram, surface chart&#10;&#10;Description automatically generated"/>
                    <pic:cNvPicPr>
                      <a:picLocks noChangeAspect="1" noChangeArrowheads="1"/>
                    </pic:cNvPicPr>
                  </pic:nvPicPr>
                  <pic:blipFill rotWithShape="1">
                    <a:blip r:embed="rId101" cstate="print">
                      <a:extLst>
                        <a:ext uri="{28A0092B-C50C-407E-A947-70E740481C1C}">
                          <a14:useLocalDpi xmlns:a14="http://schemas.microsoft.com/office/drawing/2010/main" val="0"/>
                        </a:ext>
                      </a:extLst>
                    </a:blip>
                    <a:srcRect l="8990" t="9297" r="9344" b="6585"/>
                    <a:stretch/>
                  </pic:blipFill>
                  <pic:spPr bwMode="auto">
                    <a:xfrm>
                      <a:off x="0" y="0"/>
                      <a:ext cx="5930629" cy="4581461"/>
                    </a:xfrm>
                    <a:prstGeom prst="rect">
                      <a:avLst/>
                    </a:prstGeom>
                    <a:noFill/>
                    <a:ln>
                      <a:noFill/>
                    </a:ln>
                    <a:extLst>
                      <a:ext uri="{53640926-AAD7-44D8-BBD7-CCE9431645EC}">
                        <a14:shadowObscured xmlns:a14="http://schemas.microsoft.com/office/drawing/2010/main"/>
                      </a:ext>
                    </a:extLst>
                  </pic:spPr>
                </pic:pic>
              </a:graphicData>
            </a:graphic>
          </wp:inline>
        </w:drawing>
      </w:r>
    </w:p>
    <w:p w14:paraId="6B0EBF87" w14:textId="1BE8C3A0" w:rsidR="00313305" w:rsidRPr="00313305" w:rsidRDefault="00313305" w:rsidP="00313305">
      <w:r w:rsidRPr="00313305">
        <w:t>Fig. 1</w:t>
      </w:r>
      <w:r w:rsidR="00854FA6">
        <w:t>4</w:t>
      </w:r>
      <w:r w:rsidRPr="00313305">
        <w:t>. Forecasted tracks of tropical cyclone Lee for MR170 (red</w:t>
      </w:r>
      <w:r w:rsidR="0013653C">
        <w:t xml:space="preserve"> solid</w:t>
      </w:r>
      <w:r w:rsidRPr="00313305">
        <w:t>), SR-High (blue</w:t>
      </w:r>
      <w:r w:rsidR="0013653C">
        <w:t xml:space="preserve"> solid</w:t>
      </w:r>
      <w:r w:rsidRPr="00313305">
        <w:t xml:space="preserve">) for lead times of (a) 0 h, (b) 12 h, (c) 24 h, and (d) 36 h with an initialization time of 1800 UTC on </w:t>
      </w:r>
      <w:r w:rsidR="00EB6429">
        <w:t xml:space="preserve">24 </w:t>
      </w:r>
      <w:r w:rsidRPr="00313305">
        <w:t>September 2017, along with the best track of the storm (black</w:t>
      </w:r>
      <w:r w:rsidR="0013653C">
        <w:t xml:space="preserve"> solid</w:t>
      </w:r>
      <w:r w:rsidRPr="00313305">
        <w:t xml:space="preserve">).  Dots are in 6-h increments for the tracks.  Stars indicate the central position of the storm at the indicated lead times for the MR170 (gold), SR-High (cyan), and best (green) tracks. </w:t>
      </w:r>
      <w:r w:rsidR="001C6654">
        <w:t xml:space="preserve">Mean sea level pressure is plotted every 4 hPa for the MR170 (red dashed) and SR-High (blue dashed) experiments. </w:t>
      </w:r>
      <w:r w:rsidRPr="00313305">
        <w:t>Wind barbs</w:t>
      </w:r>
      <w:r w:rsidR="001C6654">
        <w:t>,</w:t>
      </w:r>
      <w:r w:rsidRPr="00313305">
        <w:t xml:space="preserve"> indicating </w:t>
      </w:r>
      <w:r w:rsidR="001C6654">
        <w:t xml:space="preserve">the large-scale (wavenumbers 0-10) </w:t>
      </w:r>
      <w:r w:rsidR="00E81348">
        <w:t xml:space="preserve">pressure-weighted 850-300 hPa </w:t>
      </w:r>
      <w:r w:rsidRPr="00313305">
        <w:t>wind speed (kts) and direction</w:t>
      </w:r>
      <w:r w:rsidR="001C6654">
        <w:t>,</w:t>
      </w:r>
      <w:r w:rsidRPr="00313305">
        <w:t xml:space="preserve"> at are plotted for MR170 (red), SR-High (blue), and ERA-Interim (green) at each lead time. Shading indicates the difference in the magnitude of the </w:t>
      </w:r>
      <w:r w:rsidR="00E81348">
        <w:t xml:space="preserve">pressure-weighted 850-300 hPa </w:t>
      </w:r>
      <w:r w:rsidRPr="00313305">
        <w:t>zonal wind error filtered to include wavenumbers 0-10 between MR170 and SR-High relative to ERA-Interim.</w:t>
      </w:r>
    </w:p>
    <w:p w14:paraId="2FD6982D" w14:textId="77777777" w:rsidR="00313305" w:rsidRPr="00313305" w:rsidRDefault="00313305" w:rsidP="00313305">
      <w:r w:rsidRPr="00313305">
        <w:rPr>
          <w:noProof/>
        </w:rPr>
        <w:lastRenderedPageBreak/>
        <w:drawing>
          <wp:inline distT="0" distB="0" distL="0" distR="0" wp14:anchorId="7D34B996" wp14:editId="6AC0ACC5">
            <wp:extent cx="5943600" cy="5943600"/>
            <wp:effectExtent l="0" t="0" r="0" b="0"/>
            <wp:docPr id="13" name="Picture 1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Map&#10;&#10;Description automatically generated"/>
                    <pic:cNvPicPr>
                      <a:picLocks noChangeAspect="1" noChangeArrowheads="1"/>
                    </pic:cNvPicPr>
                  </pic:nvPicPr>
                  <pic:blipFill>
                    <a:blip r:embed="rId102" cstate="print">
                      <a:extLst>
                        <a:ext uri="{28A0092B-C50C-407E-A947-70E740481C1C}">
                          <a14:useLocalDpi xmlns:a14="http://schemas.microsoft.com/office/drawing/2010/main" val="0"/>
                        </a:ext>
                      </a:extLst>
                    </a:blip>
                    <a:stretch>
                      <a:fillRect/>
                    </a:stretch>
                  </pic:blipFill>
                  <pic:spPr bwMode="auto">
                    <a:xfrm>
                      <a:off x="0" y="0"/>
                      <a:ext cx="5943600" cy="5943600"/>
                    </a:xfrm>
                    <a:prstGeom prst="rect">
                      <a:avLst/>
                    </a:prstGeom>
                    <a:noFill/>
                    <a:ln>
                      <a:noFill/>
                    </a:ln>
                  </pic:spPr>
                </pic:pic>
              </a:graphicData>
            </a:graphic>
          </wp:inline>
        </w:drawing>
      </w:r>
    </w:p>
    <w:p w14:paraId="5698D32F" w14:textId="25A78098" w:rsidR="00313305" w:rsidRPr="00313305" w:rsidRDefault="00313305" w:rsidP="00313305">
      <w:r w:rsidRPr="00313305">
        <w:t>Fig. 1</w:t>
      </w:r>
      <w:r w:rsidR="00854FA6">
        <w:t>5</w:t>
      </w:r>
      <w:r w:rsidRPr="00313305">
        <w:t xml:space="preserve">. As in Fig. 6 but (a,b) </w:t>
      </w:r>
      <w:r w:rsidR="00EE277D">
        <w:t xml:space="preserve">between </w:t>
      </w:r>
      <w:r w:rsidR="001C6654">
        <w:t xml:space="preserve">the </w:t>
      </w:r>
      <w:r w:rsidRPr="00313305">
        <w:t xml:space="preserve">MR204 and SR-High experiments or (c,d) between </w:t>
      </w:r>
      <w:r w:rsidR="001C6654">
        <w:t xml:space="preserve">the </w:t>
      </w:r>
      <w:r w:rsidRPr="00313305">
        <w:t xml:space="preserve">MR170 and MR204 experiments.  </w:t>
      </w:r>
    </w:p>
    <w:p w14:paraId="3FEA8DF0" w14:textId="77777777" w:rsidR="00313305" w:rsidRPr="00313305" w:rsidRDefault="00313305" w:rsidP="00313305">
      <w:r w:rsidRPr="00313305">
        <w:rPr>
          <w:noProof/>
        </w:rPr>
        <w:lastRenderedPageBreak/>
        <w:drawing>
          <wp:inline distT="0" distB="0" distL="0" distR="0" wp14:anchorId="7CB0F660" wp14:editId="2BE8C7E6">
            <wp:extent cx="5387340" cy="6758940"/>
            <wp:effectExtent l="0" t="0" r="3810" b="3810"/>
            <wp:docPr id="14" name="Picture 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pic:cNvPicPr>
                      <a:picLocks noChangeAspect="1" noChangeArrowheads="1"/>
                    </pic:cNvPicPr>
                  </pic:nvPicPr>
                  <pic:blipFill rotWithShape="1">
                    <a:blip r:embed="rId103" cstate="print">
                      <a:extLst>
                        <a:ext uri="{28A0092B-C50C-407E-A947-70E740481C1C}">
                          <a14:useLocalDpi xmlns:a14="http://schemas.microsoft.com/office/drawing/2010/main" val="0"/>
                        </a:ext>
                      </a:extLst>
                    </a:blip>
                    <a:srcRect l="2952" t="7510" r="6290" b="7093"/>
                    <a:stretch/>
                  </pic:blipFill>
                  <pic:spPr bwMode="auto">
                    <a:xfrm>
                      <a:off x="0" y="0"/>
                      <a:ext cx="5387340" cy="6758940"/>
                    </a:xfrm>
                    <a:prstGeom prst="rect">
                      <a:avLst/>
                    </a:prstGeom>
                    <a:noFill/>
                    <a:ln>
                      <a:noFill/>
                    </a:ln>
                    <a:extLst>
                      <a:ext uri="{53640926-AAD7-44D8-BBD7-CCE9431645EC}">
                        <a14:shadowObscured xmlns:a14="http://schemas.microsoft.com/office/drawing/2010/main"/>
                      </a:ext>
                    </a:extLst>
                  </pic:spPr>
                </pic:pic>
              </a:graphicData>
            </a:graphic>
          </wp:inline>
        </w:drawing>
      </w:r>
    </w:p>
    <w:p w14:paraId="2453FE31" w14:textId="75C693FF" w:rsidR="00313305" w:rsidRPr="00313305" w:rsidRDefault="00313305" w:rsidP="00313305">
      <w:r w:rsidRPr="00313305">
        <w:t>Fig. 1</w:t>
      </w:r>
      <w:r w:rsidR="00854FA6">
        <w:t>6</w:t>
      </w:r>
      <w:r w:rsidRPr="00313305">
        <w:t xml:space="preserve">. As in Fig. </w:t>
      </w:r>
      <w:r w:rsidR="00EE277D">
        <w:t>9</w:t>
      </w:r>
      <w:r w:rsidRPr="00313305">
        <w:t xml:space="preserve"> but for the MR204 and SR-High experiments.</w:t>
      </w:r>
    </w:p>
    <w:p w14:paraId="454B54A6" w14:textId="77777777" w:rsidR="00313305" w:rsidRPr="00313305" w:rsidRDefault="00313305" w:rsidP="00313305">
      <w:r w:rsidRPr="00313305">
        <w:rPr>
          <w:noProof/>
        </w:rPr>
        <w:lastRenderedPageBreak/>
        <w:drawing>
          <wp:inline distT="0" distB="0" distL="0" distR="0" wp14:anchorId="1C498252" wp14:editId="4B194D5E">
            <wp:extent cx="5455920" cy="6659880"/>
            <wp:effectExtent l="0" t="0" r="0" b="7620"/>
            <wp:docPr id="15" name="Picture 15"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 schematic&#10;&#10;Description automatically generated"/>
                    <pic:cNvPicPr>
                      <a:picLocks noChangeAspect="1" noChangeArrowheads="1"/>
                    </pic:cNvPicPr>
                  </pic:nvPicPr>
                  <pic:blipFill rotWithShape="1">
                    <a:blip r:embed="rId104" cstate="print">
                      <a:extLst>
                        <a:ext uri="{28A0092B-C50C-407E-A947-70E740481C1C}">
                          <a14:useLocalDpi xmlns:a14="http://schemas.microsoft.com/office/drawing/2010/main" val="0"/>
                        </a:ext>
                      </a:extLst>
                    </a:blip>
                    <a:srcRect l="1540" t="8569" r="6547" b="7285"/>
                    <a:stretch/>
                  </pic:blipFill>
                  <pic:spPr bwMode="auto">
                    <a:xfrm>
                      <a:off x="0" y="0"/>
                      <a:ext cx="5455920" cy="6659880"/>
                    </a:xfrm>
                    <a:prstGeom prst="rect">
                      <a:avLst/>
                    </a:prstGeom>
                    <a:noFill/>
                    <a:ln>
                      <a:noFill/>
                    </a:ln>
                    <a:extLst>
                      <a:ext uri="{53640926-AAD7-44D8-BBD7-CCE9431645EC}">
                        <a14:shadowObscured xmlns:a14="http://schemas.microsoft.com/office/drawing/2010/main"/>
                      </a:ext>
                    </a:extLst>
                  </pic:spPr>
                </pic:pic>
              </a:graphicData>
            </a:graphic>
          </wp:inline>
        </w:drawing>
      </w:r>
    </w:p>
    <w:p w14:paraId="75FB3CA4" w14:textId="5339F806" w:rsidR="00313305" w:rsidRPr="00805F56" w:rsidRDefault="00313305" w:rsidP="00313305">
      <w:r w:rsidRPr="00313305">
        <w:t>Fig. 1</w:t>
      </w:r>
      <w:r w:rsidR="00854FA6">
        <w:t>7</w:t>
      </w:r>
      <w:r w:rsidRPr="00313305">
        <w:t xml:space="preserve">. As in Fig. </w:t>
      </w:r>
      <w:r w:rsidR="00EE277D">
        <w:t>9</w:t>
      </w:r>
      <w:r w:rsidRPr="00313305">
        <w:t xml:space="preserve"> but for the MR170 and MR204 experiments.</w:t>
      </w:r>
    </w:p>
    <w:p w14:paraId="2EA68ECC" w14:textId="7531C169" w:rsidR="00F40C9A" w:rsidRPr="00F40C9A" w:rsidRDefault="00F40C9A" w:rsidP="00F40C9A"/>
    <w:sectPr w:rsidR="00F40C9A" w:rsidRPr="00F40C9A" w:rsidSect="009F0424">
      <w:footerReference w:type="default" r:id="rId10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33B95" w14:textId="77777777" w:rsidR="008E5179" w:rsidRDefault="008E5179" w:rsidP="00774B39">
      <w:r>
        <w:separator/>
      </w:r>
    </w:p>
  </w:endnote>
  <w:endnote w:type="continuationSeparator" w:id="0">
    <w:p w14:paraId="73966C90" w14:textId="77777777" w:rsidR="008E5179" w:rsidRDefault="008E5179" w:rsidP="00774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71723139"/>
      <w:docPartObj>
        <w:docPartGallery w:val="Page Numbers (Bottom of Page)"/>
        <w:docPartUnique/>
      </w:docPartObj>
    </w:sdtPr>
    <w:sdtEndPr>
      <w:rPr>
        <w:rStyle w:val="PageNumber"/>
      </w:rPr>
    </w:sdtEndPr>
    <w:sdtContent>
      <w:p w14:paraId="5C4F3D12" w14:textId="77777777" w:rsidR="00D304B3" w:rsidRDefault="00D304B3" w:rsidP="00A01C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451220104"/>
      <w:docPartObj>
        <w:docPartGallery w:val="Page Numbers (Bottom of Page)"/>
        <w:docPartUnique/>
      </w:docPartObj>
    </w:sdtPr>
    <w:sdtEndPr>
      <w:rPr>
        <w:rStyle w:val="PageNumber"/>
      </w:rPr>
    </w:sdtEndPr>
    <w:sdtContent>
      <w:p w14:paraId="66E6D24C" w14:textId="77777777" w:rsidR="00D304B3" w:rsidRDefault="00D304B3" w:rsidP="00A01CFC">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146082302"/>
      <w:docPartObj>
        <w:docPartGallery w:val="Page Numbers (Bottom of Page)"/>
        <w:docPartUnique/>
      </w:docPartObj>
    </w:sdtPr>
    <w:sdtEndPr>
      <w:rPr>
        <w:rStyle w:val="PageNumber"/>
      </w:rPr>
    </w:sdtEndPr>
    <w:sdtContent>
      <w:p w14:paraId="401EA9FE" w14:textId="77777777" w:rsidR="00D304B3" w:rsidRPr="006711BF" w:rsidRDefault="00D304B3" w:rsidP="00A01CFC">
        <w:pPr>
          <w:pStyle w:val="Footer"/>
          <w:framePr w:wrap="none" w:vAnchor="text" w:hAnchor="margin" w:xAlign="right" w:y="1"/>
          <w:ind w:right="360"/>
          <w:rPr>
            <w:rStyle w:val="PageNumber"/>
          </w:rPr>
        </w:pPr>
        <w:r>
          <w:rPr>
            <w:rStyle w:val="PageNumber"/>
          </w:rPr>
          <w:t>1</w:t>
        </w:r>
      </w:p>
    </w:sdtContent>
  </w:sdt>
  <w:p w14:paraId="736C3CD4" w14:textId="77777777" w:rsidR="00D304B3" w:rsidRDefault="00D304B3" w:rsidP="00774B3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D2678" w14:textId="48FB3D43" w:rsidR="00D304B3" w:rsidRPr="00986E05" w:rsidRDefault="00D304B3" w:rsidP="003D2C7C">
    <w:pPr>
      <w:pStyle w:val="Footer"/>
      <w:keepLines/>
      <w:pageBreakBefore/>
      <w:tabs>
        <w:tab w:val="clear" w:pos="4680"/>
        <w:tab w:val="left" w:pos="8580"/>
      </w:tabs>
      <w:ind w:right="360"/>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97497500"/>
      <w:docPartObj>
        <w:docPartGallery w:val="Page Numbers (Bottom of Page)"/>
        <w:docPartUnique/>
      </w:docPartObj>
    </w:sdtPr>
    <w:sdtEndPr>
      <w:rPr>
        <w:rStyle w:val="PageNumber"/>
      </w:rPr>
    </w:sdtEndPr>
    <w:sdtContent>
      <w:p w14:paraId="24F51E1F" w14:textId="77777777" w:rsidR="00D304B3" w:rsidRDefault="00D304B3" w:rsidP="001368D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6A915A16" w14:textId="77777777" w:rsidR="00D304B3" w:rsidRPr="00986E05" w:rsidRDefault="00D304B3" w:rsidP="003D2C7C">
    <w:pPr>
      <w:pStyle w:val="Footer"/>
      <w:keepLines/>
      <w:pageBreakBefore/>
      <w:tabs>
        <w:tab w:val="clear" w:pos="4680"/>
        <w:tab w:val="left" w:pos="8580"/>
      </w:tabs>
      <w:ind w:right="360"/>
    </w:pPr>
    <w:r>
      <w:tab/>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83173073"/>
      <w:docPartObj>
        <w:docPartGallery w:val="Page Numbers (Bottom of Page)"/>
        <w:docPartUnique/>
      </w:docPartObj>
    </w:sdtPr>
    <w:sdtEndPr>
      <w:rPr>
        <w:rStyle w:val="PageNumber"/>
      </w:rPr>
    </w:sdtEndPr>
    <w:sdtContent>
      <w:p w14:paraId="7798525B" w14:textId="77777777" w:rsidR="00D304B3" w:rsidRDefault="00D304B3" w:rsidP="00B5607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299C774E" w14:textId="77777777" w:rsidR="00D304B3" w:rsidRPr="00986E05" w:rsidRDefault="00D304B3" w:rsidP="003D2C7C">
    <w:pPr>
      <w:pStyle w:val="Footer"/>
      <w:keepLines/>
      <w:pageBreakBefore/>
      <w:tabs>
        <w:tab w:val="clear" w:pos="4680"/>
        <w:tab w:val="left" w:pos="8580"/>
      </w:tabs>
      <w:ind w:right="360"/>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519BB" w14:textId="77777777" w:rsidR="008E5179" w:rsidRDefault="008E5179" w:rsidP="00774B39">
      <w:r>
        <w:separator/>
      </w:r>
    </w:p>
  </w:footnote>
  <w:footnote w:type="continuationSeparator" w:id="0">
    <w:p w14:paraId="26B61C6E" w14:textId="77777777" w:rsidR="008E5179" w:rsidRDefault="008E5179" w:rsidP="00774B39">
      <w:r>
        <w:continuationSeparator/>
      </w:r>
    </w:p>
  </w:footnote>
  <w:footnote w:id="1">
    <w:p w14:paraId="2B907DBD" w14:textId="3C2DE86A" w:rsidR="00D304B3" w:rsidRDefault="00D304B3">
      <w:pPr>
        <w:pStyle w:val="FootnoteText"/>
      </w:pPr>
      <w:r>
        <w:rPr>
          <w:rStyle w:val="FootnoteReference"/>
        </w:rPr>
        <w:footnoteRef/>
      </w:r>
      <w:r>
        <w:t xml:space="preserve"> </w:t>
      </w:r>
      <w:r w:rsidRPr="00EB6429">
        <w:t>https://www.emc.ncep.noaa.gov/mmb/data_processing/prepbufr.doc/table_2.htm and https://www.emc.ncep.noaa.gov/mmb/data_processing/prepbufr.doc/table_18.htm</w:t>
      </w:r>
    </w:p>
  </w:footnote>
  <w:footnote w:id="2">
    <w:p w14:paraId="75E72E6B" w14:textId="29A280EF" w:rsidR="00D304B3" w:rsidRDefault="00D304B3">
      <w:pPr>
        <w:pStyle w:val="FootnoteText"/>
      </w:pPr>
      <w:r>
        <w:rPr>
          <w:rStyle w:val="FootnoteReference"/>
        </w:rPr>
        <w:footnoteRef/>
      </w:r>
      <w:r>
        <w:t xml:space="preserve"> </w:t>
      </w:r>
      <w:hyperlink r:id="rId1" w:anchor="hurdat" w:history="1">
        <w:r w:rsidRPr="00A80A0D">
          <w:rPr>
            <w:rFonts w:eastAsiaTheme="minorEastAsia" w:cstheme="minorBidi"/>
            <w:color w:val="0000FF"/>
            <w:szCs w:val="22"/>
            <w:u w:val="single"/>
          </w:rPr>
          <w:t>https://www.nhc.noaa.gov/data/#hurdat</w:t>
        </w:r>
      </w:hyperlink>
    </w:p>
  </w:footnote>
  <w:footnote w:id="3">
    <w:p w14:paraId="5B46AE89" w14:textId="7BA42B4E" w:rsidR="00D304B3" w:rsidRDefault="00D304B3">
      <w:pPr>
        <w:pStyle w:val="FootnoteText"/>
      </w:pPr>
      <w:r>
        <w:rPr>
          <w:rStyle w:val="FootnoteReference"/>
        </w:rPr>
        <w:footnoteRef/>
      </w:r>
      <w:r>
        <w:t xml:space="preserve"> </w:t>
      </w:r>
      <w:hyperlink r:id="rId2" w:history="1">
        <w:r w:rsidRPr="00A80A0D">
          <w:rPr>
            <w:rFonts w:eastAsiaTheme="minorEastAsia" w:cstheme="minorBidi"/>
            <w:color w:val="0000FF"/>
            <w:szCs w:val="22"/>
            <w:u w:val="single"/>
          </w:rPr>
          <w:t>https://www.metoc.navy.mil/jtwc/jtwc.html?best-tracks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54F9"/>
    <w:multiLevelType w:val="hybridMultilevel"/>
    <w:tmpl w:val="58E0F052"/>
    <w:lvl w:ilvl="0" w:tplc="1824640E">
      <w:start w:val="1"/>
      <w:numFmt w:val="bullet"/>
      <w:lvlText w:val="•"/>
      <w:lvlJc w:val="left"/>
      <w:pPr>
        <w:tabs>
          <w:tab w:val="num" w:pos="720"/>
        </w:tabs>
        <w:ind w:left="720" w:hanging="360"/>
      </w:pPr>
      <w:rPr>
        <w:rFonts w:ascii="Arial" w:hAnsi="Arial" w:hint="default"/>
      </w:rPr>
    </w:lvl>
    <w:lvl w:ilvl="1" w:tplc="CD885E04" w:tentative="1">
      <w:start w:val="1"/>
      <w:numFmt w:val="bullet"/>
      <w:lvlText w:val="•"/>
      <w:lvlJc w:val="left"/>
      <w:pPr>
        <w:tabs>
          <w:tab w:val="num" w:pos="1440"/>
        </w:tabs>
        <w:ind w:left="1440" w:hanging="360"/>
      </w:pPr>
      <w:rPr>
        <w:rFonts w:ascii="Arial" w:hAnsi="Arial" w:hint="default"/>
      </w:rPr>
    </w:lvl>
    <w:lvl w:ilvl="2" w:tplc="49EAE826" w:tentative="1">
      <w:start w:val="1"/>
      <w:numFmt w:val="bullet"/>
      <w:lvlText w:val="•"/>
      <w:lvlJc w:val="left"/>
      <w:pPr>
        <w:tabs>
          <w:tab w:val="num" w:pos="2160"/>
        </w:tabs>
        <w:ind w:left="2160" w:hanging="360"/>
      </w:pPr>
      <w:rPr>
        <w:rFonts w:ascii="Arial" w:hAnsi="Arial" w:hint="default"/>
      </w:rPr>
    </w:lvl>
    <w:lvl w:ilvl="3" w:tplc="A78C418C" w:tentative="1">
      <w:start w:val="1"/>
      <w:numFmt w:val="bullet"/>
      <w:lvlText w:val="•"/>
      <w:lvlJc w:val="left"/>
      <w:pPr>
        <w:tabs>
          <w:tab w:val="num" w:pos="2880"/>
        </w:tabs>
        <w:ind w:left="2880" w:hanging="360"/>
      </w:pPr>
      <w:rPr>
        <w:rFonts w:ascii="Arial" w:hAnsi="Arial" w:hint="default"/>
      </w:rPr>
    </w:lvl>
    <w:lvl w:ilvl="4" w:tplc="1F5A0272" w:tentative="1">
      <w:start w:val="1"/>
      <w:numFmt w:val="bullet"/>
      <w:lvlText w:val="•"/>
      <w:lvlJc w:val="left"/>
      <w:pPr>
        <w:tabs>
          <w:tab w:val="num" w:pos="3600"/>
        </w:tabs>
        <w:ind w:left="3600" w:hanging="360"/>
      </w:pPr>
      <w:rPr>
        <w:rFonts w:ascii="Arial" w:hAnsi="Arial" w:hint="default"/>
      </w:rPr>
    </w:lvl>
    <w:lvl w:ilvl="5" w:tplc="0822567C" w:tentative="1">
      <w:start w:val="1"/>
      <w:numFmt w:val="bullet"/>
      <w:lvlText w:val="•"/>
      <w:lvlJc w:val="left"/>
      <w:pPr>
        <w:tabs>
          <w:tab w:val="num" w:pos="4320"/>
        </w:tabs>
        <w:ind w:left="4320" w:hanging="360"/>
      </w:pPr>
      <w:rPr>
        <w:rFonts w:ascii="Arial" w:hAnsi="Arial" w:hint="default"/>
      </w:rPr>
    </w:lvl>
    <w:lvl w:ilvl="6" w:tplc="340408E8" w:tentative="1">
      <w:start w:val="1"/>
      <w:numFmt w:val="bullet"/>
      <w:lvlText w:val="•"/>
      <w:lvlJc w:val="left"/>
      <w:pPr>
        <w:tabs>
          <w:tab w:val="num" w:pos="5040"/>
        </w:tabs>
        <w:ind w:left="5040" w:hanging="360"/>
      </w:pPr>
      <w:rPr>
        <w:rFonts w:ascii="Arial" w:hAnsi="Arial" w:hint="default"/>
      </w:rPr>
    </w:lvl>
    <w:lvl w:ilvl="7" w:tplc="2884DA58" w:tentative="1">
      <w:start w:val="1"/>
      <w:numFmt w:val="bullet"/>
      <w:lvlText w:val="•"/>
      <w:lvlJc w:val="left"/>
      <w:pPr>
        <w:tabs>
          <w:tab w:val="num" w:pos="5760"/>
        </w:tabs>
        <w:ind w:left="5760" w:hanging="360"/>
      </w:pPr>
      <w:rPr>
        <w:rFonts w:ascii="Arial" w:hAnsi="Arial" w:hint="default"/>
      </w:rPr>
    </w:lvl>
    <w:lvl w:ilvl="8" w:tplc="030893A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1842D17"/>
    <w:multiLevelType w:val="hybridMultilevel"/>
    <w:tmpl w:val="F08CED9C"/>
    <w:lvl w:ilvl="0" w:tplc="F86627D0">
      <w:start w:val="1"/>
      <w:numFmt w:val="decimal"/>
      <w:lvlText w:val="%1."/>
      <w:lvlJc w:val="left"/>
      <w:pPr>
        <w:ind w:left="360" w:hanging="360"/>
      </w:pPr>
      <w:rPr>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8C86A23"/>
    <w:multiLevelType w:val="hybridMultilevel"/>
    <w:tmpl w:val="0B285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993168"/>
    <w:multiLevelType w:val="hybridMultilevel"/>
    <w:tmpl w:val="53704E10"/>
    <w:lvl w:ilvl="0" w:tplc="4A18EA38">
      <w:start w:val="1"/>
      <w:numFmt w:val="bullet"/>
      <w:lvlText w:val="•"/>
      <w:lvlJc w:val="left"/>
      <w:pPr>
        <w:tabs>
          <w:tab w:val="num" w:pos="720"/>
        </w:tabs>
        <w:ind w:left="720" w:hanging="360"/>
      </w:pPr>
      <w:rPr>
        <w:rFonts w:ascii="Arial" w:hAnsi="Arial" w:hint="default"/>
      </w:rPr>
    </w:lvl>
    <w:lvl w:ilvl="1" w:tplc="23A61EA2" w:tentative="1">
      <w:start w:val="1"/>
      <w:numFmt w:val="bullet"/>
      <w:lvlText w:val="•"/>
      <w:lvlJc w:val="left"/>
      <w:pPr>
        <w:tabs>
          <w:tab w:val="num" w:pos="1440"/>
        </w:tabs>
        <w:ind w:left="1440" w:hanging="360"/>
      </w:pPr>
      <w:rPr>
        <w:rFonts w:ascii="Arial" w:hAnsi="Arial" w:hint="default"/>
      </w:rPr>
    </w:lvl>
    <w:lvl w:ilvl="2" w:tplc="732267F6" w:tentative="1">
      <w:start w:val="1"/>
      <w:numFmt w:val="bullet"/>
      <w:lvlText w:val="•"/>
      <w:lvlJc w:val="left"/>
      <w:pPr>
        <w:tabs>
          <w:tab w:val="num" w:pos="2160"/>
        </w:tabs>
        <w:ind w:left="2160" w:hanging="360"/>
      </w:pPr>
      <w:rPr>
        <w:rFonts w:ascii="Arial" w:hAnsi="Arial" w:hint="default"/>
      </w:rPr>
    </w:lvl>
    <w:lvl w:ilvl="3" w:tplc="BF5262CE" w:tentative="1">
      <w:start w:val="1"/>
      <w:numFmt w:val="bullet"/>
      <w:lvlText w:val="•"/>
      <w:lvlJc w:val="left"/>
      <w:pPr>
        <w:tabs>
          <w:tab w:val="num" w:pos="2880"/>
        </w:tabs>
        <w:ind w:left="2880" w:hanging="360"/>
      </w:pPr>
      <w:rPr>
        <w:rFonts w:ascii="Arial" w:hAnsi="Arial" w:hint="default"/>
      </w:rPr>
    </w:lvl>
    <w:lvl w:ilvl="4" w:tplc="DEBEBA16" w:tentative="1">
      <w:start w:val="1"/>
      <w:numFmt w:val="bullet"/>
      <w:lvlText w:val="•"/>
      <w:lvlJc w:val="left"/>
      <w:pPr>
        <w:tabs>
          <w:tab w:val="num" w:pos="3600"/>
        </w:tabs>
        <w:ind w:left="3600" w:hanging="360"/>
      </w:pPr>
      <w:rPr>
        <w:rFonts w:ascii="Arial" w:hAnsi="Arial" w:hint="default"/>
      </w:rPr>
    </w:lvl>
    <w:lvl w:ilvl="5" w:tplc="689472D6" w:tentative="1">
      <w:start w:val="1"/>
      <w:numFmt w:val="bullet"/>
      <w:lvlText w:val="•"/>
      <w:lvlJc w:val="left"/>
      <w:pPr>
        <w:tabs>
          <w:tab w:val="num" w:pos="4320"/>
        </w:tabs>
        <w:ind w:left="4320" w:hanging="360"/>
      </w:pPr>
      <w:rPr>
        <w:rFonts w:ascii="Arial" w:hAnsi="Arial" w:hint="default"/>
      </w:rPr>
    </w:lvl>
    <w:lvl w:ilvl="6" w:tplc="F3467350" w:tentative="1">
      <w:start w:val="1"/>
      <w:numFmt w:val="bullet"/>
      <w:lvlText w:val="•"/>
      <w:lvlJc w:val="left"/>
      <w:pPr>
        <w:tabs>
          <w:tab w:val="num" w:pos="5040"/>
        </w:tabs>
        <w:ind w:left="5040" w:hanging="360"/>
      </w:pPr>
      <w:rPr>
        <w:rFonts w:ascii="Arial" w:hAnsi="Arial" w:hint="default"/>
      </w:rPr>
    </w:lvl>
    <w:lvl w:ilvl="7" w:tplc="55120776" w:tentative="1">
      <w:start w:val="1"/>
      <w:numFmt w:val="bullet"/>
      <w:lvlText w:val="•"/>
      <w:lvlJc w:val="left"/>
      <w:pPr>
        <w:tabs>
          <w:tab w:val="num" w:pos="5760"/>
        </w:tabs>
        <w:ind w:left="5760" w:hanging="360"/>
      </w:pPr>
      <w:rPr>
        <w:rFonts w:ascii="Arial" w:hAnsi="Arial" w:hint="default"/>
      </w:rPr>
    </w:lvl>
    <w:lvl w:ilvl="8" w:tplc="9970072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C1C6B04"/>
    <w:multiLevelType w:val="hybridMultilevel"/>
    <w:tmpl w:val="AA0AB7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06073F"/>
    <w:multiLevelType w:val="hybridMultilevel"/>
    <w:tmpl w:val="6F3481BE"/>
    <w:lvl w:ilvl="0" w:tplc="D3E82CF6">
      <w:start w:val="1"/>
      <w:numFmt w:val="bullet"/>
      <w:lvlText w:val="•"/>
      <w:lvlJc w:val="left"/>
      <w:pPr>
        <w:tabs>
          <w:tab w:val="num" w:pos="720"/>
        </w:tabs>
        <w:ind w:left="720" w:hanging="360"/>
      </w:pPr>
      <w:rPr>
        <w:rFonts w:ascii="Arial" w:hAnsi="Arial" w:hint="default"/>
      </w:rPr>
    </w:lvl>
    <w:lvl w:ilvl="1" w:tplc="54BE5382" w:tentative="1">
      <w:start w:val="1"/>
      <w:numFmt w:val="bullet"/>
      <w:lvlText w:val="•"/>
      <w:lvlJc w:val="left"/>
      <w:pPr>
        <w:tabs>
          <w:tab w:val="num" w:pos="1440"/>
        </w:tabs>
        <w:ind w:left="1440" w:hanging="360"/>
      </w:pPr>
      <w:rPr>
        <w:rFonts w:ascii="Arial" w:hAnsi="Arial" w:hint="default"/>
      </w:rPr>
    </w:lvl>
    <w:lvl w:ilvl="2" w:tplc="2D66E762" w:tentative="1">
      <w:start w:val="1"/>
      <w:numFmt w:val="bullet"/>
      <w:lvlText w:val="•"/>
      <w:lvlJc w:val="left"/>
      <w:pPr>
        <w:tabs>
          <w:tab w:val="num" w:pos="2160"/>
        </w:tabs>
        <w:ind w:left="2160" w:hanging="360"/>
      </w:pPr>
      <w:rPr>
        <w:rFonts w:ascii="Arial" w:hAnsi="Arial" w:hint="default"/>
      </w:rPr>
    </w:lvl>
    <w:lvl w:ilvl="3" w:tplc="3312B760" w:tentative="1">
      <w:start w:val="1"/>
      <w:numFmt w:val="bullet"/>
      <w:lvlText w:val="•"/>
      <w:lvlJc w:val="left"/>
      <w:pPr>
        <w:tabs>
          <w:tab w:val="num" w:pos="2880"/>
        </w:tabs>
        <w:ind w:left="2880" w:hanging="360"/>
      </w:pPr>
      <w:rPr>
        <w:rFonts w:ascii="Arial" w:hAnsi="Arial" w:hint="default"/>
      </w:rPr>
    </w:lvl>
    <w:lvl w:ilvl="4" w:tplc="69B81B98" w:tentative="1">
      <w:start w:val="1"/>
      <w:numFmt w:val="bullet"/>
      <w:lvlText w:val="•"/>
      <w:lvlJc w:val="left"/>
      <w:pPr>
        <w:tabs>
          <w:tab w:val="num" w:pos="3600"/>
        </w:tabs>
        <w:ind w:left="3600" w:hanging="360"/>
      </w:pPr>
      <w:rPr>
        <w:rFonts w:ascii="Arial" w:hAnsi="Arial" w:hint="default"/>
      </w:rPr>
    </w:lvl>
    <w:lvl w:ilvl="5" w:tplc="EBF2586A" w:tentative="1">
      <w:start w:val="1"/>
      <w:numFmt w:val="bullet"/>
      <w:lvlText w:val="•"/>
      <w:lvlJc w:val="left"/>
      <w:pPr>
        <w:tabs>
          <w:tab w:val="num" w:pos="4320"/>
        </w:tabs>
        <w:ind w:left="4320" w:hanging="360"/>
      </w:pPr>
      <w:rPr>
        <w:rFonts w:ascii="Arial" w:hAnsi="Arial" w:hint="default"/>
      </w:rPr>
    </w:lvl>
    <w:lvl w:ilvl="6" w:tplc="73CA950E" w:tentative="1">
      <w:start w:val="1"/>
      <w:numFmt w:val="bullet"/>
      <w:lvlText w:val="•"/>
      <w:lvlJc w:val="left"/>
      <w:pPr>
        <w:tabs>
          <w:tab w:val="num" w:pos="5040"/>
        </w:tabs>
        <w:ind w:left="5040" w:hanging="360"/>
      </w:pPr>
      <w:rPr>
        <w:rFonts w:ascii="Arial" w:hAnsi="Arial" w:hint="default"/>
      </w:rPr>
    </w:lvl>
    <w:lvl w:ilvl="7" w:tplc="CFAECC7C" w:tentative="1">
      <w:start w:val="1"/>
      <w:numFmt w:val="bullet"/>
      <w:lvlText w:val="•"/>
      <w:lvlJc w:val="left"/>
      <w:pPr>
        <w:tabs>
          <w:tab w:val="num" w:pos="5760"/>
        </w:tabs>
        <w:ind w:left="5760" w:hanging="360"/>
      </w:pPr>
      <w:rPr>
        <w:rFonts w:ascii="Arial" w:hAnsi="Arial" w:hint="default"/>
      </w:rPr>
    </w:lvl>
    <w:lvl w:ilvl="8" w:tplc="6AFCBD7A" w:tentative="1">
      <w:start w:val="1"/>
      <w:numFmt w:val="bullet"/>
      <w:lvlText w:val="•"/>
      <w:lvlJc w:val="left"/>
      <w:pPr>
        <w:tabs>
          <w:tab w:val="num" w:pos="6480"/>
        </w:tabs>
        <w:ind w:left="6480" w:hanging="360"/>
      </w:pPr>
      <w:rPr>
        <w:rFonts w:ascii="Arial" w:hAnsi="Arial" w:hint="default"/>
      </w:rPr>
    </w:lvl>
  </w:abstractNum>
  <w:num w:numId="1" w16cid:durableId="1367170568">
    <w:abstractNumId w:val="1"/>
  </w:num>
  <w:num w:numId="2" w16cid:durableId="891424289">
    <w:abstractNumId w:val="2"/>
  </w:num>
  <w:num w:numId="3" w16cid:durableId="1994018230">
    <w:abstractNumId w:val="3"/>
  </w:num>
  <w:num w:numId="4" w16cid:durableId="1237474693">
    <w:abstractNumId w:val="4"/>
  </w:num>
  <w:num w:numId="5" w16cid:durableId="416053262">
    <w:abstractNumId w:val="5"/>
  </w:num>
  <w:num w:numId="6" w16cid:durableId="384566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942"/>
    <w:rsid w:val="00001E71"/>
    <w:rsid w:val="00002DCF"/>
    <w:rsid w:val="000046BD"/>
    <w:rsid w:val="00006072"/>
    <w:rsid w:val="00007618"/>
    <w:rsid w:val="00010532"/>
    <w:rsid w:val="00010AF1"/>
    <w:rsid w:val="00011BE2"/>
    <w:rsid w:val="0001359F"/>
    <w:rsid w:val="000135BF"/>
    <w:rsid w:val="00015B21"/>
    <w:rsid w:val="00015D0B"/>
    <w:rsid w:val="000179BE"/>
    <w:rsid w:val="00021433"/>
    <w:rsid w:val="0002152F"/>
    <w:rsid w:val="000233EA"/>
    <w:rsid w:val="00026590"/>
    <w:rsid w:val="00027C81"/>
    <w:rsid w:val="00030BD0"/>
    <w:rsid w:val="0004274E"/>
    <w:rsid w:val="00045C0E"/>
    <w:rsid w:val="00046474"/>
    <w:rsid w:val="00046A06"/>
    <w:rsid w:val="00046EEB"/>
    <w:rsid w:val="00047360"/>
    <w:rsid w:val="000529A8"/>
    <w:rsid w:val="0006180A"/>
    <w:rsid w:val="0006446C"/>
    <w:rsid w:val="00064B30"/>
    <w:rsid w:val="0006633B"/>
    <w:rsid w:val="000707C7"/>
    <w:rsid w:val="00071B96"/>
    <w:rsid w:val="0007480D"/>
    <w:rsid w:val="0007680E"/>
    <w:rsid w:val="00076951"/>
    <w:rsid w:val="0007737D"/>
    <w:rsid w:val="00077444"/>
    <w:rsid w:val="00077A58"/>
    <w:rsid w:val="00080339"/>
    <w:rsid w:val="0008287F"/>
    <w:rsid w:val="0008366C"/>
    <w:rsid w:val="00083836"/>
    <w:rsid w:val="00083D65"/>
    <w:rsid w:val="00085ADB"/>
    <w:rsid w:val="00087580"/>
    <w:rsid w:val="00093DDF"/>
    <w:rsid w:val="000A08FC"/>
    <w:rsid w:val="000A1E4C"/>
    <w:rsid w:val="000A4881"/>
    <w:rsid w:val="000A61BD"/>
    <w:rsid w:val="000B223A"/>
    <w:rsid w:val="000B2593"/>
    <w:rsid w:val="000B662C"/>
    <w:rsid w:val="000B7336"/>
    <w:rsid w:val="000C07BA"/>
    <w:rsid w:val="000C1588"/>
    <w:rsid w:val="000C225D"/>
    <w:rsid w:val="000C2336"/>
    <w:rsid w:val="000C7BD0"/>
    <w:rsid w:val="000D0B42"/>
    <w:rsid w:val="000D0D0E"/>
    <w:rsid w:val="000D1A50"/>
    <w:rsid w:val="000D26A9"/>
    <w:rsid w:val="000D5A2B"/>
    <w:rsid w:val="000D6D38"/>
    <w:rsid w:val="000E4CEF"/>
    <w:rsid w:val="000E50B7"/>
    <w:rsid w:val="000E633B"/>
    <w:rsid w:val="000E67F0"/>
    <w:rsid w:val="000F1C5D"/>
    <w:rsid w:val="000F332F"/>
    <w:rsid w:val="000F7758"/>
    <w:rsid w:val="001011D3"/>
    <w:rsid w:val="0010271D"/>
    <w:rsid w:val="00103CF0"/>
    <w:rsid w:val="00103FC8"/>
    <w:rsid w:val="001047F6"/>
    <w:rsid w:val="00111C84"/>
    <w:rsid w:val="001148B5"/>
    <w:rsid w:val="001158A1"/>
    <w:rsid w:val="00116F10"/>
    <w:rsid w:val="001236C3"/>
    <w:rsid w:val="0012487E"/>
    <w:rsid w:val="00126F00"/>
    <w:rsid w:val="00130EF2"/>
    <w:rsid w:val="00131A40"/>
    <w:rsid w:val="0013233F"/>
    <w:rsid w:val="00132D65"/>
    <w:rsid w:val="00136291"/>
    <w:rsid w:val="0013653C"/>
    <w:rsid w:val="001368D3"/>
    <w:rsid w:val="001368E4"/>
    <w:rsid w:val="00136F33"/>
    <w:rsid w:val="00140BF2"/>
    <w:rsid w:val="00141500"/>
    <w:rsid w:val="00144400"/>
    <w:rsid w:val="00145087"/>
    <w:rsid w:val="00146847"/>
    <w:rsid w:val="001505EB"/>
    <w:rsid w:val="00151E5F"/>
    <w:rsid w:val="00161C99"/>
    <w:rsid w:val="00165824"/>
    <w:rsid w:val="00166602"/>
    <w:rsid w:val="00170680"/>
    <w:rsid w:val="001709D5"/>
    <w:rsid w:val="001749AE"/>
    <w:rsid w:val="00175B45"/>
    <w:rsid w:val="00175C7A"/>
    <w:rsid w:val="00175CF1"/>
    <w:rsid w:val="0017611C"/>
    <w:rsid w:val="0017639C"/>
    <w:rsid w:val="00185003"/>
    <w:rsid w:val="001866D2"/>
    <w:rsid w:val="00186FFB"/>
    <w:rsid w:val="00191F93"/>
    <w:rsid w:val="00191FCF"/>
    <w:rsid w:val="00194F89"/>
    <w:rsid w:val="001955B9"/>
    <w:rsid w:val="00196B94"/>
    <w:rsid w:val="001A0D21"/>
    <w:rsid w:val="001A11A8"/>
    <w:rsid w:val="001B327F"/>
    <w:rsid w:val="001B380C"/>
    <w:rsid w:val="001B3FA9"/>
    <w:rsid w:val="001B41B7"/>
    <w:rsid w:val="001B6862"/>
    <w:rsid w:val="001B6A75"/>
    <w:rsid w:val="001B6BE3"/>
    <w:rsid w:val="001B6DCD"/>
    <w:rsid w:val="001C1A0E"/>
    <w:rsid w:val="001C2DC1"/>
    <w:rsid w:val="001C44EF"/>
    <w:rsid w:val="001C6654"/>
    <w:rsid w:val="001C78E1"/>
    <w:rsid w:val="001D136B"/>
    <w:rsid w:val="001D1EA4"/>
    <w:rsid w:val="001D4651"/>
    <w:rsid w:val="001E1981"/>
    <w:rsid w:val="001E1E5A"/>
    <w:rsid w:val="001E49B6"/>
    <w:rsid w:val="001E7573"/>
    <w:rsid w:val="001F497D"/>
    <w:rsid w:val="001F756F"/>
    <w:rsid w:val="00202423"/>
    <w:rsid w:val="00202CE7"/>
    <w:rsid w:val="002037AC"/>
    <w:rsid w:val="00204587"/>
    <w:rsid w:val="00204D6D"/>
    <w:rsid w:val="00207CA4"/>
    <w:rsid w:val="00210357"/>
    <w:rsid w:val="002112EA"/>
    <w:rsid w:val="00212B20"/>
    <w:rsid w:val="00213656"/>
    <w:rsid w:val="00213ABD"/>
    <w:rsid w:val="00214404"/>
    <w:rsid w:val="002160D2"/>
    <w:rsid w:val="0022139C"/>
    <w:rsid w:val="002235F1"/>
    <w:rsid w:val="0022717D"/>
    <w:rsid w:val="00227EA4"/>
    <w:rsid w:val="002305C7"/>
    <w:rsid w:val="00230DDE"/>
    <w:rsid w:val="00230ED5"/>
    <w:rsid w:val="00230F89"/>
    <w:rsid w:val="00232629"/>
    <w:rsid w:val="00241A5C"/>
    <w:rsid w:val="002508D9"/>
    <w:rsid w:val="00251925"/>
    <w:rsid w:val="00251A55"/>
    <w:rsid w:val="00252199"/>
    <w:rsid w:val="00255689"/>
    <w:rsid w:val="00260C5A"/>
    <w:rsid w:val="00261293"/>
    <w:rsid w:val="00265151"/>
    <w:rsid w:val="00267440"/>
    <w:rsid w:val="002717E6"/>
    <w:rsid w:val="00273951"/>
    <w:rsid w:val="002741F1"/>
    <w:rsid w:val="0028050B"/>
    <w:rsid w:val="00284DB3"/>
    <w:rsid w:val="00287317"/>
    <w:rsid w:val="00287B51"/>
    <w:rsid w:val="00287F3C"/>
    <w:rsid w:val="00292429"/>
    <w:rsid w:val="002A1DE3"/>
    <w:rsid w:val="002A4AB2"/>
    <w:rsid w:val="002A70E8"/>
    <w:rsid w:val="002B0762"/>
    <w:rsid w:val="002B21BE"/>
    <w:rsid w:val="002B4885"/>
    <w:rsid w:val="002B6434"/>
    <w:rsid w:val="002C0509"/>
    <w:rsid w:val="002C1888"/>
    <w:rsid w:val="002C2E2E"/>
    <w:rsid w:val="002C5E85"/>
    <w:rsid w:val="002C7C21"/>
    <w:rsid w:val="002D0078"/>
    <w:rsid w:val="002D3107"/>
    <w:rsid w:val="002D5327"/>
    <w:rsid w:val="002E5F23"/>
    <w:rsid w:val="002F3178"/>
    <w:rsid w:val="002F3814"/>
    <w:rsid w:val="002F3CAB"/>
    <w:rsid w:val="002F555C"/>
    <w:rsid w:val="00301D34"/>
    <w:rsid w:val="0030338F"/>
    <w:rsid w:val="00304E51"/>
    <w:rsid w:val="00305BE3"/>
    <w:rsid w:val="00307A77"/>
    <w:rsid w:val="00312C63"/>
    <w:rsid w:val="00313305"/>
    <w:rsid w:val="00316519"/>
    <w:rsid w:val="00316E7D"/>
    <w:rsid w:val="003214A4"/>
    <w:rsid w:val="00322FB2"/>
    <w:rsid w:val="0032303D"/>
    <w:rsid w:val="003254EB"/>
    <w:rsid w:val="00330CE7"/>
    <w:rsid w:val="00330F00"/>
    <w:rsid w:val="00333AE7"/>
    <w:rsid w:val="00335ACE"/>
    <w:rsid w:val="00335D21"/>
    <w:rsid w:val="00340AE0"/>
    <w:rsid w:val="00340D2C"/>
    <w:rsid w:val="0034251D"/>
    <w:rsid w:val="00344803"/>
    <w:rsid w:val="00346241"/>
    <w:rsid w:val="003624D8"/>
    <w:rsid w:val="00364071"/>
    <w:rsid w:val="003647AF"/>
    <w:rsid w:val="00367BF3"/>
    <w:rsid w:val="003722E1"/>
    <w:rsid w:val="003728A5"/>
    <w:rsid w:val="00374703"/>
    <w:rsid w:val="00374707"/>
    <w:rsid w:val="00375854"/>
    <w:rsid w:val="003762D0"/>
    <w:rsid w:val="00376C46"/>
    <w:rsid w:val="003779C2"/>
    <w:rsid w:val="00377C5E"/>
    <w:rsid w:val="00380618"/>
    <w:rsid w:val="0038098E"/>
    <w:rsid w:val="0038107D"/>
    <w:rsid w:val="003820C1"/>
    <w:rsid w:val="00382C96"/>
    <w:rsid w:val="00385D35"/>
    <w:rsid w:val="00386336"/>
    <w:rsid w:val="00391451"/>
    <w:rsid w:val="00391B4D"/>
    <w:rsid w:val="003942BC"/>
    <w:rsid w:val="0039474C"/>
    <w:rsid w:val="00396A88"/>
    <w:rsid w:val="00397E6B"/>
    <w:rsid w:val="003A4AFE"/>
    <w:rsid w:val="003A53B5"/>
    <w:rsid w:val="003B0ED0"/>
    <w:rsid w:val="003B1F4C"/>
    <w:rsid w:val="003B2CFA"/>
    <w:rsid w:val="003B40D7"/>
    <w:rsid w:val="003B754C"/>
    <w:rsid w:val="003C028F"/>
    <w:rsid w:val="003C2B41"/>
    <w:rsid w:val="003C63C9"/>
    <w:rsid w:val="003D2C7C"/>
    <w:rsid w:val="003D4C59"/>
    <w:rsid w:val="003D7F93"/>
    <w:rsid w:val="003E260E"/>
    <w:rsid w:val="003E69C2"/>
    <w:rsid w:val="003E7E67"/>
    <w:rsid w:val="003E7F76"/>
    <w:rsid w:val="003F02BC"/>
    <w:rsid w:val="003F06F6"/>
    <w:rsid w:val="003F1E8E"/>
    <w:rsid w:val="003F3B5A"/>
    <w:rsid w:val="003F4BB0"/>
    <w:rsid w:val="003F53F5"/>
    <w:rsid w:val="003F5768"/>
    <w:rsid w:val="003F729A"/>
    <w:rsid w:val="004017FD"/>
    <w:rsid w:val="00402775"/>
    <w:rsid w:val="00403C8A"/>
    <w:rsid w:val="00403D9D"/>
    <w:rsid w:val="00406C46"/>
    <w:rsid w:val="0040751C"/>
    <w:rsid w:val="004114AF"/>
    <w:rsid w:val="00412EF8"/>
    <w:rsid w:val="00421408"/>
    <w:rsid w:val="00421D1F"/>
    <w:rsid w:val="0042601F"/>
    <w:rsid w:val="004264B8"/>
    <w:rsid w:val="004303B1"/>
    <w:rsid w:val="00430AA1"/>
    <w:rsid w:val="00430B52"/>
    <w:rsid w:val="00431D83"/>
    <w:rsid w:val="004340AC"/>
    <w:rsid w:val="004344CF"/>
    <w:rsid w:val="004356F9"/>
    <w:rsid w:val="00437977"/>
    <w:rsid w:val="004425BD"/>
    <w:rsid w:val="004531A2"/>
    <w:rsid w:val="00462ECF"/>
    <w:rsid w:val="00464335"/>
    <w:rsid w:val="00465803"/>
    <w:rsid w:val="00474B4F"/>
    <w:rsid w:val="004764F2"/>
    <w:rsid w:val="00476A7E"/>
    <w:rsid w:val="00476BA8"/>
    <w:rsid w:val="004812E9"/>
    <w:rsid w:val="00481E94"/>
    <w:rsid w:val="0048404A"/>
    <w:rsid w:val="00487509"/>
    <w:rsid w:val="00495636"/>
    <w:rsid w:val="0049788F"/>
    <w:rsid w:val="004A0CAA"/>
    <w:rsid w:val="004A1657"/>
    <w:rsid w:val="004A6CA6"/>
    <w:rsid w:val="004A6CC2"/>
    <w:rsid w:val="004A7CC9"/>
    <w:rsid w:val="004B1C44"/>
    <w:rsid w:val="004B2420"/>
    <w:rsid w:val="004C0CFF"/>
    <w:rsid w:val="004C1D04"/>
    <w:rsid w:val="004D11A5"/>
    <w:rsid w:val="004D149A"/>
    <w:rsid w:val="004D290E"/>
    <w:rsid w:val="004D3010"/>
    <w:rsid w:val="004D3DA8"/>
    <w:rsid w:val="004D4672"/>
    <w:rsid w:val="004D5D3C"/>
    <w:rsid w:val="004D799B"/>
    <w:rsid w:val="004E27BE"/>
    <w:rsid w:val="004E4DE2"/>
    <w:rsid w:val="004E6CFC"/>
    <w:rsid w:val="004F03EB"/>
    <w:rsid w:val="004F0843"/>
    <w:rsid w:val="004F1371"/>
    <w:rsid w:val="004F19BE"/>
    <w:rsid w:val="004F3C0C"/>
    <w:rsid w:val="004F4039"/>
    <w:rsid w:val="005010A7"/>
    <w:rsid w:val="00502218"/>
    <w:rsid w:val="00503496"/>
    <w:rsid w:val="005136B2"/>
    <w:rsid w:val="00514192"/>
    <w:rsid w:val="0051477C"/>
    <w:rsid w:val="00517756"/>
    <w:rsid w:val="0051796B"/>
    <w:rsid w:val="00517AA2"/>
    <w:rsid w:val="00520AF6"/>
    <w:rsid w:val="00520F98"/>
    <w:rsid w:val="0053231F"/>
    <w:rsid w:val="005341B6"/>
    <w:rsid w:val="005358E5"/>
    <w:rsid w:val="005379D5"/>
    <w:rsid w:val="00543504"/>
    <w:rsid w:val="005438F1"/>
    <w:rsid w:val="00543F22"/>
    <w:rsid w:val="0054428F"/>
    <w:rsid w:val="00545EB6"/>
    <w:rsid w:val="00550C6D"/>
    <w:rsid w:val="00554821"/>
    <w:rsid w:val="00556166"/>
    <w:rsid w:val="0055655E"/>
    <w:rsid w:val="00556C99"/>
    <w:rsid w:val="00560F02"/>
    <w:rsid w:val="005637B8"/>
    <w:rsid w:val="00565783"/>
    <w:rsid w:val="00567C14"/>
    <w:rsid w:val="00571BE4"/>
    <w:rsid w:val="00575E4D"/>
    <w:rsid w:val="00581997"/>
    <w:rsid w:val="005820F0"/>
    <w:rsid w:val="00582AC3"/>
    <w:rsid w:val="00586AC4"/>
    <w:rsid w:val="00590A4C"/>
    <w:rsid w:val="005917AD"/>
    <w:rsid w:val="005932F8"/>
    <w:rsid w:val="00593FFA"/>
    <w:rsid w:val="005940EC"/>
    <w:rsid w:val="00595B92"/>
    <w:rsid w:val="0059639E"/>
    <w:rsid w:val="005A0A7A"/>
    <w:rsid w:val="005A362E"/>
    <w:rsid w:val="005A5D20"/>
    <w:rsid w:val="005B0A81"/>
    <w:rsid w:val="005B0C68"/>
    <w:rsid w:val="005B248D"/>
    <w:rsid w:val="005B250A"/>
    <w:rsid w:val="005B42A2"/>
    <w:rsid w:val="005C2358"/>
    <w:rsid w:val="005D0A64"/>
    <w:rsid w:val="005D0E0B"/>
    <w:rsid w:val="005D23F3"/>
    <w:rsid w:val="005D360C"/>
    <w:rsid w:val="005D5460"/>
    <w:rsid w:val="005D6117"/>
    <w:rsid w:val="005E3EF3"/>
    <w:rsid w:val="005E41B7"/>
    <w:rsid w:val="005F1BDB"/>
    <w:rsid w:val="005F2176"/>
    <w:rsid w:val="005F2AD0"/>
    <w:rsid w:val="005F3F0E"/>
    <w:rsid w:val="005F4362"/>
    <w:rsid w:val="005F53A5"/>
    <w:rsid w:val="005F63AE"/>
    <w:rsid w:val="005F7F06"/>
    <w:rsid w:val="00605562"/>
    <w:rsid w:val="0060687E"/>
    <w:rsid w:val="00606AEF"/>
    <w:rsid w:val="00606BEB"/>
    <w:rsid w:val="00607F7A"/>
    <w:rsid w:val="0061494D"/>
    <w:rsid w:val="00614F69"/>
    <w:rsid w:val="006302B0"/>
    <w:rsid w:val="00630F4D"/>
    <w:rsid w:val="00636B22"/>
    <w:rsid w:val="00641464"/>
    <w:rsid w:val="00641E75"/>
    <w:rsid w:val="00643F44"/>
    <w:rsid w:val="00652E45"/>
    <w:rsid w:val="006634D0"/>
    <w:rsid w:val="00665FE9"/>
    <w:rsid w:val="00666162"/>
    <w:rsid w:val="0066627B"/>
    <w:rsid w:val="00667764"/>
    <w:rsid w:val="00670FEC"/>
    <w:rsid w:val="006711BF"/>
    <w:rsid w:val="00671437"/>
    <w:rsid w:val="00671537"/>
    <w:rsid w:val="0067318E"/>
    <w:rsid w:val="006731FA"/>
    <w:rsid w:val="0067585E"/>
    <w:rsid w:val="00680B31"/>
    <w:rsid w:val="00680D57"/>
    <w:rsid w:val="00681ED9"/>
    <w:rsid w:val="00691834"/>
    <w:rsid w:val="006967D3"/>
    <w:rsid w:val="006A410E"/>
    <w:rsid w:val="006A42DA"/>
    <w:rsid w:val="006A6060"/>
    <w:rsid w:val="006A79CB"/>
    <w:rsid w:val="006B7D08"/>
    <w:rsid w:val="006C4394"/>
    <w:rsid w:val="006C5849"/>
    <w:rsid w:val="006C5AD4"/>
    <w:rsid w:val="006D4C30"/>
    <w:rsid w:val="006D5764"/>
    <w:rsid w:val="006D71A3"/>
    <w:rsid w:val="006D7FC9"/>
    <w:rsid w:val="006E57BD"/>
    <w:rsid w:val="006E5A8B"/>
    <w:rsid w:val="00701FC8"/>
    <w:rsid w:val="00703FFA"/>
    <w:rsid w:val="007043A9"/>
    <w:rsid w:val="00704FA0"/>
    <w:rsid w:val="00705331"/>
    <w:rsid w:val="00706A19"/>
    <w:rsid w:val="00707EBD"/>
    <w:rsid w:val="00711E2F"/>
    <w:rsid w:val="00711F82"/>
    <w:rsid w:val="00713819"/>
    <w:rsid w:val="007141F2"/>
    <w:rsid w:val="00716E18"/>
    <w:rsid w:val="00717C1D"/>
    <w:rsid w:val="00726C3B"/>
    <w:rsid w:val="00733979"/>
    <w:rsid w:val="00740EC4"/>
    <w:rsid w:val="00742155"/>
    <w:rsid w:val="00743B31"/>
    <w:rsid w:val="00747740"/>
    <w:rsid w:val="00752F48"/>
    <w:rsid w:val="00753CC2"/>
    <w:rsid w:val="007575E8"/>
    <w:rsid w:val="00761CB9"/>
    <w:rsid w:val="00761EF5"/>
    <w:rsid w:val="007671E2"/>
    <w:rsid w:val="007674E3"/>
    <w:rsid w:val="00772E1A"/>
    <w:rsid w:val="0077307A"/>
    <w:rsid w:val="0077385A"/>
    <w:rsid w:val="00774B39"/>
    <w:rsid w:val="00777C0B"/>
    <w:rsid w:val="00781166"/>
    <w:rsid w:val="00782DC7"/>
    <w:rsid w:val="00790459"/>
    <w:rsid w:val="007948CC"/>
    <w:rsid w:val="00795015"/>
    <w:rsid w:val="00795A33"/>
    <w:rsid w:val="00795A93"/>
    <w:rsid w:val="00796D19"/>
    <w:rsid w:val="007A0253"/>
    <w:rsid w:val="007A3BD9"/>
    <w:rsid w:val="007A45C3"/>
    <w:rsid w:val="007B05A6"/>
    <w:rsid w:val="007B1F46"/>
    <w:rsid w:val="007B7A6F"/>
    <w:rsid w:val="007C02AD"/>
    <w:rsid w:val="007C20CF"/>
    <w:rsid w:val="007C295D"/>
    <w:rsid w:val="007C4BED"/>
    <w:rsid w:val="007C526B"/>
    <w:rsid w:val="007C5704"/>
    <w:rsid w:val="007C678E"/>
    <w:rsid w:val="007C6DFD"/>
    <w:rsid w:val="007D20AA"/>
    <w:rsid w:val="007D26C4"/>
    <w:rsid w:val="007D5362"/>
    <w:rsid w:val="007D67A8"/>
    <w:rsid w:val="007D72E3"/>
    <w:rsid w:val="007E1556"/>
    <w:rsid w:val="007E1850"/>
    <w:rsid w:val="007E3F8B"/>
    <w:rsid w:val="007E573A"/>
    <w:rsid w:val="007E705E"/>
    <w:rsid w:val="007E7345"/>
    <w:rsid w:val="007F1463"/>
    <w:rsid w:val="007F2942"/>
    <w:rsid w:val="007F51B0"/>
    <w:rsid w:val="007F774C"/>
    <w:rsid w:val="00800EFF"/>
    <w:rsid w:val="008018D9"/>
    <w:rsid w:val="0080192A"/>
    <w:rsid w:val="00803996"/>
    <w:rsid w:val="00811A91"/>
    <w:rsid w:val="008167DA"/>
    <w:rsid w:val="008220FE"/>
    <w:rsid w:val="008235EA"/>
    <w:rsid w:val="008263DE"/>
    <w:rsid w:val="0082730A"/>
    <w:rsid w:val="008339EA"/>
    <w:rsid w:val="00834BB9"/>
    <w:rsid w:val="0083528A"/>
    <w:rsid w:val="008414A1"/>
    <w:rsid w:val="0084396E"/>
    <w:rsid w:val="00843AD4"/>
    <w:rsid w:val="00844E59"/>
    <w:rsid w:val="008453ED"/>
    <w:rsid w:val="008471F6"/>
    <w:rsid w:val="0085015B"/>
    <w:rsid w:val="0085098C"/>
    <w:rsid w:val="00850DF0"/>
    <w:rsid w:val="0085113E"/>
    <w:rsid w:val="00851785"/>
    <w:rsid w:val="00851948"/>
    <w:rsid w:val="00851E8E"/>
    <w:rsid w:val="00851F47"/>
    <w:rsid w:val="008522FD"/>
    <w:rsid w:val="00852CD6"/>
    <w:rsid w:val="00852EFA"/>
    <w:rsid w:val="00853305"/>
    <w:rsid w:val="0085363D"/>
    <w:rsid w:val="008549AF"/>
    <w:rsid w:val="00854FA6"/>
    <w:rsid w:val="00856EFF"/>
    <w:rsid w:val="00857F8C"/>
    <w:rsid w:val="00860AF8"/>
    <w:rsid w:val="0086168A"/>
    <w:rsid w:val="00866DA6"/>
    <w:rsid w:val="0087148C"/>
    <w:rsid w:val="00871D25"/>
    <w:rsid w:val="008755C0"/>
    <w:rsid w:val="00883B10"/>
    <w:rsid w:val="00883E55"/>
    <w:rsid w:val="00884213"/>
    <w:rsid w:val="00886E17"/>
    <w:rsid w:val="008910B5"/>
    <w:rsid w:val="00891CF1"/>
    <w:rsid w:val="00894A14"/>
    <w:rsid w:val="00895DF7"/>
    <w:rsid w:val="00895E6E"/>
    <w:rsid w:val="00897A2B"/>
    <w:rsid w:val="008A11CE"/>
    <w:rsid w:val="008A1657"/>
    <w:rsid w:val="008A317B"/>
    <w:rsid w:val="008A3A36"/>
    <w:rsid w:val="008A3D20"/>
    <w:rsid w:val="008A4EE4"/>
    <w:rsid w:val="008A4EF9"/>
    <w:rsid w:val="008A7CE2"/>
    <w:rsid w:val="008B1225"/>
    <w:rsid w:val="008B48A8"/>
    <w:rsid w:val="008C42BD"/>
    <w:rsid w:val="008C45BF"/>
    <w:rsid w:val="008C4B60"/>
    <w:rsid w:val="008C66DC"/>
    <w:rsid w:val="008C6C80"/>
    <w:rsid w:val="008D00D2"/>
    <w:rsid w:val="008D14A2"/>
    <w:rsid w:val="008D2B63"/>
    <w:rsid w:val="008D3087"/>
    <w:rsid w:val="008D3A63"/>
    <w:rsid w:val="008D6B28"/>
    <w:rsid w:val="008E0F54"/>
    <w:rsid w:val="008E1D79"/>
    <w:rsid w:val="008E2FA2"/>
    <w:rsid w:val="008E5179"/>
    <w:rsid w:val="008E60AB"/>
    <w:rsid w:val="008E7EEB"/>
    <w:rsid w:val="008F076A"/>
    <w:rsid w:val="008F51B1"/>
    <w:rsid w:val="008F6728"/>
    <w:rsid w:val="008F772D"/>
    <w:rsid w:val="009009AF"/>
    <w:rsid w:val="00900D9A"/>
    <w:rsid w:val="009051BB"/>
    <w:rsid w:val="009069E3"/>
    <w:rsid w:val="00912A5C"/>
    <w:rsid w:val="00914050"/>
    <w:rsid w:val="009145B6"/>
    <w:rsid w:val="0091568C"/>
    <w:rsid w:val="00915AFE"/>
    <w:rsid w:val="0091684C"/>
    <w:rsid w:val="00917DD9"/>
    <w:rsid w:val="00922E71"/>
    <w:rsid w:val="009245F3"/>
    <w:rsid w:val="009303B1"/>
    <w:rsid w:val="009319C4"/>
    <w:rsid w:val="009376D6"/>
    <w:rsid w:val="00943332"/>
    <w:rsid w:val="0094670C"/>
    <w:rsid w:val="00947A91"/>
    <w:rsid w:val="00950A20"/>
    <w:rsid w:val="00952952"/>
    <w:rsid w:val="009532C5"/>
    <w:rsid w:val="00955D7E"/>
    <w:rsid w:val="00957F2F"/>
    <w:rsid w:val="0096027D"/>
    <w:rsid w:val="00960DC0"/>
    <w:rsid w:val="0096486B"/>
    <w:rsid w:val="00964D5C"/>
    <w:rsid w:val="009675B4"/>
    <w:rsid w:val="0097018F"/>
    <w:rsid w:val="00970F70"/>
    <w:rsid w:val="009724B9"/>
    <w:rsid w:val="00973E57"/>
    <w:rsid w:val="0097575B"/>
    <w:rsid w:val="00984E9C"/>
    <w:rsid w:val="00985643"/>
    <w:rsid w:val="00986228"/>
    <w:rsid w:val="00986E05"/>
    <w:rsid w:val="00990BFF"/>
    <w:rsid w:val="00994CE5"/>
    <w:rsid w:val="00996F91"/>
    <w:rsid w:val="009A03E3"/>
    <w:rsid w:val="009A05A9"/>
    <w:rsid w:val="009A114F"/>
    <w:rsid w:val="009A4850"/>
    <w:rsid w:val="009A5F84"/>
    <w:rsid w:val="009B006F"/>
    <w:rsid w:val="009B0FED"/>
    <w:rsid w:val="009B33AC"/>
    <w:rsid w:val="009B4220"/>
    <w:rsid w:val="009B7B2F"/>
    <w:rsid w:val="009C12DD"/>
    <w:rsid w:val="009C133F"/>
    <w:rsid w:val="009C1B8D"/>
    <w:rsid w:val="009C1CA6"/>
    <w:rsid w:val="009C5CD6"/>
    <w:rsid w:val="009C6D22"/>
    <w:rsid w:val="009D0F82"/>
    <w:rsid w:val="009D12FB"/>
    <w:rsid w:val="009D305E"/>
    <w:rsid w:val="009D5FD1"/>
    <w:rsid w:val="009E06BE"/>
    <w:rsid w:val="009E29CC"/>
    <w:rsid w:val="009E47A3"/>
    <w:rsid w:val="009E714B"/>
    <w:rsid w:val="009F0424"/>
    <w:rsid w:val="009F179E"/>
    <w:rsid w:val="009F723B"/>
    <w:rsid w:val="00A001C6"/>
    <w:rsid w:val="00A01CFC"/>
    <w:rsid w:val="00A01E3C"/>
    <w:rsid w:val="00A02315"/>
    <w:rsid w:val="00A03C49"/>
    <w:rsid w:val="00A045D5"/>
    <w:rsid w:val="00A05F50"/>
    <w:rsid w:val="00A11620"/>
    <w:rsid w:val="00A11ADA"/>
    <w:rsid w:val="00A12A48"/>
    <w:rsid w:val="00A15BD5"/>
    <w:rsid w:val="00A16ED1"/>
    <w:rsid w:val="00A17F62"/>
    <w:rsid w:val="00A20989"/>
    <w:rsid w:val="00A23BBA"/>
    <w:rsid w:val="00A25863"/>
    <w:rsid w:val="00A269F0"/>
    <w:rsid w:val="00A26C37"/>
    <w:rsid w:val="00A3026A"/>
    <w:rsid w:val="00A3239A"/>
    <w:rsid w:val="00A33DCB"/>
    <w:rsid w:val="00A34BD0"/>
    <w:rsid w:val="00A374FF"/>
    <w:rsid w:val="00A40406"/>
    <w:rsid w:val="00A43A85"/>
    <w:rsid w:val="00A44680"/>
    <w:rsid w:val="00A53241"/>
    <w:rsid w:val="00A5698B"/>
    <w:rsid w:val="00A6181C"/>
    <w:rsid w:val="00A61988"/>
    <w:rsid w:val="00A64884"/>
    <w:rsid w:val="00A67EE3"/>
    <w:rsid w:val="00A704D6"/>
    <w:rsid w:val="00A740B6"/>
    <w:rsid w:val="00A74607"/>
    <w:rsid w:val="00A80A0D"/>
    <w:rsid w:val="00A82B5D"/>
    <w:rsid w:val="00A9201B"/>
    <w:rsid w:val="00A94B91"/>
    <w:rsid w:val="00A95AE2"/>
    <w:rsid w:val="00AA147E"/>
    <w:rsid w:val="00AA2811"/>
    <w:rsid w:val="00AA346E"/>
    <w:rsid w:val="00AA4952"/>
    <w:rsid w:val="00AA671C"/>
    <w:rsid w:val="00AA6C3C"/>
    <w:rsid w:val="00AA78B4"/>
    <w:rsid w:val="00AB0DB1"/>
    <w:rsid w:val="00AB1B50"/>
    <w:rsid w:val="00AB4A7F"/>
    <w:rsid w:val="00AC03D5"/>
    <w:rsid w:val="00AC140C"/>
    <w:rsid w:val="00AC2482"/>
    <w:rsid w:val="00AC3E88"/>
    <w:rsid w:val="00AD751D"/>
    <w:rsid w:val="00AE235F"/>
    <w:rsid w:val="00AE3721"/>
    <w:rsid w:val="00AE55BE"/>
    <w:rsid w:val="00AE58E4"/>
    <w:rsid w:val="00AF32AD"/>
    <w:rsid w:val="00AF5318"/>
    <w:rsid w:val="00B04BE0"/>
    <w:rsid w:val="00B06E77"/>
    <w:rsid w:val="00B11A1C"/>
    <w:rsid w:val="00B11E73"/>
    <w:rsid w:val="00B12ED0"/>
    <w:rsid w:val="00B151B0"/>
    <w:rsid w:val="00B1627F"/>
    <w:rsid w:val="00B20108"/>
    <w:rsid w:val="00B22E00"/>
    <w:rsid w:val="00B31F7F"/>
    <w:rsid w:val="00B320AC"/>
    <w:rsid w:val="00B326EE"/>
    <w:rsid w:val="00B34447"/>
    <w:rsid w:val="00B34919"/>
    <w:rsid w:val="00B361D8"/>
    <w:rsid w:val="00B3657B"/>
    <w:rsid w:val="00B42404"/>
    <w:rsid w:val="00B443F8"/>
    <w:rsid w:val="00B5081E"/>
    <w:rsid w:val="00B527FA"/>
    <w:rsid w:val="00B53AC2"/>
    <w:rsid w:val="00B53E3B"/>
    <w:rsid w:val="00B56072"/>
    <w:rsid w:val="00B57C64"/>
    <w:rsid w:val="00B6682E"/>
    <w:rsid w:val="00B70148"/>
    <w:rsid w:val="00B7106B"/>
    <w:rsid w:val="00B72316"/>
    <w:rsid w:val="00B72C94"/>
    <w:rsid w:val="00B730F6"/>
    <w:rsid w:val="00B74D27"/>
    <w:rsid w:val="00B754DA"/>
    <w:rsid w:val="00B769DB"/>
    <w:rsid w:val="00B7720D"/>
    <w:rsid w:val="00B81979"/>
    <w:rsid w:val="00B8696F"/>
    <w:rsid w:val="00B87AFB"/>
    <w:rsid w:val="00B958B2"/>
    <w:rsid w:val="00B95914"/>
    <w:rsid w:val="00B96B12"/>
    <w:rsid w:val="00B96EE1"/>
    <w:rsid w:val="00B96F41"/>
    <w:rsid w:val="00B97274"/>
    <w:rsid w:val="00B97AD0"/>
    <w:rsid w:val="00BA113F"/>
    <w:rsid w:val="00BA44A5"/>
    <w:rsid w:val="00BA5B33"/>
    <w:rsid w:val="00BA6467"/>
    <w:rsid w:val="00BA7A67"/>
    <w:rsid w:val="00BB127C"/>
    <w:rsid w:val="00BB28A1"/>
    <w:rsid w:val="00BB35A6"/>
    <w:rsid w:val="00BB361B"/>
    <w:rsid w:val="00BB4AEE"/>
    <w:rsid w:val="00BB7D3D"/>
    <w:rsid w:val="00BC59D7"/>
    <w:rsid w:val="00BC5C06"/>
    <w:rsid w:val="00BD0872"/>
    <w:rsid w:val="00BD0978"/>
    <w:rsid w:val="00BD1B7F"/>
    <w:rsid w:val="00BD7D93"/>
    <w:rsid w:val="00BE13EB"/>
    <w:rsid w:val="00BE28A6"/>
    <w:rsid w:val="00BE3044"/>
    <w:rsid w:val="00BE30EA"/>
    <w:rsid w:val="00BE5DB7"/>
    <w:rsid w:val="00BE6E5E"/>
    <w:rsid w:val="00BF0392"/>
    <w:rsid w:val="00BF12BD"/>
    <w:rsid w:val="00BF226B"/>
    <w:rsid w:val="00BF370F"/>
    <w:rsid w:val="00BF5F90"/>
    <w:rsid w:val="00C01F3B"/>
    <w:rsid w:val="00C057D3"/>
    <w:rsid w:val="00C058A8"/>
    <w:rsid w:val="00C05DF0"/>
    <w:rsid w:val="00C10A1F"/>
    <w:rsid w:val="00C12675"/>
    <w:rsid w:val="00C162C7"/>
    <w:rsid w:val="00C20FCB"/>
    <w:rsid w:val="00C212E0"/>
    <w:rsid w:val="00C25667"/>
    <w:rsid w:val="00C256CC"/>
    <w:rsid w:val="00C311F3"/>
    <w:rsid w:val="00C328FC"/>
    <w:rsid w:val="00C342C0"/>
    <w:rsid w:val="00C402CA"/>
    <w:rsid w:val="00C4149B"/>
    <w:rsid w:val="00C41ABB"/>
    <w:rsid w:val="00C46280"/>
    <w:rsid w:val="00C46477"/>
    <w:rsid w:val="00C53665"/>
    <w:rsid w:val="00C54176"/>
    <w:rsid w:val="00C5553D"/>
    <w:rsid w:val="00C56B69"/>
    <w:rsid w:val="00C71768"/>
    <w:rsid w:val="00C73737"/>
    <w:rsid w:val="00C739B4"/>
    <w:rsid w:val="00C84FEE"/>
    <w:rsid w:val="00C85A8E"/>
    <w:rsid w:val="00C95286"/>
    <w:rsid w:val="00C960F4"/>
    <w:rsid w:val="00CA4054"/>
    <w:rsid w:val="00CA5422"/>
    <w:rsid w:val="00CA62F9"/>
    <w:rsid w:val="00CB28C2"/>
    <w:rsid w:val="00CB6A20"/>
    <w:rsid w:val="00CB6DC6"/>
    <w:rsid w:val="00CB7EB1"/>
    <w:rsid w:val="00CC0E69"/>
    <w:rsid w:val="00CC287A"/>
    <w:rsid w:val="00CC77C8"/>
    <w:rsid w:val="00CC798F"/>
    <w:rsid w:val="00CD0850"/>
    <w:rsid w:val="00CD15A5"/>
    <w:rsid w:val="00CD30A5"/>
    <w:rsid w:val="00CD4C8C"/>
    <w:rsid w:val="00CD5DF9"/>
    <w:rsid w:val="00CE14B6"/>
    <w:rsid w:val="00CE5606"/>
    <w:rsid w:val="00CE5ACD"/>
    <w:rsid w:val="00CF059B"/>
    <w:rsid w:val="00CF0C13"/>
    <w:rsid w:val="00CF24B4"/>
    <w:rsid w:val="00D00866"/>
    <w:rsid w:val="00D0186A"/>
    <w:rsid w:val="00D019F4"/>
    <w:rsid w:val="00D01ECF"/>
    <w:rsid w:val="00D031FA"/>
    <w:rsid w:val="00D04906"/>
    <w:rsid w:val="00D05D35"/>
    <w:rsid w:val="00D06DE7"/>
    <w:rsid w:val="00D117F1"/>
    <w:rsid w:val="00D121A8"/>
    <w:rsid w:val="00D126FE"/>
    <w:rsid w:val="00D160BD"/>
    <w:rsid w:val="00D20622"/>
    <w:rsid w:val="00D21378"/>
    <w:rsid w:val="00D23876"/>
    <w:rsid w:val="00D265C4"/>
    <w:rsid w:val="00D27159"/>
    <w:rsid w:val="00D304B3"/>
    <w:rsid w:val="00D34D3C"/>
    <w:rsid w:val="00D3566C"/>
    <w:rsid w:val="00D37D0C"/>
    <w:rsid w:val="00D43430"/>
    <w:rsid w:val="00D45395"/>
    <w:rsid w:val="00D47A49"/>
    <w:rsid w:val="00D51799"/>
    <w:rsid w:val="00D543E1"/>
    <w:rsid w:val="00D546BD"/>
    <w:rsid w:val="00D607D0"/>
    <w:rsid w:val="00D618E2"/>
    <w:rsid w:val="00D61EE0"/>
    <w:rsid w:val="00D6433F"/>
    <w:rsid w:val="00D6442D"/>
    <w:rsid w:val="00D64BB9"/>
    <w:rsid w:val="00D67CD7"/>
    <w:rsid w:val="00D7290E"/>
    <w:rsid w:val="00D76255"/>
    <w:rsid w:val="00D7641A"/>
    <w:rsid w:val="00D81439"/>
    <w:rsid w:val="00D82226"/>
    <w:rsid w:val="00D863EC"/>
    <w:rsid w:val="00D869B6"/>
    <w:rsid w:val="00D92731"/>
    <w:rsid w:val="00D92D9D"/>
    <w:rsid w:val="00D92E60"/>
    <w:rsid w:val="00D9315D"/>
    <w:rsid w:val="00D9559E"/>
    <w:rsid w:val="00D96FDD"/>
    <w:rsid w:val="00D97891"/>
    <w:rsid w:val="00DA0A2E"/>
    <w:rsid w:val="00DA0FCA"/>
    <w:rsid w:val="00DA224F"/>
    <w:rsid w:val="00DA2F37"/>
    <w:rsid w:val="00DB3154"/>
    <w:rsid w:val="00DB514B"/>
    <w:rsid w:val="00DB79EC"/>
    <w:rsid w:val="00DC4851"/>
    <w:rsid w:val="00DC648A"/>
    <w:rsid w:val="00DC65A2"/>
    <w:rsid w:val="00DD1A26"/>
    <w:rsid w:val="00DD295E"/>
    <w:rsid w:val="00DD359E"/>
    <w:rsid w:val="00DD4C13"/>
    <w:rsid w:val="00DD5462"/>
    <w:rsid w:val="00DD66CD"/>
    <w:rsid w:val="00DD6F1F"/>
    <w:rsid w:val="00DD7A31"/>
    <w:rsid w:val="00DD7EB3"/>
    <w:rsid w:val="00DE3F6D"/>
    <w:rsid w:val="00DE44E0"/>
    <w:rsid w:val="00DE712C"/>
    <w:rsid w:val="00DE759A"/>
    <w:rsid w:val="00DF01AC"/>
    <w:rsid w:val="00E0049F"/>
    <w:rsid w:val="00E05630"/>
    <w:rsid w:val="00E0587D"/>
    <w:rsid w:val="00E05FB6"/>
    <w:rsid w:val="00E0799A"/>
    <w:rsid w:val="00E07D53"/>
    <w:rsid w:val="00E107F9"/>
    <w:rsid w:val="00E14345"/>
    <w:rsid w:val="00E16225"/>
    <w:rsid w:val="00E16F5C"/>
    <w:rsid w:val="00E20116"/>
    <w:rsid w:val="00E23EC8"/>
    <w:rsid w:val="00E27B3C"/>
    <w:rsid w:val="00E36F99"/>
    <w:rsid w:val="00E45384"/>
    <w:rsid w:val="00E45BFF"/>
    <w:rsid w:val="00E603A6"/>
    <w:rsid w:val="00E631D7"/>
    <w:rsid w:val="00E655E3"/>
    <w:rsid w:val="00E704E3"/>
    <w:rsid w:val="00E72295"/>
    <w:rsid w:val="00E7528D"/>
    <w:rsid w:val="00E809F2"/>
    <w:rsid w:val="00E80D18"/>
    <w:rsid w:val="00E81348"/>
    <w:rsid w:val="00E95E10"/>
    <w:rsid w:val="00E96E27"/>
    <w:rsid w:val="00EA2936"/>
    <w:rsid w:val="00EA2BD9"/>
    <w:rsid w:val="00EA46B6"/>
    <w:rsid w:val="00EB2E6F"/>
    <w:rsid w:val="00EB4CBD"/>
    <w:rsid w:val="00EB5709"/>
    <w:rsid w:val="00EB6429"/>
    <w:rsid w:val="00EB6CC8"/>
    <w:rsid w:val="00EB6D24"/>
    <w:rsid w:val="00EB72A4"/>
    <w:rsid w:val="00EB7A77"/>
    <w:rsid w:val="00EC310F"/>
    <w:rsid w:val="00EC31ED"/>
    <w:rsid w:val="00EC4808"/>
    <w:rsid w:val="00EC65CC"/>
    <w:rsid w:val="00EC6BD0"/>
    <w:rsid w:val="00ED037C"/>
    <w:rsid w:val="00ED0DEC"/>
    <w:rsid w:val="00ED3944"/>
    <w:rsid w:val="00EE2761"/>
    <w:rsid w:val="00EE277D"/>
    <w:rsid w:val="00EE5358"/>
    <w:rsid w:val="00EE69D4"/>
    <w:rsid w:val="00EF4A28"/>
    <w:rsid w:val="00EF4B10"/>
    <w:rsid w:val="00EF65C5"/>
    <w:rsid w:val="00EF77BB"/>
    <w:rsid w:val="00EF79F7"/>
    <w:rsid w:val="00F02FC4"/>
    <w:rsid w:val="00F070C7"/>
    <w:rsid w:val="00F12B8E"/>
    <w:rsid w:val="00F13F30"/>
    <w:rsid w:val="00F16F61"/>
    <w:rsid w:val="00F21841"/>
    <w:rsid w:val="00F23210"/>
    <w:rsid w:val="00F233CB"/>
    <w:rsid w:val="00F2589E"/>
    <w:rsid w:val="00F25E8A"/>
    <w:rsid w:val="00F30A7D"/>
    <w:rsid w:val="00F32614"/>
    <w:rsid w:val="00F40221"/>
    <w:rsid w:val="00F40C9A"/>
    <w:rsid w:val="00F43828"/>
    <w:rsid w:val="00F43844"/>
    <w:rsid w:val="00F44ABE"/>
    <w:rsid w:val="00F562DE"/>
    <w:rsid w:val="00F57724"/>
    <w:rsid w:val="00F61E4D"/>
    <w:rsid w:val="00F65BA3"/>
    <w:rsid w:val="00F6700A"/>
    <w:rsid w:val="00F67610"/>
    <w:rsid w:val="00F7022E"/>
    <w:rsid w:val="00F70A1C"/>
    <w:rsid w:val="00F711CF"/>
    <w:rsid w:val="00F729B1"/>
    <w:rsid w:val="00F74E14"/>
    <w:rsid w:val="00F75288"/>
    <w:rsid w:val="00F7627A"/>
    <w:rsid w:val="00F76CFB"/>
    <w:rsid w:val="00F775A9"/>
    <w:rsid w:val="00F77A42"/>
    <w:rsid w:val="00F77B43"/>
    <w:rsid w:val="00F80D67"/>
    <w:rsid w:val="00F81C39"/>
    <w:rsid w:val="00F8379F"/>
    <w:rsid w:val="00F856E7"/>
    <w:rsid w:val="00F9005C"/>
    <w:rsid w:val="00F936D2"/>
    <w:rsid w:val="00F9480D"/>
    <w:rsid w:val="00FA179C"/>
    <w:rsid w:val="00FA6C18"/>
    <w:rsid w:val="00FA756A"/>
    <w:rsid w:val="00FA7A33"/>
    <w:rsid w:val="00FA7A58"/>
    <w:rsid w:val="00FB148B"/>
    <w:rsid w:val="00FB5139"/>
    <w:rsid w:val="00FC0FA3"/>
    <w:rsid w:val="00FC2B9E"/>
    <w:rsid w:val="00FC676A"/>
    <w:rsid w:val="00FC6EC0"/>
    <w:rsid w:val="00FD0B53"/>
    <w:rsid w:val="00FD0C29"/>
    <w:rsid w:val="00FD699E"/>
    <w:rsid w:val="00FD7355"/>
    <w:rsid w:val="00FD7964"/>
    <w:rsid w:val="00FE0A2E"/>
    <w:rsid w:val="00FE4EAC"/>
    <w:rsid w:val="00FE7E1D"/>
    <w:rsid w:val="00FF06AE"/>
    <w:rsid w:val="00FF0F15"/>
    <w:rsid w:val="00FF2A51"/>
    <w:rsid w:val="00FF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1FB65"/>
  <w15:chartTrackingRefBased/>
  <w15:docId w15:val="{D9E2E54A-6914-6340-8D45-62F8DE25A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5B4"/>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F2942"/>
  </w:style>
  <w:style w:type="character" w:styleId="LineNumber">
    <w:name w:val="line number"/>
    <w:basedOn w:val="DefaultParagraphFont"/>
    <w:uiPriority w:val="99"/>
    <w:semiHidden/>
    <w:unhideWhenUsed/>
    <w:rsid w:val="009145B6"/>
  </w:style>
  <w:style w:type="paragraph" w:styleId="BalloonText">
    <w:name w:val="Balloon Text"/>
    <w:basedOn w:val="Normal"/>
    <w:link w:val="BalloonTextChar"/>
    <w:uiPriority w:val="99"/>
    <w:semiHidden/>
    <w:unhideWhenUsed/>
    <w:rsid w:val="009145B6"/>
    <w:rPr>
      <w:sz w:val="18"/>
      <w:szCs w:val="18"/>
    </w:rPr>
  </w:style>
  <w:style w:type="character" w:customStyle="1" w:styleId="BalloonTextChar">
    <w:name w:val="Balloon Text Char"/>
    <w:basedOn w:val="DefaultParagraphFont"/>
    <w:link w:val="BalloonText"/>
    <w:uiPriority w:val="99"/>
    <w:semiHidden/>
    <w:rsid w:val="009145B6"/>
    <w:rPr>
      <w:rFonts w:ascii="Times New Roman" w:hAnsi="Times New Roman" w:cs="Times New Roman"/>
      <w:sz w:val="18"/>
      <w:szCs w:val="18"/>
    </w:rPr>
  </w:style>
  <w:style w:type="paragraph" w:styleId="ListParagraph">
    <w:name w:val="List Paragraph"/>
    <w:basedOn w:val="Normal"/>
    <w:uiPriority w:val="34"/>
    <w:qFormat/>
    <w:rsid w:val="00726C3B"/>
    <w:pPr>
      <w:ind w:left="720"/>
      <w:contextualSpacing/>
    </w:pPr>
  </w:style>
  <w:style w:type="paragraph" w:styleId="NormalWeb">
    <w:name w:val="Normal (Web)"/>
    <w:basedOn w:val="Normal"/>
    <w:uiPriority w:val="99"/>
    <w:unhideWhenUsed/>
    <w:rsid w:val="00D618E2"/>
    <w:pPr>
      <w:spacing w:before="100" w:beforeAutospacing="1" w:after="100" w:afterAutospacing="1"/>
    </w:pPr>
  </w:style>
  <w:style w:type="paragraph" w:styleId="Header">
    <w:name w:val="header"/>
    <w:basedOn w:val="Normal"/>
    <w:link w:val="HeaderChar"/>
    <w:uiPriority w:val="99"/>
    <w:unhideWhenUsed/>
    <w:rsid w:val="00774B39"/>
    <w:pPr>
      <w:tabs>
        <w:tab w:val="center" w:pos="4680"/>
        <w:tab w:val="right" w:pos="9360"/>
      </w:tabs>
    </w:pPr>
  </w:style>
  <w:style w:type="character" w:customStyle="1" w:styleId="HeaderChar">
    <w:name w:val="Header Char"/>
    <w:basedOn w:val="DefaultParagraphFont"/>
    <w:link w:val="Header"/>
    <w:uiPriority w:val="99"/>
    <w:rsid w:val="00774B39"/>
  </w:style>
  <w:style w:type="paragraph" w:styleId="Footer">
    <w:name w:val="footer"/>
    <w:basedOn w:val="Normal"/>
    <w:link w:val="FooterChar"/>
    <w:uiPriority w:val="99"/>
    <w:unhideWhenUsed/>
    <w:rsid w:val="00774B39"/>
    <w:pPr>
      <w:tabs>
        <w:tab w:val="center" w:pos="4680"/>
        <w:tab w:val="right" w:pos="9360"/>
      </w:tabs>
    </w:pPr>
  </w:style>
  <w:style w:type="character" w:customStyle="1" w:styleId="FooterChar">
    <w:name w:val="Footer Char"/>
    <w:basedOn w:val="DefaultParagraphFont"/>
    <w:link w:val="Footer"/>
    <w:uiPriority w:val="99"/>
    <w:rsid w:val="00774B39"/>
  </w:style>
  <w:style w:type="character" w:styleId="PageNumber">
    <w:name w:val="page number"/>
    <w:basedOn w:val="DefaultParagraphFont"/>
    <w:uiPriority w:val="99"/>
    <w:semiHidden/>
    <w:unhideWhenUsed/>
    <w:rsid w:val="00774B39"/>
  </w:style>
  <w:style w:type="table" w:styleId="TableGrid">
    <w:name w:val="Table Grid"/>
    <w:basedOn w:val="TableNormal"/>
    <w:uiPriority w:val="39"/>
    <w:rsid w:val="00F40C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F40C9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F40C9A"/>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F40C9A"/>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4">
    <w:name w:val="Grid Table 4"/>
    <w:basedOn w:val="TableNormal"/>
    <w:uiPriority w:val="49"/>
    <w:rsid w:val="00F40C9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
    <w:name w:val="List Table 6 Colorful"/>
    <w:basedOn w:val="TableNormal"/>
    <w:uiPriority w:val="51"/>
    <w:rsid w:val="00F40C9A"/>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F23210"/>
    <w:rPr>
      <w:color w:val="808080"/>
    </w:rPr>
  </w:style>
  <w:style w:type="character" w:customStyle="1" w:styleId="name">
    <w:name w:val="name"/>
    <w:basedOn w:val="DefaultParagraphFont"/>
    <w:rsid w:val="0094670C"/>
  </w:style>
  <w:style w:type="character" w:customStyle="1" w:styleId="apple-converted-space">
    <w:name w:val="apple-converted-space"/>
    <w:basedOn w:val="DefaultParagraphFont"/>
    <w:rsid w:val="0094670C"/>
  </w:style>
  <w:style w:type="character" w:customStyle="1" w:styleId="person-group">
    <w:name w:val="person-group"/>
    <w:basedOn w:val="DefaultParagraphFont"/>
    <w:rsid w:val="0094670C"/>
  </w:style>
  <w:style w:type="character" w:styleId="Emphasis">
    <w:name w:val="Emphasis"/>
    <w:basedOn w:val="DefaultParagraphFont"/>
    <w:uiPriority w:val="20"/>
    <w:qFormat/>
    <w:rsid w:val="00F729B1"/>
    <w:rPr>
      <w:i/>
      <w:iCs/>
    </w:rPr>
  </w:style>
  <w:style w:type="character" w:styleId="Strong">
    <w:name w:val="Strong"/>
    <w:basedOn w:val="DefaultParagraphFont"/>
    <w:uiPriority w:val="22"/>
    <w:qFormat/>
    <w:rsid w:val="00F729B1"/>
    <w:rPr>
      <w:b/>
      <w:bCs/>
    </w:rPr>
  </w:style>
  <w:style w:type="character" w:customStyle="1" w:styleId="edition">
    <w:name w:val="edition"/>
    <w:basedOn w:val="DefaultParagraphFont"/>
    <w:rsid w:val="00851948"/>
  </w:style>
  <w:style w:type="paragraph" w:styleId="FootnoteText">
    <w:name w:val="footnote text"/>
    <w:basedOn w:val="Normal"/>
    <w:link w:val="FootnoteTextChar"/>
    <w:uiPriority w:val="99"/>
    <w:semiHidden/>
    <w:unhideWhenUsed/>
    <w:rsid w:val="003D2C7C"/>
    <w:rPr>
      <w:sz w:val="20"/>
      <w:szCs w:val="20"/>
    </w:rPr>
  </w:style>
  <w:style w:type="character" w:customStyle="1" w:styleId="FootnoteTextChar">
    <w:name w:val="Footnote Text Char"/>
    <w:basedOn w:val="DefaultParagraphFont"/>
    <w:link w:val="FootnoteText"/>
    <w:uiPriority w:val="99"/>
    <w:semiHidden/>
    <w:rsid w:val="003D2C7C"/>
    <w:rPr>
      <w:sz w:val="20"/>
      <w:szCs w:val="20"/>
    </w:rPr>
  </w:style>
  <w:style w:type="character" w:styleId="FootnoteReference">
    <w:name w:val="footnote reference"/>
    <w:basedOn w:val="DefaultParagraphFont"/>
    <w:uiPriority w:val="99"/>
    <w:semiHidden/>
    <w:unhideWhenUsed/>
    <w:rsid w:val="003D2C7C"/>
    <w:rPr>
      <w:vertAlign w:val="superscript"/>
    </w:rPr>
  </w:style>
  <w:style w:type="character" w:styleId="Hyperlink">
    <w:name w:val="Hyperlink"/>
    <w:basedOn w:val="DefaultParagraphFont"/>
    <w:uiPriority w:val="99"/>
    <w:unhideWhenUsed/>
    <w:rsid w:val="008A4EE4"/>
    <w:rPr>
      <w:color w:val="0563C1" w:themeColor="hyperlink"/>
      <w:u w:val="single"/>
    </w:rPr>
  </w:style>
  <w:style w:type="character" w:styleId="UnresolvedMention">
    <w:name w:val="Unresolved Mention"/>
    <w:basedOn w:val="DefaultParagraphFont"/>
    <w:uiPriority w:val="99"/>
    <w:semiHidden/>
    <w:unhideWhenUsed/>
    <w:rsid w:val="008A4EE4"/>
    <w:rPr>
      <w:color w:val="605E5C"/>
      <w:shd w:val="clear" w:color="auto" w:fill="E1DFDD"/>
    </w:rPr>
  </w:style>
  <w:style w:type="character" w:styleId="CommentReference">
    <w:name w:val="annotation reference"/>
    <w:basedOn w:val="DefaultParagraphFont"/>
    <w:uiPriority w:val="99"/>
    <w:semiHidden/>
    <w:unhideWhenUsed/>
    <w:rsid w:val="00886E17"/>
    <w:rPr>
      <w:sz w:val="16"/>
      <w:szCs w:val="16"/>
    </w:rPr>
  </w:style>
  <w:style w:type="paragraph" w:styleId="CommentText">
    <w:name w:val="annotation text"/>
    <w:basedOn w:val="Normal"/>
    <w:link w:val="CommentTextChar"/>
    <w:uiPriority w:val="99"/>
    <w:semiHidden/>
    <w:unhideWhenUsed/>
    <w:rsid w:val="00886E17"/>
    <w:pPr>
      <w:spacing w:after="160"/>
    </w:pPr>
    <w:rPr>
      <w:rFonts w:eastAsiaTheme="minorHAnsi" w:cstheme="minorBidi"/>
      <w:sz w:val="20"/>
      <w:szCs w:val="20"/>
    </w:rPr>
  </w:style>
  <w:style w:type="character" w:customStyle="1" w:styleId="CommentTextChar">
    <w:name w:val="Comment Text Char"/>
    <w:basedOn w:val="DefaultParagraphFont"/>
    <w:link w:val="CommentText"/>
    <w:uiPriority w:val="99"/>
    <w:semiHidden/>
    <w:rsid w:val="00886E17"/>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B79EC"/>
    <w:pPr>
      <w:spacing w:after="0"/>
    </w:pPr>
    <w:rPr>
      <w:rFonts w:eastAsia="Times New Roman" w:cs="Times New Roman"/>
      <w:b/>
      <w:bCs/>
    </w:rPr>
  </w:style>
  <w:style w:type="character" w:customStyle="1" w:styleId="CommentSubjectChar">
    <w:name w:val="Comment Subject Char"/>
    <w:basedOn w:val="CommentTextChar"/>
    <w:link w:val="CommentSubject"/>
    <w:uiPriority w:val="99"/>
    <w:semiHidden/>
    <w:rsid w:val="00DB79EC"/>
    <w:rPr>
      <w:rFonts w:ascii="Times New Roman" w:eastAsia="Times New Roman" w:hAnsi="Times New Roman" w:cs="Times New Roman"/>
      <w:b/>
      <w:bCs/>
      <w:sz w:val="20"/>
      <w:szCs w:val="20"/>
    </w:rPr>
  </w:style>
  <w:style w:type="paragraph" w:styleId="Revision">
    <w:name w:val="Revision"/>
    <w:hidden/>
    <w:uiPriority w:val="99"/>
    <w:semiHidden/>
    <w:rsid w:val="00894A14"/>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B3657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56474">
      <w:bodyDiv w:val="1"/>
      <w:marLeft w:val="0"/>
      <w:marRight w:val="0"/>
      <w:marTop w:val="0"/>
      <w:marBottom w:val="0"/>
      <w:divBdr>
        <w:top w:val="none" w:sz="0" w:space="0" w:color="auto"/>
        <w:left w:val="none" w:sz="0" w:space="0" w:color="auto"/>
        <w:bottom w:val="none" w:sz="0" w:space="0" w:color="auto"/>
        <w:right w:val="none" w:sz="0" w:space="0" w:color="auto"/>
      </w:divBdr>
      <w:divsChild>
        <w:div w:id="2063824863">
          <w:marLeft w:val="0"/>
          <w:marRight w:val="0"/>
          <w:marTop w:val="0"/>
          <w:marBottom w:val="0"/>
          <w:divBdr>
            <w:top w:val="none" w:sz="0" w:space="0" w:color="auto"/>
            <w:left w:val="none" w:sz="0" w:space="0" w:color="auto"/>
            <w:bottom w:val="none" w:sz="0" w:space="0" w:color="auto"/>
            <w:right w:val="none" w:sz="0" w:space="0" w:color="auto"/>
          </w:divBdr>
        </w:div>
        <w:div w:id="1140735102">
          <w:marLeft w:val="0"/>
          <w:marRight w:val="0"/>
          <w:marTop w:val="0"/>
          <w:marBottom w:val="0"/>
          <w:divBdr>
            <w:top w:val="none" w:sz="0" w:space="0" w:color="auto"/>
            <w:left w:val="none" w:sz="0" w:space="0" w:color="auto"/>
            <w:bottom w:val="none" w:sz="0" w:space="0" w:color="auto"/>
            <w:right w:val="none" w:sz="0" w:space="0" w:color="auto"/>
          </w:divBdr>
        </w:div>
        <w:div w:id="1221552025">
          <w:marLeft w:val="0"/>
          <w:marRight w:val="0"/>
          <w:marTop w:val="0"/>
          <w:marBottom w:val="0"/>
          <w:divBdr>
            <w:top w:val="none" w:sz="0" w:space="0" w:color="auto"/>
            <w:left w:val="none" w:sz="0" w:space="0" w:color="auto"/>
            <w:bottom w:val="none" w:sz="0" w:space="0" w:color="auto"/>
            <w:right w:val="none" w:sz="0" w:space="0" w:color="auto"/>
          </w:divBdr>
        </w:div>
        <w:div w:id="263197670">
          <w:marLeft w:val="0"/>
          <w:marRight w:val="0"/>
          <w:marTop w:val="0"/>
          <w:marBottom w:val="0"/>
          <w:divBdr>
            <w:top w:val="none" w:sz="0" w:space="0" w:color="auto"/>
            <w:left w:val="none" w:sz="0" w:space="0" w:color="auto"/>
            <w:bottom w:val="none" w:sz="0" w:space="0" w:color="auto"/>
            <w:right w:val="none" w:sz="0" w:space="0" w:color="auto"/>
          </w:divBdr>
        </w:div>
        <w:div w:id="1515025224">
          <w:marLeft w:val="0"/>
          <w:marRight w:val="0"/>
          <w:marTop w:val="0"/>
          <w:marBottom w:val="0"/>
          <w:divBdr>
            <w:top w:val="none" w:sz="0" w:space="0" w:color="auto"/>
            <w:left w:val="none" w:sz="0" w:space="0" w:color="auto"/>
            <w:bottom w:val="none" w:sz="0" w:space="0" w:color="auto"/>
            <w:right w:val="none" w:sz="0" w:space="0" w:color="auto"/>
          </w:divBdr>
        </w:div>
        <w:div w:id="1123231049">
          <w:marLeft w:val="0"/>
          <w:marRight w:val="0"/>
          <w:marTop w:val="0"/>
          <w:marBottom w:val="0"/>
          <w:divBdr>
            <w:top w:val="none" w:sz="0" w:space="0" w:color="auto"/>
            <w:left w:val="none" w:sz="0" w:space="0" w:color="auto"/>
            <w:bottom w:val="none" w:sz="0" w:space="0" w:color="auto"/>
            <w:right w:val="none" w:sz="0" w:space="0" w:color="auto"/>
          </w:divBdr>
        </w:div>
        <w:div w:id="2112696482">
          <w:marLeft w:val="0"/>
          <w:marRight w:val="0"/>
          <w:marTop w:val="0"/>
          <w:marBottom w:val="0"/>
          <w:divBdr>
            <w:top w:val="none" w:sz="0" w:space="0" w:color="auto"/>
            <w:left w:val="none" w:sz="0" w:space="0" w:color="auto"/>
            <w:bottom w:val="none" w:sz="0" w:space="0" w:color="auto"/>
            <w:right w:val="none" w:sz="0" w:space="0" w:color="auto"/>
          </w:divBdr>
        </w:div>
        <w:div w:id="1049766174">
          <w:marLeft w:val="0"/>
          <w:marRight w:val="0"/>
          <w:marTop w:val="0"/>
          <w:marBottom w:val="0"/>
          <w:divBdr>
            <w:top w:val="none" w:sz="0" w:space="0" w:color="auto"/>
            <w:left w:val="none" w:sz="0" w:space="0" w:color="auto"/>
            <w:bottom w:val="none" w:sz="0" w:space="0" w:color="auto"/>
            <w:right w:val="none" w:sz="0" w:space="0" w:color="auto"/>
          </w:divBdr>
        </w:div>
      </w:divsChild>
    </w:div>
    <w:div w:id="31880934">
      <w:bodyDiv w:val="1"/>
      <w:marLeft w:val="0"/>
      <w:marRight w:val="0"/>
      <w:marTop w:val="0"/>
      <w:marBottom w:val="0"/>
      <w:divBdr>
        <w:top w:val="none" w:sz="0" w:space="0" w:color="auto"/>
        <w:left w:val="none" w:sz="0" w:space="0" w:color="auto"/>
        <w:bottom w:val="none" w:sz="0" w:space="0" w:color="auto"/>
        <w:right w:val="none" w:sz="0" w:space="0" w:color="auto"/>
      </w:divBdr>
      <w:divsChild>
        <w:div w:id="898173139">
          <w:marLeft w:val="480"/>
          <w:marRight w:val="0"/>
          <w:marTop w:val="0"/>
          <w:marBottom w:val="0"/>
          <w:divBdr>
            <w:top w:val="none" w:sz="0" w:space="0" w:color="auto"/>
            <w:left w:val="none" w:sz="0" w:space="0" w:color="auto"/>
            <w:bottom w:val="none" w:sz="0" w:space="0" w:color="auto"/>
            <w:right w:val="none" w:sz="0" w:space="0" w:color="auto"/>
          </w:divBdr>
          <w:divsChild>
            <w:div w:id="139088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23523">
      <w:bodyDiv w:val="1"/>
      <w:marLeft w:val="0"/>
      <w:marRight w:val="0"/>
      <w:marTop w:val="0"/>
      <w:marBottom w:val="0"/>
      <w:divBdr>
        <w:top w:val="none" w:sz="0" w:space="0" w:color="auto"/>
        <w:left w:val="none" w:sz="0" w:space="0" w:color="auto"/>
        <w:bottom w:val="none" w:sz="0" w:space="0" w:color="auto"/>
        <w:right w:val="none" w:sz="0" w:space="0" w:color="auto"/>
      </w:divBdr>
      <w:divsChild>
        <w:div w:id="2056389506">
          <w:marLeft w:val="0"/>
          <w:marRight w:val="0"/>
          <w:marTop w:val="0"/>
          <w:marBottom w:val="0"/>
          <w:divBdr>
            <w:top w:val="none" w:sz="0" w:space="0" w:color="auto"/>
            <w:left w:val="none" w:sz="0" w:space="0" w:color="auto"/>
            <w:bottom w:val="none" w:sz="0" w:space="0" w:color="auto"/>
            <w:right w:val="none" w:sz="0" w:space="0" w:color="auto"/>
          </w:divBdr>
        </w:div>
        <w:div w:id="653878793">
          <w:marLeft w:val="0"/>
          <w:marRight w:val="0"/>
          <w:marTop w:val="0"/>
          <w:marBottom w:val="0"/>
          <w:divBdr>
            <w:top w:val="none" w:sz="0" w:space="0" w:color="auto"/>
            <w:left w:val="none" w:sz="0" w:space="0" w:color="auto"/>
            <w:bottom w:val="none" w:sz="0" w:space="0" w:color="auto"/>
            <w:right w:val="none" w:sz="0" w:space="0" w:color="auto"/>
          </w:divBdr>
        </w:div>
        <w:div w:id="113595655">
          <w:marLeft w:val="0"/>
          <w:marRight w:val="0"/>
          <w:marTop w:val="0"/>
          <w:marBottom w:val="0"/>
          <w:divBdr>
            <w:top w:val="none" w:sz="0" w:space="0" w:color="auto"/>
            <w:left w:val="none" w:sz="0" w:space="0" w:color="auto"/>
            <w:bottom w:val="none" w:sz="0" w:space="0" w:color="auto"/>
            <w:right w:val="none" w:sz="0" w:space="0" w:color="auto"/>
          </w:divBdr>
        </w:div>
        <w:div w:id="90009592">
          <w:marLeft w:val="0"/>
          <w:marRight w:val="0"/>
          <w:marTop w:val="0"/>
          <w:marBottom w:val="0"/>
          <w:divBdr>
            <w:top w:val="none" w:sz="0" w:space="0" w:color="auto"/>
            <w:left w:val="none" w:sz="0" w:space="0" w:color="auto"/>
            <w:bottom w:val="none" w:sz="0" w:space="0" w:color="auto"/>
            <w:right w:val="none" w:sz="0" w:space="0" w:color="auto"/>
          </w:divBdr>
        </w:div>
        <w:div w:id="633607492">
          <w:marLeft w:val="0"/>
          <w:marRight w:val="0"/>
          <w:marTop w:val="0"/>
          <w:marBottom w:val="0"/>
          <w:divBdr>
            <w:top w:val="none" w:sz="0" w:space="0" w:color="auto"/>
            <w:left w:val="none" w:sz="0" w:space="0" w:color="auto"/>
            <w:bottom w:val="none" w:sz="0" w:space="0" w:color="auto"/>
            <w:right w:val="none" w:sz="0" w:space="0" w:color="auto"/>
          </w:divBdr>
        </w:div>
        <w:div w:id="1295141363">
          <w:marLeft w:val="0"/>
          <w:marRight w:val="0"/>
          <w:marTop w:val="0"/>
          <w:marBottom w:val="0"/>
          <w:divBdr>
            <w:top w:val="none" w:sz="0" w:space="0" w:color="auto"/>
            <w:left w:val="none" w:sz="0" w:space="0" w:color="auto"/>
            <w:bottom w:val="none" w:sz="0" w:space="0" w:color="auto"/>
            <w:right w:val="none" w:sz="0" w:space="0" w:color="auto"/>
          </w:divBdr>
        </w:div>
        <w:div w:id="524944639">
          <w:marLeft w:val="0"/>
          <w:marRight w:val="0"/>
          <w:marTop w:val="0"/>
          <w:marBottom w:val="0"/>
          <w:divBdr>
            <w:top w:val="none" w:sz="0" w:space="0" w:color="auto"/>
            <w:left w:val="none" w:sz="0" w:space="0" w:color="auto"/>
            <w:bottom w:val="none" w:sz="0" w:space="0" w:color="auto"/>
            <w:right w:val="none" w:sz="0" w:space="0" w:color="auto"/>
          </w:divBdr>
        </w:div>
        <w:div w:id="573471989">
          <w:marLeft w:val="0"/>
          <w:marRight w:val="0"/>
          <w:marTop w:val="0"/>
          <w:marBottom w:val="0"/>
          <w:divBdr>
            <w:top w:val="none" w:sz="0" w:space="0" w:color="auto"/>
            <w:left w:val="none" w:sz="0" w:space="0" w:color="auto"/>
            <w:bottom w:val="none" w:sz="0" w:space="0" w:color="auto"/>
            <w:right w:val="none" w:sz="0" w:space="0" w:color="auto"/>
          </w:divBdr>
        </w:div>
      </w:divsChild>
    </w:div>
    <w:div w:id="60178292">
      <w:bodyDiv w:val="1"/>
      <w:marLeft w:val="0"/>
      <w:marRight w:val="0"/>
      <w:marTop w:val="0"/>
      <w:marBottom w:val="0"/>
      <w:divBdr>
        <w:top w:val="none" w:sz="0" w:space="0" w:color="auto"/>
        <w:left w:val="none" w:sz="0" w:space="0" w:color="auto"/>
        <w:bottom w:val="none" w:sz="0" w:space="0" w:color="auto"/>
        <w:right w:val="none" w:sz="0" w:space="0" w:color="auto"/>
      </w:divBdr>
      <w:divsChild>
        <w:div w:id="1860116085">
          <w:marLeft w:val="0"/>
          <w:marRight w:val="0"/>
          <w:marTop w:val="0"/>
          <w:marBottom w:val="0"/>
          <w:divBdr>
            <w:top w:val="none" w:sz="0" w:space="0" w:color="auto"/>
            <w:left w:val="none" w:sz="0" w:space="0" w:color="auto"/>
            <w:bottom w:val="none" w:sz="0" w:space="0" w:color="auto"/>
            <w:right w:val="none" w:sz="0" w:space="0" w:color="auto"/>
          </w:divBdr>
          <w:divsChild>
            <w:div w:id="1761681603">
              <w:marLeft w:val="0"/>
              <w:marRight w:val="0"/>
              <w:marTop w:val="0"/>
              <w:marBottom w:val="0"/>
              <w:divBdr>
                <w:top w:val="none" w:sz="0" w:space="0" w:color="auto"/>
                <w:left w:val="none" w:sz="0" w:space="0" w:color="auto"/>
                <w:bottom w:val="none" w:sz="0" w:space="0" w:color="auto"/>
                <w:right w:val="none" w:sz="0" w:space="0" w:color="auto"/>
              </w:divBdr>
              <w:divsChild>
                <w:div w:id="904147821">
                  <w:marLeft w:val="0"/>
                  <w:marRight w:val="0"/>
                  <w:marTop w:val="0"/>
                  <w:marBottom w:val="0"/>
                  <w:divBdr>
                    <w:top w:val="none" w:sz="0" w:space="0" w:color="auto"/>
                    <w:left w:val="none" w:sz="0" w:space="0" w:color="auto"/>
                    <w:bottom w:val="none" w:sz="0" w:space="0" w:color="auto"/>
                    <w:right w:val="none" w:sz="0" w:space="0" w:color="auto"/>
                  </w:divBdr>
                  <w:divsChild>
                    <w:div w:id="142456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25879">
      <w:bodyDiv w:val="1"/>
      <w:marLeft w:val="0"/>
      <w:marRight w:val="0"/>
      <w:marTop w:val="0"/>
      <w:marBottom w:val="0"/>
      <w:divBdr>
        <w:top w:val="none" w:sz="0" w:space="0" w:color="auto"/>
        <w:left w:val="none" w:sz="0" w:space="0" w:color="auto"/>
        <w:bottom w:val="none" w:sz="0" w:space="0" w:color="auto"/>
        <w:right w:val="none" w:sz="0" w:space="0" w:color="auto"/>
      </w:divBdr>
      <w:divsChild>
        <w:div w:id="245843306">
          <w:marLeft w:val="720"/>
          <w:marRight w:val="0"/>
          <w:marTop w:val="80"/>
          <w:marBottom w:val="0"/>
          <w:divBdr>
            <w:top w:val="none" w:sz="0" w:space="0" w:color="auto"/>
            <w:left w:val="none" w:sz="0" w:space="0" w:color="auto"/>
            <w:bottom w:val="none" w:sz="0" w:space="0" w:color="auto"/>
            <w:right w:val="none" w:sz="0" w:space="0" w:color="auto"/>
          </w:divBdr>
        </w:div>
      </w:divsChild>
    </w:div>
    <w:div w:id="92551801">
      <w:bodyDiv w:val="1"/>
      <w:marLeft w:val="0"/>
      <w:marRight w:val="0"/>
      <w:marTop w:val="0"/>
      <w:marBottom w:val="0"/>
      <w:divBdr>
        <w:top w:val="none" w:sz="0" w:space="0" w:color="auto"/>
        <w:left w:val="none" w:sz="0" w:space="0" w:color="auto"/>
        <w:bottom w:val="none" w:sz="0" w:space="0" w:color="auto"/>
        <w:right w:val="none" w:sz="0" w:space="0" w:color="auto"/>
      </w:divBdr>
      <w:divsChild>
        <w:div w:id="1858812940">
          <w:marLeft w:val="0"/>
          <w:marRight w:val="0"/>
          <w:marTop w:val="0"/>
          <w:marBottom w:val="0"/>
          <w:divBdr>
            <w:top w:val="none" w:sz="0" w:space="0" w:color="auto"/>
            <w:left w:val="none" w:sz="0" w:space="0" w:color="auto"/>
            <w:bottom w:val="none" w:sz="0" w:space="0" w:color="auto"/>
            <w:right w:val="none" w:sz="0" w:space="0" w:color="auto"/>
          </w:divBdr>
        </w:div>
        <w:div w:id="946498430">
          <w:marLeft w:val="0"/>
          <w:marRight w:val="0"/>
          <w:marTop w:val="0"/>
          <w:marBottom w:val="0"/>
          <w:divBdr>
            <w:top w:val="none" w:sz="0" w:space="0" w:color="auto"/>
            <w:left w:val="none" w:sz="0" w:space="0" w:color="auto"/>
            <w:bottom w:val="none" w:sz="0" w:space="0" w:color="auto"/>
            <w:right w:val="none" w:sz="0" w:space="0" w:color="auto"/>
          </w:divBdr>
        </w:div>
        <w:div w:id="1943342697">
          <w:marLeft w:val="0"/>
          <w:marRight w:val="0"/>
          <w:marTop w:val="0"/>
          <w:marBottom w:val="0"/>
          <w:divBdr>
            <w:top w:val="none" w:sz="0" w:space="0" w:color="auto"/>
            <w:left w:val="none" w:sz="0" w:space="0" w:color="auto"/>
            <w:bottom w:val="none" w:sz="0" w:space="0" w:color="auto"/>
            <w:right w:val="none" w:sz="0" w:space="0" w:color="auto"/>
          </w:divBdr>
        </w:div>
        <w:div w:id="1492478550">
          <w:marLeft w:val="0"/>
          <w:marRight w:val="0"/>
          <w:marTop w:val="0"/>
          <w:marBottom w:val="0"/>
          <w:divBdr>
            <w:top w:val="none" w:sz="0" w:space="0" w:color="auto"/>
            <w:left w:val="none" w:sz="0" w:space="0" w:color="auto"/>
            <w:bottom w:val="none" w:sz="0" w:space="0" w:color="auto"/>
            <w:right w:val="none" w:sz="0" w:space="0" w:color="auto"/>
          </w:divBdr>
        </w:div>
        <w:div w:id="192964985">
          <w:marLeft w:val="0"/>
          <w:marRight w:val="0"/>
          <w:marTop w:val="0"/>
          <w:marBottom w:val="0"/>
          <w:divBdr>
            <w:top w:val="none" w:sz="0" w:space="0" w:color="auto"/>
            <w:left w:val="none" w:sz="0" w:space="0" w:color="auto"/>
            <w:bottom w:val="none" w:sz="0" w:space="0" w:color="auto"/>
            <w:right w:val="none" w:sz="0" w:space="0" w:color="auto"/>
          </w:divBdr>
        </w:div>
        <w:div w:id="2127581150">
          <w:marLeft w:val="0"/>
          <w:marRight w:val="0"/>
          <w:marTop w:val="0"/>
          <w:marBottom w:val="0"/>
          <w:divBdr>
            <w:top w:val="none" w:sz="0" w:space="0" w:color="auto"/>
            <w:left w:val="none" w:sz="0" w:space="0" w:color="auto"/>
            <w:bottom w:val="none" w:sz="0" w:space="0" w:color="auto"/>
            <w:right w:val="none" w:sz="0" w:space="0" w:color="auto"/>
          </w:divBdr>
        </w:div>
        <w:div w:id="537427539">
          <w:marLeft w:val="0"/>
          <w:marRight w:val="0"/>
          <w:marTop w:val="0"/>
          <w:marBottom w:val="0"/>
          <w:divBdr>
            <w:top w:val="none" w:sz="0" w:space="0" w:color="auto"/>
            <w:left w:val="none" w:sz="0" w:space="0" w:color="auto"/>
            <w:bottom w:val="none" w:sz="0" w:space="0" w:color="auto"/>
            <w:right w:val="none" w:sz="0" w:space="0" w:color="auto"/>
          </w:divBdr>
        </w:div>
        <w:div w:id="1397360607">
          <w:marLeft w:val="0"/>
          <w:marRight w:val="0"/>
          <w:marTop w:val="0"/>
          <w:marBottom w:val="0"/>
          <w:divBdr>
            <w:top w:val="none" w:sz="0" w:space="0" w:color="auto"/>
            <w:left w:val="none" w:sz="0" w:space="0" w:color="auto"/>
            <w:bottom w:val="none" w:sz="0" w:space="0" w:color="auto"/>
            <w:right w:val="none" w:sz="0" w:space="0" w:color="auto"/>
          </w:divBdr>
        </w:div>
        <w:div w:id="9525111">
          <w:marLeft w:val="0"/>
          <w:marRight w:val="0"/>
          <w:marTop w:val="0"/>
          <w:marBottom w:val="0"/>
          <w:divBdr>
            <w:top w:val="none" w:sz="0" w:space="0" w:color="auto"/>
            <w:left w:val="none" w:sz="0" w:space="0" w:color="auto"/>
            <w:bottom w:val="none" w:sz="0" w:space="0" w:color="auto"/>
            <w:right w:val="none" w:sz="0" w:space="0" w:color="auto"/>
          </w:divBdr>
        </w:div>
        <w:div w:id="374475533">
          <w:marLeft w:val="0"/>
          <w:marRight w:val="0"/>
          <w:marTop w:val="0"/>
          <w:marBottom w:val="0"/>
          <w:divBdr>
            <w:top w:val="none" w:sz="0" w:space="0" w:color="auto"/>
            <w:left w:val="none" w:sz="0" w:space="0" w:color="auto"/>
            <w:bottom w:val="none" w:sz="0" w:space="0" w:color="auto"/>
            <w:right w:val="none" w:sz="0" w:space="0" w:color="auto"/>
          </w:divBdr>
        </w:div>
      </w:divsChild>
    </w:div>
    <w:div w:id="105317794">
      <w:bodyDiv w:val="1"/>
      <w:marLeft w:val="0"/>
      <w:marRight w:val="0"/>
      <w:marTop w:val="0"/>
      <w:marBottom w:val="0"/>
      <w:divBdr>
        <w:top w:val="none" w:sz="0" w:space="0" w:color="auto"/>
        <w:left w:val="none" w:sz="0" w:space="0" w:color="auto"/>
        <w:bottom w:val="none" w:sz="0" w:space="0" w:color="auto"/>
        <w:right w:val="none" w:sz="0" w:space="0" w:color="auto"/>
      </w:divBdr>
      <w:divsChild>
        <w:div w:id="1014763491">
          <w:marLeft w:val="720"/>
          <w:marRight w:val="0"/>
          <w:marTop w:val="80"/>
          <w:marBottom w:val="0"/>
          <w:divBdr>
            <w:top w:val="none" w:sz="0" w:space="0" w:color="auto"/>
            <w:left w:val="none" w:sz="0" w:space="0" w:color="auto"/>
            <w:bottom w:val="none" w:sz="0" w:space="0" w:color="auto"/>
            <w:right w:val="none" w:sz="0" w:space="0" w:color="auto"/>
          </w:divBdr>
        </w:div>
      </w:divsChild>
    </w:div>
    <w:div w:id="105931463">
      <w:bodyDiv w:val="1"/>
      <w:marLeft w:val="0"/>
      <w:marRight w:val="0"/>
      <w:marTop w:val="0"/>
      <w:marBottom w:val="0"/>
      <w:divBdr>
        <w:top w:val="none" w:sz="0" w:space="0" w:color="auto"/>
        <w:left w:val="none" w:sz="0" w:space="0" w:color="auto"/>
        <w:bottom w:val="none" w:sz="0" w:space="0" w:color="auto"/>
        <w:right w:val="none" w:sz="0" w:space="0" w:color="auto"/>
      </w:divBdr>
      <w:divsChild>
        <w:div w:id="146288511">
          <w:marLeft w:val="0"/>
          <w:marRight w:val="0"/>
          <w:marTop w:val="0"/>
          <w:marBottom w:val="0"/>
          <w:divBdr>
            <w:top w:val="none" w:sz="0" w:space="0" w:color="auto"/>
            <w:left w:val="none" w:sz="0" w:space="0" w:color="auto"/>
            <w:bottom w:val="none" w:sz="0" w:space="0" w:color="auto"/>
            <w:right w:val="none" w:sz="0" w:space="0" w:color="auto"/>
          </w:divBdr>
        </w:div>
        <w:div w:id="826171174">
          <w:marLeft w:val="0"/>
          <w:marRight w:val="0"/>
          <w:marTop w:val="0"/>
          <w:marBottom w:val="0"/>
          <w:divBdr>
            <w:top w:val="none" w:sz="0" w:space="0" w:color="auto"/>
            <w:left w:val="none" w:sz="0" w:space="0" w:color="auto"/>
            <w:bottom w:val="none" w:sz="0" w:space="0" w:color="auto"/>
            <w:right w:val="none" w:sz="0" w:space="0" w:color="auto"/>
          </w:divBdr>
        </w:div>
        <w:div w:id="1238395490">
          <w:marLeft w:val="0"/>
          <w:marRight w:val="0"/>
          <w:marTop w:val="0"/>
          <w:marBottom w:val="0"/>
          <w:divBdr>
            <w:top w:val="none" w:sz="0" w:space="0" w:color="auto"/>
            <w:left w:val="none" w:sz="0" w:space="0" w:color="auto"/>
            <w:bottom w:val="none" w:sz="0" w:space="0" w:color="auto"/>
            <w:right w:val="none" w:sz="0" w:space="0" w:color="auto"/>
          </w:divBdr>
        </w:div>
        <w:div w:id="1426421795">
          <w:marLeft w:val="0"/>
          <w:marRight w:val="0"/>
          <w:marTop w:val="0"/>
          <w:marBottom w:val="0"/>
          <w:divBdr>
            <w:top w:val="none" w:sz="0" w:space="0" w:color="auto"/>
            <w:left w:val="none" w:sz="0" w:space="0" w:color="auto"/>
            <w:bottom w:val="none" w:sz="0" w:space="0" w:color="auto"/>
            <w:right w:val="none" w:sz="0" w:space="0" w:color="auto"/>
          </w:divBdr>
        </w:div>
        <w:div w:id="47145593">
          <w:marLeft w:val="0"/>
          <w:marRight w:val="0"/>
          <w:marTop w:val="0"/>
          <w:marBottom w:val="0"/>
          <w:divBdr>
            <w:top w:val="none" w:sz="0" w:space="0" w:color="auto"/>
            <w:left w:val="none" w:sz="0" w:space="0" w:color="auto"/>
            <w:bottom w:val="none" w:sz="0" w:space="0" w:color="auto"/>
            <w:right w:val="none" w:sz="0" w:space="0" w:color="auto"/>
          </w:divBdr>
        </w:div>
        <w:div w:id="1524316727">
          <w:marLeft w:val="0"/>
          <w:marRight w:val="0"/>
          <w:marTop w:val="0"/>
          <w:marBottom w:val="0"/>
          <w:divBdr>
            <w:top w:val="none" w:sz="0" w:space="0" w:color="auto"/>
            <w:left w:val="none" w:sz="0" w:space="0" w:color="auto"/>
            <w:bottom w:val="none" w:sz="0" w:space="0" w:color="auto"/>
            <w:right w:val="none" w:sz="0" w:space="0" w:color="auto"/>
          </w:divBdr>
        </w:div>
        <w:div w:id="1461261028">
          <w:marLeft w:val="0"/>
          <w:marRight w:val="0"/>
          <w:marTop w:val="0"/>
          <w:marBottom w:val="0"/>
          <w:divBdr>
            <w:top w:val="none" w:sz="0" w:space="0" w:color="auto"/>
            <w:left w:val="none" w:sz="0" w:space="0" w:color="auto"/>
            <w:bottom w:val="none" w:sz="0" w:space="0" w:color="auto"/>
            <w:right w:val="none" w:sz="0" w:space="0" w:color="auto"/>
          </w:divBdr>
        </w:div>
        <w:div w:id="1358198636">
          <w:marLeft w:val="0"/>
          <w:marRight w:val="0"/>
          <w:marTop w:val="0"/>
          <w:marBottom w:val="0"/>
          <w:divBdr>
            <w:top w:val="none" w:sz="0" w:space="0" w:color="auto"/>
            <w:left w:val="none" w:sz="0" w:space="0" w:color="auto"/>
            <w:bottom w:val="none" w:sz="0" w:space="0" w:color="auto"/>
            <w:right w:val="none" w:sz="0" w:space="0" w:color="auto"/>
          </w:divBdr>
        </w:div>
      </w:divsChild>
    </w:div>
    <w:div w:id="124784821">
      <w:bodyDiv w:val="1"/>
      <w:marLeft w:val="0"/>
      <w:marRight w:val="0"/>
      <w:marTop w:val="0"/>
      <w:marBottom w:val="0"/>
      <w:divBdr>
        <w:top w:val="none" w:sz="0" w:space="0" w:color="auto"/>
        <w:left w:val="none" w:sz="0" w:space="0" w:color="auto"/>
        <w:bottom w:val="none" w:sz="0" w:space="0" w:color="auto"/>
        <w:right w:val="none" w:sz="0" w:space="0" w:color="auto"/>
      </w:divBdr>
      <w:divsChild>
        <w:div w:id="1152521144">
          <w:marLeft w:val="0"/>
          <w:marRight w:val="0"/>
          <w:marTop w:val="0"/>
          <w:marBottom w:val="0"/>
          <w:divBdr>
            <w:top w:val="none" w:sz="0" w:space="0" w:color="auto"/>
            <w:left w:val="none" w:sz="0" w:space="0" w:color="auto"/>
            <w:bottom w:val="none" w:sz="0" w:space="0" w:color="auto"/>
            <w:right w:val="none" w:sz="0" w:space="0" w:color="auto"/>
          </w:divBdr>
        </w:div>
        <w:div w:id="2086801206">
          <w:marLeft w:val="0"/>
          <w:marRight w:val="0"/>
          <w:marTop w:val="0"/>
          <w:marBottom w:val="0"/>
          <w:divBdr>
            <w:top w:val="none" w:sz="0" w:space="0" w:color="auto"/>
            <w:left w:val="none" w:sz="0" w:space="0" w:color="auto"/>
            <w:bottom w:val="none" w:sz="0" w:space="0" w:color="auto"/>
            <w:right w:val="none" w:sz="0" w:space="0" w:color="auto"/>
          </w:divBdr>
        </w:div>
        <w:div w:id="190386538">
          <w:marLeft w:val="0"/>
          <w:marRight w:val="0"/>
          <w:marTop w:val="0"/>
          <w:marBottom w:val="0"/>
          <w:divBdr>
            <w:top w:val="none" w:sz="0" w:space="0" w:color="auto"/>
            <w:left w:val="none" w:sz="0" w:space="0" w:color="auto"/>
            <w:bottom w:val="none" w:sz="0" w:space="0" w:color="auto"/>
            <w:right w:val="none" w:sz="0" w:space="0" w:color="auto"/>
          </w:divBdr>
        </w:div>
        <w:div w:id="799692656">
          <w:marLeft w:val="0"/>
          <w:marRight w:val="0"/>
          <w:marTop w:val="0"/>
          <w:marBottom w:val="0"/>
          <w:divBdr>
            <w:top w:val="none" w:sz="0" w:space="0" w:color="auto"/>
            <w:left w:val="none" w:sz="0" w:space="0" w:color="auto"/>
            <w:bottom w:val="none" w:sz="0" w:space="0" w:color="auto"/>
            <w:right w:val="none" w:sz="0" w:space="0" w:color="auto"/>
          </w:divBdr>
        </w:div>
        <w:div w:id="361135337">
          <w:marLeft w:val="0"/>
          <w:marRight w:val="0"/>
          <w:marTop w:val="0"/>
          <w:marBottom w:val="0"/>
          <w:divBdr>
            <w:top w:val="none" w:sz="0" w:space="0" w:color="auto"/>
            <w:left w:val="none" w:sz="0" w:space="0" w:color="auto"/>
            <w:bottom w:val="none" w:sz="0" w:space="0" w:color="auto"/>
            <w:right w:val="none" w:sz="0" w:space="0" w:color="auto"/>
          </w:divBdr>
        </w:div>
        <w:div w:id="711614689">
          <w:marLeft w:val="0"/>
          <w:marRight w:val="0"/>
          <w:marTop w:val="0"/>
          <w:marBottom w:val="0"/>
          <w:divBdr>
            <w:top w:val="none" w:sz="0" w:space="0" w:color="auto"/>
            <w:left w:val="none" w:sz="0" w:space="0" w:color="auto"/>
            <w:bottom w:val="none" w:sz="0" w:space="0" w:color="auto"/>
            <w:right w:val="none" w:sz="0" w:space="0" w:color="auto"/>
          </w:divBdr>
        </w:div>
        <w:div w:id="1183934831">
          <w:marLeft w:val="0"/>
          <w:marRight w:val="0"/>
          <w:marTop w:val="0"/>
          <w:marBottom w:val="0"/>
          <w:divBdr>
            <w:top w:val="none" w:sz="0" w:space="0" w:color="auto"/>
            <w:left w:val="none" w:sz="0" w:space="0" w:color="auto"/>
            <w:bottom w:val="none" w:sz="0" w:space="0" w:color="auto"/>
            <w:right w:val="none" w:sz="0" w:space="0" w:color="auto"/>
          </w:divBdr>
        </w:div>
        <w:div w:id="1539128111">
          <w:marLeft w:val="0"/>
          <w:marRight w:val="0"/>
          <w:marTop w:val="0"/>
          <w:marBottom w:val="0"/>
          <w:divBdr>
            <w:top w:val="none" w:sz="0" w:space="0" w:color="auto"/>
            <w:left w:val="none" w:sz="0" w:space="0" w:color="auto"/>
            <w:bottom w:val="none" w:sz="0" w:space="0" w:color="auto"/>
            <w:right w:val="none" w:sz="0" w:space="0" w:color="auto"/>
          </w:divBdr>
        </w:div>
      </w:divsChild>
    </w:div>
    <w:div w:id="139007936">
      <w:bodyDiv w:val="1"/>
      <w:marLeft w:val="0"/>
      <w:marRight w:val="0"/>
      <w:marTop w:val="0"/>
      <w:marBottom w:val="0"/>
      <w:divBdr>
        <w:top w:val="none" w:sz="0" w:space="0" w:color="auto"/>
        <w:left w:val="none" w:sz="0" w:space="0" w:color="auto"/>
        <w:bottom w:val="none" w:sz="0" w:space="0" w:color="auto"/>
        <w:right w:val="none" w:sz="0" w:space="0" w:color="auto"/>
      </w:divBdr>
      <w:divsChild>
        <w:div w:id="1312558475">
          <w:marLeft w:val="480"/>
          <w:marRight w:val="0"/>
          <w:marTop w:val="0"/>
          <w:marBottom w:val="0"/>
          <w:divBdr>
            <w:top w:val="none" w:sz="0" w:space="0" w:color="auto"/>
            <w:left w:val="none" w:sz="0" w:space="0" w:color="auto"/>
            <w:bottom w:val="none" w:sz="0" w:space="0" w:color="auto"/>
            <w:right w:val="none" w:sz="0" w:space="0" w:color="auto"/>
          </w:divBdr>
          <w:divsChild>
            <w:div w:id="994190460">
              <w:marLeft w:val="0"/>
              <w:marRight w:val="0"/>
              <w:marTop w:val="0"/>
              <w:marBottom w:val="240"/>
              <w:divBdr>
                <w:top w:val="none" w:sz="0" w:space="0" w:color="auto"/>
                <w:left w:val="none" w:sz="0" w:space="0" w:color="auto"/>
                <w:bottom w:val="none" w:sz="0" w:space="0" w:color="auto"/>
                <w:right w:val="none" w:sz="0" w:space="0" w:color="auto"/>
              </w:divBdr>
            </w:div>
            <w:div w:id="719399118">
              <w:marLeft w:val="0"/>
              <w:marRight w:val="0"/>
              <w:marTop w:val="0"/>
              <w:marBottom w:val="240"/>
              <w:divBdr>
                <w:top w:val="none" w:sz="0" w:space="0" w:color="auto"/>
                <w:left w:val="none" w:sz="0" w:space="0" w:color="auto"/>
                <w:bottom w:val="none" w:sz="0" w:space="0" w:color="auto"/>
                <w:right w:val="none" w:sz="0" w:space="0" w:color="auto"/>
              </w:divBdr>
            </w:div>
            <w:div w:id="2010523807">
              <w:marLeft w:val="0"/>
              <w:marRight w:val="0"/>
              <w:marTop w:val="0"/>
              <w:marBottom w:val="240"/>
              <w:divBdr>
                <w:top w:val="none" w:sz="0" w:space="0" w:color="auto"/>
                <w:left w:val="none" w:sz="0" w:space="0" w:color="auto"/>
                <w:bottom w:val="none" w:sz="0" w:space="0" w:color="auto"/>
                <w:right w:val="none" w:sz="0" w:space="0" w:color="auto"/>
              </w:divBdr>
            </w:div>
            <w:div w:id="1627854942">
              <w:marLeft w:val="0"/>
              <w:marRight w:val="0"/>
              <w:marTop w:val="0"/>
              <w:marBottom w:val="240"/>
              <w:divBdr>
                <w:top w:val="none" w:sz="0" w:space="0" w:color="auto"/>
                <w:left w:val="none" w:sz="0" w:space="0" w:color="auto"/>
                <w:bottom w:val="none" w:sz="0" w:space="0" w:color="auto"/>
                <w:right w:val="none" w:sz="0" w:space="0" w:color="auto"/>
              </w:divBdr>
            </w:div>
            <w:div w:id="1545749796">
              <w:marLeft w:val="0"/>
              <w:marRight w:val="0"/>
              <w:marTop w:val="0"/>
              <w:marBottom w:val="240"/>
              <w:divBdr>
                <w:top w:val="none" w:sz="0" w:space="0" w:color="auto"/>
                <w:left w:val="none" w:sz="0" w:space="0" w:color="auto"/>
                <w:bottom w:val="none" w:sz="0" w:space="0" w:color="auto"/>
                <w:right w:val="none" w:sz="0" w:space="0" w:color="auto"/>
              </w:divBdr>
            </w:div>
            <w:div w:id="42408898">
              <w:marLeft w:val="0"/>
              <w:marRight w:val="0"/>
              <w:marTop w:val="0"/>
              <w:marBottom w:val="240"/>
              <w:divBdr>
                <w:top w:val="none" w:sz="0" w:space="0" w:color="auto"/>
                <w:left w:val="none" w:sz="0" w:space="0" w:color="auto"/>
                <w:bottom w:val="none" w:sz="0" w:space="0" w:color="auto"/>
                <w:right w:val="none" w:sz="0" w:space="0" w:color="auto"/>
              </w:divBdr>
            </w:div>
            <w:div w:id="1998148816">
              <w:marLeft w:val="0"/>
              <w:marRight w:val="0"/>
              <w:marTop w:val="0"/>
              <w:marBottom w:val="240"/>
              <w:divBdr>
                <w:top w:val="none" w:sz="0" w:space="0" w:color="auto"/>
                <w:left w:val="none" w:sz="0" w:space="0" w:color="auto"/>
                <w:bottom w:val="none" w:sz="0" w:space="0" w:color="auto"/>
                <w:right w:val="none" w:sz="0" w:space="0" w:color="auto"/>
              </w:divBdr>
            </w:div>
            <w:div w:id="1072388265">
              <w:marLeft w:val="0"/>
              <w:marRight w:val="0"/>
              <w:marTop w:val="0"/>
              <w:marBottom w:val="240"/>
              <w:divBdr>
                <w:top w:val="none" w:sz="0" w:space="0" w:color="auto"/>
                <w:left w:val="none" w:sz="0" w:space="0" w:color="auto"/>
                <w:bottom w:val="none" w:sz="0" w:space="0" w:color="auto"/>
                <w:right w:val="none" w:sz="0" w:space="0" w:color="auto"/>
              </w:divBdr>
            </w:div>
            <w:div w:id="1913462423">
              <w:marLeft w:val="0"/>
              <w:marRight w:val="0"/>
              <w:marTop w:val="0"/>
              <w:marBottom w:val="240"/>
              <w:divBdr>
                <w:top w:val="none" w:sz="0" w:space="0" w:color="auto"/>
                <w:left w:val="none" w:sz="0" w:space="0" w:color="auto"/>
                <w:bottom w:val="none" w:sz="0" w:space="0" w:color="auto"/>
                <w:right w:val="none" w:sz="0" w:space="0" w:color="auto"/>
              </w:divBdr>
            </w:div>
            <w:div w:id="687488634">
              <w:marLeft w:val="0"/>
              <w:marRight w:val="0"/>
              <w:marTop w:val="0"/>
              <w:marBottom w:val="240"/>
              <w:divBdr>
                <w:top w:val="none" w:sz="0" w:space="0" w:color="auto"/>
                <w:left w:val="none" w:sz="0" w:space="0" w:color="auto"/>
                <w:bottom w:val="none" w:sz="0" w:space="0" w:color="auto"/>
                <w:right w:val="none" w:sz="0" w:space="0" w:color="auto"/>
              </w:divBdr>
            </w:div>
            <w:div w:id="1712725659">
              <w:marLeft w:val="0"/>
              <w:marRight w:val="0"/>
              <w:marTop w:val="0"/>
              <w:marBottom w:val="240"/>
              <w:divBdr>
                <w:top w:val="none" w:sz="0" w:space="0" w:color="auto"/>
                <w:left w:val="none" w:sz="0" w:space="0" w:color="auto"/>
                <w:bottom w:val="none" w:sz="0" w:space="0" w:color="auto"/>
                <w:right w:val="none" w:sz="0" w:space="0" w:color="auto"/>
              </w:divBdr>
            </w:div>
            <w:div w:id="1031228226">
              <w:marLeft w:val="0"/>
              <w:marRight w:val="0"/>
              <w:marTop w:val="0"/>
              <w:marBottom w:val="240"/>
              <w:divBdr>
                <w:top w:val="none" w:sz="0" w:space="0" w:color="auto"/>
                <w:left w:val="none" w:sz="0" w:space="0" w:color="auto"/>
                <w:bottom w:val="none" w:sz="0" w:space="0" w:color="auto"/>
                <w:right w:val="none" w:sz="0" w:space="0" w:color="auto"/>
              </w:divBdr>
            </w:div>
            <w:div w:id="1396395822">
              <w:marLeft w:val="0"/>
              <w:marRight w:val="0"/>
              <w:marTop w:val="0"/>
              <w:marBottom w:val="240"/>
              <w:divBdr>
                <w:top w:val="none" w:sz="0" w:space="0" w:color="auto"/>
                <w:left w:val="none" w:sz="0" w:space="0" w:color="auto"/>
                <w:bottom w:val="none" w:sz="0" w:space="0" w:color="auto"/>
                <w:right w:val="none" w:sz="0" w:space="0" w:color="auto"/>
              </w:divBdr>
            </w:div>
            <w:div w:id="687214504">
              <w:marLeft w:val="0"/>
              <w:marRight w:val="0"/>
              <w:marTop w:val="0"/>
              <w:marBottom w:val="240"/>
              <w:divBdr>
                <w:top w:val="none" w:sz="0" w:space="0" w:color="auto"/>
                <w:left w:val="none" w:sz="0" w:space="0" w:color="auto"/>
                <w:bottom w:val="none" w:sz="0" w:space="0" w:color="auto"/>
                <w:right w:val="none" w:sz="0" w:space="0" w:color="auto"/>
              </w:divBdr>
            </w:div>
            <w:div w:id="636959031">
              <w:marLeft w:val="0"/>
              <w:marRight w:val="0"/>
              <w:marTop w:val="0"/>
              <w:marBottom w:val="240"/>
              <w:divBdr>
                <w:top w:val="none" w:sz="0" w:space="0" w:color="auto"/>
                <w:left w:val="none" w:sz="0" w:space="0" w:color="auto"/>
                <w:bottom w:val="none" w:sz="0" w:space="0" w:color="auto"/>
                <w:right w:val="none" w:sz="0" w:space="0" w:color="auto"/>
              </w:divBdr>
            </w:div>
            <w:div w:id="382993122">
              <w:marLeft w:val="0"/>
              <w:marRight w:val="0"/>
              <w:marTop w:val="0"/>
              <w:marBottom w:val="240"/>
              <w:divBdr>
                <w:top w:val="none" w:sz="0" w:space="0" w:color="auto"/>
                <w:left w:val="none" w:sz="0" w:space="0" w:color="auto"/>
                <w:bottom w:val="none" w:sz="0" w:space="0" w:color="auto"/>
                <w:right w:val="none" w:sz="0" w:space="0" w:color="auto"/>
              </w:divBdr>
            </w:div>
            <w:div w:id="546070251">
              <w:marLeft w:val="0"/>
              <w:marRight w:val="0"/>
              <w:marTop w:val="0"/>
              <w:marBottom w:val="240"/>
              <w:divBdr>
                <w:top w:val="none" w:sz="0" w:space="0" w:color="auto"/>
                <w:left w:val="none" w:sz="0" w:space="0" w:color="auto"/>
                <w:bottom w:val="none" w:sz="0" w:space="0" w:color="auto"/>
                <w:right w:val="none" w:sz="0" w:space="0" w:color="auto"/>
              </w:divBdr>
            </w:div>
            <w:div w:id="1977562329">
              <w:marLeft w:val="0"/>
              <w:marRight w:val="0"/>
              <w:marTop w:val="0"/>
              <w:marBottom w:val="240"/>
              <w:divBdr>
                <w:top w:val="none" w:sz="0" w:space="0" w:color="auto"/>
                <w:left w:val="none" w:sz="0" w:space="0" w:color="auto"/>
                <w:bottom w:val="none" w:sz="0" w:space="0" w:color="auto"/>
                <w:right w:val="none" w:sz="0" w:space="0" w:color="auto"/>
              </w:divBdr>
            </w:div>
            <w:div w:id="227884218">
              <w:marLeft w:val="0"/>
              <w:marRight w:val="0"/>
              <w:marTop w:val="0"/>
              <w:marBottom w:val="240"/>
              <w:divBdr>
                <w:top w:val="none" w:sz="0" w:space="0" w:color="auto"/>
                <w:left w:val="none" w:sz="0" w:space="0" w:color="auto"/>
                <w:bottom w:val="none" w:sz="0" w:space="0" w:color="auto"/>
                <w:right w:val="none" w:sz="0" w:space="0" w:color="auto"/>
              </w:divBdr>
            </w:div>
            <w:div w:id="1372729404">
              <w:marLeft w:val="0"/>
              <w:marRight w:val="0"/>
              <w:marTop w:val="0"/>
              <w:marBottom w:val="240"/>
              <w:divBdr>
                <w:top w:val="none" w:sz="0" w:space="0" w:color="auto"/>
                <w:left w:val="none" w:sz="0" w:space="0" w:color="auto"/>
                <w:bottom w:val="none" w:sz="0" w:space="0" w:color="auto"/>
                <w:right w:val="none" w:sz="0" w:space="0" w:color="auto"/>
              </w:divBdr>
            </w:div>
            <w:div w:id="167408631">
              <w:marLeft w:val="0"/>
              <w:marRight w:val="0"/>
              <w:marTop w:val="0"/>
              <w:marBottom w:val="240"/>
              <w:divBdr>
                <w:top w:val="none" w:sz="0" w:space="0" w:color="auto"/>
                <w:left w:val="none" w:sz="0" w:space="0" w:color="auto"/>
                <w:bottom w:val="none" w:sz="0" w:space="0" w:color="auto"/>
                <w:right w:val="none" w:sz="0" w:space="0" w:color="auto"/>
              </w:divBdr>
            </w:div>
            <w:div w:id="1862817041">
              <w:marLeft w:val="0"/>
              <w:marRight w:val="0"/>
              <w:marTop w:val="0"/>
              <w:marBottom w:val="240"/>
              <w:divBdr>
                <w:top w:val="none" w:sz="0" w:space="0" w:color="auto"/>
                <w:left w:val="none" w:sz="0" w:space="0" w:color="auto"/>
                <w:bottom w:val="none" w:sz="0" w:space="0" w:color="auto"/>
                <w:right w:val="none" w:sz="0" w:space="0" w:color="auto"/>
              </w:divBdr>
            </w:div>
            <w:div w:id="531694149">
              <w:marLeft w:val="0"/>
              <w:marRight w:val="0"/>
              <w:marTop w:val="0"/>
              <w:marBottom w:val="240"/>
              <w:divBdr>
                <w:top w:val="none" w:sz="0" w:space="0" w:color="auto"/>
                <w:left w:val="none" w:sz="0" w:space="0" w:color="auto"/>
                <w:bottom w:val="none" w:sz="0" w:space="0" w:color="auto"/>
                <w:right w:val="none" w:sz="0" w:space="0" w:color="auto"/>
              </w:divBdr>
            </w:div>
            <w:div w:id="555434981">
              <w:marLeft w:val="0"/>
              <w:marRight w:val="0"/>
              <w:marTop w:val="0"/>
              <w:marBottom w:val="240"/>
              <w:divBdr>
                <w:top w:val="none" w:sz="0" w:space="0" w:color="auto"/>
                <w:left w:val="none" w:sz="0" w:space="0" w:color="auto"/>
                <w:bottom w:val="none" w:sz="0" w:space="0" w:color="auto"/>
                <w:right w:val="none" w:sz="0" w:space="0" w:color="auto"/>
              </w:divBdr>
            </w:div>
            <w:div w:id="1129662783">
              <w:marLeft w:val="0"/>
              <w:marRight w:val="0"/>
              <w:marTop w:val="0"/>
              <w:marBottom w:val="240"/>
              <w:divBdr>
                <w:top w:val="none" w:sz="0" w:space="0" w:color="auto"/>
                <w:left w:val="none" w:sz="0" w:space="0" w:color="auto"/>
                <w:bottom w:val="none" w:sz="0" w:space="0" w:color="auto"/>
                <w:right w:val="none" w:sz="0" w:space="0" w:color="auto"/>
              </w:divBdr>
            </w:div>
            <w:div w:id="513228148">
              <w:marLeft w:val="0"/>
              <w:marRight w:val="0"/>
              <w:marTop w:val="0"/>
              <w:marBottom w:val="240"/>
              <w:divBdr>
                <w:top w:val="none" w:sz="0" w:space="0" w:color="auto"/>
                <w:left w:val="none" w:sz="0" w:space="0" w:color="auto"/>
                <w:bottom w:val="none" w:sz="0" w:space="0" w:color="auto"/>
                <w:right w:val="none" w:sz="0" w:space="0" w:color="auto"/>
              </w:divBdr>
            </w:div>
            <w:div w:id="894851744">
              <w:marLeft w:val="0"/>
              <w:marRight w:val="0"/>
              <w:marTop w:val="0"/>
              <w:marBottom w:val="240"/>
              <w:divBdr>
                <w:top w:val="none" w:sz="0" w:space="0" w:color="auto"/>
                <w:left w:val="none" w:sz="0" w:space="0" w:color="auto"/>
                <w:bottom w:val="none" w:sz="0" w:space="0" w:color="auto"/>
                <w:right w:val="none" w:sz="0" w:space="0" w:color="auto"/>
              </w:divBdr>
            </w:div>
            <w:div w:id="1081029169">
              <w:marLeft w:val="0"/>
              <w:marRight w:val="0"/>
              <w:marTop w:val="0"/>
              <w:marBottom w:val="240"/>
              <w:divBdr>
                <w:top w:val="none" w:sz="0" w:space="0" w:color="auto"/>
                <w:left w:val="none" w:sz="0" w:space="0" w:color="auto"/>
                <w:bottom w:val="none" w:sz="0" w:space="0" w:color="auto"/>
                <w:right w:val="none" w:sz="0" w:space="0" w:color="auto"/>
              </w:divBdr>
            </w:div>
            <w:div w:id="599533908">
              <w:marLeft w:val="0"/>
              <w:marRight w:val="0"/>
              <w:marTop w:val="0"/>
              <w:marBottom w:val="240"/>
              <w:divBdr>
                <w:top w:val="none" w:sz="0" w:space="0" w:color="auto"/>
                <w:left w:val="none" w:sz="0" w:space="0" w:color="auto"/>
                <w:bottom w:val="none" w:sz="0" w:space="0" w:color="auto"/>
                <w:right w:val="none" w:sz="0" w:space="0" w:color="auto"/>
              </w:divBdr>
            </w:div>
            <w:div w:id="443160664">
              <w:marLeft w:val="0"/>
              <w:marRight w:val="0"/>
              <w:marTop w:val="0"/>
              <w:marBottom w:val="240"/>
              <w:divBdr>
                <w:top w:val="none" w:sz="0" w:space="0" w:color="auto"/>
                <w:left w:val="none" w:sz="0" w:space="0" w:color="auto"/>
                <w:bottom w:val="none" w:sz="0" w:space="0" w:color="auto"/>
                <w:right w:val="none" w:sz="0" w:space="0" w:color="auto"/>
              </w:divBdr>
            </w:div>
            <w:div w:id="81226294">
              <w:marLeft w:val="0"/>
              <w:marRight w:val="0"/>
              <w:marTop w:val="0"/>
              <w:marBottom w:val="240"/>
              <w:divBdr>
                <w:top w:val="none" w:sz="0" w:space="0" w:color="auto"/>
                <w:left w:val="none" w:sz="0" w:space="0" w:color="auto"/>
                <w:bottom w:val="none" w:sz="0" w:space="0" w:color="auto"/>
                <w:right w:val="none" w:sz="0" w:space="0" w:color="auto"/>
              </w:divBdr>
            </w:div>
            <w:div w:id="785081571">
              <w:marLeft w:val="0"/>
              <w:marRight w:val="0"/>
              <w:marTop w:val="0"/>
              <w:marBottom w:val="240"/>
              <w:divBdr>
                <w:top w:val="none" w:sz="0" w:space="0" w:color="auto"/>
                <w:left w:val="none" w:sz="0" w:space="0" w:color="auto"/>
                <w:bottom w:val="none" w:sz="0" w:space="0" w:color="auto"/>
                <w:right w:val="none" w:sz="0" w:space="0" w:color="auto"/>
              </w:divBdr>
            </w:div>
            <w:div w:id="164518530">
              <w:marLeft w:val="0"/>
              <w:marRight w:val="0"/>
              <w:marTop w:val="0"/>
              <w:marBottom w:val="240"/>
              <w:divBdr>
                <w:top w:val="none" w:sz="0" w:space="0" w:color="auto"/>
                <w:left w:val="none" w:sz="0" w:space="0" w:color="auto"/>
                <w:bottom w:val="none" w:sz="0" w:space="0" w:color="auto"/>
                <w:right w:val="none" w:sz="0" w:space="0" w:color="auto"/>
              </w:divBdr>
            </w:div>
            <w:div w:id="1512374431">
              <w:marLeft w:val="0"/>
              <w:marRight w:val="0"/>
              <w:marTop w:val="0"/>
              <w:marBottom w:val="240"/>
              <w:divBdr>
                <w:top w:val="none" w:sz="0" w:space="0" w:color="auto"/>
                <w:left w:val="none" w:sz="0" w:space="0" w:color="auto"/>
                <w:bottom w:val="none" w:sz="0" w:space="0" w:color="auto"/>
                <w:right w:val="none" w:sz="0" w:space="0" w:color="auto"/>
              </w:divBdr>
            </w:div>
            <w:div w:id="1524393468">
              <w:marLeft w:val="0"/>
              <w:marRight w:val="0"/>
              <w:marTop w:val="0"/>
              <w:marBottom w:val="240"/>
              <w:divBdr>
                <w:top w:val="none" w:sz="0" w:space="0" w:color="auto"/>
                <w:left w:val="none" w:sz="0" w:space="0" w:color="auto"/>
                <w:bottom w:val="none" w:sz="0" w:space="0" w:color="auto"/>
                <w:right w:val="none" w:sz="0" w:space="0" w:color="auto"/>
              </w:divBdr>
            </w:div>
            <w:div w:id="671445778">
              <w:marLeft w:val="0"/>
              <w:marRight w:val="0"/>
              <w:marTop w:val="0"/>
              <w:marBottom w:val="240"/>
              <w:divBdr>
                <w:top w:val="none" w:sz="0" w:space="0" w:color="auto"/>
                <w:left w:val="none" w:sz="0" w:space="0" w:color="auto"/>
                <w:bottom w:val="none" w:sz="0" w:space="0" w:color="auto"/>
                <w:right w:val="none" w:sz="0" w:space="0" w:color="auto"/>
              </w:divBdr>
            </w:div>
            <w:div w:id="803045231">
              <w:marLeft w:val="0"/>
              <w:marRight w:val="0"/>
              <w:marTop w:val="0"/>
              <w:marBottom w:val="240"/>
              <w:divBdr>
                <w:top w:val="none" w:sz="0" w:space="0" w:color="auto"/>
                <w:left w:val="none" w:sz="0" w:space="0" w:color="auto"/>
                <w:bottom w:val="none" w:sz="0" w:space="0" w:color="auto"/>
                <w:right w:val="none" w:sz="0" w:space="0" w:color="auto"/>
              </w:divBdr>
            </w:div>
            <w:div w:id="58210493">
              <w:marLeft w:val="0"/>
              <w:marRight w:val="0"/>
              <w:marTop w:val="0"/>
              <w:marBottom w:val="240"/>
              <w:divBdr>
                <w:top w:val="none" w:sz="0" w:space="0" w:color="auto"/>
                <w:left w:val="none" w:sz="0" w:space="0" w:color="auto"/>
                <w:bottom w:val="none" w:sz="0" w:space="0" w:color="auto"/>
                <w:right w:val="none" w:sz="0" w:space="0" w:color="auto"/>
              </w:divBdr>
            </w:div>
            <w:div w:id="1425229497">
              <w:marLeft w:val="0"/>
              <w:marRight w:val="0"/>
              <w:marTop w:val="0"/>
              <w:marBottom w:val="240"/>
              <w:divBdr>
                <w:top w:val="none" w:sz="0" w:space="0" w:color="auto"/>
                <w:left w:val="none" w:sz="0" w:space="0" w:color="auto"/>
                <w:bottom w:val="none" w:sz="0" w:space="0" w:color="auto"/>
                <w:right w:val="none" w:sz="0" w:space="0" w:color="auto"/>
              </w:divBdr>
            </w:div>
            <w:div w:id="1026634682">
              <w:marLeft w:val="0"/>
              <w:marRight w:val="0"/>
              <w:marTop w:val="0"/>
              <w:marBottom w:val="240"/>
              <w:divBdr>
                <w:top w:val="none" w:sz="0" w:space="0" w:color="auto"/>
                <w:left w:val="none" w:sz="0" w:space="0" w:color="auto"/>
                <w:bottom w:val="none" w:sz="0" w:space="0" w:color="auto"/>
                <w:right w:val="none" w:sz="0" w:space="0" w:color="auto"/>
              </w:divBdr>
            </w:div>
            <w:div w:id="46297652">
              <w:marLeft w:val="0"/>
              <w:marRight w:val="0"/>
              <w:marTop w:val="0"/>
              <w:marBottom w:val="240"/>
              <w:divBdr>
                <w:top w:val="none" w:sz="0" w:space="0" w:color="auto"/>
                <w:left w:val="none" w:sz="0" w:space="0" w:color="auto"/>
                <w:bottom w:val="none" w:sz="0" w:space="0" w:color="auto"/>
                <w:right w:val="none" w:sz="0" w:space="0" w:color="auto"/>
              </w:divBdr>
            </w:div>
            <w:div w:id="1658341367">
              <w:marLeft w:val="0"/>
              <w:marRight w:val="0"/>
              <w:marTop w:val="0"/>
              <w:marBottom w:val="240"/>
              <w:divBdr>
                <w:top w:val="none" w:sz="0" w:space="0" w:color="auto"/>
                <w:left w:val="none" w:sz="0" w:space="0" w:color="auto"/>
                <w:bottom w:val="none" w:sz="0" w:space="0" w:color="auto"/>
                <w:right w:val="none" w:sz="0" w:space="0" w:color="auto"/>
              </w:divBdr>
            </w:div>
            <w:div w:id="1534728804">
              <w:marLeft w:val="0"/>
              <w:marRight w:val="0"/>
              <w:marTop w:val="0"/>
              <w:marBottom w:val="240"/>
              <w:divBdr>
                <w:top w:val="none" w:sz="0" w:space="0" w:color="auto"/>
                <w:left w:val="none" w:sz="0" w:space="0" w:color="auto"/>
                <w:bottom w:val="none" w:sz="0" w:space="0" w:color="auto"/>
                <w:right w:val="none" w:sz="0" w:space="0" w:color="auto"/>
              </w:divBdr>
            </w:div>
            <w:div w:id="178083508">
              <w:marLeft w:val="0"/>
              <w:marRight w:val="0"/>
              <w:marTop w:val="0"/>
              <w:marBottom w:val="240"/>
              <w:divBdr>
                <w:top w:val="none" w:sz="0" w:space="0" w:color="auto"/>
                <w:left w:val="none" w:sz="0" w:space="0" w:color="auto"/>
                <w:bottom w:val="none" w:sz="0" w:space="0" w:color="auto"/>
                <w:right w:val="none" w:sz="0" w:space="0" w:color="auto"/>
              </w:divBdr>
            </w:div>
            <w:div w:id="1213007262">
              <w:marLeft w:val="0"/>
              <w:marRight w:val="0"/>
              <w:marTop w:val="0"/>
              <w:marBottom w:val="240"/>
              <w:divBdr>
                <w:top w:val="none" w:sz="0" w:space="0" w:color="auto"/>
                <w:left w:val="none" w:sz="0" w:space="0" w:color="auto"/>
                <w:bottom w:val="none" w:sz="0" w:space="0" w:color="auto"/>
                <w:right w:val="none" w:sz="0" w:space="0" w:color="auto"/>
              </w:divBdr>
            </w:div>
            <w:div w:id="346834543">
              <w:marLeft w:val="0"/>
              <w:marRight w:val="0"/>
              <w:marTop w:val="0"/>
              <w:marBottom w:val="240"/>
              <w:divBdr>
                <w:top w:val="none" w:sz="0" w:space="0" w:color="auto"/>
                <w:left w:val="none" w:sz="0" w:space="0" w:color="auto"/>
                <w:bottom w:val="none" w:sz="0" w:space="0" w:color="auto"/>
                <w:right w:val="none" w:sz="0" w:space="0" w:color="auto"/>
              </w:divBdr>
            </w:div>
            <w:div w:id="663356815">
              <w:marLeft w:val="0"/>
              <w:marRight w:val="0"/>
              <w:marTop w:val="0"/>
              <w:marBottom w:val="240"/>
              <w:divBdr>
                <w:top w:val="none" w:sz="0" w:space="0" w:color="auto"/>
                <w:left w:val="none" w:sz="0" w:space="0" w:color="auto"/>
                <w:bottom w:val="none" w:sz="0" w:space="0" w:color="auto"/>
                <w:right w:val="none" w:sz="0" w:space="0" w:color="auto"/>
              </w:divBdr>
            </w:div>
            <w:div w:id="1113210819">
              <w:marLeft w:val="0"/>
              <w:marRight w:val="0"/>
              <w:marTop w:val="0"/>
              <w:marBottom w:val="240"/>
              <w:divBdr>
                <w:top w:val="none" w:sz="0" w:space="0" w:color="auto"/>
                <w:left w:val="none" w:sz="0" w:space="0" w:color="auto"/>
                <w:bottom w:val="none" w:sz="0" w:space="0" w:color="auto"/>
                <w:right w:val="none" w:sz="0" w:space="0" w:color="auto"/>
              </w:divBdr>
            </w:div>
            <w:div w:id="980885037">
              <w:marLeft w:val="0"/>
              <w:marRight w:val="0"/>
              <w:marTop w:val="0"/>
              <w:marBottom w:val="240"/>
              <w:divBdr>
                <w:top w:val="none" w:sz="0" w:space="0" w:color="auto"/>
                <w:left w:val="none" w:sz="0" w:space="0" w:color="auto"/>
                <w:bottom w:val="none" w:sz="0" w:space="0" w:color="auto"/>
                <w:right w:val="none" w:sz="0" w:space="0" w:color="auto"/>
              </w:divBdr>
            </w:div>
            <w:div w:id="1190489525">
              <w:marLeft w:val="0"/>
              <w:marRight w:val="0"/>
              <w:marTop w:val="0"/>
              <w:marBottom w:val="240"/>
              <w:divBdr>
                <w:top w:val="none" w:sz="0" w:space="0" w:color="auto"/>
                <w:left w:val="none" w:sz="0" w:space="0" w:color="auto"/>
                <w:bottom w:val="none" w:sz="0" w:space="0" w:color="auto"/>
                <w:right w:val="none" w:sz="0" w:space="0" w:color="auto"/>
              </w:divBdr>
            </w:div>
            <w:div w:id="1813257185">
              <w:marLeft w:val="0"/>
              <w:marRight w:val="0"/>
              <w:marTop w:val="0"/>
              <w:marBottom w:val="240"/>
              <w:divBdr>
                <w:top w:val="none" w:sz="0" w:space="0" w:color="auto"/>
                <w:left w:val="none" w:sz="0" w:space="0" w:color="auto"/>
                <w:bottom w:val="none" w:sz="0" w:space="0" w:color="auto"/>
                <w:right w:val="none" w:sz="0" w:space="0" w:color="auto"/>
              </w:divBdr>
            </w:div>
            <w:div w:id="421342754">
              <w:marLeft w:val="0"/>
              <w:marRight w:val="0"/>
              <w:marTop w:val="0"/>
              <w:marBottom w:val="240"/>
              <w:divBdr>
                <w:top w:val="none" w:sz="0" w:space="0" w:color="auto"/>
                <w:left w:val="none" w:sz="0" w:space="0" w:color="auto"/>
                <w:bottom w:val="none" w:sz="0" w:space="0" w:color="auto"/>
                <w:right w:val="none" w:sz="0" w:space="0" w:color="auto"/>
              </w:divBdr>
            </w:div>
            <w:div w:id="1999456314">
              <w:marLeft w:val="0"/>
              <w:marRight w:val="0"/>
              <w:marTop w:val="0"/>
              <w:marBottom w:val="240"/>
              <w:divBdr>
                <w:top w:val="none" w:sz="0" w:space="0" w:color="auto"/>
                <w:left w:val="none" w:sz="0" w:space="0" w:color="auto"/>
                <w:bottom w:val="none" w:sz="0" w:space="0" w:color="auto"/>
                <w:right w:val="none" w:sz="0" w:space="0" w:color="auto"/>
              </w:divBdr>
            </w:div>
            <w:div w:id="2058579346">
              <w:marLeft w:val="0"/>
              <w:marRight w:val="0"/>
              <w:marTop w:val="0"/>
              <w:marBottom w:val="240"/>
              <w:divBdr>
                <w:top w:val="none" w:sz="0" w:space="0" w:color="auto"/>
                <w:left w:val="none" w:sz="0" w:space="0" w:color="auto"/>
                <w:bottom w:val="none" w:sz="0" w:space="0" w:color="auto"/>
                <w:right w:val="none" w:sz="0" w:space="0" w:color="auto"/>
              </w:divBdr>
            </w:div>
            <w:div w:id="669141158">
              <w:marLeft w:val="0"/>
              <w:marRight w:val="0"/>
              <w:marTop w:val="0"/>
              <w:marBottom w:val="240"/>
              <w:divBdr>
                <w:top w:val="none" w:sz="0" w:space="0" w:color="auto"/>
                <w:left w:val="none" w:sz="0" w:space="0" w:color="auto"/>
                <w:bottom w:val="none" w:sz="0" w:space="0" w:color="auto"/>
                <w:right w:val="none" w:sz="0" w:space="0" w:color="auto"/>
              </w:divBdr>
            </w:div>
            <w:div w:id="726802885">
              <w:marLeft w:val="0"/>
              <w:marRight w:val="0"/>
              <w:marTop w:val="0"/>
              <w:marBottom w:val="240"/>
              <w:divBdr>
                <w:top w:val="none" w:sz="0" w:space="0" w:color="auto"/>
                <w:left w:val="none" w:sz="0" w:space="0" w:color="auto"/>
                <w:bottom w:val="none" w:sz="0" w:space="0" w:color="auto"/>
                <w:right w:val="none" w:sz="0" w:space="0" w:color="auto"/>
              </w:divBdr>
            </w:div>
            <w:div w:id="552741524">
              <w:marLeft w:val="0"/>
              <w:marRight w:val="0"/>
              <w:marTop w:val="0"/>
              <w:marBottom w:val="240"/>
              <w:divBdr>
                <w:top w:val="none" w:sz="0" w:space="0" w:color="auto"/>
                <w:left w:val="none" w:sz="0" w:space="0" w:color="auto"/>
                <w:bottom w:val="none" w:sz="0" w:space="0" w:color="auto"/>
                <w:right w:val="none" w:sz="0" w:space="0" w:color="auto"/>
              </w:divBdr>
            </w:div>
            <w:div w:id="167066139">
              <w:marLeft w:val="0"/>
              <w:marRight w:val="0"/>
              <w:marTop w:val="0"/>
              <w:marBottom w:val="240"/>
              <w:divBdr>
                <w:top w:val="none" w:sz="0" w:space="0" w:color="auto"/>
                <w:left w:val="none" w:sz="0" w:space="0" w:color="auto"/>
                <w:bottom w:val="none" w:sz="0" w:space="0" w:color="auto"/>
                <w:right w:val="none" w:sz="0" w:space="0" w:color="auto"/>
              </w:divBdr>
            </w:div>
            <w:div w:id="1198354301">
              <w:marLeft w:val="0"/>
              <w:marRight w:val="0"/>
              <w:marTop w:val="0"/>
              <w:marBottom w:val="240"/>
              <w:divBdr>
                <w:top w:val="none" w:sz="0" w:space="0" w:color="auto"/>
                <w:left w:val="none" w:sz="0" w:space="0" w:color="auto"/>
                <w:bottom w:val="none" w:sz="0" w:space="0" w:color="auto"/>
                <w:right w:val="none" w:sz="0" w:space="0" w:color="auto"/>
              </w:divBdr>
            </w:div>
            <w:div w:id="965233802">
              <w:marLeft w:val="0"/>
              <w:marRight w:val="0"/>
              <w:marTop w:val="0"/>
              <w:marBottom w:val="240"/>
              <w:divBdr>
                <w:top w:val="none" w:sz="0" w:space="0" w:color="auto"/>
                <w:left w:val="none" w:sz="0" w:space="0" w:color="auto"/>
                <w:bottom w:val="none" w:sz="0" w:space="0" w:color="auto"/>
                <w:right w:val="none" w:sz="0" w:space="0" w:color="auto"/>
              </w:divBdr>
            </w:div>
            <w:div w:id="1552889155">
              <w:marLeft w:val="0"/>
              <w:marRight w:val="0"/>
              <w:marTop w:val="0"/>
              <w:marBottom w:val="240"/>
              <w:divBdr>
                <w:top w:val="none" w:sz="0" w:space="0" w:color="auto"/>
                <w:left w:val="none" w:sz="0" w:space="0" w:color="auto"/>
                <w:bottom w:val="none" w:sz="0" w:space="0" w:color="auto"/>
                <w:right w:val="none" w:sz="0" w:space="0" w:color="auto"/>
              </w:divBdr>
            </w:div>
            <w:div w:id="1939365819">
              <w:marLeft w:val="0"/>
              <w:marRight w:val="0"/>
              <w:marTop w:val="0"/>
              <w:marBottom w:val="240"/>
              <w:divBdr>
                <w:top w:val="none" w:sz="0" w:space="0" w:color="auto"/>
                <w:left w:val="none" w:sz="0" w:space="0" w:color="auto"/>
                <w:bottom w:val="none" w:sz="0" w:space="0" w:color="auto"/>
                <w:right w:val="none" w:sz="0" w:space="0" w:color="auto"/>
              </w:divBdr>
            </w:div>
            <w:div w:id="1037048511">
              <w:marLeft w:val="0"/>
              <w:marRight w:val="0"/>
              <w:marTop w:val="0"/>
              <w:marBottom w:val="240"/>
              <w:divBdr>
                <w:top w:val="none" w:sz="0" w:space="0" w:color="auto"/>
                <w:left w:val="none" w:sz="0" w:space="0" w:color="auto"/>
                <w:bottom w:val="none" w:sz="0" w:space="0" w:color="auto"/>
                <w:right w:val="none" w:sz="0" w:space="0" w:color="auto"/>
              </w:divBdr>
            </w:div>
            <w:div w:id="353773716">
              <w:marLeft w:val="0"/>
              <w:marRight w:val="0"/>
              <w:marTop w:val="0"/>
              <w:marBottom w:val="240"/>
              <w:divBdr>
                <w:top w:val="none" w:sz="0" w:space="0" w:color="auto"/>
                <w:left w:val="none" w:sz="0" w:space="0" w:color="auto"/>
                <w:bottom w:val="none" w:sz="0" w:space="0" w:color="auto"/>
                <w:right w:val="none" w:sz="0" w:space="0" w:color="auto"/>
              </w:divBdr>
            </w:div>
            <w:div w:id="1290864711">
              <w:marLeft w:val="0"/>
              <w:marRight w:val="0"/>
              <w:marTop w:val="0"/>
              <w:marBottom w:val="240"/>
              <w:divBdr>
                <w:top w:val="none" w:sz="0" w:space="0" w:color="auto"/>
                <w:left w:val="none" w:sz="0" w:space="0" w:color="auto"/>
                <w:bottom w:val="none" w:sz="0" w:space="0" w:color="auto"/>
                <w:right w:val="none" w:sz="0" w:space="0" w:color="auto"/>
              </w:divBdr>
            </w:div>
            <w:div w:id="635794385">
              <w:marLeft w:val="0"/>
              <w:marRight w:val="0"/>
              <w:marTop w:val="0"/>
              <w:marBottom w:val="240"/>
              <w:divBdr>
                <w:top w:val="none" w:sz="0" w:space="0" w:color="auto"/>
                <w:left w:val="none" w:sz="0" w:space="0" w:color="auto"/>
                <w:bottom w:val="none" w:sz="0" w:space="0" w:color="auto"/>
                <w:right w:val="none" w:sz="0" w:space="0" w:color="auto"/>
              </w:divBdr>
            </w:div>
            <w:div w:id="1041973309">
              <w:marLeft w:val="0"/>
              <w:marRight w:val="0"/>
              <w:marTop w:val="0"/>
              <w:marBottom w:val="240"/>
              <w:divBdr>
                <w:top w:val="none" w:sz="0" w:space="0" w:color="auto"/>
                <w:left w:val="none" w:sz="0" w:space="0" w:color="auto"/>
                <w:bottom w:val="none" w:sz="0" w:space="0" w:color="auto"/>
                <w:right w:val="none" w:sz="0" w:space="0" w:color="auto"/>
              </w:divBdr>
            </w:div>
            <w:div w:id="138235713">
              <w:marLeft w:val="0"/>
              <w:marRight w:val="0"/>
              <w:marTop w:val="0"/>
              <w:marBottom w:val="240"/>
              <w:divBdr>
                <w:top w:val="none" w:sz="0" w:space="0" w:color="auto"/>
                <w:left w:val="none" w:sz="0" w:space="0" w:color="auto"/>
                <w:bottom w:val="none" w:sz="0" w:space="0" w:color="auto"/>
                <w:right w:val="none" w:sz="0" w:space="0" w:color="auto"/>
              </w:divBdr>
            </w:div>
            <w:div w:id="299382304">
              <w:marLeft w:val="0"/>
              <w:marRight w:val="0"/>
              <w:marTop w:val="0"/>
              <w:marBottom w:val="240"/>
              <w:divBdr>
                <w:top w:val="none" w:sz="0" w:space="0" w:color="auto"/>
                <w:left w:val="none" w:sz="0" w:space="0" w:color="auto"/>
                <w:bottom w:val="none" w:sz="0" w:space="0" w:color="auto"/>
                <w:right w:val="none" w:sz="0" w:space="0" w:color="auto"/>
              </w:divBdr>
            </w:div>
            <w:div w:id="246503029">
              <w:marLeft w:val="0"/>
              <w:marRight w:val="0"/>
              <w:marTop w:val="0"/>
              <w:marBottom w:val="240"/>
              <w:divBdr>
                <w:top w:val="none" w:sz="0" w:space="0" w:color="auto"/>
                <w:left w:val="none" w:sz="0" w:space="0" w:color="auto"/>
                <w:bottom w:val="none" w:sz="0" w:space="0" w:color="auto"/>
                <w:right w:val="none" w:sz="0" w:space="0" w:color="auto"/>
              </w:divBdr>
            </w:div>
            <w:div w:id="1885291715">
              <w:marLeft w:val="0"/>
              <w:marRight w:val="0"/>
              <w:marTop w:val="0"/>
              <w:marBottom w:val="240"/>
              <w:divBdr>
                <w:top w:val="none" w:sz="0" w:space="0" w:color="auto"/>
                <w:left w:val="none" w:sz="0" w:space="0" w:color="auto"/>
                <w:bottom w:val="none" w:sz="0" w:space="0" w:color="auto"/>
                <w:right w:val="none" w:sz="0" w:space="0" w:color="auto"/>
              </w:divBdr>
            </w:div>
            <w:div w:id="476149637">
              <w:marLeft w:val="0"/>
              <w:marRight w:val="0"/>
              <w:marTop w:val="0"/>
              <w:marBottom w:val="240"/>
              <w:divBdr>
                <w:top w:val="none" w:sz="0" w:space="0" w:color="auto"/>
                <w:left w:val="none" w:sz="0" w:space="0" w:color="auto"/>
                <w:bottom w:val="none" w:sz="0" w:space="0" w:color="auto"/>
                <w:right w:val="none" w:sz="0" w:space="0" w:color="auto"/>
              </w:divBdr>
            </w:div>
            <w:div w:id="1148518483">
              <w:marLeft w:val="0"/>
              <w:marRight w:val="0"/>
              <w:marTop w:val="0"/>
              <w:marBottom w:val="240"/>
              <w:divBdr>
                <w:top w:val="none" w:sz="0" w:space="0" w:color="auto"/>
                <w:left w:val="none" w:sz="0" w:space="0" w:color="auto"/>
                <w:bottom w:val="none" w:sz="0" w:space="0" w:color="auto"/>
                <w:right w:val="none" w:sz="0" w:space="0" w:color="auto"/>
              </w:divBdr>
            </w:div>
            <w:div w:id="79185410">
              <w:marLeft w:val="0"/>
              <w:marRight w:val="0"/>
              <w:marTop w:val="0"/>
              <w:marBottom w:val="240"/>
              <w:divBdr>
                <w:top w:val="none" w:sz="0" w:space="0" w:color="auto"/>
                <w:left w:val="none" w:sz="0" w:space="0" w:color="auto"/>
                <w:bottom w:val="none" w:sz="0" w:space="0" w:color="auto"/>
                <w:right w:val="none" w:sz="0" w:space="0" w:color="auto"/>
              </w:divBdr>
            </w:div>
            <w:div w:id="1448962082">
              <w:marLeft w:val="0"/>
              <w:marRight w:val="0"/>
              <w:marTop w:val="0"/>
              <w:marBottom w:val="240"/>
              <w:divBdr>
                <w:top w:val="none" w:sz="0" w:space="0" w:color="auto"/>
                <w:left w:val="none" w:sz="0" w:space="0" w:color="auto"/>
                <w:bottom w:val="none" w:sz="0" w:space="0" w:color="auto"/>
                <w:right w:val="none" w:sz="0" w:space="0" w:color="auto"/>
              </w:divBdr>
            </w:div>
            <w:div w:id="174879121">
              <w:marLeft w:val="0"/>
              <w:marRight w:val="0"/>
              <w:marTop w:val="0"/>
              <w:marBottom w:val="240"/>
              <w:divBdr>
                <w:top w:val="none" w:sz="0" w:space="0" w:color="auto"/>
                <w:left w:val="none" w:sz="0" w:space="0" w:color="auto"/>
                <w:bottom w:val="none" w:sz="0" w:space="0" w:color="auto"/>
                <w:right w:val="none" w:sz="0" w:space="0" w:color="auto"/>
              </w:divBdr>
            </w:div>
            <w:div w:id="1606956631">
              <w:marLeft w:val="0"/>
              <w:marRight w:val="0"/>
              <w:marTop w:val="0"/>
              <w:marBottom w:val="240"/>
              <w:divBdr>
                <w:top w:val="none" w:sz="0" w:space="0" w:color="auto"/>
                <w:left w:val="none" w:sz="0" w:space="0" w:color="auto"/>
                <w:bottom w:val="none" w:sz="0" w:space="0" w:color="auto"/>
                <w:right w:val="none" w:sz="0" w:space="0" w:color="auto"/>
              </w:divBdr>
            </w:div>
            <w:div w:id="1337344223">
              <w:marLeft w:val="0"/>
              <w:marRight w:val="0"/>
              <w:marTop w:val="0"/>
              <w:marBottom w:val="240"/>
              <w:divBdr>
                <w:top w:val="none" w:sz="0" w:space="0" w:color="auto"/>
                <w:left w:val="none" w:sz="0" w:space="0" w:color="auto"/>
                <w:bottom w:val="none" w:sz="0" w:space="0" w:color="auto"/>
                <w:right w:val="none" w:sz="0" w:space="0" w:color="auto"/>
              </w:divBdr>
            </w:div>
            <w:div w:id="1304310412">
              <w:marLeft w:val="0"/>
              <w:marRight w:val="0"/>
              <w:marTop w:val="0"/>
              <w:marBottom w:val="240"/>
              <w:divBdr>
                <w:top w:val="none" w:sz="0" w:space="0" w:color="auto"/>
                <w:left w:val="none" w:sz="0" w:space="0" w:color="auto"/>
                <w:bottom w:val="none" w:sz="0" w:space="0" w:color="auto"/>
                <w:right w:val="none" w:sz="0" w:space="0" w:color="auto"/>
              </w:divBdr>
            </w:div>
            <w:div w:id="1229926149">
              <w:marLeft w:val="0"/>
              <w:marRight w:val="0"/>
              <w:marTop w:val="0"/>
              <w:marBottom w:val="240"/>
              <w:divBdr>
                <w:top w:val="none" w:sz="0" w:space="0" w:color="auto"/>
                <w:left w:val="none" w:sz="0" w:space="0" w:color="auto"/>
                <w:bottom w:val="none" w:sz="0" w:space="0" w:color="auto"/>
                <w:right w:val="none" w:sz="0" w:space="0" w:color="auto"/>
              </w:divBdr>
            </w:div>
            <w:div w:id="1657538148">
              <w:marLeft w:val="0"/>
              <w:marRight w:val="0"/>
              <w:marTop w:val="0"/>
              <w:marBottom w:val="240"/>
              <w:divBdr>
                <w:top w:val="none" w:sz="0" w:space="0" w:color="auto"/>
                <w:left w:val="none" w:sz="0" w:space="0" w:color="auto"/>
                <w:bottom w:val="none" w:sz="0" w:space="0" w:color="auto"/>
                <w:right w:val="none" w:sz="0" w:space="0" w:color="auto"/>
              </w:divBdr>
            </w:div>
            <w:div w:id="75452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21498">
      <w:bodyDiv w:val="1"/>
      <w:marLeft w:val="0"/>
      <w:marRight w:val="0"/>
      <w:marTop w:val="0"/>
      <w:marBottom w:val="0"/>
      <w:divBdr>
        <w:top w:val="none" w:sz="0" w:space="0" w:color="auto"/>
        <w:left w:val="none" w:sz="0" w:space="0" w:color="auto"/>
        <w:bottom w:val="none" w:sz="0" w:space="0" w:color="auto"/>
        <w:right w:val="none" w:sz="0" w:space="0" w:color="auto"/>
      </w:divBdr>
      <w:divsChild>
        <w:div w:id="696590528">
          <w:marLeft w:val="0"/>
          <w:marRight w:val="0"/>
          <w:marTop w:val="0"/>
          <w:marBottom w:val="0"/>
          <w:divBdr>
            <w:top w:val="none" w:sz="0" w:space="0" w:color="auto"/>
            <w:left w:val="none" w:sz="0" w:space="0" w:color="auto"/>
            <w:bottom w:val="none" w:sz="0" w:space="0" w:color="auto"/>
            <w:right w:val="none" w:sz="0" w:space="0" w:color="auto"/>
          </w:divBdr>
        </w:div>
        <w:div w:id="1999459330">
          <w:marLeft w:val="0"/>
          <w:marRight w:val="0"/>
          <w:marTop w:val="0"/>
          <w:marBottom w:val="0"/>
          <w:divBdr>
            <w:top w:val="none" w:sz="0" w:space="0" w:color="auto"/>
            <w:left w:val="none" w:sz="0" w:space="0" w:color="auto"/>
            <w:bottom w:val="none" w:sz="0" w:space="0" w:color="auto"/>
            <w:right w:val="none" w:sz="0" w:space="0" w:color="auto"/>
          </w:divBdr>
        </w:div>
        <w:div w:id="1633439853">
          <w:marLeft w:val="0"/>
          <w:marRight w:val="0"/>
          <w:marTop w:val="0"/>
          <w:marBottom w:val="0"/>
          <w:divBdr>
            <w:top w:val="none" w:sz="0" w:space="0" w:color="auto"/>
            <w:left w:val="none" w:sz="0" w:space="0" w:color="auto"/>
            <w:bottom w:val="none" w:sz="0" w:space="0" w:color="auto"/>
            <w:right w:val="none" w:sz="0" w:space="0" w:color="auto"/>
          </w:divBdr>
        </w:div>
        <w:div w:id="319698390">
          <w:marLeft w:val="0"/>
          <w:marRight w:val="0"/>
          <w:marTop w:val="0"/>
          <w:marBottom w:val="0"/>
          <w:divBdr>
            <w:top w:val="none" w:sz="0" w:space="0" w:color="auto"/>
            <w:left w:val="none" w:sz="0" w:space="0" w:color="auto"/>
            <w:bottom w:val="none" w:sz="0" w:space="0" w:color="auto"/>
            <w:right w:val="none" w:sz="0" w:space="0" w:color="auto"/>
          </w:divBdr>
        </w:div>
        <w:div w:id="1855921976">
          <w:marLeft w:val="0"/>
          <w:marRight w:val="0"/>
          <w:marTop w:val="0"/>
          <w:marBottom w:val="0"/>
          <w:divBdr>
            <w:top w:val="none" w:sz="0" w:space="0" w:color="auto"/>
            <w:left w:val="none" w:sz="0" w:space="0" w:color="auto"/>
            <w:bottom w:val="none" w:sz="0" w:space="0" w:color="auto"/>
            <w:right w:val="none" w:sz="0" w:space="0" w:color="auto"/>
          </w:divBdr>
        </w:div>
        <w:div w:id="678966425">
          <w:marLeft w:val="0"/>
          <w:marRight w:val="0"/>
          <w:marTop w:val="0"/>
          <w:marBottom w:val="0"/>
          <w:divBdr>
            <w:top w:val="none" w:sz="0" w:space="0" w:color="auto"/>
            <w:left w:val="none" w:sz="0" w:space="0" w:color="auto"/>
            <w:bottom w:val="none" w:sz="0" w:space="0" w:color="auto"/>
            <w:right w:val="none" w:sz="0" w:space="0" w:color="auto"/>
          </w:divBdr>
        </w:div>
        <w:div w:id="1858613731">
          <w:marLeft w:val="0"/>
          <w:marRight w:val="0"/>
          <w:marTop w:val="0"/>
          <w:marBottom w:val="0"/>
          <w:divBdr>
            <w:top w:val="none" w:sz="0" w:space="0" w:color="auto"/>
            <w:left w:val="none" w:sz="0" w:space="0" w:color="auto"/>
            <w:bottom w:val="none" w:sz="0" w:space="0" w:color="auto"/>
            <w:right w:val="none" w:sz="0" w:space="0" w:color="auto"/>
          </w:divBdr>
        </w:div>
        <w:div w:id="1986422464">
          <w:marLeft w:val="0"/>
          <w:marRight w:val="0"/>
          <w:marTop w:val="0"/>
          <w:marBottom w:val="0"/>
          <w:divBdr>
            <w:top w:val="none" w:sz="0" w:space="0" w:color="auto"/>
            <w:left w:val="none" w:sz="0" w:space="0" w:color="auto"/>
            <w:bottom w:val="none" w:sz="0" w:space="0" w:color="auto"/>
            <w:right w:val="none" w:sz="0" w:space="0" w:color="auto"/>
          </w:divBdr>
        </w:div>
      </w:divsChild>
    </w:div>
    <w:div w:id="166985817">
      <w:bodyDiv w:val="1"/>
      <w:marLeft w:val="0"/>
      <w:marRight w:val="0"/>
      <w:marTop w:val="0"/>
      <w:marBottom w:val="0"/>
      <w:divBdr>
        <w:top w:val="none" w:sz="0" w:space="0" w:color="auto"/>
        <w:left w:val="none" w:sz="0" w:space="0" w:color="auto"/>
        <w:bottom w:val="none" w:sz="0" w:space="0" w:color="auto"/>
        <w:right w:val="none" w:sz="0" w:space="0" w:color="auto"/>
      </w:divBdr>
      <w:divsChild>
        <w:div w:id="993492710">
          <w:marLeft w:val="0"/>
          <w:marRight w:val="0"/>
          <w:marTop w:val="0"/>
          <w:marBottom w:val="0"/>
          <w:divBdr>
            <w:top w:val="none" w:sz="0" w:space="0" w:color="auto"/>
            <w:left w:val="none" w:sz="0" w:space="0" w:color="auto"/>
            <w:bottom w:val="none" w:sz="0" w:space="0" w:color="auto"/>
            <w:right w:val="none" w:sz="0" w:space="0" w:color="auto"/>
          </w:divBdr>
        </w:div>
        <w:div w:id="1785270791">
          <w:marLeft w:val="0"/>
          <w:marRight w:val="0"/>
          <w:marTop w:val="0"/>
          <w:marBottom w:val="0"/>
          <w:divBdr>
            <w:top w:val="none" w:sz="0" w:space="0" w:color="auto"/>
            <w:left w:val="none" w:sz="0" w:space="0" w:color="auto"/>
            <w:bottom w:val="none" w:sz="0" w:space="0" w:color="auto"/>
            <w:right w:val="none" w:sz="0" w:space="0" w:color="auto"/>
          </w:divBdr>
        </w:div>
        <w:div w:id="571349474">
          <w:marLeft w:val="0"/>
          <w:marRight w:val="0"/>
          <w:marTop w:val="0"/>
          <w:marBottom w:val="0"/>
          <w:divBdr>
            <w:top w:val="none" w:sz="0" w:space="0" w:color="auto"/>
            <w:left w:val="none" w:sz="0" w:space="0" w:color="auto"/>
            <w:bottom w:val="none" w:sz="0" w:space="0" w:color="auto"/>
            <w:right w:val="none" w:sz="0" w:space="0" w:color="auto"/>
          </w:divBdr>
        </w:div>
        <w:div w:id="1882128891">
          <w:marLeft w:val="0"/>
          <w:marRight w:val="0"/>
          <w:marTop w:val="0"/>
          <w:marBottom w:val="0"/>
          <w:divBdr>
            <w:top w:val="none" w:sz="0" w:space="0" w:color="auto"/>
            <w:left w:val="none" w:sz="0" w:space="0" w:color="auto"/>
            <w:bottom w:val="none" w:sz="0" w:space="0" w:color="auto"/>
            <w:right w:val="none" w:sz="0" w:space="0" w:color="auto"/>
          </w:divBdr>
        </w:div>
        <w:div w:id="2085947822">
          <w:marLeft w:val="0"/>
          <w:marRight w:val="0"/>
          <w:marTop w:val="0"/>
          <w:marBottom w:val="0"/>
          <w:divBdr>
            <w:top w:val="none" w:sz="0" w:space="0" w:color="auto"/>
            <w:left w:val="none" w:sz="0" w:space="0" w:color="auto"/>
            <w:bottom w:val="none" w:sz="0" w:space="0" w:color="auto"/>
            <w:right w:val="none" w:sz="0" w:space="0" w:color="auto"/>
          </w:divBdr>
        </w:div>
        <w:div w:id="1698581967">
          <w:marLeft w:val="0"/>
          <w:marRight w:val="0"/>
          <w:marTop w:val="0"/>
          <w:marBottom w:val="0"/>
          <w:divBdr>
            <w:top w:val="none" w:sz="0" w:space="0" w:color="auto"/>
            <w:left w:val="none" w:sz="0" w:space="0" w:color="auto"/>
            <w:bottom w:val="none" w:sz="0" w:space="0" w:color="auto"/>
            <w:right w:val="none" w:sz="0" w:space="0" w:color="auto"/>
          </w:divBdr>
        </w:div>
        <w:div w:id="729304178">
          <w:marLeft w:val="0"/>
          <w:marRight w:val="0"/>
          <w:marTop w:val="0"/>
          <w:marBottom w:val="0"/>
          <w:divBdr>
            <w:top w:val="none" w:sz="0" w:space="0" w:color="auto"/>
            <w:left w:val="none" w:sz="0" w:space="0" w:color="auto"/>
            <w:bottom w:val="none" w:sz="0" w:space="0" w:color="auto"/>
            <w:right w:val="none" w:sz="0" w:space="0" w:color="auto"/>
          </w:divBdr>
        </w:div>
        <w:div w:id="1311712122">
          <w:marLeft w:val="0"/>
          <w:marRight w:val="0"/>
          <w:marTop w:val="0"/>
          <w:marBottom w:val="0"/>
          <w:divBdr>
            <w:top w:val="none" w:sz="0" w:space="0" w:color="auto"/>
            <w:left w:val="none" w:sz="0" w:space="0" w:color="auto"/>
            <w:bottom w:val="none" w:sz="0" w:space="0" w:color="auto"/>
            <w:right w:val="none" w:sz="0" w:space="0" w:color="auto"/>
          </w:divBdr>
        </w:div>
        <w:div w:id="220095123">
          <w:marLeft w:val="0"/>
          <w:marRight w:val="0"/>
          <w:marTop w:val="0"/>
          <w:marBottom w:val="0"/>
          <w:divBdr>
            <w:top w:val="none" w:sz="0" w:space="0" w:color="auto"/>
            <w:left w:val="none" w:sz="0" w:space="0" w:color="auto"/>
            <w:bottom w:val="none" w:sz="0" w:space="0" w:color="auto"/>
            <w:right w:val="none" w:sz="0" w:space="0" w:color="auto"/>
          </w:divBdr>
        </w:div>
        <w:div w:id="1150633306">
          <w:marLeft w:val="0"/>
          <w:marRight w:val="0"/>
          <w:marTop w:val="0"/>
          <w:marBottom w:val="0"/>
          <w:divBdr>
            <w:top w:val="none" w:sz="0" w:space="0" w:color="auto"/>
            <w:left w:val="none" w:sz="0" w:space="0" w:color="auto"/>
            <w:bottom w:val="none" w:sz="0" w:space="0" w:color="auto"/>
            <w:right w:val="none" w:sz="0" w:space="0" w:color="auto"/>
          </w:divBdr>
        </w:div>
        <w:div w:id="702366216">
          <w:marLeft w:val="0"/>
          <w:marRight w:val="0"/>
          <w:marTop w:val="0"/>
          <w:marBottom w:val="0"/>
          <w:divBdr>
            <w:top w:val="none" w:sz="0" w:space="0" w:color="auto"/>
            <w:left w:val="none" w:sz="0" w:space="0" w:color="auto"/>
            <w:bottom w:val="none" w:sz="0" w:space="0" w:color="auto"/>
            <w:right w:val="none" w:sz="0" w:space="0" w:color="auto"/>
          </w:divBdr>
        </w:div>
        <w:div w:id="1125001813">
          <w:marLeft w:val="0"/>
          <w:marRight w:val="0"/>
          <w:marTop w:val="0"/>
          <w:marBottom w:val="0"/>
          <w:divBdr>
            <w:top w:val="none" w:sz="0" w:space="0" w:color="auto"/>
            <w:left w:val="none" w:sz="0" w:space="0" w:color="auto"/>
            <w:bottom w:val="none" w:sz="0" w:space="0" w:color="auto"/>
            <w:right w:val="none" w:sz="0" w:space="0" w:color="auto"/>
          </w:divBdr>
        </w:div>
      </w:divsChild>
    </w:div>
    <w:div w:id="193885871">
      <w:bodyDiv w:val="1"/>
      <w:marLeft w:val="0"/>
      <w:marRight w:val="0"/>
      <w:marTop w:val="0"/>
      <w:marBottom w:val="0"/>
      <w:divBdr>
        <w:top w:val="none" w:sz="0" w:space="0" w:color="auto"/>
        <w:left w:val="none" w:sz="0" w:space="0" w:color="auto"/>
        <w:bottom w:val="none" w:sz="0" w:space="0" w:color="auto"/>
        <w:right w:val="none" w:sz="0" w:space="0" w:color="auto"/>
      </w:divBdr>
      <w:divsChild>
        <w:div w:id="102579641">
          <w:marLeft w:val="0"/>
          <w:marRight w:val="0"/>
          <w:marTop w:val="0"/>
          <w:marBottom w:val="0"/>
          <w:divBdr>
            <w:top w:val="none" w:sz="0" w:space="0" w:color="auto"/>
            <w:left w:val="none" w:sz="0" w:space="0" w:color="auto"/>
            <w:bottom w:val="none" w:sz="0" w:space="0" w:color="auto"/>
            <w:right w:val="none" w:sz="0" w:space="0" w:color="auto"/>
          </w:divBdr>
        </w:div>
        <w:div w:id="69541301">
          <w:marLeft w:val="0"/>
          <w:marRight w:val="0"/>
          <w:marTop w:val="0"/>
          <w:marBottom w:val="0"/>
          <w:divBdr>
            <w:top w:val="none" w:sz="0" w:space="0" w:color="auto"/>
            <w:left w:val="none" w:sz="0" w:space="0" w:color="auto"/>
            <w:bottom w:val="none" w:sz="0" w:space="0" w:color="auto"/>
            <w:right w:val="none" w:sz="0" w:space="0" w:color="auto"/>
          </w:divBdr>
        </w:div>
        <w:div w:id="1001397789">
          <w:marLeft w:val="0"/>
          <w:marRight w:val="0"/>
          <w:marTop w:val="0"/>
          <w:marBottom w:val="0"/>
          <w:divBdr>
            <w:top w:val="none" w:sz="0" w:space="0" w:color="auto"/>
            <w:left w:val="none" w:sz="0" w:space="0" w:color="auto"/>
            <w:bottom w:val="none" w:sz="0" w:space="0" w:color="auto"/>
            <w:right w:val="none" w:sz="0" w:space="0" w:color="auto"/>
          </w:divBdr>
        </w:div>
        <w:div w:id="1429614735">
          <w:marLeft w:val="0"/>
          <w:marRight w:val="0"/>
          <w:marTop w:val="0"/>
          <w:marBottom w:val="0"/>
          <w:divBdr>
            <w:top w:val="none" w:sz="0" w:space="0" w:color="auto"/>
            <w:left w:val="none" w:sz="0" w:space="0" w:color="auto"/>
            <w:bottom w:val="none" w:sz="0" w:space="0" w:color="auto"/>
            <w:right w:val="none" w:sz="0" w:space="0" w:color="auto"/>
          </w:divBdr>
        </w:div>
        <w:div w:id="2144419524">
          <w:marLeft w:val="0"/>
          <w:marRight w:val="0"/>
          <w:marTop w:val="0"/>
          <w:marBottom w:val="0"/>
          <w:divBdr>
            <w:top w:val="none" w:sz="0" w:space="0" w:color="auto"/>
            <w:left w:val="none" w:sz="0" w:space="0" w:color="auto"/>
            <w:bottom w:val="none" w:sz="0" w:space="0" w:color="auto"/>
            <w:right w:val="none" w:sz="0" w:space="0" w:color="auto"/>
          </w:divBdr>
        </w:div>
        <w:div w:id="98183934">
          <w:marLeft w:val="0"/>
          <w:marRight w:val="0"/>
          <w:marTop w:val="0"/>
          <w:marBottom w:val="0"/>
          <w:divBdr>
            <w:top w:val="none" w:sz="0" w:space="0" w:color="auto"/>
            <w:left w:val="none" w:sz="0" w:space="0" w:color="auto"/>
            <w:bottom w:val="none" w:sz="0" w:space="0" w:color="auto"/>
            <w:right w:val="none" w:sz="0" w:space="0" w:color="auto"/>
          </w:divBdr>
        </w:div>
        <w:div w:id="1430738447">
          <w:marLeft w:val="0"/>
          <w:marRight w:val="0"/>
          <w:marTop w:val="0"/>
          <w:marBottom w:val="0"/>
          <w:divBdr>
            <w:top w:val="none" w:sz="0" w:space="0" w:color="auto"/>
            <w:left w:val="none" w:sz="0" w:space="0" w:color="auto"/>
            <w:bottom w:val="none" w:sz="0" w:space="0" w:color="auto"/>
            <w:right w:val="none" w:sz="0" w:space="0" w:color="auto"/>
          </w:divBdr>
        </w:div>
        <w:div w:id="508103185">
          <w:marLeft w:val="0"/>
          <w:marRight w:val="0"/>
          <w:marTop w:val="0"/>
          <w:marBottom w:val="0"/>
          <w:divBdr>
            <w:top w:val="none" w:sz="0" w:space="0" w:color="auto"/>
            <w:left w:val="none" w:sz="0" w:space="0" w:color="auto"/>
            <w:bottom w:val="none" w:sz="0" w:space="0" w:color="auto"/>
            <w:right w:val="none" w:sz="0" w:space="0" w:color="auto"/>
          </w:divBdr>
        </w:div>
        <w:div w:id="1107314866">
          <w:marLeft w:val="0"/>
          <w:marRight w:val="0"/>
          <w:marTop w:val="0"/>
          <w:marBottom w:val="0"/>
          <w:divBdr>
            <w:top w:val="none" w:sz="0" w:space="0" w:color="auto"/>
            <w:left w:val="none" w:sz="0" w:space="0" w:color="auto"/>
            <w:bottom w:val="none" w:sz="0" w:space="0" w:color="auto"/>
            <w:right w:val="none" w:sz="0" w:space="0" w:color="auto"/>
          </w:divBdr>
        </w:div>
        <w:div w:id="1636527959">
          <w:marLeft w:val="0"/>
          <w:marRight w:val="0"/>
          <w:marTop w:val="0"/>
          <w:marBottom w:val="0"/>
          <w:divBdr>
            <w:top w:val="none" w:sz="0" w:space="0" w:color="auto"/>
            <w:left w:val="none" w:sz="0" w:space="0" w:color="auto"/>
            <w:bottom w:val="none" w:sz="0" w:space="0" w:color="auto"/>
            <w:right w:val="none" w:sz="0" w:space="0" w:color="auto"/>
          </w:divBdr>
        </w:div>
      </w:divsChild>
    </w:div>
    <w:div w:id="237599489">
      <w:bodyDiv w:val="1"/>
      <w:marLeft w:val="0"/>
      <w:marRight w:val="0"/>
      <w:marTop w:val="0"/>
      <w:marBottom w:val="0"/>
      <w:divBdr>
        <w:top w:val="none" w:sz="0" w:space="0" w:color="auto"/>
        <w:left w:val="none" w:sz="0" w:space="0" w:color="auto"/>
        <w:bottom w:val="none" w:sz="0" w:space="0" w:color="auto"/>
        <w:right w:val="none" w:sz="0" w:space="0" w:color="auto"/>
      </w:divBdr>
      <w:divsChild>
        <w:div w:id="868449678">
          <w:marLeft w:val="0"/>
          <w:marRight w:val="0"/>
          <w:marTop w:val="0"/>
          <w:marBottom w:val="0"/>
          <w:divBdr>
            <w:top w:val="none" w:sz="0" w:space="0" w:color="auto"/>
            <w:left w:val="none" w:sz="0" w:space="0" w:color="auto"/>
            <w:bottom w:val="none" w:sz="0" w:space="0" w:color="auto"/>
            <w:right w:val="none" w:sz="0" w:space="0" w:color="auto"/>
          </w:divBdr>
        </w:div>
        <w:div w:id="1651011702">
          <w:marLeft w:val="0"/>
          <w:marRight w:val="0"/>
          <w:marTop w:val="0"/>
          <w:marBottom w:val="0"/>
          <w:divBdr>
            <w:top w:val="none" w:sz="0" w:space="0" w:color="auto"/>
            <w:left w:val="none" w:sz="0" w:space="0" w:color="auto"/>
            <w:bottom w:val="none" w:sz="0" w:space="0" w:color="auto"/>
            <w:right w:val="none" w:sz="0" w:space="0" w:color="auto"/>
          </w:divBdr>
        </w:div>
        <w:div w:id="2105567677">
          <w:marLeft w:val="0"/>
          <w:marRight w:val="0"/>
          <w:marTop w:val="0"/>
          <w:marBottom w:val="0"/>
          <w:divBdr>
            <w:top w:val="none" w:sz="0" w:space="0" w:color="auto"/>
            <w:left w:val="none" w:sz="0" w:space="0" w:color="auto"/>
            <w:bottom w:val="none" w:sz="0" w:space="0" w:color="auto"/>
            <w:right w:val="none" w:sz="0" w:space="0" w:color="auto"/>
          </w:divBdr>
        </w:div>
        <w:div w:id="647129854">
          <w:marLeft w:val="0"/>
          <w:marRight w:val="0"/>
          <w:marTop w:val="0"/>
          <w:marBottom w:val="0"/>
          <w:divBdr>
            <w:top w:val="none" w:sz="0" w:space="0" w:color="auto"/>
            <w:left w:val="none" w:sz="0" w:space="0" w:color="auto"/>
            <w:bottom w:val="none" w:sz="0" w:space="0" w:color="auto"/>
            <w:right w:val="none" w:sz="0" w:space="0" w:color="auto"/>
          </w:divBdr>
        </w:div>
        <w:div w:id="1193038463">
          <w:marLeft w:val="0"/>
          <w:marRight w:val="0"/>
          <w:marTop w:val="0"/>
          <w:marBottom w:val="0"/>
          <w:divBdr>
            <w:top w:val="none" w:sz="0" w:space="0" w:color="auto"/>
            <w:left w:val="none" w:sz="0" w:space="0" w:color="auto"/>
            <w:bottom w:val="none" w:sz="0" w:space="0" w:color="auto"/>
            <w:right w:val="none" w:sz="0" w:space="0" w:color="auto"/>
          </w:divBdr>
        </w:div>
        <w:div w:id="1797287485">
          <w:marLeft w:val="0"/>
          <w:marRight w:val="0"/>
          <w:marTop w:val="0"/>
          <w:marBottom w:val="0"/>
          <w:divBdr>
            <w:top w:val="none" w:sz="0" w:space="0" w:color="auto"/>
            <w:left w:val="none" w:sz="0" w:space="0" w:color="auto"/>
            <w:bottom w:val="none" w:sz="0" w:space="0" w:color="auto"/>
            <w:right w:val="none" w:sz="0" w:space="0" w:color="auto"/>
          </w:divBdr>
        </w:div>
        <w:div w:id="1206992508">
          <w:marLeft w:val="0"/>
          <w:marRight w:val="0"/>
          <w:marTop w:val="0"/>
          <w:marBottom w:val="0"/>
          <w:divBdr>
            <w:top w:val="none" w:sz="0" w:space="0" w:color="auto"/>
            <w:left w:val="none" w:sz="0" w:space="0" w:color="auto"/>
            <w:bottom w:val="none" w:sz="0" w:space="0" w:color="auto"/>
            <w:right w:val="none" w:sz="0" w:space="0" w:color="auto"/>
          </w:divBdr>
        </w:div>
        <w:div w:id="789472490">
          <w:marLeft w:val="0"/>
          <w:marRight w:val="0"/>
          <w:marTop w:val="0"/>
          <w:marBottom w:val="0"/>
          <w:divBdr>
            <w:top w:val="none" w:sz="0" w:space="0" w:color="auto"/>
            <w:left w:val="none" w:sz="0" w:space="0" w:color="auto"/>
            <w:bottom w:val="none" w:sz="0" w:space="0" w:color="auto"/>
            <w:right w:val="none" w:sz="0" w:space="0" w:color="auto"/>
          </w:divBdr>
        </w:div>
      </w:divsChild>
    </w:div>
    <w:div w:id="238944274">
      <w:bodyDiv w:val="1"/>
      <w:marLeft w:val="0"/>
      <w:marRight w:val="0"/>
      <w:marTop w:val="0"/>
      <w:marBottom w:val="0"/>
      <w:divBdr>
        <w:top w:val="none" w:sz="0" w:space="0" w:color="auto"/>
        <w:left w:val="none" w:sz="0" w:space="0" w:color="auto"/>
        <w:bottom w:val="none" w:sz="0" w:space="0" w:color="auto"/>
        <w:right w:val="none" w:sz="0" w:space="0" w:color="auto"/>
      </w:divBdr>
    </w:div>
    <w:div w:id="241648483">
      <w:bodyDiv w:val="1"/>
      <w:marLeft w:val="0"/>
      <w:marRight w:val="0"/>
      <w:marTop w:val="0"/>
      <w:marBottom w:val="0"/>
      <w:divBdr>
        <w:top w:val="none" w:sz="0" w:space="0" w:color="auto"/>
        <w:left w:val="none" w:sz="0" w:space="0" w:color="auto"/>
        <w:bottom w:val="none" w:sz="0" w:space="0" w:color="auto"/>
        <w:right w:val="none" w:sz="0" w:space="0" w:color="auto"/>
      </w:divBdr>
      <w:divsChild>
        <w:div w:id="1157377097">
          <w:marLeft w:val="720"/>
          <w:marRight w:val="0"/>
          <w:marTop w:val="80"/>
          <w:marBottom w:val="0"/>
          <w:divBdr>
            <w:top w:val="none" w:sz="0" w:space="0" w:color="auto"/>
            <w:left w:val="none" w:sz="0" w:space="0" w:color="auto"/>
            <w:bottom w:val="none" w:sz="0" w:space="0" w:color="auto"/>
            <w:right w:val="none" w:sz="0" w:space="0" w:color="auto"/>
          </w:divBdr>
        </w:div>
      </w:divsChild>
    </w:div>
    <w:div w:id="266737482">
      <w:bodyDiv w:val="1"/>
      <w:marLeft w:val="0"/>
      <w:marRight w:val="0"/>
      <w:marTop w:val="0"/>
      <w:marBottom w:val="0"/>
      <w:divBdr>
        <w:top w:val="none" w:sz="0" w:space="0" w:color="auto"/>
        <w:left w:val="none" w:sz="0" w:space="0" w:color="auto"/>
        <w:bottom w:val="none" w:sz="0" w:space="0" w:color="auto"/>
        <w:right w:val="none" w:sz="0" w:space="0" w:color="auto"/>
      </w:divBdr>
      <w:divsChild>
        <w:div w:id="366221965">
          <w:marLeft w:val="0"/>
          <w:marRight w:val="0"/>
          <w:marTop w:val="0"/>
          <w:marBottom w:val="0"/>
          <w:divBdr>
            <w:top w:val="none" w:sz="0" w:space="0" w:color="auto"/>
            <w:left w:val="none" w:sz="0" w:space="0" w:color="auto"/>
            <w:bottom w:val="none" w:sz="0" w:space="0" w:color="auto"/>
            <w:right w:val="none" w:sz="0" w:space="0" w:color="auto"/>
          </w:divBdr>
          <w:divsChild>
            <w:div w:id="430203434">
              <w:marLeft w:val="0"/>
              <w:marRight w:val="0"/>
              <w:marTop w:val="0"/>
              <w:marBottom w:val="0"/>
              <w:divBdr>
                <w:top w:val="none" w:sz="0" w:space="0" w:color="auto"/>
                <w:left w:val="none" w:sz="0" w:space="0" w:color="auto"/>
                <w:bottom w:val="none" w:sz="0" w:space="0" w:color="auto"/>
                <w:right w:val="none" w:sz="0" w:space="0" w:color="auto"/>
              </w:divBdr>
              <w:divsChild>
                <w:div w:id="62974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120776">
      <w:bodyDiv w:val="1"/>
      <w:marLeft w:val="0"/>
      <w:marRight w:val="0"/>
      <w:marTop w:val="0"/>
      <w:marBottom w:val="0"/>
      <w:divBdr>
        <w:top w:val="none" w:sz="0" w:space="0" w:color="auto"/>
        <w:left w:val="none" w:sz="0" w:space="0" w:color="auto"/>
        <w:bottom w:val="none" w:sz="0" w:space="0" w:color="auto"/>
        <w:right w:val="none" w:sz="0" w:space="0" w:color="auto"/>
      </w:divBdr>
      <w:divsChild>
        <w:div w:id="1889299738">
          <w:marLeft w:val="0"/>
          <w:marRight w:val="0"/>
          <w:marTop w:val="0"/>
          <w:marBottom w:val="0"/>
          <w:divBdr>
            <w:top w:val="none" w:sz="0" w:space="0" w:color="auto"/>
            <w:left w:val="none" w:sz="0" w:space="0" w:color="auto"/>
            <w:bottom w:val="none" w:sz="0" w:space="0" w:color="auto"/>
            <w:right w:val="none" w:sz="0" w:space="0" w:color="auto"/>
          </w:divBdr>
        </w:div>
        <w:div w:id="944927056">
          <w:marLeft w:val="0"/>
          <w:marRight w:val="0"/>
          <w:marTop w:val="0"/>
          <w:marBottom w:val="0"/>
          <w:divBdr>
            <w:top w:val="none" w:sz="0" w:space="0" w:color="auto"/>
            <w:left w:val="none" w:sz="0" w:space="0" w:color="auto"/>
            <w:bottom w:val="none" w:sz="0" w:space="0" w:color="auto"/>
            <w:right w:val="none" w:sz="0" w:space="0" w:color="auto"/>
          </w:divBdr>
        </w:div>
        <w:div w:id="895048727">
          <w:marLeft w:val="0"/>
          <w:marRight w:val="0"/>
          <w:marTop w:val="0"/>
          <w:marBottom w:val="0"/>
          <w:divBdr>
            <w:top w:val="none" w:sz="0" w:space="0" w:color="auto"/>
            <w:left w:val="none" w:sz="0" w:space="0" w:color="auto"/>
            <w:bottom w:val="none" w:sz="0" w:space="0" w:color="auto"/>
            <w:right w:val="none" w:sz="0" w:space="0" w:color="auto"/>
          </w:divBdr>
        </w:div>
        <w:div w:id="291836987">
          <w:marLeft w:val="0"/>
          <w:marRight w:val="0"/>
          <w:marTop w:val="0"/>
          <w:marBottom w:val="0"/>
          <w:divBdr>
            <w:top w:val="none" w:sz="0" w:space="0" w:color="auto"/>
            <w:left w:val="none" w:sz="0" w:space="0" w:color="auto"/>
            <w:bottom w:val="none" w:sz="0" w:space="0" w:color="auto"/>
            <w:right w:val="none" w:sz="0" w:space="0" w:color="auto"/>
          </w:divBdr>
        </w:div>
        <w:div w:id="936013546">
          <w:marLeft w:val="0"/>
          <w:marRight w:val="0"/>
          <w:marTop w:val="0"/>
          <w:marBottom w:val="0"/>
          <w:divBdr>
            <w:top w:val="none" w:sz="0" w:space="0" w:color="auto"/>
            <w:left w:val="none" w:sz="0" w:space="0" w:color="auto"/>
            <w:bottom w:val="none" w:sz="0" w:space="0" w:color="auto"/>
            <w:right w:val="none" w:sz="0" w:space="0" w:color="auto"/>
          </w:divBdr>
        </w:div>
        <w:div w:id="976177888">
          <w:marLeft w:val="0"/>
          <w:marRight w:val="0"/>
          <w:marTop w:val="0"/>
          <w:marBottom w:val="0"/>
          <w:divBdr>
            <w:top w:val="none" w:sz="0" w:space="0" w:color="auto"/>
            <w:left w:val="none" w:sz="0" w:space="0" w:color="auto"/>
            <w:bottom w:val="none" w:sz="0" w:space="0" w:color="auto"/>
            <w:right w:val="none" w:sz="0" w:space="0" w:color="auto"/>
          </w:divBdr>
        </w:div>
      </w:divsChild>
    </w:div>
    <w:div w:id="387997824">
      <w:bodyDiv w:val="1"/>
      <w:marLeft w:val="0"/>
      <w:marRight w:val="0"/>
      <w:marTop w:val="0"/>
      <w:marBottom w:val="0"/>
      <w:divBdr>
        <w:top w:val="none" w:sz="0" w:space="0" w:color="auto"/>
        <w:left w:val="none" w:sz="0" w:space="0" w:color="auto"/>
        <w:bottom w:val="none" w:sz="0" w:space="0" w:color="auto"/>
        <w:right w:val="none" w:sz="0" w:space="0" w:color="auto"/>
      </w:divBdr>
      <w:divsChild>
        <w:div w:id="283318995">
          <w:marLeft w:val="480"/>
          <w:marRight w:val="0"/>
          <w:marTop w:val="0"/>
          <w:marBottom w:val="0"/>
          <w:divBdr>
            <w:top w:val="none" w:sz="0" w:space="0" w:color="auto"/>
            <w:left w:val="none" w:sz="0" w:space="0" w:color="auto"/>
            <w:bottom w:val="none" w:sz="0" w:space="0" w:color="auto"/>
            <w:right w:val="none" w:sz="0" w:space="0" w:color="auto"/>
          </w:divBdr>
          <w:divsChild>
            <w:div w:id="300883766">
              <w:marLeft w:val="0"/>
              <w:marRight w:val="0"/>
              <w:marTop w:val="0"/>
              <w:marBottom w:val="240"/>
              <w:divBdr>
                <w:top w:val="none" w:sz="0" w:space="0" w:color="auto"/>
                <w:left w:val="none" w:sz="0" w:space="0" w:color="auto"/>
                <w:bottom w:val="none" w:sz="0" w:space="0" w:color="auto"/>
                <w:right w:val="none" w:sz="0" w:space="0" w:color="auto"/>
              </w:divBdr>
            </w:div>
            <w:div w:id="1684160087">
              <w:marLeft w:val="0"/>
              <w:marRight w:val="0"/>
              <w:marTop w:val="0"/>
              <w:marBottom w:val="240"/>
              <w:divBdr>
                <w:top w:val="none" w:sz="0" w:space="0" w:color="auto"/>
                <w:left w:val="none" w:sz="0" w:space="0" w:color="auto"/>
                <w:bottom w:val="none" w:sz="0" w:space="0" w:color="auto"/>
                <w:right w:val="none" w:sz="0" w:space="0" w:color="auto"/>
              </w:divBdr>
            </w:div>
            <w:div w:id="935400788">
              <w:marLeft w:val="0"/>
              <w:marRight w:val="0"/>
              <w:marTop w:val="0"/>
              <w:marBottom w:val="240"/>
              <w:divBdr>
                <w:top w:val="none" w:sz="0" w:space="0" w:color="auto"/>
                <w:left w:val="none" w:sz="0" w:space="0" w:color="auto"/>
                <w:bottom w:val="none" w:sz="0" w:space="0" w:color="auto"/>
                <w:right w:val="none" w:sz="0" w:space="0" w:color="auto"/>
              </w:divBdr>
            </w:div>
            <w:div w:id="1297292242">
              <w:marLeft w:val="0"/>
              <w:marRight w:val="0"/>
              <w:marTop w:val="0"/>
              <w:marBottom w:val="240"/>
              <w:divBdr>
                <w:top w:val="none" w:sz="0" w:space="0" w:color="auto"/>
                <w:left w:val="none" w:sz="0" w:space="0" w:color="auto"/>
                <w:bottom w:val="none" w:sz="0" w:space="0" w:color="auto"/>
                <w:right w:val="none" w:sz="0" w:space="0" w:color="auto"/>
              </w:divBdr>
            </w:div>
            <w:div w:id="1624731416">
              <w:marLeft w:val="0"/>
              <w:marRight w:val="0"/>
              <w:marTop w:val="0"/>
              <w:marBottom w:val="240"/>
              <w:divBdr>
                <w:top w:val="none" w:sz="0" w:space="0" w:color="auto"/>
                <w:left w:val="none" w:sz="0" w:space="0" w:color="auto"/>
                <w:bottom w:val="none" w:sz="0" w:space="0" w:color="auto"/>
                <w:right w:val="none" w:sz="0" w:space="0" w:color="auto"/>
              </w:divBdr>
            </w:div>
            <w:div w:id="482550881">
              <w:marLeft w:val="0"/>
              <w:marRight w:val="0"/>
              <w:marTop w:val="0"/>
              <w:marBottom w:val="240"/>
              <w:divBdr>
                <w:top w:val="none" w:sz="0" w:space="0" w:color="auto"/>
                <w:left w:val="none" w:sz="0" w:space="0" w:color="auto"/>
                <w:bottom w:val="none" w:sz="0" w:space="0" w:color="auto"/>
                <w:right w:val="none" w:sz="0" w:space="0" w:color="auto"/>
              </w:divBdr>
            </w:div>
            <w:div w:id="1100835841">
              <w:marLeft w:val="0"/>
              <w:marRight w:val="0"/>
              <w:marTop w:val="0"/>
              <w:marBottom w:val="240"/>
              <w:divBdr>
                <w:top w:val="none" w:sz="0" w:space="0" w:color="auto"/>
                <w:left w:val="none" w:sz="0" w:space="0" w:color="auto"/>
                <w:bottom w:val="none" w:sz="0" w:space="0" w:color="auto"/>
                <w:right w:val="none" w:sz="0" w:space="0" w:color="auto"/>
              </w:divBdr>
            </w:div>
            <w:div w:id="449663442">
              <w:marLeft w:val="0"/>
              <w:marRight w:val="0"/>
              <w:marTop w:val="0"/>
              <w:marBottom w:val="240"/>
              <w:divBdr>
                <w:top w:val="none" w:sz="0" w:space="0" w:color="auto"/>
                <w:left w:val="none" w:sz="0" w:space="0" w:color="auto"/>
                <w:bottom w:val="none" w:sz="0" w:space="0" w:color="auto"/>
                <w:right w:val="none" w:sz="0" w:space="0" w:color="auto"/>
              </w:divBdr>
            </w:div>
            <w:div w:id="180631426">
              <w:marLeft w:val="0"/>
              <w:marRight w:val="0"/>
              <w:marTop w:val="0"/>
              <w:marBottom w:val="240"/>
              <w:divBdr>
                <w:top w:val="none" w:sz="0" w:space="0" w:color="auto"/>
                <w:left w:val="none" w:sz="0" w:space="0" w:color="auto"/>
                <w:bottom w:val="none" w:sz="0" w:space="0" w:color="auto"/>
                <w:right w:val="none" w:sz="0" w:space="0" w:color="auto"/>
              </w:divBdr>
            </w:div>
            <w:div w:id="502355377">
              <w:marLeft w:val="0"/>
              <w:marRight w:val="0"/>
              <w:marTop w:val="0"/>
              <w:marBottom w:val="240"/>
              <w:divBdr>
                <w:top w:val="none" w:sz="0" w:space="0" w:color="auto"/>
                <w:left w:val="none" w:sz="0" w:space="0" w:color="auto"/>
                <w:bottom w:val="none" w:sz="0" w:space="0" w:color="auto"/>
                <w:right w:val="none" w:sz="0" w:space="0" w:color="auto"/>
              </w:divBdr>
            </w:div>
            <w:div w:id="301468106">
              <w:marLeft w:val="0"/>
              <w:marRight w:val="0"/>
              <w:marTop w:val="0"/>
              <w:marBottom w:val="240"/>
              <w:divBdr>
                <w:top w:val="none" w:sz="0" w:space="0" w:color="auto"/>
                <w:left w:val="none" w:sz="0" w:space="0" w:color="auto"/>
                <w:bottom w:val="none" w:sz="0" w:space="0" w:color="auto"/>
                <w:right w:val="none" w:sz="0" w:space="0" w:color="auto"/>
              </w:divBdr>
            </w:div>
            <w:div w:id="77681061">
              <w:marLeft w:val="0"/>
              <w:marRight w:val="0"/>
              <w:marTop w:val="0"/>
              <w:marBottom w:val="240"/>
              <w:divBdr>
                <w:top w:val="none" w:sz="0" w:space="0" w:color="auto"/>
                <w:left w:val="none" w:sz="0" w:space="0" w:color="auto"/>
                <w:bottom w:val="none" w:sz="0" w:space="0" w:color="auto"/>
                <w:right w:val="none" w:sz="0" w:space="0" w:color="auto"/>
              </w:divBdr>
            </w:div>
            <w:div w:id="1018390417">
              <w:marLeft w:val="0"/>
              <w:marRight w:val="0"/>
              <w:marTop w:val="0"/>
              <w:marBottom w:val="240"/>
              <w:divBdr>
                <w:top w:val="none" w:sz="0" w:space="0" w:color="auto"/>
                <w:left w:val="none" w:sz="0" w:space="0" w:color="auto"/>
                <w:bottom w:val="none" w:sz="0" w:space="0" w:color="auto"/>
                <w:right w:val="none" w:sz="0" w:space="0" w:color="auto"/>
              </w:divBdr>
            </w:div>
            <w:div w:id="1031152785">
              <w:marLeft w:val="0"/>
              <w:marRight w:val="0"/>
              <w:marTop w:val="0"/>
              <w:marBottom w:val="240"/>
              <w:divBdr>
                <w:top w:val="none" w:sz="0" w:space="0" w:color="auto"/>
                <w:left w:val="none" w:sz="0" w:space="0" w:color="auto"/>
                <w:bottom w:val="none" w:sz="0" w:space="0" w:color="auto"/>
                <w:right w:val="none" w:sz="0" w:space="0" w:color="auto"/>
              </w:divBdr>
            </w:div>
            <w:div w:id="1571845143">
              <w:marLeft w:val="0"/>
              <w:marRight w:val="0"/>
              <w:marTop w:val="0"/>
              <w:marBottom w:val="240"/>
              <w:divBdr>
                <w:top w:val="none" w:sz="0" w:space="0" w:color="auto"/>
                <w:left w:val="none" w:sz="0" w:space="0" w:color="auto"/>
                <w:bottom w:val="none" w:sz="0" w:space="0" w:color="auto"/>
                <w:right w:val="none" w:sz="0" w:space="0" w:color="auto"/>
              </w:divBdr>
            </w:div>
            <w:div w:id="887644667">
              <w:marLeft w:val="0"/>
              <w:marRight w:val="0"/>
              <w:marTop w:val="0"/>
              <w:marBottom w:val="240"/>
              <w:divBdr>
                <w:top w:val="none" w:sz="0" w:space="0" w:color="auto"/>
                <w:left w:val="none" w:sz="0" w:space="0" w:color="auto"/>
                <w:bottom w:val="none" w:sz="0" w:space="0" w:color="auto"/>
                <w:right w:val="none" w:sz="0" w:space="0" w:color="auto"/>
              </w:divBdr>
            </w:div>
            <w:div w:id="216549949">
              <w:marLeft w:val="0"/>
              <w:marRight w:val="0"/>
              <w:marTop w:val="0"/>
              <w:marBottom w:val="240"/>
              <w:divBdr>
                <w:top w:val="none" w:sz="0" w:space="0" w:color="auto"/>
                <w:left w:val="none" w:sz="0" w:space="0" w:color="auto"/>
                <w:bottom w:val="none" w:sz="0" w:space="0" w:color="auto"/>
                <w:right w:val="none" w:sz="0" w:space="0" w:color="auto"/>
              </w:divBdr>
            </w:div>
            <w:div w:id="580067099">
              <w:marLeft w:val="0"/>
              <w:marRight w:val="0"/>
              <w:marTop w:val="0"/>
              <w:marBottom w:val="240"/>
              <w:divBdr>
                <w:top w:val="none" w:sz="0" w:space="0" w:color="auto"/>
                <w:left w:val="none" w:sz="0" w:space="0" w:color="auto"/>
                <w:bottom w:val="none" w:sz="0" w:space="0" w:color="auto"/>
                <w:right w:val="none" w:sz="0" w:space="0" w:color="auto"/>
              </w:divBdr>
            </w:div>
            <w:div w:id="1812289665">
              <w:marLeft w:val="0"/>
              <w:marRight w:val="0"/>
              <w:marTop w:val="0"/>
              <w:marBottom w:val="240"/>
              <w:divBdr>
                <w:top w:val="none" w:sz="0" w:space="0" w:color="auto"/>
                <w:left w:val="none" w:sz="0" w:space="0" w:color="auto"/>
                <w:bottom w:val="none" w:sz="0" w:space="0" w:color="auto"/>
                <w:right w:val="none" w:sz="0" w:space="0" w:color="auto"/>
              </w:divBdr>
            </w:div>
            <w:div w:id="1942448947">
              <w:marLeft w:val="0"/>
              <w:marRight w:val="0"/>
              <w:marTop w:val="0"/>
              <w:marBottom w:val="240"/>
              <w:divBdr>
                <w:top w:val="none" w:sz="0" w:space="0" w:color="auto"/>
                <w:left w:val="none" w:sz="0" w:space="0" w:color="auto"/>
                <w:bottom w:val="none" w:sz="0" w:space="0" w:color="auto"/>
                <w:right w:val="none" w:sz="0" w:space="0" w:color="auto"/>
              </w:divBdr>
            </w:div>
            <w:div w:id="543295384">
              <w:marLeft w:val="0"/>
              <w:marRight w:val="0"/>
              <w:marTop w:val="0"/>
              <w:marBottom w:val="240"/>
              <w:divBdr>
                <w:top w:val="none" w:sz="0" w:space="0" w:color="auto"/>
                <w:left w:val="none" w:sz="0" w:space="0" w:color="auto"/>
                <w:bottom w:val="none" w:sz="0" w:space="0" w:color="auto"/>
                <w:right w:val="none" w:sz="0" w:space="0" w:color="auto"/>
              </w:divBdr>
            </w:div>
            <w:div w:id="1447919532">
              <w:marLeft w:val="0"/>
              <w:marRight w:val="0"/>
              <w:marTop w:val="0"/>
              <w:marBottom w:val="240"/>
              <w:divBdr>
                <w:top w:val="none" w:sz="0" w:space="0" w:color="auto"/>
                <w:left w:val="none" w:sz="0" w:space="0" w:color="auto"/>
                <w:bottom w:val="none" w:sz="0" w:space="0" w:color="auto"/>
                <w:right w:val="none" w:sz="0" w:space="0" w:color="auto"/>
              </w:divBdr>
            </w:div>
            <w:div w:id="591815634">
              <w:marLeft w:val="0"/>
              <w:marRight w:val="0"/>
              <w:marTop w:val="0"/>
              <w:marBottom w:val="240"/>
              <w:divBdr>
                <w:top w:val="none" w:sz="0" w:space="0" w:color="auto"/>
                <w:left w:val="none" w:sz="0" w:space="0" w:color="auto"/>
                <w:bottom w:val="none" w:sz="0" w:space="0" w:color="auto"/>
                <w:right w:val="none" w:sz="0" w:space="0" w:color="auto"/>
              </w:divBdr>
            </w:div>
            <w:div w:id="312219714">
              <w:marLeft w:val="0"/>
              <w:marRight w:val="0"/>
              <w:marTop w:val="0"/>
              <w:marBottom w:val="240"/>
              <w:divBdr>
                <w:top w:val="none" w:sz="0" w:space="0" w:color="auto"/>
                <w:left w:val="none" w:sz="0" w:space="0" w:color="auto"/>
                <w:bottom w:val="none" w:sz="0" w:space="0" w:color="auto"/>
                <w:right w:val="none" w:sz="0" w:space="0" w:color="auto"/>
              </w:divBdr>
            </w:div>
            <w:div w:id="905070789">
              <w:marLeft w:val="0"/>
              <w:marRight w:val="0"/>
              <w:marTop w:val="0"/>
              <w:marBottom w:val="240"/>
              <w:divBdr>
                <w:top w:val="none" w:sz="0" w:space="0" w:color="auto"/>
                <w:left w:val="none" w:sz="0" w:space="0" w:color="auto"/>
                <w:bottom w:val="none" w:sz="0" w:space="0" w:color="auto"/>
                <w:right w:val="none" w:sz="0" w:space="0" w:color="auto"/>
              </w:divBdr>
            </w:div>
            <w:div w:id="1059135904">
              <w:marLeft w:val="0"/>
              <w:marRight w:val="0"/>
              <w:marTop w:val="0"/>
              <w:marBottom w:val="240"/>
              <w:divBdr>
                <w:top w:val="none" w:sz="0" w:space="0" w:color="auto"/>
                <w:left w:val="none" w:sz="0" w:space="0" w:color="auto"/>
                <w:bottom w:val="none" w:sz="0" w:space="0" w:color="auto"/>
                <w:right w:val="none" w:sz="0" w:space="0" w:color="auto"/>
              </w:divBdr>
            </w:div>
            <w:div w:id="2098167328">
              <w:marLeft w:val="0"/>
              <w:marRight w:val="0"/>
              <w:marTop w:val="0"/>
              <w:marBottom w:val="240"/>
              <w:divBdr>
                <w:top w:val="none" w:sz="0" w:space="0" w:color="auto"/>
                <w:left w:val="none" w:sz="0" w:space="0" w:color="auto"/>
                <w:bottom w:val="none" w:sz="0" w:space="0" w:color="auto"/>
                <w:right w:val="none" w:sz="0" w:space="0" w:color="auto"/>
              </w:divBdr>
            </w:div>
            <w:div w:id="801583040">
              <w:marLeft w:val="0"/>
              <w:marRight w:val="0"/>
              <w:marTop w:val="0"/>
              <w:marBottom w:val="240"/>
              <w:divBdr>
                <w:top w:val="none" w:sz="0" w:space="0" w:color="auto"/>
                <w:left w:val="none" w:sz="0" w:space="0" w:color="auto"/>
                <w:bottom w:val="none" w:sz="0" w:space="0" w:color="auto"/>
                <w:right w:val="none" w:sz="0" w:space="0" w:color="auto"/>
              </w:divBdr>
            </w:div>
            <w:div w:id="1968508232">
              <w:marLeft w:val="0"/>
              <w:marRight w:val="0"/>
              <w:marTop w:val="0"/>
              <w:marBottom w:val="240"/>
              <w:divBdr>
                <w:top w:val="none" w:sz="0" w:space="0" w:color="auto"/>
                <w:left w:val="none" w:sz="0" w:space="0" w:color="auto"/>
                <w:bottom w:val="none" w:sz="0" w:space="0" w:color="auto"/>
                <w:right w:val="none" w:sz="0" w:space="0" w:color="auto"/>
              </w:divBdr>
            </w:div>
            <w:div w:id="373191720">
              <w:marLeft w:val="0"/>
              <w:marRight w:val="0"/>
              <w:marTop w:val="0"/>
              <w:marBottom w:val="240"/>
              <w:divBdr>
                <w:top w:val="none" w:sz="0" w:space="0" w:color="auto"/>
                <w:left w:val="none" w:sz="0" w:space="0" w:color="auto"/>
                <w:bottom w:val="none" w:sz="0" w:space="0" w:color="auto"/>
                <w:right w:val="none" w:sz="0" w:space="0" w:color="auto"/>
              </w:divBdr>
            </w:div>
            <w:div w:id="982469596">
              <w:marLeft w:val="0"/>
              <w:marRight w:val="0"/>
              <w:marTop w:val="0"/>
              <w:marBottom w:val="240"/>
              <w:divBdr>
                <w:top w:val="none" w:sz="0" w:space="0" w:color="auto"/>
                <w:left w:val="none" w:sz="0" w:space="0" w:color="auto"/>
                <w:bottom w:val="none" w:sz="0" w:space="0" w:color="auto"/>
                <w:right w:val="none" w:sz="0" w:space="0" w:color="auto"/>
              </w:divBdr>
            </w:div>
            <w:div w:id="1269238975">
              <w:marLeft w:val="0"/>
              <w:marRight w:val="0"/>
              <w:marTop w:val="0"/>
              <w:marBottom w:val="240"/>
              <w:divBdr>
                <w:top w:val="none" w:sz="0" w:space="0" w:color="auto"/>
                <w:left w:val="none" w:sz="0" w:space="0" w:color="auto"/>
                <w:bottom w:val="none" w:sz="0" w:space="0" w:color="auto"/>
                <w:right w:val="none" w:sz="0" w:space="0" w:color="auto"/>
              </w:divBdr>
            </w:div>
            <w:div w:id="323319877">
              <w:marLeft w:val="0"/>
              <w:marRight w:val="0"/>
              <w:marTop w:val="0"/>
              <w:marBottom w:val="240"/>
              <w:divBdr>
                <w:top w:val="none" w:sz="0" w:space="0" w:color="auto"/>
                <w:left w:val="none" w:sz="0" w:space="0" w:color="auto"/>
                <w:bottom w:val="none" w:sz="0" w:space="0" w:color="auto"/>
                <w:right w:val="none" w:sz="0" w:space="0" w:color="auto"/>
              </w:divBdr>
            </w:div>
            <w:div w:id="406848457">
              <w:marLeft w:val="0"/>
              <w:marRight w:val="0"/>
              <w:marTop w:val="0"/>
              <w:marBottom w:val="240"/>
              <w:divBdr>
                <w:top w:val="none" w:sz="0" w:space="0" w:color="auto"/>
                <w:left w:val="none" w:sz="0" w:space="0" w:color="auto"/>
                <w:bottom w:val="none" w:sz="0" w:space="0" w:color="auto"/>
                <w:right w:val="none" w:sz="0" w:space="0" w:color="auto"/>
              </w:divBdr>
            </w:div>
            <w:div w:id="1322005980">
              <w:marLeft w:val="0"/>
              <w:marRight w:val="0"/>
              <w:marTop w:val="0"/>
              <w:marBottom w:val="240"/>
              <w:divBdr>
                <w:top w:val="none" w:sz="0" w:space="0" w:color="auto"/>
                <w:left w:val="none" w:sz="0" w:space="0" w:color="auto"/>
                <w:bottom w:val="none" w:sz="0" w:space="0" w:color="auto"/>
                <w:right w:val="none" w:sz="0" w:space="0" w:color="auto"/>
              </w:divBdr>
            </w:div>
            <w:div w:id="1078164156">
              <w:marLeft w:val="0"/>
              <w:marRight w:val="0"/>
              <w:marTop w:val="0"/>
              <w:marBottom w:val="240"/>
              <w:divBdr>
                <w:top w:val="none" w:sz="0" w:space="0" w:color="auto"/>
                <w:left w:val="none" w:sz="0" w:space="0" w:color="auto"/>
                <w:bottom w:val="none" w:sz="0" w:space="0" w:color="auto"/>
                <w:right w:val="none" w:sz="0" w:space="0" w:color="auto"/>
              </w:divBdr>
            </w:div>
            <w:div w:id="682629479">
              <w:marLeft w:val="0"/>
              <w:marRight w:val="0"/>
              <w:marTop w:val="0"/>
              <w:marBottom w:val="240"/>
              <w:divBdr>
                <w:top w:val="none" w:sz="0" w:space="0" w:color="auto"/>
                <w:left w:val="none" w:sz="0" w:space="0" w:color="auto"/>
                <w:bottom w:val="none" w:sz="0" w:space="0" w:color="auto"/>
                <w:right w:val="none" w:sz="0" w:space="0" w:color="auto"/>
              </w:divBdr>
            </w:div>
            <w:div w:id="364789804">
              <w:marLeft w:val="0"/>
              <w:marRight w:val="0"/>
              <w:marTop w:val="0"/>
              <w:marBottom w:val="240"/>
              <w:divBdr>
                <w:top w:val="none" w:sz="0" w:space="0" w:color="auto"/>
                <w:left w:val="none" w:sz="0" w:space="0" w:color="auto"/>
                <w:bottom w:val="none" w:sz="0" w:space="0" w:color="auto"/>
                <w:right w:val="none" w:sz="0" w:space="0" w:color="auto"/>
              </w:divBdr>
            </w:div>
            <w:div w:id="82924322">
              <w:marLeft w:val="0"/>
              <w:marRight w:val="0"/>
              <w:marTop w:val="0"/>
              <w:marBottom w:val="240"/>
              <w:divBdr>
                <w:top w:val="none" w:sz="0" w:space="0" w:color="auto"/>
                <w:left w:val="none" w:sz="0" w:space="0" w:color="auto"/>
                <w:bottom w:val="none" w:sz="0" w:space="0" w:color="auto"/>
                <w:right w:val="none" w:sz="0" w:space="0" w:color="auto"/>
              </w:divBdr>
            </w:div>
            <w:div w:id="1704403530">
              <w:marLeft w:val="0"/>
              <w:marRight w:val="0"/>
              <w:marTop w:val="0"/>
              <w:marBottom w:val="240"/>
              <w:divBdr>
                <w:top w:val="none" w:sz="0" w:space="0" w:color="auto"/>
                <w:left w:val="none" w:sz="0" w:space="0" w:color="auto"/>
                <w:bottom w:val="none" w:sz="0" w:space="0" w:color="auto"/>
                <w:right w:val="none" w:sz="0" w:space="0" w:color="auto"/>
              </w:divBdr>
            </w:div>
            <w:div w:id="255284769">
              <w:marLeft w:val="0"/>
              <w:marRight w:val="0"/>
              <w:marTop w:val="0"/>
              <w:marBottom w:val="240"/>
              <w:divBdr>
                <w:top w:val="none" w:sz="0" w:space="0" w:color="auto"/>
                <w:left w:val="none" w:sz="0" w:space="0" w:color="auto"/>
                <w:bottom w:val="none" w:sz="0" w:space="0" w:color="auto"/>
                <w:right w:val="none" w:sz="0" w:space="0" w:color="auto"/>
              </w:divBdr>
            </w:div>
            <w:div w:id="1385955869">
              <w:marLeft w:val="0"/>
              <w:marRight w:val="0"/>
              <w:marTop w:val="0"/>
              <w:marBottom w:val="240"/>
              <w:divBdr>
                <w:top w:val="none" w:sz="0" w:space="0" w:color="auto"/>
                <w:left w:val="none" w:sz="0" w:space="0" w:color="auto"/>
                <w:bottom w:val="none" w:sz="0" w:space="0" w:color="auto"/>
                <w:right w:val="none" w:sz="0" w:space="0" w:color="auto"/>
              </w:divBdr>
            </w:div>
            <w:div w:id="470051507">
              <w:marLeft w:val="0"/>
              <w:marRight w:val="0"/>
              <w:marTop w:val="0"/>
              <w:marBottom w:val="240"/>
              <w:divBdr>
                <w:top w:val="none" w:sz="0" w:space="0" w:color="auto"/>
                <w:left w:val="none" w:sz="0" w:space="0" w:color="auto"/>
                <w:bottom w:val="none" w:sz="0" w:space="0" w:color="auto"/>
                <w:right w:val="none" w:sz="0" w:space="0" w:color="auto"/>
              </w:divBdr>
            </w:div>
            <w:div w:id="1916429923">
              <w:marLeft w:val="0"/>
              <w:marRight w:val="0"/>
              <w:marTop w:val="0"/>
              <w:marBottom w:val="240"/>
              <w:divBdr>
                <w:top w:val="none" w:sz="0" w:space="0" w:color="auto"/>
                <w:left w:val="none" w:sz="0" w:space="0" w:color="auto"/>
                <w:bottom w:val="none" w:sz="0" w:space="0" w:color="auto"/>
                <w:right w:val="none" w:sz="0" w:space="0" w:color="auto"/>
              </w:divBdr>
            </w:div>
            <w:div w:id="2062634652">
              <w:marLeft w:val="0"/>
              <w:marRight w:val="0"/>
              <w:marTop w:val="0"/>
              <w:marBottom w:val="240"/>
              <w:divBdr>
                <w:top w:val="none" w:sz="0" w:space="0" w:color="auto"/>
                <w:left w:val="none" w:sz="0" w:space="0" w:color="auto"/>
                <w:bottom w:val="none" w:sz="0" w:space="0" w:color="auto"/>
                <w:right w:val="none" w:sz="0" w:space="0" w:color="auto"/>
              </w:divBdr>
            </w:div>
            <w:div w:id="1542329792">
              <w:marLeft w:val="0"/>
              <w:marRight w:val="0"/>
              <w:marTop w:val="0"/>
              <w:marBottom w:val="240"/>
              <w:divBdr>
                <w:top w:val="none" w:sz="0" w:space="0" w:color="auto"/>
                <w:left w:val="none" w:sz="0" w:space="0" w:color="auto"/>
                <w:bottom w:val="none" w:sz="0" w:space="0" w:color="auto"/>
                <w:right w:val="none" w:sz="0" w:space="0" w:color="auto"/>
              </w:divBdr>
            </w:div>
            <w:div w:id="1953702101">
              <w:marLeft w:val="0"/>
              <w:marRight w:val="0"/>
              <w:marTop w:val="0"/>
              <w:marBottom w:val="240"/>
              <w:divBdr>
                <w:top w:val="none" w:sz="0" w:space="0" w:color="auto"/>
                <w:left w:val="none" w:sz="0" w:space="0" w:color="auto"/>
                <w:bottom w:val="none" w:sz="0" w:space="0" w:color="auto"/>
                <w:right w:val="none" w:sz="0" w:space="0" w:color="auto"/>
              </w:divBdr>
            </w:div>
            <w:div w:id="712342656">
              <w:marLeft w:val="0"/>
              <w:marRight w:val="0"/>
              <w:marTop w:val="0"/>
              <w:marBottom w:val="240"/>
              <w:divBdr>
                <w:top w:val="none" w:sz="0" w:space="0" w:color="auto"/>
                <w:left w:val="none" w:sz="0" w:space="0" w:color="auto"/>
                <w:bottom w:val="none" w:sz="0" w:space="0" w:color="auto"/>
                <w:right w:val="none" w:sz="0" w:space="0" w:color="auto"/>
              </w:divBdr>
            </w:div>
            <w:div w:id="1808084799">
              <w:marLeft w:val="0"/>
              <w:marRight w:val="0"/>
              <w:marTop w:val="0"/>
              <w:marBottom w:val="240"/>
              <w:divBdr>
                <w:top w:val="none" w:sz="0" w:space="0" w:color="auto"/>
                <w:left w:val="none" w:sz="0" w:space="0" w:color="auto"/>
                <w:bottom w:val="none" w:sz="0" w:space="0" w:color="auto"/>
                <w:right w:val="none" w:sz="0" w:space="0" w:color="auto"/>
              </w:divBdr>
            </w:div>
            <w:div w:id="685639812">
              <w:marLeft w:val="0"/>
              <w:marRight w:val="0"/>
              <w:marTop w:val="0"/>
              <w:marBottom w:val="240"/>
              <w:divBdr>
                <w:top w:val="none" w:sz="0" w:space="0" w:color="auto"/>
                <w:left w:val="none" w:sz="0" w:space="0" w:color="auto"/>
                <w:bottom w:val="none" w:sz="0" w:space="0" w:color="auto"/>
                <w:right w:val="none" w:sz="0" w:space="0" w:color="auto"/>
              </w:divBdr>
            </w:div>
            <w:div w:id="1198077898">
              <w:marLeft w:val="0"/>
              <w:marRight w:val="0"/>
              <w:marTop w:val="0"/>
              <w:marBottom w:val="240"/>
              <w:divBdr>
                <w:top w:val="none" w:sz="0" w:space="0" w:color="auto"/>
                <w:left w:val="none" w:sz="0" w:space="0" w:color="auto"/>
                <w:bottom w:val="none" w:sz="0" w:space="0" w:color="auto"/>
                <w:right w:val="none" w:sz="0" w:space="0" w:color="auto"/>
              </w:divBdr>
            </w:div>
            <w:div w:id="1248921335">
              <w:marLeft w:val="0"/>
              <w:marRight w:val="0"/>
              <w:marTop w:val="0"/>
              <w:marBottom w:val="240"/>
              <w:divBdr>
                <w:top w:val="none" w:sz="0" w:space="0" w:color="auto"/>
                <w:left w:val="none" w:sz="0" w:space="0" w:color="auto"/>
                <w:bottom w:val="none" w:sz="0" w:space="0" w:color="auto"/>
                <w:right w:val="none" w:sz="0" w:space="0" w:color="auto"/>
              </w:divBdr>
            </w:div>
            <w:div w:id="795175244">
              <w:marLeft w:val="0"/>
              <w:marRight w:val="0"/>
              <w:marTop w:val="0"/>
              <w:marBottom w:val="240"/>
              <w:divBdr>
                <w:top w:val="none" w:sz="0" w:space="0" w:color="auto"/>
                <w:left w:val="none" w:sz="0" w:space="0" w:color="auto"/>
                <w:bottom w:val="none" w:sz="0" w:space="0" w:color="auto"/>
                <w:right w:val="none" w:sz="0" w:space="0" w:color="auto"/>
              </w:divBdr>
            </w:div>
            <w:div w:id="1029989818">
              <w:marLeft w:val="0"/>
              <w:marRight w:val="0"/>
              <w:marTop w:val="0"/>
              <w:marBottom w:val="240"/>
              <w:divBdr>
                <w:top w:val="none" w:sz="0" w:space="0" w:color="auto"/>
                <w:left w:val="none" w:sz="0" w:space="0" w:color="auto"/>
                <w:bottom w:val="none" w:sz="0" w:space="0" w:color="auto"/>
                <w:right w:val="none" w:sz="0" w:space="0" w:color="auto"/>
              </w:divBdr>
            </w:div>
            <w:div w:id="764887380">
              <w:marLeft w:val="0"/>
              <w:marRight w:val="0"/>
              <w:marTop w:val="0"/>
              <w:marBottom w:val="240"/>
              <w:divBdr>
                <w:top w:val="none" w:sz="0" w:space="0" w:color="auto"/>
                <w:left w:val="none" w:sz="0" w:space="0" w:color="auto"/>
                <w:bottom w:val="none" w:sz="0" w:space="0" w:color="auto"/>
                <w:right w:val="none" w:sz="0" w:space="0" w:color="auto"/>
              </w:divBdr>
            </w:div>
            <w:div w:id="1133208058">
              <w:marLeft w:val="0"/>
              <w:marRight w:val="0"/>
              <w:marTop w:val="0"/>
              <w:marBottom w:val="240"/>
              <w:divBdr>
                <w:top w:val="none" w:sz="0" w:space="0" w:color="auto"/>
                <w:left w:val="none" w:sz="0" w:space="0" w:color="auto"/>
                <w:bottom w:val="none" w:sz="0" w:space="0" w:color="auto"/>
                <w:right w:val="none" w:sz="0" w:space="0" w:color="auto"/>
              </w:divBdr>
            </w:div>
            <w:div w:id="1250849872">
              <w:marLeft w:val="0"/>
              <w:marRight w:val="0"/>
              <w:marTop w:val="0"/>
              <w:marBottom w:val="240"/>
              <w:divBdr>
                <w:top w:val="none" w:sz="0" w:space="0" w:color="auto"/>
                <w:left w:val="none" w:sz="0" w:space="0" w:color="auto"/>
                <w:bottom w:val="none" w:sz="0" w:space="0" w:color="auto"/>
                <w:right w:val="none" w:sz="0" w:space="0" w:color="auto"/>
              </w:divBdr>
            </w:div>
            <w:div w:id="1132551981">
              <w:marLeft w:val="0"/>
              <w:marRight w:val="0"/>
              <w:marTop w:val="0"/>
              <w:marBottom w:val="240"/>
              <w:divBdr>
                <w:top w:val="none" w:sz="0" w:space="0" w:color="auto"/>
                <w:left w:val="none" w:sz="0" w:space="0" w:color="auto"/>
                <w:bottom w:val="none" w:sz="0" w:space="0" w:color="auto"/>
                <w:right w:val="none" w:sz="0" w:space="0" w:color="auto"/>
              </w:divBdr>
            </w:div>
            <w:div w:id="1671441911">
              <w:marLeft w:val="0"/>
              <w:marRight w:val="0"/>
              <w:marTop w:val="0"/>
              <w:marBottom w:val="240"/>
              <w:divBdr>
                <w:top w:val="none" w:sz="0" w:space="0" w:color="auto"/>
                <w:left w:val="none" w:sz="0" w:space="0" w:color="auto"/>
                <w:bottom w:val="none" w:sz="0" w:space="0" w:color="auto"/>
                <w:right w:val="none" w:sz="0" w:space="0" w:color="auto"/>
              </w:divBdr>
            </w:div>
            <w:div w:id="1608196766">
              <w:marLeft w:val="0"/>
              <w:marRight w:val="0"/>
              <w:marTop w:val="0"/>
              <w:marBottom w:val="240"/>
              <w:divBdr>
                <w:top w:val="none" w:sz="0" w:space="0" w:color="auto"/>
                <w:left w:val="none" w:sz="0" w:space="0" w:color="auto"/>
                <w:bottom w:val="none" w:sz="0" w:space="0" w:color="auto"/>
                <w:right w:val="none" w:sz="0" w:space="0" w:color="auto"/>
              </w:divBdr>
            </w:div>
            <w:div w:id="683703610">
              <w:marLeft w:val="0"/>
              <w:marRight w:val="0"/>
              <w:marTop w:val="0"/>
              <w:marBottom w:val="240"/>
              <w:divBdr>
                <w:top w:val="none" w:sz="0" w:space="0" w:color="auto"/>
                <w:left w:val="none" w:sz="0" w:space="0" w:color="auto"/>
                <w:bottom w:val="none" w:sz="0" w:space="0" w:color="auto"/>
                <w:right w:val="none" w:sz="0" w:space="0" w:color="auto"/>
              </w:divBdr>
            </w:div>
            <w:div w:id="1237671271">
              <w:marLeft w:val="0"/>
              <w:marRight w:val="0"/>
              <w:marTop w:val="0"/>
              <w:marBottom w:val="240"/>
              <w:divBdr>
                <w:top w:val="none" w:sz="0" w:space="0" w:color="auto"/>
                <w:left w:val="none" w:sz="0" w:space="0" w:color="auto"/>
                <w:bottom w:val="none" w:sz="0" w:space="0" w:color="auto"/>
                <w:right w:val="none" w:sz="0" w:space="0" w:color="auto"/>
              </w:divBdr>
            </w:div>
            <w:div w:id="1475872103">
              <w:marLeft w:val="0"/>
              <w:marRight w:val="0"/>
              <w:marTop w:val="0"/>
              <w:marBottom w:val="240"/>
              <w:divBdr>
                <w:top w:val="none" w:sz="0" w:space="0" w:color="auto"/>
                <w:left w:val="none" w:sz="0" w:space="0" w:color="auto"/>
                <w:bottom w:val="none" w:sz="0" w:space="0" w:color="auto"/>
                <w:right w:val="none" w:sz="0" w:space="0" w:color="auto"/>
              </w:divBdr>
            </w:div>
            <w:div w:id="1351176690">
              <w:marLeft w:val="0"/>
              <w:marRight w:val="0"/>
              <w:marTop w:val="0"/>
              <w:marBottom w:val="240"/>
              <w:divBdr>
                <w:top w:val="none" w:sz="0" w:space="0" w:color="auto"/>
                <w:left w:val="none" w:sz="0" w:space="0" w:color="auto"/>
                <w:bottom w:val="none" w:sz="0" w:space="0" w:color="auto"/>
                <w:right w:val="none" w:sz="0" w:space="0" w:color="auto"/>
              </w:divBdr>
            </w:div>
            <w:div w:id="1369918745">
              <w:marLeft w:val="0"/>
              <w:marRight w:val="0"/>
              <w:marTop w:val="0"/>
              <w:marBottom w:val="240"/>
              <w:divBdr>
                <w:top w:val="none" w:sz="0" w:space="0" w:color="auto"/>
                <w:left w:val="none" w:sz="0" w:space="0" w:color="auto"/>
                <w:bottom w:val="none" w:sz="0" w:space="0" w:color="auto"/>
                <w:right w:val="none" w:sz="0" w:space="0" w:color="auto"/>
              </w:divBdr>
            </w:div>
            <w:div w:id="1640648370">
              <w:marLeft w:val="0"/>
              <w:marRight w:val="0"/>
              <w:marTop w:val="0"/>
              <w:marBottom w:val="240"/>
              <w:divBdr>
                <w:top w:val="none" w:sz="0" w:space="0" w:color="auto"/>
                <w:left w:val="none" w:sz="0" w:space="0" w:color="auto"/>
                <w:bottom w:val="none" w:sz="0" w:space="0" w:color="auto"/>
                <w:right w:val="none" w:sz="0" w:space="0" w:color="auto"/>
              </w:divBdr>
            </w:div>
            <w:div w:id="393702538">
              <w:marLeft w:val="0"/>
              <w:marRight w:val="0"/>
              <w:marTop w:val="0"/>
              <w:marBottom w:val="240"/>
              <w:divBdr>
                <w:top w:val="none" w:sz="0" w:space="0" w:color="auto"/>
                <w:left w:val="none" w:sz="0" w:space="0" w:color="auto"/>
                <w:bottom w:val="none" w:sz="0" w:space="0" w:color="auto"/>
                <w:right w:val="none" w:sz="0" w:space="0" w:color="auto"/>
              </w:divBdr>
            </w:div>
            <w:div w:id="623728098">
              <w:marLeft w:val="0"/>
              <w:marRight w:val="0"/>
              <w:marTop w:val="0"/>
              <w:marBottom w:val="240"/>
              <w:divBdr>
                <w:top w:val="none" w:sz="0" w:space="0" w:color="auto"/>
                <w:left w:val="none" w:sz="0" w:space="0" w:color="auto"/>
                <w:bottom w:val="none" w:sz="0" w:space="0" w:color="auto"/>
                <w:right w:val="none" w:sz="0" w:space="0" w:color="auto"/>
              </w:divBdr>
            </w:div>
            <w:div w:id="1557201382">
              <w:marLeft w:val="0"/>
              <w:marRight w:val="0"/>
              <w:marTop w:val="0"/>
              <w:marBottom w:val="240"/>
              <w:divBdr>
                <w:top w:val="none" w:sz="0" w:space="0" w:color="auto"/>
                <w:left w:val="none" w:sz="0" w:space="0" w:color="auto"/>
                <w:bottom w:val="none" w:sz="0" w:space="0" w:color="auto"/>
                <w:right w:val="none" w:sz="0" w:space="0" w:color="auto"/>
              </w:divBdr>
            </w:div>
            <w:div w:id="1401290983">
              <w:marLeft w:val="0"/>
              <w:marRight w:val="0"/>
              <w:marTop w:val="0"/>
              <w:marBottom w:val="240"/>
              <w:divBdr>
                <w:top w:val="none" w:sz="0" w:space="0" w:color="auto"/>
                <w:left w:val="none" w:sz="0" w:space="0" w:color="auto"/>
                <w:bottom w:val="none" w:sz="0" w:space="0" w:color="auto"/>
                <w:right w:val="none" w:sz="0" w:space="0" w:color="auto"/>
              </w:divBdr>
            </w:div>
            <w:div w:id="486554538">
              <w:marLeft w:val="0"/>
              <w:marRight w:val="0"/>
              <w:marTop w:val="0"/>
              <w:marBottom w:val="240"/>
              <w:divBdr>
                <w:top w:val="none" w:sz="0" w:space="0" w:color="auto"/>
                <w:left w:val="none" w:sz="0" w:space="0" w:color="auto"/>
                <w:bottom w:val="none" w:sz="0" w:space="0" w:color="auto"/>
                <w:right w:val="none" w:sz="0" w:space="0" w:color="auto"/>
              </w:divBdr>
            </w:div>
            <w:div w:id="338625338">
              <w:marLeft w:val="0"/>
              <w:marRight w:val="0"/>
              <w:marTop w:val="0"/>
              <w:marBottom w:val="240"/>
              <w:divBdr>
                <w:top w:val="none" w:sz="0" w:space="0" w:color="auto"/>
                <w:left w:val="none" w:sz="0" w:space="0" w:color="auto"/>
                <w:bottom w:val="none" w:sz="0" w:space="0" w:color="auto"/>
                <w:right w:val="none" w:sz="0" w:space="0" w:color="auto"/>
              </w:divBdr>
            </w:div>
            <w:div w:id="1613898832">
              <w:marLeft w:val="0"/>
              <w:marRight w:val="0"/>
              <w:marTop w:val="0"/>
              <w:marBottom w:val="240"/>
              <w:divBdr>
                <w:top w:val="none" w:sz="0" w:space="0" w:color="auto"/>
                <w:left w:val="none" w:sz="0" w:space="0" w:color="auto"/>
                <w:bottom w:val="none" w:sz="0" w:space="0" w:color="auto"/>
                <w:right w:val="none" w:sz="0" w:space="0" w:color="auto"/>
              </w:divBdr>
            </w:div>
            <w:div w:id="865172684">
              <w:marLeft w:val="0"/>
              <w:marRight w:val="0"/>
              <w:marTop w:val="0"/>
              <w:marBottom w:val="240"/>
              <w:divBdr>
                <w:top w:val="none" w:sz="0" w:space="0" w:color="auto"/>
                <w:left w:val="none" w:sz="0" w:space="0" w:color="auto"/>
                <w:bottom w:val="none" w:sz="0" w:space="0" w:color="auto"/>
                <w:right w:val="none" w:sz="0" w:space="0" w:color="auto"/>
              </w:divBdr>
            </w:div>
            <w:div w:id="1020668348">
              <w:marLeft w:val="0"/>
              <w:marRight w:val="0"/>
              <w:marTop w:val="0"/>
              <w:marBottom w:val="240"/>
              <w:divBdr>
                <w:top w:val="none" w:sz="0" w:space="0" w:color="auto"/>
                <w:left w:val="none" w:sz="0" w:space="0" w:color="auto"/>
                <w:bottom w:val="none" w:sz="0" w:space="0" w:color="auto"/>
                <w:right w:val="none" w:sz="0" w:space="0" w:color="auto"/>
              </w:divBdr>
            </w:div>
            <w:div w:id="824079976">
              <w:marLeft w:val="0"/>
              <w:marRight w:val="0"/>
              <w:marTop w:val="0"/>
              <w:marBottom w:val="240"/>
              <w:divBdr>
                <w:top w:val="none" w:sz="0" w:space="0" w:color="auto"/>
                <w:left w:val="none" w:sz="0" w:space="0" w:color="auto"/>
                <w:bottom w:val="none" w:sz="0" w:space="0" w:color="auto"/>
                <w:right w:val="none" w:sz="0" w:space="0" w:color="auto"/>
              </w:divBdr>
            </w:div>
            <w:div w:id="314604296">
              <w:marLeft w:val="0"/>
              <w:marRight w:val="0"/>
              <w:marTop w:val="0"/>
              <w:marBottom w:val="240"/>
              <w:divBdr>
                <w:top w:val="none" w:sz="0" w:space="0" w:color="auto"/>
                <w:left w:val="none" w:sz="0" w:space="0" w:color="auto"/>
                <w:bottom w:val="none" w:sz="0" w:space="0" w:color="auto"/>
                <w:right w:val="none" w:sz="0" w:space="0" w:color="auto"/>
              </w:divBdr>
            </w:div>
            <w:div w:id="3212384">
              <w:marLeft w:val="0"/>
              <w:marRight w:val="0"/>
              <w:marTop w:val="0"/>
              <w:marBottom w:val="240"/>
              <w:divBdr>
                <w:top w:val="none" w:sz="0" w:space="0" w:color="auto"/>
                <w:left w:val="none" w:sz="0" w:space="0" w:color="auto"/>
                <w:bottom w:val="none" w:sz="0" w:space="0" w:color="auto"/>
                <w:right w:val="none" w:sz="0" w:space="0" w:color="auto"/>
              </w:divBdr>
            </w:div>
            <w:div w:id="1799296274">
              <w:marLeft w:val="0"/>
              <w:marRight w:val="0"/>
              <w:marTop w:val="0"/>
              <w:marBottom w:val="240"/>
              <w:divBdr>
                <w:top w:val="none" w:sz="0" w:space="0" w:color="auto"/>
                <w:left w:val="none" w:sz="0" w:space="0" w:color="auto"/>
                <w:bottom w:val="none" w:sz="0" w:space="0" w:color="auto"/>
                <w:right w:val="none" w:sz="0" w:space="0" w:color="auto"/>
              </w:divBdr>
            </w:div>
            <w:div w:id="1759060300">
              <w:marLeft w:val="0"/>
              <w:marRight w:val="0"/>
              <w:marTop w:val="0"/>
              <w:marBottom w:val="240"/>
              <w:divBdr>
                <w:top w:val="none" w:sz="0" w:space="0" w:color="auto"/>
                <w:left w:val="none" w:sz="0" w:space="0" w:color="auto"/>
                <w:bottom w:val="none" w:sz="0" w:space="0" w:color="auto"/>
                <w:right w:val="none" w:sz="0" w:space="0" w:color="auto"/>
              </w:divBdr>
            </w:div>
            <w:div w:id="1909149039">
              <w:marLeft w:val="0"/>
              <w:marRight w:val="0"/>
              <w:marTop w:val="0"/>
              <w:marBottom w:val="240"/>
              <w:divBdr>
                <w:top w:val="none" w:sz="0" w:space="0" w:color="auto"/>
                <w:left w:val="none" w:sz="0" w:space="0" w:color="auto"/>
                <w:bottom w:val="none" w:sz="0" w:space="0" w:color="auto"/>
                <w:right w:val="none" w:sz="0" w:space="0" w:color="auto"/>
              </w:divBdr>
            </w:div>
            <w:div w:id="99838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898540">
      <w:bodyDiv w:val="1"/>
      <w:marLeft w:val="0"/>
      <w:marRight w:val="0"/>
      <w:marTop w:val="0"/>
      <w:marBottom w:val="0"/>
      <w:divBdr>
        <w:top w:val="none" w:sz="0" w:space="0" w:color="auto"/>
        <w:left w:val="none" w:sz="0" w:space="0" w:color="auto"/>
        <w:bottom w:val="none" w:sz="0" w:space="0" w:color="auto"/>
        <w:right w:val="none" w:sz="0" w:space="0" w:color="auto"/>
      </w:divBdr>
      <w:divsChild>
        <w:div w:id="1376125530">
          <w:marLeft w:val="0"/>
          <w:marRight w:val="0"/>
          <w:marTop w:val="0"/>
          <w:marBottom w:val="0"/>
          <w:divBdr>
            <w:top w:val="none" w:sz="0" w:space="0" w:color="auto"/>
            <w:left w:val="none" w:sz="0" w:space="0" w:color="auto"/>
            <w:bottom w:val="none" w:sz="0" w:space="0" w:color="auto"/>
            <w:right w:val="none" w:sz="0" w:space="0" w:color="auto"/>
          </w:divBdr>
        </w:div>
        <w:div w:id="923684246">
          <w:marLeft w:val="0"/>
          <w:marRight w:val="0"/>
          <w:marTop w:val="0"/>
          <w:marBottom w:val="0"/>
          <w:divBdr>
            <w:top w:val="none" w:sz="0" w:space="0" w:color="auto"/>
            <w:left w:val="none" w:sz="0" w:space="0" w:color="auto"/>
            <w:bottom w:val="none" w:sz="0" w:space="0" w:color="auto"/>
            <w:right w:val="none" w:sz="0" w:space="0" w:color="auto"/>
          </w:divBdr>
        </w:div>
        <w:div w:id="304433588">
          <w:marLeft w:val="0"/>
          <w:marRight w:val="0"/>
          <w:marTop w:val="0"/>
          <w:marBottom w:val="0"/>
          <w:divBdr>
            <w:top w:val="none" w:sz="0" w:space="0" w:color="auto"/>
            <w:left w:val="none" w:sz="0" w:space="0" w:color="auto"/>
            <w:bottom w:val="none" w:sz="0" w:space="0" w:color="auto"/>
            <w:right w:val="none" w:sz="0" w:space="0" w:color="auto"/>
          </w:divBdr>
        </w:div>
        <w:div w:id="176432399">
          <w:marLeft w:val="0"/>
          <w:marRight w:val="0"/>
          <w:marTop w:val="0"/>
          <w:marBottom w:val="0"/>
          <w:divBdr>
            <w:top w:val="none" w:sz="0" w:space="0" w:color="auto"/>
            <w:left w:val="none" w:sz="0" w:space="0" w:color="auto"/>
            <w:bottom w:val="none" w:sz="0" w:space="0" w:color="auto"/>
            <w:right w:val="none" w:sz="0" w:space="0" w:color="auto"/>
          </w:divBdr>
        </w:div>
        <w:div w:id="911966069">
          <w:marLeft w:val="0"/>
          <w:marRight w:val="0"/>
          <w:marTop w:val="0"/>
          <w:marBottom w:val="0"/>
          <w:divBdr>
            <w:top w:val="none" w:sz="0" w:space="0" w:color="auto"/>
            <w:left w:val="none" w:sz="0" w:space="0" w:color="auto"/>
            <w:bottom w:val="none" w:sz="0" w:space="0" w:color="auto"/>
            <w:right w:val="none" w:sz="0" w:space="0" w:color="auto"/>
          </w:divBdr>
        </w:div>
        <w:div w:id="1721127954">
          <w:marLeft w:val="0"/>
          <w:marRight w:val="0"/>
          <w:marTop w:val="0"/>
          <w:marBottom w:val="0"/>
          <w:divBdr>
            <w:top w:val="none" w:sz="0" w:space="0" w:color="auto"/>
            <w:left w:val="none" w:sz="0" w:space="0" w:color="auto"/>
            <w:bottom w:val="none" w:sz="0" w:space="0" w:color="auto"/>
            <w:right w:val="none" w:sz="0" w:space="0" w:color="auto"/>
          </w:divBdr>
        </w:div>
        <w:div w:id="1380588108">
          <w:marLeft w:val="0"/>
          <w:marRight w:val="0"/>
          <w:marTop w:val="0"/>
          <w:marBottom w:val="0"/>
          <w:divBdr>
            <w:top w:val="none" w:sz="0" w:space="0" w:color="auto"/>
            <w:left w:val="none" w:sz="0" w:space="0" w:color="auto"/>
            <w:bottom w:val="none" w:sz="0" w:space="0" w:color="auto"/>
            <w:right w:val="none" w:sz="0" w:space="0" w:color="auto"/>
          </w:divBdr>
        </w:div>
        <w:div w:id="1998605872">
          <w:marLeft w:val="0"/>
          <w:marRight w:val="0"/>
          <w:marTop w:val="0"/>
          <w:marBottom w:val="0"/>
          <w:divBdr>
            <w:top w:val="none" w:sz="0" w:space="0" w:color="auto"/>
            <w:left w:val="none" w:sz="0" w:space="0" w:color="auto"/>
            <w:bottom w:val="none" w:sz="0" w:space="0" w:color="auto"/>
            <w:right w:val="none" w:sz="0" w:space="0" w:color="auto"/>
          </w:divBdr>
        </w:div>
      </w:divsChild>
    </w:div>
    <w:div w:id="401829722">
      <w:bodyDiv w:val="1"/>
      <w:marLeft w:val="0"/>
      <w:marRight w:val="0"/>
      <w:marTop w:val="0"/>
      <w:marBottom w:val="0"/>
      <w:divBdr>
        <w:top w:val="none" w:sz="0" w:space="0" w:color="auto"/>
        <w:left w:val="none" w:sz="0" w:space="0" w:color="auto"/>
        <w:bottom w:val="none" w:sz="0" w:space="0" w:color="auto"/>
        <w:right w:val="none" w:sz="0" w:space="0" w:color="auto"/>
      </w:divBdr>
    </w:div>
    <w:div w:id="479806263">
      <w:bodyDiv w:val="1"/>
      <w:marLeft w:val="0"/>
      <w:marRight w:val="0"/>
      <w:marTop w:val="0"/>
      <w:marBottom w:val="0"/>
      <w:divBdr>
        <w:top w:val="none" w:sz="0" w:space="0" w:color="auto"/>
        <w:left w:val="none" w:sz="0" w:space="0" w:color="auto"/>
        <w:bottom w:val="none" w:sz="0" w:space="0" w:color="auto"/>
        <w:right w:val="none" w:sz="0" w:space="0" w:color="auto"/>
      </w:divBdr>
      <w:divsChild>
        <w:div w:id="531654128">
          <w:marLeft w:val="0"/>
          <w:marRight w:val="0"/>
          <w:marTop w:val="0"/>
          <w:marBottom w:val="0"/>
          <w:divBdr>
            <w:top w:val="none" w:sz="0" w:space="0" w:color="auto"/>
            <w:left w:val="none" w:sz="0" w:space="0" w:color="auto"/>
            <w:bottom w:val="none" w:sz="0" w:space="0" w:color="auto"/>
            <w:right w:val="none" w:sz="0" w:space="0" w:color="auto"/>
          </w:divBdr>
        </w:div>
        <w:div w:id="1607039349">
          <w:marLeft w:val="0"/>
          <w:marRight w:val="0"/>
          <w:marTop w:val="0"/>
          <w:marBottom w:val="0"/>
          <w:divBdr>
            <w:top w:val="none" w:sz="0" w:space="0" w:color="auto"/>
            <w:left w:val="none" w:sz="0" w:space="0" w:color="auto"/>
            <w:bottom w:val="none" w:sz="0" w:space="0" w:color="auto"/>
            <w:right w:val="none" w:sz="0" w:space="0" w:color="auto"/>
          </w:divBdr>
        </w:div>
        <w:div w:id="1021509953">
          <w:marLeft w:val="0"/>
          <w:marRight w:val="0"/>
          <w:marTop w:val="0"/>
          <w:marBottom w:val="0"/>
          <w:divBdr>
            <w:top w:val="none" w:sz="0" w:space="0" w:color="auto"/>
            <w:left w:val="none" w:sz="0" w:space="0" w:color="auto"/>
            <w:bottom w:val="none" w:sz="0" w:space="0" w:color="auto"/>
            <w:right w:val="none" w:sz="0" w:space="0" w:color="auto"/>
          </w:divBdr>
        </w:div>
        <w:div w:id="596211493">
          <w:marLeft w:val="0"/>
          <w:marRight w:val="0"/>
          <w:marTop w:val="0"/>
          <w:marBottom w:val="0"/>
          <w:divBdr>
            <w:top w:val="none" w:sz="0" w:space="0" w:color="auto"/>
            <w:left w:val="none" w:sz="0" w:space="0" w:color="auto"/>
            <w:bottom w:val="none" w:sz="0" w:space="0" w:color="auto"/>
            <w:right w:val="none" w:sz="0" w:space="0" w:color="auto"/>
          </w:divBdr>
        </w:div>
        <w:div w:id="2126461873">
          <w:marLeft w:val="0"/>
          <w:marRight w:val="0"/>
          <w:marTop w:val="0"/>
          <w:marBottom w:val="0"/>
          <w:divBdr>
            <w:top w:val="none" w:sz="0" w:space="0" w:color="auto"/>
            <w:left w:val="none" w:sz="0" w:space="0" w:color="auto"/>
            <w:bottom w:val="none" w:sz="0" w:space="0" w:color="auto"/>
            <w:right w:val="none" w:sz="0" w:space="0" w:color="auto"/>
          </w:divBdr>
        </w:div>
        <w:div w:id="374542772">
          <w:marLeft w:val="0"/>
          <w:marRight w:val="0"/>
          <w:marTop w:val="0"/>
          <w:marBottom w:val="0"/>
          <w:divBdr>
            <w:top w:val="none" w:sz="0" w:space="0" w:color="auto"/>
            <w:left w:val="none" w:sz="0" w:space="0" w:color="auto"/>
            <w:bottom w:val="none" w:sz="0" w:space="0" w:color="auto"/>
            <w:right w:val="none" w:sz="0" w:space="0" w:color="auto"/>
          </w:divBdr>
        </w:div>
        <w:div w:id="572547704">
          <w:marLeft w:val="0"/>
          <w:marRight w:val="0"/>
          <w:marTop w:val="0"/>
          <w:marBottom w:val="0"/>
          <w:divBdr>
            <w:top w:val="none" w:sz="0" w:space="0" w:color="auto"/>
            <w:left w:val="none" w:sz="0" w:space="0" w:color="auto"/>
            <w:bottom w:val="none" w:sz="0" w:space="0" w:color="auto"/>
            <w:right w:val="none" w:sz="0" w:space="0" w:color="auto"/>
          </w:divBdr>
        </w:div>
        <w:div w:id="910625003">
          <w:marLeft w:val="0"/>
          <w:marRight w:val="0"/>
          <w:marTop w:val="0"/>
          <w:marBottom w:val="0"/>
          <w:divBdr>
            <w:top w:val="none" w:sz="0" w:space="0" w:color="auto"/>
            <w:left w:val="none" w:sz="0" w:space="0" w:color="auto"/>
            <w:bottom w:val="none" w:sz="0" w:space="0" w:color="auto"/>
            <w:right w:val="none" w:sz="0" w:space="0" w:color="auto"/>
          </w:divBdr>
        </w:div>
        <w:div w:id="494106683">
          <w:marLeft w:val="0"/>
          <w:marRight w:val="0"/>
          <w:marTop w:val="0"/>
          <w:marBottom w:val="0"/>
          <w:divBdr>
            <w:top w:val="none" w:sz="0" w:space="0" w:color="auto"/>
            <w:left w:val="none" w:sz="0" w:space="0" w:color="auto"/>
            <w:bottom w:val="none" w:sz="0" w:space="0" w:color="auto"/>
            <w:right w:val="none" w:sz="0" w:space="0" w:color="auto"/>
          </w:divBdr>
        </w:div>
      </w:divsChild>
    </w:div>
    <w:div w:id="493110896">
      <w:bodyDiv w:val="1"/>
      <w:marLeft w:val="0"/>
      <w:marRight w:val="0"/>
      <w:marTop w:val="0"/>
      <w:marBottom w:val="0"/>
      <w:divBdr>
        <w:top w:val="none" w:sz="0" w:space="0" w:color="auto"/>
        <w:left w:val="none" w:sz="0" w:space="0" w:color="auto"/>
        <w:bottom w:val="none" w:sz="0" w:space="0" w:color="auto"/>
        <w:right w:val="none" w:sz="0" w:space="0" w:color="auto"/>
      </w:divBdr>
      <w:divsChild>
        <w:div w:id="869491101">
          <w:marLeft w:val="0"/>
          <w:marRight w:val="0"/>
          <w:marTop w:val="0"/>
          <w:marBottom w:val="0"/>
          <w:divBdr>
            <w:top w:val="none" w:sz="0" w:space="0" w:color="auto"/>
            <w:left w:val="none" w:sz="0" w:space="0" w:color="auto"/>
            <w:bottom w:val="none" w:sz="0" w:space="0" w:color="auto"/>
            <w:right w:val="none" w:sz="0" w:space="0" w:color="auto"/>
          </w:divBdr>
        </w:div>
        <w:div w:id="1719090532">
          <w:marLeft w:val="0"/>
          <w:marRight w:val="0"/>
          <w:marTop w:val="0"/>
          <w:marBottom w:val="0"/>
          <w:divBdr>
            <w:top w:val="none" w:sz="0" w:space="0" w:color="auto"/>
            <w:left w:val="none" w:sz="0" w:space="0" w:color="auto"/>
            <w:bottom w:val="none" w:sz="0" w:space="0" w:color="auto"/>
            <w:right w:val="none" w:sz="0" w:space="0" w:color="auto"/>
          </w:divBdr>
        </w:div>
        <w:div w:id="1317108853">
          <w:marLeft w:val="0"/>
          <w:marRight w:val="0"/>
          <w:marTop w:val="0"/>
          <w:marBottom w:val="0"/>
          <w:divBdr>
            <w:top w:val="none" w:sz="0" w:space="0" w:color="auto"/>
            <w:left w:val="none" w:sz="0" w:space="0" w:color="auto"/>
            <w:bottom w:val="none" w:sz="0" w:space="0" w:color="auto"/>
            <w:right w:val="none" w:sz="0" w:space="0" w:color="auto"/>
          </w:divBdr>
        </w:div>
        <w:div w:id="1254625328">
          <w:marLeft w:val="0"/>
          <w:marRight w:val="0"/>
          <w:marTop w:val="0"/>
          <w:marBottom w:val="0"/>
          <w:divBdr>
            <w:top w:val="none" w:sz="0" w:space="0" w:color="auto"/>
            <w:left w:val="none" w:sz="0" w:space="0" w:color="auto"/>
            <w:bottom w:val="none" w:sz="0" w:space="0" w:color="auto"/>
            <w:right w:val="none" w:sz="0" w:space="0" w:color="auto"/>
          </w:divBdr>
        </w:div>
        <w:div w:id="307053589">
          <w:marLeft w:val="0"/>
          <w:marRight w:val="0"/>
          <w:marTop w:val="0"/>
          <w:marBottom w:val="0"/>
          <w:divBdr>
            <w:top w:val="none" w:sz="0" w:space="0" w:color="auto"/>
            <w:left w:val="none" w:sz="0" w:space="0" w:color="auto"/>
            <w:bottom w:val="none" w:sz="0" w:space="0" w:color="auto"/>
            <w:right w:val="none" w:sz="0" w:space="0" w:color="auto"/>
          </w:divBdr>
        </w:div>
        <w:div w:id="1755586415">
          <w:marLeft w:val="0"/>
          <w:marRight w:val="0"/>
          <w:marTop w:val="0"/>
          <w:marBottom w:val="0"/>
          <w:divBdr>
            <w:top w:val="none" w:sz="0" w:space="0" w:color="auto"/>
            <w:left w:val="none" w:sz="0" w:space="0" w:color="auto"/>
            <w:bottom w:val="none" w:sz="0" w:space="0" w:color="auto"/>
            <w:right w:val="none" w:sz="0" w:space="0" w:color="auto"/>
          </w:divBdr>
        </w:div>
        <w:div w:id="1941133564">
          <w:marLeft w:val="0"/>
          <w:marRight w:val="0"/>
          <w:marTop w:val="0"/>
          <w:marBottom w:val="0"/>
          <w:divBdr>
            <w:top w:val="none" w:sz="0" w:space="0" w:color="auto"/>
            <w:left w:val="none" w:sz="0" w:space="0" w:color="auto"/>
            <w:bottom w:val="none" w:sz="0" w:space="0" w:color="auto"/>
            <w:right w:val="none" w:sz="0" w:space="0" w:color="auto"/>
          </w:divBdr>
        </w:div>
        <w:div w:id="1438141054">
          <w:marLeft w:val="0"/>
          <w:marRight w:val="0"/>
          <w:marTop w:val="0"/>
          <w:marBottom w:val="0"/>
          <w:divBdr>
            <w:top w:val="none" w:sz="0" w:space="0" w:color="auto"/>
            <w:left w:val="none" w:sz="0" w:space="0" w:color="auto"/>
            <w:bottom w:val="none" w:sz="0" w:space="0" w:color="auto"/>
            <w:right w:val="none" w:sz="0" w:space="0" w:color="auto"/>
          </w:divBdr>
        </w:div>
        <w:div w:id="1610432158">
          <w:marLeft w:val="0"/>
          <w:marRight w:val="0"/>
          <w:marTop w:val="0"/>
          <w:marBottom w:val="0"/>
          <w:divBdr>
            <w:top w:val="none" w:sz="0" w:space="0" w:color="auto"/>
            <w:left w:val="none" w:sz="0" w:space="0" w:color="auto"/>
            <w:bottom w:val="none" w:sz="0" w:space="0" w:color="auto"/>
            <w:right w:val="none" w:sz="0" w:space="0" w:color="auto"/>
          </w:divBdr>
        </w:div>
        <w:div w:id="1513836022">
          <w:marLeft w:val="0"/>
          <w:marRight w:val="0"/>
          <w:marTop w:val="0"/>
          <w:marBottom w:val="0"/>
          <w:divBdr>
            <w:top w:val="none" w:sz="0" w:space="0" w:color="auto"/>
            <w:left w:val="none" w:sz="0" w:space="0" w:color="auto"/>
            <w:bottom w:val="none" w:sz="0" w:space="0" w:color="auto"/>
            <w:right w:val="none" w:sz="0" w:space="0" w:color="auto"/>
          </w:divBdr>
        </w:div>
        <w:div w:id="9526513">
          <w:marLeft w:val="0"/>
          <w:marRight w:val="0"/>
          <w:marTop w:val="0"/>
          <w:marBottom w:val="0"/>
          <w:divBdr>
            <w:top w:val="none" w:sz="0" w:space="0" w:color="auto"/>
            <w:left w:val="none" w:sz="0" w:space="0" w:color="auto"/>
            <w:bottom w:val="none" w:sz="0" w:space="0" w:color="auto"/>
            <w:right w:val="none" w:sz="0" w:space="0" w:color="auto"/>
          </w:divBdr>
        </w:div>
        <w:div w:id="535849404">
          <w:marLeft w:val="0"/>
          <w:marRight w:val="0"/>
          <w:marTop w:val="0"/>
          <w:marBottom w:val="0"/>
          <w:divBdr>
            <w:top w:val="none" w:sz="0" w:space="0" w:color="auto"/>
            <w:left w:val="none" w:sz="0" w:space="0" w:color="auto"/>
            <w:bottom w:val="none" w:sz="0" w:space="0" w:color="auto"/>
            <w:right w:val="none" w:sz="0" w:space="0" w:color="auto"/>
          </w:divBdr>
        </w:div>
        <w:div w:id="2026200890">
          <w:marLeft w:val="0"/>
          <w:marRight w:val="0"/>
          <w:marTop w:val="0"/>
          <w:marBottom w:val="0"/>
          <w:divBdr>
            <w:top w:val="none" w:sz="0" w:space="0" w:color="auto"/>
            <w:left w:val="none" w:sz="0" w:space="0" w:color="auto"/>
            <w:bottom w:val="none" w:sz="0" w:space="0" w:color="auto"/>
            <w:right w:val="none" w:sz="0" w:space="0" w:color="auto"/>
          </w:divBdr>
        </w:div>
        <w:div w:id="1382553279">
          <w:marLeft w:val="0"/>
          <w:marRight w:val="0"/>
          <w:marTop w:val="0"/>
          <w:marBottom w:val="0"/>
          <w:divBdr>
            <w:top w:val="none" w:sz="0" w:space="0" w:color="auto"/>
            <w:left w:val="none" w:sz="0" w:space="0" w:color="auto"/>
            <w:bottom w:val="none" w:sz="0" w:space="0" w:color="auto"/>
            <w:right w:val="none" w:sz="0" w:space="0" w:color="auto"/>
          </w:divBdr>
        </w:div>
      </w:divsChild>
    </w:div>
    <w:div w:id="498230548">
      <w:bodyDiv w:val="1"/>
      <w:marLeft w:val="0"/>
      <w:marRight w:val="0"/>
      <w:marTop w:val="0"/>
      <w:marBottom w:val="0"/>
      <w:divBdr>
        <w:top w:val="none" w:sz="0" w:space="0" w:color="auto"/>
        <w:left w:val="none" w:sz="0" w:space="0" w:color="auto"/>
        <w:bottom w:val="none" w:sz="0" w:space="0" w:color="auto"/>
        <w:right w:val="none" w:sz="0" w:space="0" w:color="auto"/>
      </w:divBdr>
    </w:div>
    <w:div w:id="555899170">
      <w:bodyDiv w:val="1"/>
      <w:marLeft w:val="0"/>
      <w:marRight w:val="0"/>
      <w:marTop w:val="0"/>
      <w:marBottom w:val="0"/>
      <w:divBdr>
        <w:top w:val="none" w:sz="0" w:space="0" w:color="auto"/>
        <w:left w:val="none" w:sz="0" w:space="0" w:color="auto"/>
        <w:bottom w:val="none" w:sz="0" w:space="0" w:color="auto"/>
        <w:right w:val="none" w:sz="0" w:space="0" w:color="auto"/>
      </w:divBdr>
      <w:divsChild>
        <w:div w:id="1948148108">
          <w:marLeft w:val="0"/>
          <w:marRight w:val="0"/>
          <w:marTop w:val="0"/>
          <w:marBottom w:val="0"/>
          <w:divBdr>
            <w:top w:val="none" w:sz="0" w:space="0" w:color="auto"/>
            <w:left w:val="none" w:sz="0" w:space="0" w:color="auto"/>
            <w:bottom w:val="none" w:sz="0" w:space="0" w:color="auto"/>
            <w:right w:val="none" w:sz="0" w:space="0" w:color="auto"/>
          </w:divBdr>
        </w:div>
        <w:div w:id="1386178814">
          <w:marLeft w:val="0"/>
          <w:marRight w:val="0"/>
          <w:marTop w:val="0"/>
          <w:marBottom w:val="0"/>
          <w:divBdr>
            <w:top w:val="none" w:sz="0" w:space="0" w:color="auto"/>
            <w:left w:val="none" w:sz="0" w:space="0" w:color="auto"/>
            <w:bottom w:val="none" w:sz="0" w:space="0" w:color="auto"/>
            <w:right w:val="none" w:sz="0" w:space="0" w:color="auto"/>
          </w:divBdr>
        </w:div>
        <w:div w:id="217782854">
          <w:marLeft w:val="0"/>
          <w:marRight w:val="0"/>
          <w:marTop w:val="0"/>
          <w:marBottom w:val="0"/>
          <w:divBdr>
            <w:top w:val="none" w:sz="0" w:space="0" w:color="auto"/>
            <w:left w:val="none" w:sz="0" w:space="0" w:color="auto"/>
            <w:bottom w:val="none" w:sz="0" w:space="0" w:color="auto"/>
            <w:right w:val="none" w:sz="0" w:space="0" w:color="auto"/>
          </w:divBdr>
        </w:div>
        <w:div w:id="1843159338">
          <w:marLeft w:val="0"/>
          <w:marRight w:val="0"/>
          <w:marTop w:val="0"/>
          <w:marBottom w:val="0"/>
          <w:divBdr>
            <w:top w:val="none" w:sz="0" w:space="0" w:color="auto"/>
            <w:left w:val="none" w:sz="0" w:space="0" w:color="auto"/>
            <w:bottom w:val="none" w:sz="0" w:space="0" w:color="auto"/>
            <w:right w:val="none" w:sz="0" w:space="0" w:color="auto"/>
          </w:divBdr>
        </w:div>
        <w:div w:id="970331507">
          <w:marLeft w:val="0"/>
          <w:marRight w:val="0"/>
          <w:marTop w:val="0"/>
          <w:marBottom w:val="0"/>
          <w:divBdr>
            <w:top w:val="none" w:sz="0" w:space="0" w:color="auto"/>
            <w:left w:val="none" w:sz="0" w:space="0" w:color="auto"/>
            <w:bottom w:val="none" w:sz="0" w:space="0" w:color="auto"/>
            <w:right w:val="none" w:sz="0" w:space="0" w:color="auto"/>
          </w:divBdr>
        </w:div>
        <w:div w:id="1993482286">
          <w:marLeft w:val="0"/>
          <w:marRight w:val="0"/>
          <w:marTop w:val="0"/>
          <w:marBottom w:val="0"/>
          <w:divBdr>
            <w:top w:val="none" w:sz="0" w:space="0" w:color="auto"/>
            <w:left w:val="none" w:sz="0" w:space="0" w:color="auto"/>
            <w:bottom w:val="none" w:sz="0" w:space="0" w:color="auto"/>
            <w:right w:val="none" w:sz="0" w:space="0" w:color="auto"/>
          </w:divBdr>
        </w:div>
        <w:div w:id="572935190">
          <w:marLeft w:val="0"/>
          <w:marRight w:val="0"/>
          <w:marTop w:val="0"/>
          <w:marBottom w:val="0"/>
          <w:divBdr>
            <w:top w:val="none" w:sz="0" w:space="0" w:color="auto"/>
            <w:left w:val="none" w:sz="0" w:space="0" w:color="auto"/>
            <w:bottom w:val="none" w:sz="0" w:space="0" w:color="auto"/>
            <w:right w:val="none" w:sz="0" w:space="0" w:color="auto"/>
          </w:divBdr>
        </w:div>
        <w:div w:id="279335337">
          <w:marLeft w:val="0"/>
          <w:marRight w:val="0"/>
          <w:marTop w:val="0"/>
          <w:marBottom w:val="0"/>
          <w:divBdr>
            <w:top w:val="none" w:sz="0" w:space="0" w:color="auto"/>
            <w:left w:val="none" w:sz="0" w:space="0" w:color="auto"/>
            <w:bottom w:val="none" w:sz="0" w:space="0" w:color="auto"/>
            <w:right w:val="none" w:sz="0" w:space="0" w:color="auto"/>
          </w:divBdr>
        </w:div>
        <w:div w:id="1815681638">
          <w:marLeft w:val="0"/>
          <w:marRight w:val="0"/>
          <w:marTop w:val="0"/>
          <w:marBottom w:val="0"/>
          <w:divBdr>
            <w:top w:val="none" w:sz="0" w:space="0" w:color="auto"/>
            <w:left w:val="none" w:sz="0" w:space="0" w:color="auto"/>
            <w:bottom w:val="none" w:sz="0" w:space="0" w:color="auto"/>
            <w:right w:val="none" w:sz="0" w:space="0" w:color="auto"/>
          </w:divBdr>
        </w:div>
        <w:div w:id="1067918346">
          <w:marLeft w:val="0"/>
          <w:marRight w:val="0"/>
          <w:marTop w:val="0"/>
          <w:marBottom w:val="0"/>
          <w:divBdr>
            <w:top w:val="none" w:sz="0" w:space="0" w:color="auto"/>
            <w:left w:val="none" w:sz="0" w:space="0" w:color="auto"/>
            <w:bottom w:val="none" w:sz="0" w:space="0" w:color="auto"/>
            <w:right w:val="none" w:sz="0" w:space="0" w:color="auto"/>
          </w:divBdr>
        </w:div>
        <w:div w:id="927884754">
          <w:marLeft w:val="0"/>
          <w:marRight w:val="0"/>
          <w:marTop w:val="0"/>
          <w:marBottom w:val="0"/>
          <w:divBdr>
            <w:top w:val="none" w:sz="0" w:space="0" w:color="auto"/>
            <w:left w:val="none" w:sz="0" w:space="0" w:color="auto"/>
            <w:bottom w:val="none" w:sz="0" w:space="0" w:color="auto"/>
            <w:right w:val="none" w:sz="0" w:space="0" w:color="auto"/>
          </w:divBdr>
        </w:div>
        <w:div w:id="1582108057">
          <w:marLeft w:val="0"/>
          <w:marRight w:val="0"/>
          <w:marTop w:val="0"/>
          <w:marBottom w:val="0"/>
          <w:divBdr>
            <w:top w:val="none" w:sz="0" w:space="0" w:color="auto"/>
            <w:left w:val="none" w:sz="0" w:space="0" w:color="auto"/>
            <w:bottom w:val="none" w:sz="0" w:space="0" w:color="auto"/>
            <w:right w:val="none" w:sz="0" w:space="0" w:color="auto"/>
          </w:divBdr>
        </w:div>
      </w:divsChild>
    </w:div>
    <w:div w:id="581909307">
      <w:bodyDiv w:val="1"/>
      <w:marLeft w:val="0"/>
      <w:marRight w:val="0"/>
      <w:marTop w:val="0"/>
      <w:marBottom w:val="0"/>
      <w:divBdr>
        <w:top w:val="none" w:sz="0" w:space="0" w:color="auto"/>
        <w:left w:val="none" w:sz="0" w:space="0" w:color="auto"/>
        <w:bottom w:val="none" w:sz="0" w:space="0" w:color="auto"/>
        <w:right w:val="none" w:sz="0" w:space="0" w:color="auto"/>
      </w:divBdr>
    </w:div>
    <w:div w:id="584076872">
      <w:bodyDiv w:val="1"/>
      <w:marLeft w:val="0"/>
      <w:marRight w:val="0"/>
      <w:marTop w:val="0"/>
      <w:marBottom w:val="0"/>
      <w:divBdr>
        <w:top w:val="none" w:sz="0" w:space="0" w:color="auto"/>
        <w:left w:val="none" w:sz="0" w:space="0" w:color="auto"/>
        <w:bottom w:val="none" w:sz="0" w:space="0" w:color="auto"/>
        <w:right w:val="none" w:sz="0" w:space="0" w:color="auto"/>
      </w:divBdr>
    </w:div>
    <w:div w:id="708803616">
      <w:bodyDiv w:val="1"/>
      <w:marLeft w:val="0"/>
      <w:marRight w:val="0"/>
      <w:marTop w:val="0"/>
      <w:marBottom w:val="0"/>
      <w:divBdr>
        <w:top w:val="none" w:sz="0" w:space="0" w:color="auto"/>
        <w:left w:val="none" w:sz="0" w:space="0" w:color="auto"/>
        <w:bottom w:val="none" w:sz="0" w:space="0" w:color="auto"/>
        <w:right w:val="none" w:sz="0" w:space="0" w:color="auto"/>
      </w:divBdr>
      <w:divsChild>
        <w:div w:id="1131245728">
          <w:marLeft w:val="0"/>
          <w:marRight w:val="0"/>
          <w:marTop w:val="0"/>
          <w:marBottom w:val="0"/>
          <w:divBdr>
            <w:top w:val="none" w:sz="0" w:space="0" w:color="auto"/>
            <w:left w:val="none" w:sz="0" w:space="0" w:color="auto"/>
            <w:bottom w:val="none" w:sz="0" w:space="0" w:color="auto"/>
            <w:right w:val="none" w:sz="0" w:space="0" w:color="auto"/>
          </w:divBdr>
        </w:div>
        <w:div w:id="1614164616">
          <w:marLeft w:val="0"/>
          <w:marRight w:val="0"/>
          <w:marTop w:val="0"/>
          <w:marBottom w:val="0"/>
          <w:divBdr>
            <w:top w:val="none" w:sz="0" w:space="0" w:color="auto"/>
            <w:left w:val="none" w:sz="0" w:space="0" w:color="auto"/>
            <w:bottom w:val="none" w:sz="0" w:space="0" w:color="auto"/>
            <w:right w:val="none" w:sz="0" w:space="0" w:color="auto"/>
          </w:divBdr>
        </w:div>
        <w:div w:id="526795613">
          <w:marLeft w:val="0"/>
          <w:marRight w:val="0"/>
          <w:marTop w:val="0"/>
          <w:marBottom w:val="0"/>
          <w:divBdr>
            <w:top w:val="none" w:sz="0" w:space="0" w:color="auto"/>
            <w:left w:val="none" w:sz="0" w:space="0" w:color="auto"/>
            <w:bottom w:val="none" w:sz="0" w:space="0" w:color="auto"/>
            <w:right w:val="none" w:sz="0" w:space="0" w:color="auto"/>
          </w:divBdr>
        </w:div>
        <w:div w:id="1377582193">
          <w:marLeft w:val="0"/>
          <w:marRight w:val="0"/>
          <w:marTop w:val="0"/>
          <w:marBottom w:val="0"/>
          <w:divBdr>
            <w:top w:val="none" w:sz="0" w:space="0" w:color="auto"/>
            <w:left w:val="none" w:sz="0" w:space="0" w:color="auto"/>
            <w:bottom w:val="none" w:sz="0" w:space="0" w:color="auto"/>
            <w:right w:val="none" w:sz="0" w:space="0" w:color="auto"/>
          </w:divBdr>
        </w:div>
        <w:div w:id="1393381444">
          <w:marLeft w:val="0"/>
          <w:marRight w:val="0"/>
          <w:marTop w:val="0"/>
          <w:marBottom w:val="0"/>
          <w:divBdr>
            <w:top w:val="none" w:sz="0" w:space="0" w:color="auto"/>
            <w:left w:val="none" w:sz="0" w:space="0" w:color="auto"/>
            <w:bottom w:val="none" w:sz="0" w:space="0" w:color="auto"/>
            <w:right w:val="none" w:sz="0" w:space="0" w:color="auto"/>
          </w:divBdr>
        </w:div>
        <w:div w:id="1702322036">
          <w:marLeft w:val="0"/>
          <w:marRight w:val="0"/>
          <w:marTop w:val="0"/>
          <w:marBottom w:val="0"/>
          <w:divBdr>
            <w:top w:val="none" w:sz="0" w:space="0" w:color="auto"/>
            <w:left w:val="none" w:sz="0" w:space="0" w:color="auto"/>
            <w:bottom w:val="none" w:sz="0" w:space="0" w:color="auto"/>
            <w:right w:val="none" w:sz="0" w:space="0" w:color="auto"/>
          </w:divBdr>
        </w:div>
        <w:div w:id="399863591">
          <w:marLeft w:val="0"/>
          <w:marRight w:val="0"/>
          <w:marTop w:val="0"/>
          <w:marBottom w:val="0"/>
          <w:divBdr>
            <w:top w:val="none" w:sz="0" w:space="0" w:color="auto"/>
            <w:left w:val="none" w:sz="0" w:space="0" w:color="auto"/>
            <w:bottom w:val="none" w:sz="0" w:space="0" w:color="auto"/>
            <w:right w:val="none" w:sz="0" w:space="0" w:color="auto"/>
          </w:divBdr>
        </w:div>
        <w:div w:id="1594245288">
          <w:marLeft w:val="0"/>
          <w:marRight w:val="0"/>
          <w:marTop w:val="0"/>
          <w:marBottom w:val="0"/>
          <w:divBdr>
            <w:top w:val="none" w:sz="0" w:space="0" w:color="auto"/>
            <w:left w:val="none" w:sz="0" w:space="0" w:color="auto"/>
            <w:bottom w:val="none" w:sz="0" w:space="0" w:color="auto"/>
            <w:right w:val="none" w:sz="0" w:space="0" w:color="auto"/>
          </w:divBdr>
        </w:div>
        <w:div w:id="103155081">
          <w:marLeft w:val="0"/>
          <w:marRight w:val="0"/>
          <w:marTop w:val="0"/>
          <w:marBottom w:val="0"/>
          <w:divBdr>
            <w:top w:val="none" w:sz="0" w:space="0" w:color="auto"/>
            <w:left w:val="none" w:sz="0" w:space="0" w:color="auto"/>
            <w:bottom w:val="none" w:sz="0" w:space="0" w:color="auto"/>
            <w:right w:val="none" w:sz="0" w:space="0" w:color="auto"/>
          </w:divBdr>
        </w:div>
        <w:div w:id="1380085619">
          <w:marLeft w:val="0"/>
          <w:marRight w:val="0"/>
          <w:marTop w:val="0"/>
          <w:marBottom w:val="0"/>
          <w:divBdr>
            <w:top w:val="none" w:sz="0" w:space="0" w:color="auto"/>
            <w:left w:val="none" w:sz="0" w:space="0" w:color="auto"/>
            <w:bottom w:val="none" w:sz="0" w:space="0" w:color="auto"/>
            <w:right w:val="none" w:sz="0" w:space="0" w:color="auto"/>
          </w:divBdr>
        </w:div>
      </w:divsChild>
    </w:div>
    <w:div w:id="774443925">
      <w:bodyDiv w:val="1"/>
      <w:marLeft w:val="0"/>
      <w:marRight w:val="0"/>
      <w:marTop w:val="0"/>
      <w:marBottom w:val="0"/>
      <w:divBdr>
        <w:top w:val="none" w:sz="0" w:space="0" w:color="auto"/>
        <w:left w:val="none" w:sz="0" w:space="0" w:color="auto"/>
        <w:bottom w:val="none" w:sz="0" w:space="0" w:color="auto"/>
        <w:right w:val="none" w:sz="0" w:space="0" w:color="auto"/>
      </w:divBdr>
      <w:divsChild>
        <w:div w:id="1589918941">
          <w:marLeft w:val="0"/>
          <w:marRight w:val="0"/>
          <w:marTop w:val="0"/>
          <w:marBottom w:val="0"/>
          <w:divBdr>
            <w:top w:val="none" w:sz="0" w:space="0" w:color="auto"/>
            <w:left w:val="none" w:sz="0" w:space="0" w:color="auto"/>
            <w:bottom w:val="none" w:sz="0" w:space="0" w:color="auto"/>
            <w:right w:val="none" w:sz="0" w:space="0" w:color="auto"/>
          </w:divBdr>
        </w:div>
        <w:div w:id="154103788">
          <w:marLeft w:val="0"/>
          <w:marRight w:val="0"/>
          <w:marTop w:val="0"/>
          <w:marBottom w:val="0"/>
          <w:divBdr>
            <w:top w:val="none" w:sz="0" w:space="0" w:color="auto"/>
            <w:left w:val="none" w:sz="0" w:space="0" w:color="auto"/>
            <w:bottom w:val="none" w:sz="0" w:space="0" w:color="auto"/>
            <w:right w:val="none" w:sz="0" w:space="0" w:color="auto"/>
          </w:divBdr>
        </w:div>
        <w:div w:id="1459106215">
          <w:marLeft w:val="0"/>
          <w:marRight w:val="0"/>
          <w:marTop w:val="0"/>
          <w:marBottom w:val="0"/>
          <w:divBdr>
            <w:top w:val="none" w:sz="0" w:space="0" w:color="auto"/>
            <w:left w:val="none" w:sz="0" w:space="0" w:color="auto"/>
            <w:bottom w:val="none" w:sz="0" w:space="0" w:color="auto"/>
            <w:right w:val="none" w:sz="0" w:space="0" w:color="auto"/>
          </w:divBdr>
        </w:div>
        <w:div w:id="1694114632">
          <w:marLeft w:val="0"/>
          <w:marRight w:val="0"/>
          <w:marTop w:val="0"/>
          <w:marBottom w:val="0"/>
          <w:divBdr>
            <w:top w:val="none" w:sz="0" w:space="0" w:color="auto"/>
            <w:left w:val="none" w:sz="0" w:space="0" w:color="auto"/>
            <w:bottom w:val="none" w:sz="0" w:space="0" w:color="auto"/>
            <w:right w:val="none" w:sz="0" w:space="0" w:color="auto"/>
          </w:divBdr>
        </w:div>
        <w:div w:id="59639565">
          <w:marLeft w:val="0"/>
          <w:marRight w:val="0"/>
          <w:marTop w:val="0"/>
          <w:marBottom w:val="0"/>
          <w:divBdr>
            <w:top w:val="none" w:sz="0" w:space="0" w:color="auto"/>
            <w:left w:val="none" w:sz="0" w:space="0" w:color="auto"/>
            <w:bottom w:val="none" w:sz="0" w:space="0" w:color="auto"/>
            <w:right w:val="none" w:sz="0" w:space="0" w:color="auto"/>
          </w:divBdr>
        </w:div>
        <w:div w:id="23599902">
          <w:marLeft w:val="0"/>
          <w:marRight w:val="0"/>
          <w:marTop w:val="0"/>
          <w:marBottom w:val="0"/>
          <w:divBdr>
            <w:top w:val="none" w:sz="0" w:space="0" w:color="auto"/>
            <w:left w:val="none" w:sz="0" w:space="0" w:color="auto"/>
            <w:bottom w:val="none" w:sz="0" w:space="0" w:color="auto"/>
            <w:right w:val="none" w:sz="0" w:space="0" w:color="auto"/>
          </w:divBdr>
        </w:div>
        <w:div w:id="1306471910">
          <w:marLeft w:val="0"/>
          <w:marRight w:val="0"/>
          <w:marTop w:val="0"/>
          <w:marBottom w:val="0"/>
          <w:divBdr>
            <w:top w:val="none" w:sz="0" w:space="0" w:color="auto"/>
            <w:left w:val="none" w:sz="0" w:space="0" w:color="auto"/>
            <w:bottom w:val="none" w:sz="0" w:space="0" w:color="auto"/>
            <w:right w:val="none" w:sz="0" w:space="0" w:color="auto"/>
          </w:divBdr>
        </w:div>
        <w:div w:id="1982340760">
          <w:marLeft w:val="0"/>
          <w:marRight w:val="0"/>
          <w:marTop w:val="0"/>
          <w:marBottom w:val="0"/>
          <w:divBdr>
            <w:top w:val="none" w:sz="0" w:space="0" w:color="auto"/>
            <w:left w:val="none" w:sz="0" w:space="0" w:color="auto"/>
            <w:bottom w:val="none" w:sz="0" w:space="0" w:color="auto"/>
            <w:right w:val="none" w:sz="0" w:space="0" w:color="auto"/>
          </w:divBdr>
        </w:div>
      </w:divsChild>
    </w:div>
    <w:div w:id="861013695">
      <w:bodyDiv w:val="1"/>
      <w:marLeft w:val="0"/>
      <w:marRight w:val="0"/>
      <w:marTop w:val="0"/>
      <w:marBottom w:val="0"/>
      <w:divBdr>
        <w:top w:val="none" w:sz="0" w:space="0" w:color="auto"/>
        <w:left w:val="none" w:sz="0" w:space="0" w:color="auto"/>
        <w:bottom w:val="none" w:sz="0" w:space="0" w:color="auto"/>
        <w:right w:val="none" w:sz="0" w:space="0" w:color="auto"/>
      </w:divBdr>
      <w:divsChild>
        <w:div w:id="593780656">
          <w:marLeft w:val="0"/>
          <w:marRight w:val="0"/>
          <w:marTop w:val="0"/>
          <w:marBottom w:val="0"/>
          <w:divBdr>
            <w:top w:val="none" w:sz="0" w:space="0" w:color="auto"/>
            <w:left w:val="none" w:sz="0" w:space="0" w:color="auto"/>
            <w:bottom w:val="none" w:sz="0" w:space="0" w:color="auto"/>
            <w:right w:val="none" w:sz="0" w:space="0" w:color="auto"/>
          </w:divBdr>
        </w:div>
        <w:div w:id="69739429">
          <w:marLeft w:val="0"/>
          <w:marRight w:val="0"/>
          <w:marTop w:val="0"/>
          <w:marBottom w:val="0"/>
          <w:divBdr>
            <w:top w:val="none" w:sz="0" w:space="0" w:color="auto"/>
            <w:left w:val="none" w:sz="0" w:space="0" w:color="auto"/>
            <w:bottom w:val="none" w:sz="0" w:space="0" w:color="auto"/>
            <w:right w:val="none" w:sz="0" w:space="0" w:color="auto"/>
          </w:divBdr>
        </w:div>
        <w:div w:id="2042053881">
          <w:marLeft w:val="0"/>
          <w:marRight w:val="0"/>
          <w:marTop w:val="0"/>
          <w:marBottom w:val="0"/>
          <w:divBdr>
            <w:top w:val="none" w:sz="0" w:space="0" w:color="auto"/>
            <w:left w:val="none" w:sz="0" w:space="0" w:color="auto"/>
            <w:bottom w:val="none" w:sz="0" w:space="0" w:color="auto"/>
            <w:right w:val="none" w:sz="0" w:space="0" w:color="auto"/>
          </w:divBdr>
        </w:div>
        <w:div w:id="712466141">
          <w:marLeft w:val="0"/>
          <w:marRight w:val="0"/>
          <w:marTop w:val="0"/>
          <w:marBottom w:val="0"/>
          <w:divBdr>
            <w:top w:val="none" w:sz="0" w:space="0" w:color="auto"/>
            <w:left w:val="none" w:sz="0" w:space="0" w:color="auto"/>
            <w:bottom w:val="none" w:sz="0" w:space="0" w:color="auto"/>
            <w:right w:val="none" w:sz="0" w:space="0" w:color="auto"/>
          </w:divBdr>
        </w:div>
        <w:div w:id="2043556478">
          <w:marLeft w:val="0"/>
          <w:marRight w:val="0"/>
          <w:marTop w:val="0"/>
          <w:marBottom w:val="0"/>
          <w:divBdr>
            <w:top w:val="none" w:sz="0" w:space="0" w:color="auto"/>
            <w:left w:val="none" w:sz="0" w:space="0" w:color="auto"/>
            <w:bottom w:val="none" w:sz="0" w:space="0" w:color="auto"/>
            <w:right w:val="none" w:sz="0" w:space="0" w:color="auto"/>
          </w:divBdr>
        </w:div>
        <w:div w:id="314799233">
          <w:marLeft w:val="0"/>
          <w:marRight w:val="0"/>
          <w:marTop w:val="0"/>
          <w:marBottom w:val="0"/>
          <w:divBdr>
            <w:top w:val="none" w:sz="0" w:space="0" w:color="auto"/>
            <w:left w:val="none" w:sz="0" w:space="0" w:color="auto"/>
            <w:bottom w:val="none" w:sz="0" w:space="0" w:color="auto"/>
            <w:right w:val="none" w:sz="0" w:space="0" w:color="auto"/>
          </w:divBdr>
        </w:div>
        <w:div w:id="531921600">
          <w:marLeft w:val="0"/>
          <w:marRight w:val="0"/>
          <w:marTop w:val="0"/>
          <w:marBottom w:val="0"/>
          <w:divBdr>
            <w:top w:val="none" w:sz="0" w:space="0" w:color="auto"/>
            <w:left w:val="none" w:sz="0" w:space="0" w:color="auto"/>
            <w:bottom w:val="none" w:sz="0" w:space="0" w:color="auto"/>
            <w:right w:val="none" w:sz="0" w:space="0" w:color="auto"/>
          </w:divBdr>
        </w:div>
        <w:div w:id="1316033483">
          <w:marLeft w:val="0"/>
          <w:marRight w:val="0"/>
          <w:marTop w:val="0"/>
          <w:marBottom w:val="0"/>
          <w:divBdr>
            <w:top w:val="none" w:sz="0" w:space="0" w:color="auto"/>
            <w:left w:val="none" w:sz="0" w:space="0" w:color="auto"/>
            <w:bottom w:val="none" w:sz="0" w:space="0" w:color="auto"/>
            <w:right w:val="none" w:sz="0" w:space="0" w:color="auto"/>
          </w:divBdr>
        </w:div>
        <w:div w:id="1854493114">
          <w:marLeft w:val="0"/>
          <w:marRight w:val="0"/>
          <w:marTop w:val="0"/>
          <w:marBottom w:val="0"/>
          <w:divBdr>
            <w:top w:val="none" w:sz="0" w:space="0" w:color="auto"/>
            <w:left w:val="none" w:sz="0" w:space="0" w:color="auto"/>
            <w:bottom w:val="none" w:sz="0" w:space="0" w:color="auto"/>
            <w:right w:val="none" w:sz="0" w:space="0" w:color="auto"/>
          </w:divBdr>
        </w:div>
        <w:div w:id="2037342920">
          <w:marLeft w:val="0"/>
          <w:marRight w:val="0"/>
          <w:marTop w:val="0"/>
          <w:marBottom w:val="0"/>
          <w:divBdr>
            <w:top w:val="none" w:sz="0" w:space="0" w:color="auto"/>
            <w:left w:val="none" w:sz="0" w:space="0" w:color="auto"/>
            <w:bottom w:val="none" w:sz="0" w:space="0" w:color="auto"/>
            <w:right w:val="none" w:sz="0" w:space="0" w:color="auto"/>
          </w:divBdr>
        </w:div>
      </w:divsChild>
    </w:div>
    <w:div w:id="889341007">
      <w:bodyDiv w:val="1"/>
      <w:marLeft w:val="0"/>
      <w:marRight w:val="0"/>
      <w:marTop w:val="0"/>
      <w:marBottom w:val="0"/>
      <w:divBdr>
        <w:top w:val="none" w:sz="0" w:space="0" w:color="auto"/>
        <w:left w:val="none" w:sz="0" w:space="0" w:color="auto"/>
        <w:bottom w:val="none" w:sz="0" w:space="0" w:color="auto"/>
        <w:right w:val="none" w:sz="0" w:space="0" w:color="auto"/>
      </w:divBdr>
    </w:div>
    <w:div w:id="898438190">
      <w:bodyDiv w:val="1"/>
      <w:marLeft w:val="0"/>
      <w:marRight w:val="0"/>
      <w:marTop w:val="0"/>
      <w:marBottom w:val="0"/>
      <w:divBdr>
        <w:top w:val="none" w:sz="0" w:space="0" w:color="auto"/>
        <w:left w:val="none" w:sz="0" w:space="0" w:color="auto"/>
        <w:bottom w:val="none" w:sz="0" w:space="0" w:color="auto"/>
        <w:right w:val="none" w:sz="0" w:space="0" w:color="auto"/>
      </w:divBdr>
      <w:divsChild>
        <w:div w:id="1343164649">
          <w:marLeft w:val="0"/>
          <w:marRight w:val="0"/>
          <w:marTop w:val="0"/>
          <w:marBottom w:val="0"/>
          <w:divBdr>
            <w:top w:val="none" w:sz="0" w:space="0" w:color="auto"/>
            <w:left w:val="none" w:sz="0" w:space="0" w:color="auto"/>
            <w:bottom w:val="none" w:sz="0" w:space="0" w:color="auto"/>
            <w:right w:val="none" w:sz="0" w:space="0" w:color="auto"/>
          </w:divBdr>
          <w:divsChild>
            <w:div w:id="776871763">
              <w:marLeft w:val="0"/>
              <w:marRight w:val="0"/>
              <w:marTop w:val="0"/>
              <w:marBottom w:val="0"/>
              <w:divBdr>
                <w:top w:val="none" w:sz="0" w:space="0" w:color="auto"/>
                <w:left w:val="none" w:sz="0" w:space="0" w:color="auto"/>
                <w:bottom w:val="none" w:sz="0" w:space="0" w:color="auto"/>
                <w:right w:val="none" w:sz="0" w:space="0" w:color="auto"/>
              </w:divBdr>
              <w:divsChild>
                <w:div w:id="779648383">
                  <w:marLeft w:val="0"/>
                  <w:marRight w:val="0"/>
                  <w:marTop w:val="0"/>
                  <w:marBottom w:val="0"/>
                  <w:divBdr>
                    <w:top w:val="none" w:sz="0" w:space="0" w:color="auto"/>
                    <w:left w:val="none" w:sz="0" w:space="0" w:color="auto"/>
                    <w:bottom w:val="none" w:sz="0" w:space="0" w:color="auto"/>
                    <w:right w:val="none" w:sz="0" w:space="0" w:color="auto"/>
                  </w:divBdr>
                  <w:divsChild>
                    <w:div w:id="70683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067277">
      <w:bodyDiv w:val="1"/>
      <w:marLeft w:val="0"/>
      <w:marRight w:val="0"/>
      <w:marTop w:val="0"/>
      <w:marBottom w:val="0"/>
      <w:divBdr>
        <w:top w:val="none" w:sz="0" w:space="0" w:color="auto"/>
        <w:left w:val="none" w:sz="0" w:space="0" w:color="auto"/>
        <w:bottom w:val="none" w:sz="0" w:space="0" w:color="auto"/>
        <w:right w:val="none" w:sz="0" w:space="0" w:color="auto"/>
      </w:divBdr>
      <w:divsChild>
        <w:div w:id="1018697002">
          <w:marLeft w:val="0"/>
          <w:marRight w:val="0"/>
          <w:marTop w:val="0"/>
          <w:marBottom w:val="0"/>
          <w:divBdr>
            <w:top w:val="none" w:sz="0" w:space="0" w:color="auto"/>
            <w:left w:val="none" w:sz="0" w:space="0" w:color="auto"/>
            <w:bottom w:val="none" w:sz="0" w:space="0" w:color="auto"/>
            <w:right w:val="none" w:sz="0" w:space="0" w:color="auto"/>
          </w:divBdr>
        </w:div>
        <w:div w:id="2074231884">
          <w:marLeft w:val="0"/>
          <w:marRight w:val="0"/>
          <w:marTop w:val="0"/>
          <w:marBottom w:val="0"/>
          <w:divBdr>
            <w:top w:val="none" w:sz="0" w:space="0" w:color="auto"/>
            <w:left w:val="none" w:sz="0" w:space="0" w:color="auto"/>
            <w:bottom w:val="none" w:sz="0" w:space="0" w:color="auto"/>
            <w:right w:val="none" w:sz="0" w:space="0" w:color="auto"/>
          </w:divBdr>
        </w:div>
        <w:div w:id="721564509">
          <w:marLeft w:val="0"/>
          <w:marRight w:val="0"/>
          <w:marTop w:val="0"/>
          <w:marBottom w:val="0"/>
          <w:divBdr>
            <w:top w:val="none" w:sz="0" w:space="0" w:color="auto"/>
            <w:left w:val="none" w:sz="0" w:space="0" w:color="auto"/>
            <w:bottom w:val="none" w:sz="0" w:space="0" w:color="auto"/>
            <w:right w:val="none" w:sz="0" w:space="0" w:color="auto"/>
          </w:divBdr>
        </w:div>
        <w:div w:id="190925397">
          <w:marLeft w:val="0"/>
          <w:marRight w:val="0"/>
          <w:marTop w:val="0"/>
          <w:marBottom w:val="0"/>
          <w:divBdr>
            <w:top w:val="none" w:sz="0" w:space="0" w:color="auto"/>
            <w:left w:val="none" w:sz="0" w:space="0" w:color="auto"/>
            <w:bottom w:val="none" w:sz="0" w:space="0" w:color="auto"/>
            <w:right w:val="none" w:sz="0" w:space="0" w:color="auto"/>
          </w:divBdr>
        </w:div>
        <w:div w:id="763695432">
          <w:marLeft w:val="0"/>
          <w:marRight w:val="0"/>
          <w:marTop w:val="0"/>
          <w:marBottom w:val="0"/>
          <w:divBdr>
            <w:top w:val="none" w:sz="0" w:space="0" w:color="auto"/>
            <w:left w:val="none" w:sz="0" w:space="0" w:color="auto"/>
            <w:bottom w:val="none" w:sz="0" w:space="0" w:color="auto"/>
            <w:right w:val="none" w:sz="0" w:space="0" w:color="auto"/>
          </w:divBdr>
        </w:div>
        <w:div w:id="2124226147">
          <w:marLeft w:val="0"/>
          <w:marRight w:val="0"/>
          <w:marTop w:val="0"/>
          <w:marBottom w:val="0"/>
          <w:divBdr>
            <w:top w:val="none" w:sz="0" w:space="0" w:color="auto"/>
            <w:left w:val="none" w:sz="0" w:space="0" w:color="auto"/>
            <w:bottom w:val="none" w:sz="0" w:space="0" w:color="auto"/>
            <w:right w:val="none" w:sz="0" w:space="0" w:color="auto"/>
          </w:divBdr>
        </w:div>
        <w:div w:id="1467744519">
          <w:marLeft w:val="0"/>
          <w:marRight w:val="0"/>
          <w:marTop w:val="0"/>
          <w:marBottom w:val="0"/>
          <w:divBdr>
            <w:top w:val="none" w:sz="0" w:space="0" w:color="auto"/>
            <w:left w:val="none" w:sz="0" w:space="0" w:color="auto"/>
            <w:bottom w:val="none" w:sz="0" w:space="0" w:color="auto"/>
            <w:right w:val="none" w:sz="0" w:space="0" w:color="auto"/>
          </w:divBdr>
        </w:div>
        <w:div w:id="1624186181">
          <w:marLeft w:val="0"/>
          <w:marRight w:val="0"/>
          <w:marTop w:val="0"/>
          <w:marBottom w:val="0"/>
          <w:divBdr>
            <w:top w:val="none" w:sz="0" w:space="0" w:color="auto"/>
            <w:left w:val="none" w:sz="0" w:space="0" w:color="auto"/>
            <w:bottom w:val="none" w:sz="0" w:space="0" w:color="auto"/>
            <w:right w:val="none" w:sz="0" w:space="0" w:color="auto"/>
          </w:divBdr>
        </w:div>
        <w:div w:id="2001351021">
          <w:marLeft w:val="0"/>
          <w:marRight w:val="0"/>
          <w:marTop w:val="0"/>
          <w:marBottom w:val="0"/>
          <w:divBdr>
            <w:top w:val="none" w:sz="0" w:space="0" w:color="auto"/>
            <w:left w:val="none" w:sz="0" w:space="0" w:color="auto"/>
            <w:bottom w:val="none" w:sz="0" w:space="0" w:color="auto"/>
            <w:right w:val="none" w:sz="0" w:space="0" w:color="auto"/>
          </w:divBdr>
        </w:div>
        <w:div w:id="1279946403">
          <w:marLeft w:val="0"/>
          <w:marRight w:val="0"/>
          <w:marTop w:val="0"/>
          <w:marBottom w:val="0"/>
          <w:divBdr>
            <w:top w:val="none" w:sz="0" w:space="0" w:color="auto"/>
            <w:left w:val="none" w:sz="0" w:space="0" w:color="auto"/>
            <w:bottom w:val="none" w:sz="0" w:space="0" w:color="auto"/>
            <w:right w:val="none" w:sz="0" w:space="0" w:color="auto"/>
          </w:divBdr>
        </w:div>
        <w:div w:id="42340508">
          <w:marLeft w:val="0"/>
          <w:marRight w:val="0"/>
          <w:marTop w:val="0"/>
          <w:marBottom w:val="0"/>
          <w:divBdr>
            <w:top w:val="none" w:sz="0" w:space="0" w:color="auto"/>
            <w:left w:val="none" w:sz="0" w:space="0" w:color="auto"/>
            <w:bottom w:val="none" w:sz="0" w:space="0" w:color="auto"/>
            <w:right w:val="none" w:sz="0" w:space="0" w:color="auto"/>
          </w:divBdr>
        </w:div>
        <w:div w:id="806438953">
          <w:marLeft w:val="0"/>
          <w:marRight w:val="0"/>
          <w:marTop w:val="0"/>
          <w:marBottom w:val="0"/>
          <w:divBdr>
            <w:top w:val="none" w:sz="0" w:space="0" w:color="auto"/>
            <w:left w:val="none" w:sz="0" w:space="0" w:color="auto"/>
            <w:bottom w:val="none" w:sz="0" w:space="0" w:color="auto"/>
            <w:right w:val="none" w:sz="0" w:space="0" w:color="auto"/>
          </w:divBdr>
        </w:div>
        <w:div w:id="2016102829">
          <w:marLeft w:val="0"/>
          <w:marRight w:val="0"/>
          <w:marTop w:val="0"/>
          <w:marBottom w:val="0"/>
          <w:divBdr>
            <w:top w:val="none" w:sz="0" w:space="0" w:color="auto"/>
            <w:left w:val="none" w:sz="0" w:space="0" w:color="auto"/>
            <w:bottom w:val="none" w:sz="0" w:space="0" w:color="auto"/>
            <w:right w:val="none" w:sz="0" w:space="0" w:color="auto"/>
          </w:divBdr>
        </w:div>
        <w:div w:id="2131851884">
          <w:marLeft w:val="0"/>
          <w:marRight w:val="0"/>
          <w:marTop w:val="0"/>
          <w:marBottom w:val="0"/>
          <w:divBdr>
            <w:top w:val="none" w:sz="0" w:space="0" w:color="auto"/>
            <w:left w:val="none" w:sz="0" w:space="0" w:color="auto"/>
            <w:bottom w:val="none" w:sz="0" w:space="0" w:color="auto"/>
            <w:right w:val="none" w:sz="0" w:space="0" w:color="auto"/>
          </w:divBdr>
        </w:div>
      </w:divsChild>
    </w:div>
    <w:div w:id="979967795">
      <w:bodyDiv w:val="1"/>
      <w:marLeft w:val="0"/>
      <w:marRight w:val="0"/>
      <w:marTop w:val="0"/>
      <w:marBottom w:val="0"/>
      <w:divBdr>
        <w:top w:val="none" w:sz="0" w:space="0" w:color="auto"/>
        <w:left w:val="none" w:sz="0" w:space="0" w:color="auto"/>
        <w:bottom w:val="none" w:sz="0" w:space="0" w:color="auto"/>
        <w:right w:val="none" w:sz="0" w:space="0" w:color="auto"/>
      </w:divBdr>
    </w:div>
    <w:div w:id="983773554">
      <w:bodyDiv w:val="1"/>
      <w:marLeft w:val="0"/>
      <w:marRight w:val="0"/>
      <w:marTop w:val="0"/>
      <w:marBottom w:val="0"/>
      <w:divBdr>
        <w:top w:val="none" w:sz="0" w:space="0" w:color="auto"/>
        <w:left w:val="none" w:sz="0" w:space="0" w:color="auto"/>
        <w:bottom w:val="none" w:sz="0" w:space="0" w:color="auto"/>
        <w:right w:val="none" w:sz="0" w:space="0" w:color="auto"/>
      </w:divBdr>
      <w:divsChild>
        <w:div w:id="2097363650">
          <w:marLeft w:val="480"/>
          <w:marRight w:val="0"/>
          <w:marTop w:val="0"/>
          <w:marBottom w:val="0"/>
          <w:divBdr>
            <w:top w:val="none" w:sz="0" w:space="0" w:color="auto"/>
            <w:left w:val="none" w:sz="0" w:space="0" w:color="auto"/>
            <w:bottom w:val="none" w:sz="0" w:space="0" w:color="auto"/>
            <w:right w:val="none" w:sz="0" w:space="0" w:color="auto"/>
          </w:divBdr>
          <w:divsChild>
            <w:div w:id="511604645">
              <w:marLeft w:val="0"/>
              <w:marRight w:val="0"/>
              <w:marTop w:val="0"/>
              <w:marBottom w:val="240"/>
              <w:divBdr>
                <w:top w:val="none" w:sz="0" w:space="0" w:color="auto"/>
                <w:left w:val="none" w:sz="0" w:space="0" w:color="auto"/>
                <w:bottom w:val="none" w:sz="0" w:space="0" w:color="auto"/>
                <w:right w:val="none" w:sz="0" w:space="0" w:color="auto"/>
              </w:divBdr>
            </w:div>
            <w:div w:id="340010846">
              <w:marLeft w:val="0"/>
              <w:marRight w:val="0"/>
              <w:marTop w:val="0"/>
              <w:marBottom w:val="240"/>
              <w:divBdr>
                <w:top w:val="none" w:sz="0" w:space="0" w:color="auto"/>
                <w:left w:val="none" w:sz="0" w:space="0" w:color="auto"/>
                <w:bottom w:val="none" w:sz="0" w:space="0" w:color="auto"/>
                <w:right w:val="none" w:sz="0" w:space="0" w:color="auto"/>
              </w:divBdr>
            </w:div>
            <w:div w:id="1345130553">
              <w:marLeft w:val="0"/>
              <w:marRight w:val="0"/>
              <w:marTop w:val="0"/>
              <w:marBottom w:val="240"/>
              <w:divBdr>
                <w:top w:val="none" w:sz="0" w:space="0" w:color="auto"/>
                <w:left w:val="none" w:sz="0" w:space="0" w:color="auto"/>
                <w:bottom w:val="none" w:sz="0" w:space="0" w:color="auto"/>
                <w:right w:val="none" w:sz="0" w:space="0" w:color="auto"/>
              </w:divBdr>
            </w:div>
            <w:div w:id="1721242096">
              <w:marLeft w:val="0"/>
              <w:marRight w:val="0"/>
              <w:marTop w:val="0"/>
              <w:marBottom w:val="240"/>
              <w:divBdr>
                <w:top w:val="none" w:sz="0" w:space="0" w:color="auto"/>
                <w:left w:val="none" w:sz="0" w:space="0" w:color="auto"/>
                <w:bottom w:val="none" w:sz="0" w:space="0" w:color="auto"/>
                <w:right w:val="none" w:sz="0" w:space="0" w:color="auto"/>
              </w:divBdr>
            </w:div>
            <w:div w:id="602106189">
              <w:marLeft w:val="0"/>
              <w:marRight w:val="0"/>
              <w:marTop w:val="0"/>
              <w:marBottom w:val="240"/>
              <w:divBdr>
                <w:top w:val="none" w:sz="0" w:space="0" w:color="auto"/>
                <w:left w:val="none" w:sz="0" w:space="0" w:color="auto"/>
                <w:bottom w:val="none" w:sz="0" w:space="0" w:color="auto"/>
                <w:right w:val="none" w:sz="0" w:space="0" w:color="auto"/>
              </w:divBdr>
            </w:div>
            <w:div w:id="1764303937">
              <w:marLeft w:val="0"/>
              <w:marRight w:val="0"/>
              <w:marTop w:val="0"/>
              <w:marBottom w:val="240"/>
              <w:divBdr>
                <w:top w:val="none" w:sz="0" w:space="0" w:color="auto"/>
                <w:left w:val="none" w:sz="0" w:space="0" w:color="auto"/>
                <w:bottom w:val="none" w:sz="0" w:space="0" w:color="auto"/>
                <w:right w:val="none" w:sz="0" w:space="0" w:color="auto"/>
              </w:divBdr>
            </w:div>
            <w:div w:id="1971592670">
              <w:marLeft w:val="0"/>
              <w:marRight w:val="0"/>
              <w:marTop w:val="0"/>
              <w:marBottom w:val="240"/>
              <w:divBdr>
                <w:top w:val="none" w:sz="0" w:space="0" w:color="auto"/>
                <w:left w:val="none" w:sz="0" w:space="0" w:color="auto"/>
                <w:bottom w:val="none" w:sz="0" w:space="0" w:color="auto"/>
                <w:right w:val="none" w:sz="0" w:space="0" w:color="auto"/>
              </w:divBdr>
            </w:div>
            <w:div w:id="1775250097">
              <w:marLeft w:val="0"/>
              <w:marRight w:val="0"/>
              <w:marTop w:val="0"/>
              <w:marBottom w:val="240"/>
              <w:divBdr>
                <w:top w:val="none" w:sz="0" w:space="0" w:color="auto"/>
                <w:left w:val="none" w:sz="0" w:space="0" w:color="auto"/>
                <w:bottom w:val="none" w:sz="0" w:space="0" w:color="auto"/>
                <w:right w:val="none" w:sz="0" w:space="0" w:color="auto"/>
              </w:divBdr>
            </w:div>
            <w:div w:id="1419866254">
              <w:marLeft w:val="0"/>
              <w:marRight w:val="0"/>
              <w:marTop w:val="0"/>
              <w:marBottom w:val="240"/>
              <w:divBdr>
                <w:top w:val="none" w:sz="0" w:space="0" w:color="auto"/>
                <w:left w:val="none" w:sz="0" w:space="0" w:color="auto"/>
                <w:bottom w:val="none" w:sz="0" w:space="0" w:color="auto"/>
                <w:right w:val="none" w:sz="0" w:space="0" w:color="auto"/>
              </w:divBdr>
            </w:div>
            <w:div w:id="431050385">
              <w:marLeft w:val="0"/>
              <w:marRight w:val="0"/>
              <w:marTop w:val="0"/>
              <w:marBottom w:val="240"/>
              <w:divBdr>
                <w:top w:val="none" w:sz="0" w:space="0" w:color="auto"/>
                <w:left w:val="none" w:sz="0" w:space="0" w:color="auto"/>
                <w:bottom w:val="none" w:sz="0" w:space="0" w:color="auto"/>
                <w:right w:val="none" w:sz="0" w:space="0" w:color="auto"/>
              </w:divBdr>
            </w:div>
            <w:div w:id="493031326">
              <w:marLeft w:val="0"/>
              <w:marRight w:val="0"/>
              <w:marTop w:val="0"/>
              <w:marBottom w:val="240"/>
              <w:divBdr>
                <w:top w:val="none" w:sz="0" w:space="0" w:color="auto"/>
                <w:left w:val="none" w:sz="0" w:space="0" w:color="auto"/>
                <w:bottom w:val="none" w:sz="0" w:space="0" w:color="auto"/>
                <w:right w:val="none" w:sz="0" w:space="0" w:color="auto"/>
              </w:divBdr>
            </w:div>
            <w:div w:id="447047426">
              <w:marLeft w:val="0"/>
              <w:marRight w:val="0"/>
              <w:marTop w:val="0"/>
              <w:marBottom w:val="240"/>
              <w:divBdr>
                <w:top w:val="none" w:sz="0" w:space="0" w:color="auto"/>
                <w:left w:val="none" w:sz="0" w:space="0" w:color="auto"/>
                <w:bottom w:val="none" w:sz="0" w:space="0" w:color="auto"/>
                <w:right w:val="none" w:sz="0" w:space="0" w:color="auto"/>
              </w:divBdr>
            </w:div>
            <w:div w:id="1521356851">
              <w:marLeft w:val="0"/>
              <w:marRight w:val="0"/>
              <w:marTop w:val="0"/>
              <w:marBottom w:val="240"/>
              <w:divBdr>
                <w:top w:val="none" w:sz="0" w:space="0" w:color="auto"/>
                <w:left w:val="none" w:sz="0" w:space="0" w:color="auto"/>
                <w:bottom w:val="none" w:sz="0" w:space="0" w:color="auto"/>
                <w:right w:val="none" w:sz="0" w:space="0" w:color="auto"/>
              </w:divBdr>
            </w:div>
            <w:div w:id="31349752">
              <w:marLeft w:val="0"/>
              <w:marRight w:val="0"/>
              <w:marTop w:val="0"/>
              <w:marBottom w:val="240"/>
              <w:divBdr>
                <w:top w:val="none" w:sz="0" w:space="0" w:color="auto"/>
                <w:left w:val="none" w:sz="0" w:space="0" w:color="auto"/>
                <w:bottom w:val="none" w:sz="0" w:space="0" w:color="auto"/>
                <w:right w:val="none" w:sz="0" w:space="0" w:color="auto"/>
              </w:divBdr>
            </w:div>
            <w:div w:id="1459647751">
              <w:marLeft w:val="0"/>
              <w:marRight w:val="0"/>
              <w:marTop w:val="0"/>
              <w:marBottom w:val="240"/>
              <w:divBdr>
                <w:top w:val="none" w:sz="0" w:space="0" w:color="auto"/>
                <w:left w:val="none" w:sz="0" w:space="0" w:color="auto"/>
                <w:bottom w:val="none" w:sz="0" w:space="0" w:color="auto"/>
                <w:right w:val="none" w:sz="0" w:space="0" w:color="auto"/>
              </w:divBdr>
            </w:div>
            <w:div w:id="1029649070">
              <w:marLeft w:val="0"/>
              <w:marRight w:val="0"/>
              <w:marTop w:val="0"/>
              <w:marBottom w:val="240"/>
              <w:divBdr>
                <w:top w:val="none" w:sz="0" w:space="0" w:color="auto"/>
                <w:left w:val="none" w:sz="0" w:space="0" w:color="auto"/>
                <w:bottom w:val="none" w:sz="0" w:space="0" w:color="auto"/>
                <w:right w:val="none" w:sz="0" w:space="0" w:color="auto"/>
              </w:divBdr>
            </w:div>
            <w:div w:id="1506045182">
              <w:marLeft w:val="0"/>
              <w:marRight w:val="0"/>
              <w:marTop w:val="0"/>
              <w:marBottom w:val="240"/>
              <w:divBdr>
                <w:top w:val="none" w:sz="0" w:space="0" w:color="auto"/>
                <w:left w:val="none" w:sz="0" w:space="0" w:color="auto"/>
                <w:bottom w:val="none" w:sz="0" w:space="0" w:color="auto"/>
                <w:right w:val="none" w:sz="0" w:space="0" w:color="auto"/>
              </w:divBdr>
            </w:div>
            <w:div w:id="1824656064">
              <w:marLeft w:val="0"/>
              <w:marRight w:val="0"/>
              <w:marTop w:val="0"/>
              <w:marBottom w:val="240"/>
              <w:divBdr>
                <w:top w:val="none" w:sz="0" w:space="0" w:color="auto"/>
                <w:left w:val="none" w:sz="0" w:space="0" w:color="auto"/>
                <w:bottom w:val="none" w:sz="0" w:space="0" w:color="auto"/>
                <w:right w:val="none" w:sz="0" w:space="0" w:color="auto"/>
              </w:divBdr>
            </w:div>
            <w:div w:id="1798178921">
              <w:marLeft w:val="0"/>
              <w:marRight w:val="0"/>
              <w:marTop w:val="0"/>
              <w:marBottom w:val="240"/>
              <w:divBdr>
                <w:top w:val="none" w:sz="0" w:space="0" w:color="auto"/>
                <w:left w:val="none" w:sz="0" w:space="0" w:color="auto"/>
                <w:bottom w:val="none" w:sz="0" w:space="0" w:color="auto"/>
                <w:right w:val="none" w:sz="0" w:space="0" w:color="auto"/>
              </w:divBdr>
            </w:div>
            <w:div w:id="630860947">
              <w:marLeft w:val="0"/>
              <w:marRight w:val="0"/>
              <w:marTop w:val="0"/>
              <w:marBottom w:val="240"/>
              <w:divBdr>
                <w:top w:val="none" w:sz="0" w:space="0" w:color="auto"/>
                <w:left w:val="none" w:sz="0" w:space="0" w:color="auto"/>
                <w:bottom w:val="none" w:sz="0" w:space="0" w:color="auto"/>
                <w:right w:val="none" w:sz="0" w:space="0" w:color="auto"/>
              </w:divBdr>
            </w:div>
            <w:div w:id="361788454">
              <w:marLeft w:val="0"/>
              <w:marRight w:val="0"/>
              <w:marTop w:val="0"/>
              <w:marBottom w:val="240"/>
              <w:divBdr>
                <w:top w:val="none" w:sz="0" w:space="0" w:color="auto"/>
                <w:left w:val="none" w:sz="0" w:space="0" w:color="auto"/>
                <w:bottom w:val="none" w:sz="0" w:space="0" w:color="auto"/>
                <w:right w:val="none" w:sz="0" w:space="0" w:color="auto"/>
              </w:divBdr>
            </w:div>
            <w:div w:id="1969427996">
              <w:marLeft w:val="0"/>
              <w:marRight w:val="0"/>
              <w:marTop w:val="0"/>
              <w:marBottom w:val="240"/>
              <w:divBdr>
                <w:top w:val="none" w:sz="0" w:space="0" w:color="auto"/>
                <w:left w:val="none" w:sz="0" w:space="0" w:color="auto"/>
                <w:bottom w:val="none" w:sz="0" w:space="0" w:color="auto"/>
                <w:right w:val="none" w:sz="0" w:space="0" w:color="auto"/>
              </w:divBdr>
            </w:div>
            <w:div w:id="833910553">
              <w:marLeft w:val="0"/>
              <w:marRight w:val="0"/>
              <w:marTop w:val="0"/>
              <w:marBottom w:val="240"/>
              <w:divBdr>
                <w:top w:val="none" w:sz="0" w:space="0" w:color="auto"/>
                <w:left w:val="none" w:sz="0" w:space="0" w:color="auto"/>
                <w:bottom w:val="none" w:sz="0" w:space="0" w:color="auto"/>
                <w:right w:val="none" w:sz="0" w:space="0" w:color="auto"/>
              </w:divBdr>
            </w:div>
            <w:div w:id="396977288">
              <w:marLeft w:val="0"/>
              <w:marRight w:val="0"/>
              <w:marTop w:val="0"/>
              <w:marBottom w:val="240"/>
              <w:divBdr>
                <w:top w:val="none" w:sz="0" w:space="0" w:color="auto"/>
                <w:left w:val="none" w:sz="0" w:space="0" w:color="auto"/>
                <w:bottom w:val="none" w:sz="0" w:space="0" w:color="auto"/>
                <w:right w:val="none" w:sz="0" w:space="0" w:color="auto"/>
              </w:divBdr>
            </w:div>
            <w:div w:id="1301887198">
              <w:marLeft w:val="0"/>
              <w:marRight w:val="0"/>
              <w:marTop w:val="0"/>
              <w:marBottom w:val="240"/>
              <w:divBdr>
                <w:top w:val="none" w:sz="0" w:space="0" w:color="auto"/>
                <w:left w:val="none" w:sz="0" w:space="0" w:color="auto"/>
                <w:bottom w:val="none" w:sz="0" w:space="0" w:color="auto"/>
                <w:right w:val="none" w:sz="0" w:space="0" w:color="auto"/>
              </w:divBdr>
            </w:div>
            <w:div w:id="890306931">
              <w:marLeft w:val="0"/>
              <w:marRight w:val="0"/>
              <w:marTop w:val="0"/>
              <w:marBottom w:val="240"/>
              <w:divBdr>
                <w:top w:val="none" w:sz="0" w:space="0" w:color="auto"/>
                <w:left w:val="none" w:sz="0" w:space="0" w:color="auto"/>
                <w:bottom w:val="none" w:sz="0" w:space="0" w:color="auto"/>
                <w:right w:val="none" w:sz="0" w:space="0" w:color="auto"/>
              </w:divBdr>
            </w:div>
            <w:div w:id="820543230">
              <w:marLeft w:val="0"/>
              <w:marRight w:val="0"/>
              <w:marTop w:val="0"/>
              <w:marBottom w:val="240"/>
              <w:divBdr>
                <w:top w:val="none" w:sz="0" w:space="0" w:color="auto"/>
                <w:left w:val="none" w:sz="0" w:space="0" w:color="auto"/>
                <w:bottom w:val="none" w:sz="0" w:space="0" w:color="auto"/>
                <w:right w:val="none" w:sz="0" w:space="0" w:color="auto"/>
              </w:divBdr>
            </w:div>
            <w:div w:id="3553086">
              <w:marLeft w:val="0"/>
              <w:marRight w:val="0"/>
              <w:marTop w:val="0"/>
              <w:marBottom w:val="240"/>
              <w:divBdr>
                <w:top w:val="none" w:sz="0" w:space="0" w:color="auto"/>
                <w:left w:val="none" w:sz="0" w:space="0" w:color="auto"/>
                <w:bottom w:val="none" w:sz="0" w:space="0" w:color="auto"/>
                <w:right w:val="none" w:sz="0" w:space="0" w:color="auto"/>
              </w:divBdr>
            </w:div>
            <w:div w:id="1347713359">
              <w:marLeft w:val="0"/>
              <w:marRight w:val="0"/>
              <w:marTop w:val="0"/>
              <w:marBottom w:val="240"/>
              <w:divBdr>
                <w:top w:val="none" w:sz="0" w:space="0" w:color="auto"/>
                <w:left w:val="none" w:sz="0" w:space="0" w:color="auto"/>
                <w:bottom w:val="none" w:sz="0" w:space="0" w:color="auto"/>
                <w:right w:val="none" w:sz="0" w:space="0" w:color="auto"/>
              </w:divBdr>
            </w:div>
            <w:div w:id="2013802023">
              <w:marLeft w:val="0"/>
              <w:marRight w:val="0"/>
              <w:marTop w:val="0"/>
              <w:marBottom w:val="240"/>
              <w:divBdr>
                <w:top w:val="none" w:sz="0" w:space="0" w:color="auto"/>
                <w:left w:val="none" w:sz="0" w:space="0" w:color="auto"/>
                <w:bottom w:val="none" w:sz="0" w:space="0" w:color="auto"/>
                <w:right w:val="none" w:sz="0" w:space="0" w:color="auto"/>
              </w:divBdr>
            </w:div>
            <w:div w:id="811871137">
              <w:marLeft w:val="0"/>
              <w:marRight w:val="0"/>
              <w:marTop w:val="0"/>
              <w:marBottom w:val="240"/>
              <w:divBdr>
                <w:top w:val="none" w:sz="0" w:space="0" w:color="auto"/>
                <w:left w:val="none" w:sz="0" w:space="0" w:color="auto"/>
                <w:bottom w:val="none" w:sz="0" w:space="0" w:color="auto"/>
                <w:right w:val="none" w:sz="0" w:space="0" w:color="auto"/>
              </w:divBdr>
            </w:div>
            <w:div w:id="1554074199">
              <w:marLeft w:val="0"/>
              <w:marRight w:val="0"/>
              <w:marTop w:val="0"/>
              <w:marBottom w:val="240"/>
              <w:divBdr>
                <w:top w:val="none" w:sz="0" w:space="0" w:color="auto"/>
                <w:left w:val="none" w:sz="0" w:space="0" w:color="auto"/>
                <w:bottom w:val="none" w:sz="0" w:space="0" w:color="auto"/>
                <w:right w:val="none" w:sz="0" w:space="0" w:color="auto"/>
              </w:divBdr>
            </w:div>
            <w:div w:id="362438714">
              <w:marLeft w:val="0"/>
              <w:marRight w:val="0"/>
              <w:marTop w:val="0"/>
              <w:marBottom w:val="240"/>
              <w:divBdr>
                <w:top w:val="none" w:sz="0" w:space="0" w:color="auto"/>
                <w:left w:val="none" w:sz="0" w:space="0" w:color="auto"/>
                <w:bottom w:val="none" w:sz="0" w:space="0" w:color="auto"/>
                <w:right w:val="none" w:sz="0" w:space="0" w:color="auto"/>
              </w:divBdr>
            </w:div>
            <w:div w:id="1206482476">
              <w:marLeft w:val="0"/>
              <w:marRight w:val="0"/>
              <w:marTop w:val="0"/>
              <w:marBottom w:val="240"/>
              <w:divBdr>
                <w:top w:val="none" w:sz="0" w:space="0" w:color="auto"/>
                <w:left w:val="none" w:sz="0" w:space="0" w:color="auto"/>
                <w:bottom w:val="none" w:sz="0" w:space="0" w:color="auto"/>
                <w:right w:val="none" w:sz="0" w:space="0" w:color="auto"/>
              </w:divBdr>
            </w:div>
            <w:div w:id="572855399">
              <w:marLeft w:val="0"/>
              <w:marRight w:val="0"/>
              <w:marTop w:val="0"/>
              <w:marBottom w:val="240"/>
              <w:divBdr>
                <w:top w:val="none" w:sz="0" w:space="0" w:color="auto"/>
                <w:left w:val="none" w:sz="0" w:space="0" w:color="auto"/>
                <w:bottom w:val="none" w:sz="0" w:space="0" w:color="auto"/>
                <w:right w:val="none" w:sz="0" w:space="0" w:color="auto"/>
              </w:divBdr>
            </w:div>
            <w:div w:id="1225023060">
              <w:marLeft w:val="0"/>
              <w:marRight w:val="0"/>
              <w:marTop w:val="0"/>
              <w:marBottom w:val="240"/>
              <w:divBdr>
                <w:top w:val="none" w:sz="0" w:space="0" w:color="auto"/>
                <w:left w:val="none" w:sz="0" w:space="0" w:color="auto"/>
                <w:bottom w:val="none" w:sz="0" w:space="0" w:color="auto"/>
                <w:right w:val="none" w:sz="0" w:space="0" w:color="auto"/>
              </w:divBdr>
            </w:div>
            <w:div w:id="1836258083">
              <w:marLeft w:val="0"/>
              <w:marRight w:val="0"/>
              <w:marTop w:val="0"/>
              <w:marBottom w:val="240"/>
              <w:divBdr>
                <w:top w:val="none" w:sz="0" w:space="0" w:color="auto"/>
                <w:left w:val="none" w:sz="0" w:space="0" w:color="auto"/>
                <w:bottom w:val="none" w:sz="0" w:space="0" w:color="auto"/>
                <w:right w:val="none" w:sz="0" w:space="0" w:color="auto"/>
              </w:divBdr>
            </w:div>
            <w:div w:id="1005203592">
              <w:marLeft w:val="0"/>
              <w:marRight w:val="0"/>
              <w:marTop w:val="0"/>
              <w:marBottom w:val="240"/>
              <w:divBdr>
                <w:top w:val="none" w:sz="0" w:space="0" w:color="auto"/>
                <w:left w:val="none" w:sz="0" w:space="0" w:color="auto"/>
                <w:bottom w:val="none" w:sz="0" w:space="0" w:color="auto"/>
                <w:right w:val="none" w:sz="0" w:space="0" w:color="auto"/>
              </w:divBdr>
            </w:div>
            <w:div w:id="1712071831">
              <w:marLeft w:val="0"/>
              <w:marRight w:val="0"/>
              <w:marTop w:val="0"/>
              <w:marBottom w:val="240"/>
              <w:divBdr>
                <w:top w:val="none" w:sz="0" w:space="0" w:color="auto"/>
                <w:left w:val="none" w:sz="0" w:space="0" w:color="auto"/>
                <w:bottom w:val="none" w:sz="0" w:space="0" w:color="auto"/>
                <w:right w:val="none" w:sz="0" w:space="0" w:color="auto"/>
              </w:divBdr>
            </w:div>
            <w:div w:id="1403983939">
              <w:marLeft w:val="0"/>
              <w:marRight w:val="0"/>
              <w:marTop w:val="0"/>
              <w:marBottom w:val="240"/>
              <w:divBdr>
                <w:top w:val="none" w:sz="0" w:space="0" w:color="auto"/>
                <w:left w:val="none" w:sz="0" w:space="0" w:color="auto"/>
                <w:bottom w:val="none" w:sz="0" w:space="0" w:color="auto"/>
                <w:right w:val="none" w:sz="0" w:space="0" w:color="auto"/>
              </w:divBdr>
            </w:div>
            <w:div w:id="1107968663">
              <w:marLeft w:val="0"/>
              <w:marRight w:val="0"/>
              <w:marTop w:val="0"/>
              <w:marBottom w:val="240"/>
              <w:divBdr>
                <w:top w:val="none" w:sz="0" w:space="0" w:color="auto"/>
                <w:left w:val="none" w:sz="0" w:space="0" w:color="auto"/>
                <w:bottom w:val="none" w:sz="0" w:space="0" w:color="auto"/>
                <w:right w:val="none" w:sz="0" w:space="0" w:color="auto"/>
              </w:divBdr>
            </w:div>
            <w:div w:id="722096109">
              <w:marLeft w:val="0"/>
              <w:marRight w:val="0"/>
              <w:marTop w:val="0"/>
              <w:marBottom w:val="240"/>
              <w:divBdr>
                <w:top w:val="none" w:sz="0" w:space="0" w:color="auto"/>
                <w:left w:val="none" w:sz="0" w:space="0" w:color="auto"/>
                <w:bottom w:val="none" w:sz="0" w:space="0" w:color="auto"/>
                <w:right w:val="none" w:sz="0" w:space="0" w:color="auto"/>
              </w:divBdr>
            </w:div>
            <w:div w:id="1269508266">
              <w:marLeft w:val="0"/>
              <w:marRight w:val="0"/>
              <w:marTop w:val="0"/>
              <w:marBottom w:val="240"/>
              <w:divBdr>
                <w:top w:val="none" w:sz="0" w:space="0" w:color="auto"/>
                <w:left w:val="none" w:sz="0" w:space="0" w:color="auto"/>
                <w:bottom w:val="none" w:sz="0" w:space="0" w:color="auto"/>
                <w:right w:val="none" w:sz="0" w:space="0" w:color="auto"/>
              </w:divBdr>
            </w:div>
            <w:div w:id="610354625">
              <w:marLeft w:val="0"/>
              <w:marRight w:val="0"/>
              <w:marTop w:val="0"/>
              <w:marBottom w:val="240"/>
              <w:divBdr>
                <w:top w:val="none" w:sz="0" w:space="0" w:color="auto"/>
                <w:left w:val="none" w:sz="0" w:space="0" w:color="auto"/>
                <w:bottom w:val="none" w:sz="0" w:space="0" w:color="auto"/>
                <w:right w:val="none" w:sz="0" w:space="0" w:color="auto"/>
              </w:divBdr>
            </w:div>
            <w:div w:id="423498955">
              <w:marLeft w:val="0"/>
              <w:marRight w:val="0"/>
              <w:marTop w:val="0"/>
              <w:marBottom w:val="240"/>
              <w:divBdr>
                <w:top w:val="none" w:sz="0" w:space="0" w:color="auto"/>
                <w:left w:val="none" w:sz="0" w:space="0" w:color="auto"/>
                <w:bottom w:val="none" w:sz="0" w:space="0" w:color="auto"/>
                <w:right w:val="none" w:sz="0" w:space="0" w:color="auto"/>
              </w:divBdr>
            </w:div>
            <w:div w:id="1131635963">
              <w:marLeft w:val="0"/>
              <w:marRight w:val="0"/>
              <w:marTop w:val="0"/>
              <w:marBottom w:val="240"/>
              <w:divBdr>
                <w:top w:val="none" w:sz="0" w:space="0" w:color="auto"/>
                <w:left w:val="none" w:sz="0" w:space="0" w:color="auto"/>
                <w:bottom w:val="none" w:sz="0" w:space="0" w:color="auto"/>
                <w:right w:val="none" w:sz="0" w:space="0" w:color="auto"/>
              </w:divBdr>
            </w:div>
            <w:div w:id="352389470">
              <w:marLeft w:val="0"/>
              <w:marRight w:val="0"/>
              <w:marTop w:val="0"/>
              <w:marBottom w:val="240"/>
              <w:divBdr>
                <w:top w:val="none" w:sz="0" w:space="0" w:color="auto"/>
                <w:left w:val="none" w:sz="0" w:space="0" w:color="auto"/>
                <w:bottom w:val="none" w:sz="0" w:space="0" w:color="auto"/>
                <w:right w:val="none" w:sz="0" w:space="0" w:color="auto"/>
              </w:divBdr>
            </w:div>
            <w:div w:id="1500924734">
              <w:marLeft w:val="0"/>
              <w:marRight w:val="0"/>
              <w:marTop w:val="0"/>
              <w:marBottom w:val="240"/>
              <w:divBdr>
                <w:top w:val="none" w:sz="0" w:space="0" w:color="auto"/>
                <w:left w:val="none" w:sz="0" w:space="0" w:color="auto"/>
                <w:bottom w:val="none" w:sz="0" w:space="0" w:color="auto"/>
                <w:right w:val="none" w:sz="0" w:space="0" w:color="auto"/>
              </w:divBdr>
            </w:div>
            <w:div w:id="463159806">
              <w:marLeft w:val="0"/>
              <w:marRight w:val="0"/>
              <w:marTop w:val="0"/>
              <w:marBottom w:val="240"/>
              <w:divBdr>
                <w:top w:val="none" w:sz="0" w:space="0" w:color="auto"/>
                <w:left w:val="none" w:sz="0" w:space="0" w:color="auto"/>
                <w:bottom w:val="none" w:sz="0" w:space="0" w:color="auto"/>
                <w:right w:val="none" w:sz="0" w:space="0" w:color="auto"/>
              </w:divBdr>
            </w:div>
            <w:div w:id="1158612907">
              <w:marLeft w:val="0"/>
              <w:marRight w:val="0"/>
              <w:marTop w:val="0"/>
              <w:marBottom w:val="240"/>
              <w:divBdr>
                <w:top w:val="none" w:sz="0" w:space="0" w:color="auto"/>
                <w:left w:val="none" w:sz="0" w:space="0" w:color="auto"/>
                <w:bottom w:val="none" w:sz="0" w:space="0" w:color="auto"/>
                <w:right w:val="none" w:sz="0" w:space="0" w:color="auto"/>
              </w:divBdr>
            </w:div>
            <w:div w:id="1034190032">
              <w:marLeft w:val="0"/>
              <w:marRight w:val="0"/>
              <w:marTop w:val="0"/>
              <w:marBottom w:val="240"/>
              <w:divBdr>
                <w:top w:val="none" w:sz="0" w:space="0" w:color="auto"/>
                <w:left w:val="none" w:sz="0" w:space="0" w:color="auto"/>
                <w:bottom w:val="none" w:sz="0" w:space="0" w:color="auto"/>
                <w:right w:val="none" w:sz="0" w:space="0" w:color="auto"/>
              </w:divBdr>
            </w:div>
            <w:div w:id="1877426807">
              <w:marLeft w:val="0"/>
              <w:marRight w:val="0"/>
              <w:marTop w:val="0"/>
              <w:marBottom w:val="240"/>
              <w:divBdr>
                <w:top w:val="none" w:sz="0" w:space="0" w:color="auto"/>
                <w:left w:val="none" w:sz="0" w:space="0" w:color="auto"/>
                <w:bottom w:val="none" w:sz="0" w:space="0" w:color="auto"/>
                <w:right w:val="none" w:sz="0" w:space="0" w:color="auto"/>
              </w:divBdr>
            </w:div>
            <w:div w:id="1556817648">
              <w:marLeft w:val="0"/>
              <w:marRight w:val="0"/>
              <w:marTop w:val="0"/>
              <w:marBottom w:val="240"/>
              <w:divBdr>
                <w:top w:val="none" w:sz="0" w:space="0" w:color="auto"/>
                <w:left w:val="none" w:sz="0" w:space="0" w:color="auto"/>
                <w:bottom w:val="none" w:sz="0" w:space="0" w:color="auto"/>
                <w:right w:val="none" w:sz="0" w:space="0" w:color="auto"/>
              </w:divBdr>
            </w:div>
            <w:div w:id="1697464642">
              <w:marLeft w:val="0"/>
              <w:marRight w:val="0"/>
              <w:marTop w:val="0"/>
              <w:marBottom w:val="240"/>
              <w:divBdr>
                <w:top w:val="none" w:sz="0" w:space="0" w:color="auto"/>
                <w:left w:val="none" w:sz="0" w:space="0" w:color="auto"/>
                <w:bottom w:val="none" w:sz="0" w:space="0" w:color="auto"/>
                <w:right w:val="none" w:sz="0" w:space="0" w:color="auto"/>
              </w:divBdr>
            </w:div>
            <w:div w:id="622464103">
              <w:marLeft w:val="0"/>
              <w:marRight w:val="0"/>
              <w:marTop w:val="0"/>
              <w:marBottom w:val="240"/>
              <w:divBdr>
                <w:top w:val="none" w:sz="0" w:space="0" w:color="auto"/>
                <w:left w:val="none" w:sz="0" w:space="0" w:color="auto"/>
                <w:bottom w:val="none" w:sz="0" w:space="0" w:color="auto"/>
                <w:right w:val="none" w:sz="0" w:space="0" w:color="auto"/>
              </w:divBdr>
            </w:div>
            <w:div w:id="1342778928">
              <w:marLeft w:val="0"/>
              <w:marRight w:val="0"/>
              <w:marTop w:val="0"/>
              <w:marBottom w:val="240"/>
              <w:divBdr>
                <w:top w:val="none" w:sz="0" w:space="0" w:color="auto"/>
                <w:left w:val="none" w:sz="0" w:space="0" w:color="auto"/>
                <w:bottom w:val="none" w:sz="0" w:space="0" w:color="auto"/>
                <w:right w:val="none" w:sz="0" w:space="0" w:color="auto"/>
              </w:divBdr>
            </w:div>
            <w:div w:id="1783959034">
              <w:marLeft w:val="0"/>
              <w:marRight w:val="0"/>
              <w:marTop w:val="0"/>
              <w:marBottom w:val="240"/>
              <w:divBdr>
                <w:top w:val="none" w:sz="0" w:space="0" w:color="auto"/>
                <w:left w:val="none" w:sz="0" w:space="0" w:color="auto"/>
                <w:bottom w:val="none" w:sz="0" w:space="0" w:color="auto"/>
                <w:right w:val="none" w:sz="0" w:space="0" w:color="auto"/>
              </w:divBdr>
            </w:div>
            <w:div w:id="1144278715">
              <w:marLeft w:val="0"/>
              <w:marRight w:val="0"/>
              <w:marTop w:val="0"/>
              <w:marBottom w:val="240"/>
              <w:divBdr>
                <w:top w:val="none" w:sz="0" w:space="0" w:color="auto"/>
                <w:left w:val="none" w:sz="0" w:space="0" w:color="auto"/>
                <w:bottom w:val="none" w:sz="0" w:space="0" w:color="auto"/>
                <w:right w:val="none" w:sz="0" w:space="0" w:color="auto"/>
              </w:divBdr>
            </w:div>
            <w:div w:id="17241419">
              <w:marLeft w:val="0"/>
              <w:marRight w:val="0"/>
              <w:marTop w:val="0"/>
              <w:marBottom w:val="240"/>
              <w:divBdr>
                <w:top w:val="none" w:sz="0" w:space="0" w:color="auto"/>
                <w:left w:val="none" w:sz="0" w:space="0" w:color="auto"/>
                <w:bottom w:val="none" w:sz="0" w:space="0" w:color="auto"/>
                <w:right w:val="none" w:sz="0" w:space="0" w:color="auto"/>
              </w:divBdr>
            </w:div>
            <w:div w:id="1924025901">
              <w:marLeft w:val="0"/>
              <w:marRight w:val="0"/>
              <w:marTop w:val="0"/>
              <w:marBottom w:val="240"/>
              <w:divBdr>
                <w:top w:val="none" w:sz="0" w:space="0" w:color="auto"/>
                <w:left w:val="none" w:sz="0" w:space="0" w:color="auto"/>
                <w:bottom w:val="none" w:sz="0" w:space="0" w:color="auto"/>
                <w:right w:val="none" w:sz="0" w:space="0" w:color="auto"/>
              </w:divBdr>
            </w:div>
            <w:div w:id="999966416">
              <w:marLeft w:val="0"/>
              <w:marRight w:val="0"/>
              <w:marTop w:val="0"/>
              <w:marBottom w:val="240"/>
              <w:divBdr>
                <w:top w:val="none" w:sz="0" w:space="0" w:color="auto"/>
                <w:left w:val="none" w:sz="0" w:space="0" w:color="auto"/>
                <w:bottom w:val="none" w:sz="0" w:space="0" w:color="auto"/>
                <w:right w:val="none" w:sz="0" w:space="0" w:color="auto"/>
              </w:divBdr>
            </w:div>
            <w:div w:id="1054549624">
              <w:marLeft w:val="0"/>
              <w:marRight w:val="0"/>
              <w:marTop w:val="0"/>
              <w:marBottom w:val="240"/>
              <w:divBdr>
                <w:top w:val="none" w:sz="0" w:space="0" w:color="auto"/>
                <w:left w:val="none" w:sz="0" w:space="0" w:color="auto"/>
                <w:bottom w:val="none" w:sz="0" w:space="0" w:color="auto"/>
                <w:right w:val="none" w:sz="0" w:space="0" w:color="auto"/>
              </w:divBdr>
            </w:div>
            <w:div w:id="1669168253">
              <w:marLeft w:val="0"/>
              <w:marRight w:val="0"/>
              <w:marTop w:val="0"/>
              <w:marBottom w:val="240"/>
              <w:divBdr>
                <w:top w:val="none" w:sz="0" w:space="0" w:color="auto"/>
                <w:left w:val="none" w:sz="0" w:space="0" w:color="auto"/>
                <w:bottom w:val="none" w:sz="0" w:space="0" w:color="auto"/>
                <w:right w:val="none" w:sz="0" w:space="0" w:color="auto"/>
              </w:divBdr>
            </w:div>
            <w:div w:id="1903904966">
              <w:marLeft w:val="0"/>
              <w:marRight w:val="0"/>
              <w:marTop w:val="0"/>
              <w:marBottom w:val="240"/>
              <w:divBdr>
                <w:top w:val="none" w:sz="0" w:space="0" w:color="auto"/>
                <w:left w:val="none" w:sz="0" w:space="0" w:color="auto"/>
                <w:bottom w:val="none" w:sz="0" w:space="0" w:color="auto"/>
                <w:right w:val="none" w:sz="0" w:space="0" w:color="auto"/>
              </w:divBdr>
            </w:div>
            <w:div w:id="1643002404">
              <w:marLeft w:val="0"/>
              <w:marRight w:val="0"/>
              <w:marTop w:val="0"/>
              <w:marBottom w:val="240"/>
              <w:divBdr>
                <w:top w:val="none" w:sz="0" w:space="0" w:color="auto"/>
                <w:left w:val="none" w:sz="0" w:space="0" w:color="auto"/>
                <w:bottom w:val="none" w:sz="0" w:space="0" w:color="auto"/>
                <w:right w:val="none" w:sz="0" w:space="0" w:color="auto"/>
              </w:divBdr>
            </w:div>
            <w:div w:id="568267175">
              <w:marLeft w:val="0"/>
              <w:marRight w:val="0"/>
              <w:marTop w:val="0"/>
              <w:marBottom w:val="240"/>
              <w:divBdr>
                <w:top w:val="none" w:sz="0" w:space="0" w:color="auto"/>
                <w:left w:val="none" w:sz="0" w:space="0" w:color="auto"/>
                <w:bottom w:val="none" w:sz="0" w:space="0" w:color="auto"/>
                <w:right w:val="none" w:sz="0" w:space="0" w:color="auto"/>
              </w:divBdr>
            </w:div>
            <w:div w:id="1124613812">
              <w:marLeft w:val="0"/>
              <w:marRight w:val="0"/>
              <w:marTop w:val="0"/>
              <w:marBottom w:val="240"/>
              <w:divBdr>
                <w:top w:val="none" w:sz="0" w:space="0" w:color="auto"/>
                <w:left w:val="none" w:sz="0" w:space="0" w:color="auto"/>
                <w:bottom w:val="none" w:sz="0" w:space="0" w:color="auto"/>
                <w:right w:val="none" w:sz="0" w:space="0" w:color="auto"/>
              </w:divBdr>
            </w:div>
            <w:div w:id="367994373">
              <w:marLeft w:val="0"/>
              <w:marRight w:val="0"/>
              <w:marTop w:val="0"/>
              <w:marBottom w:val="240"/>
              <w:divBdr>
                <w:top w:val="none" w:sz="0" w:space="0" w:color="auto"/>
                <w:left w:val="none" w:sz="0" w:space="0" w:color="auto"/>
                <w:bottom w:val="none" w:sz="0" w:space="0" w:color="auto"/>
                <w:right w:val="none" w:sz="0" w:space="0" w:color="auto"/>
              </w:divBdr>
            </w:div>
            <w:div w:id="865942817">
              <w:marLeft w:val="0"/>
              <w:marRight w:val="0"/>
              <w:marTop w:val="0"/>
              <w:marBottom w:val="240"/>
              <w:divBdr>
                <w:top w:val="none" w:sz="0" w:space="0" w:color="auto"/>
                <w:left w:val="none" w:sz="0" w:space="0" w:color="auto"/>
                <w:bottom w:val="none" w:sz="0" w:space="0" w:color="auto"/>
                <w:right w:val="none" w:sz="0" w:space="0" w:color="auto"/>
              </w:divBdr>
            </w:div>
            <w:div w:id="1066152348">
              <w:marLeft w:val="0"/>
              <w:marRight w:val="0"/>
              <w:marTop w:val="0"/>
              <w:marBottom w:val="240"/>
              <w:divBdr>
                <w:top w:val="none" w:sz="0" w:space="0" w:color="auto"/>
                <w:left w:val="none" w:sz="0" w:space="0" w:color="auto"/>
                <w:bottom w:val="none" w:sz="0" w:space="0" w:color="auto"/>
                <w:right w:val="none" w:sz="0" w:space="0" w:color="auto"/>
              </w:divBdr>
            </w:div>
            <w:div w:id="891425532">
              <w:marLeft w:val="0"/>
              <w:marRight w:val="0"/>
              <w:marTop w:val="0"/>
              <w:marBottom w:val="240"/>
              <w:divBdr>
                <w:top w:val="none" w:sz="0" w:space="0" w:color="auto"/>
                <w:left w:val="none" w:sz="0" w:space="0" w:color="auto"/>
                <w:bottom w:val="none" w:sz="0" w:space="0" w:color="auto"/>
                <w:right w:val="none" w:sz="0" w:space="0" w:color="auto"/>
              </w:divBdr>
            </w:div>
            <w:div w:id="1338801746">
              <w:marLeft w:val="0"/>
              <w:marRight w:val="0"/>
              <w:marTop w:val="0"/>
              <w:marBottom w:val="240"/>
              <w:divBdr>
                <w:top w:val="none" w:sz="0" w:space="0" w:color="auto"/>
                <w:left w:val="none" w:sz="0" w:space="0" w:color="auto"/>
                <w:bottom w:val="none" w:sz="0" w:space="0" w:color="auto"/>
                <w:right w:val="none" w:sz="0" w:space="0" w:color="auto"/>
              </w:divBdr>
            </w:div>
            <w:div w:id="1104957022">
              <w:marLeft w:val="0"/>
              <w:marRight w:val="0"/>
              <w:marTop w:val="0"/>
              <w:marBottom w:val="240"/>
              <w:divBdr>
                <w:top w:val="none" w:sz="0" w:space="0" w:color="auto"/>
                <w:left w:val="none" w:sz="0" w:space="0" w:color="auto"/>
                <w:bottom w:val="none" w:sz="0" w:space="0" w:color="auto"/>
                <w:right w:val="none" w:sz="0" w:space="0" w:color="auto"/>
              </w:divBdr>
            </w:div>
            <w:div w:id="2078550697">
              <w:marLeft w:val="0"/>
              <w:marRight w:val="0"/>
              <w:marTop w:val="0"/>
              <w:marBottom w:val="240"/>
              <w:divBdr>
                <w:top w:val="none" w:sz="0" w:space="0" w:color="auto"/>
                <w:left w:val="none" w:sz="0" w:space="0" w:color="auto"/>
                <w:bottom w:val="none" w:sz="0" w:space="0" w:color="auto"/>
                <w:right w:val="none" w:sz="0" w:space="0" w:color="auto"/>
              </w:divBdr>
            </w:div>
            <w:div w:id="699933366">
              <w:marLeft w:val="0"/>
              <w:marRight w:val="0"/>
              <w:marTop w:val="0"/>
              <w:marBottom w:val="240"/>
              <w:divBdr>
                <w:top w:val="none" w:sz="0" w:space="0" w:color="auto"/>
                <w:left w:val="none" w:sz="0" w:space="0" w:color="auto"/>
                <w:bottom w:val="none" w:sz="0" w:space="0" w:color="auto"/>
                <w:right w:val="none" w:sz="0" w:space="0" w:color="auto"/>
              </w:divBdr>
            </w:div>
            <w:div w:id="712850498">
              <w:marLeft w:val="0"/>
              <w:marRight w:val="0"/>
              <w:marTop w:val="0"/>
              <w:marBottom w:val="240"/>
              <w:divBdr>
                <w:top w:val="none" w:sz="0" w:space="0" w:color="auto"/>
                <w:left w:val="none" w:sz="0" w:space="0" w:color="auto"/>
                <w:bottom w:val="none" w:sz="0" w:space="0" w:color="auto"/>
                <w:right w:val="none" w:sz="0" w:space="0" w:color="auto"/>
              </w:divBdr>
            </w:div>
            <w:div w:id="1421099010">
              <w:marLeft w:val="0"/>
              <w:marRight w:val="0"/>
              <w:marTop w:val="0"/>
              <w:marBottom w:val="240"/>
              <w:divBdr>
                <w:top w:val="none" w:sz="0" w:space="0" w:color="auto"/>
                <w:left w:val="none" w:sz="0" w:space="0" w:color="auto"/>
                <w:bottom w:val="none" w:sz="0" w:space="0" w:color="auto"/>
                <w:right w:val="none" w:sz="0" w:space="0" w:color="auto"/>
              </w:divBdr>
            </w:div>
            <w:div w:id="372847593">
              <w:marLeft w:val="0"/>
              <w:marRight w:val="0"/>
              <w:marTop w:val="0"/>
              <w:marBottom w:val="240"/>
              <w:divBdr>
                <w:top w:val="none" w:sz="0" w:space="0" w:color="auto"/>
                <w:left w:val="none" w:sz="0" w:space="0" w:color="auto"/>
                <w:bottom w:val="none" w:sz="0" w:space="0" w:color="auto"/>
                <w:right w:val="none" w:sz="0" w:space="0" w:color="auto"/>
              </w:divBdr>
            </w:div>
            <w:div w:id="379745537">
              <w:marLeft w:val="0"/>
              <w:marRight w:val="0"/>
              <w:marTop w:val="0"/>
              <w:marBottom w:val="240"/>
              <w:divBdr>
                <w:top w:val="none" w:sz="0" w:space="0" w:color="auto"/>
                <w:left w:val="none" w:sz="0" w:space="0" w:color="auto"/>
                <w:bottom w:val="none" w:sz="0" w:space="0" w:color="auto"/>
                <w:right w:val="none" w:sz="0" w:space="0" w:color="auto"/>
              </w:divBdr>
            </w:div>
            <w:div w:id="1263076498">
              <w:marLeft w:val="0"/>
              <w:marRight w:val="0"/>
              <w:marTop w:val="0"/>
              <w:marBottom w:val="240"/>
              <w:divBdr>
                <w:top w:val="none" w:sz="0" w:space="0" w:color="auto"/>
                <w:left w:val="none" w:sz="0" w:space="0" w:color="auto"/>
                <w:bottom w:val="none" w:sz="0" w:space="0" w:color="auto"/>
                <w:right w:val="none" w:sz="0" w:space="0" w:color="auto"/>
              </w:divBdr>
            </w:div>
            <w:div w:id="1570505396">
              <w:marLeft w:val="0"/>
              <w:marRight w:val="0"/>
              <w:marTop w:val="0"/>
              <w:marBottom w:val="240"/>
              <w:divBdr>
                <w:top w:val="none" w:sz="0" w:space="0" w:color="auto"/>
                <w:left w:val="none" w:sz="0" w:space="0" w:color="auto"/>
                <w:bottom w:val="none" w:sz="0" w:space="0" w:color="auto"/>
                <w:right w:val="none" w:sz="0" w:space="0" w:color="auto"/>
              </w:divBdr>
            </w:div>
            <w:div w:id="1240824672">
              <w:marLeft w:val="0"/>
              <w:marRight w:val="0"/>
              <w:marTop w:val="0"/>
              <w:marBottom w:val="240"/>
              <w:divBdr>
                <w:top w:val="none" w:sz="0" w:space="0" w:color="auto"/>
                <w:left w:val="none" w:sz="0" w:space="0" w:color="auto"/>
                <w:bottom w:val="none" w:sz="0" w:space="0" w:color="auto"/>
                <w:right w:val="none" w:sz="0" w:space="0" w:color="auto"/>
              </w:divBdr>
            </w:div>
            <w:div w:id="110534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276582">
      <w:bodyDiv w:val="1"/>
      <w:marLeft w:val="0"/>
      <w:marRight w:val="0"/>
      <w:marTop w:val="0"/>
      <w:marBottom w:val="0"/>
      <w:divBdr>
        <w:top w:val="none" w:sz="0" w:space="0" w:color="auto"/>
        <w:left w:val="none" w:sz="0" w:space="0" w:color="auto"/>
        <w:bottom w:val="none" w:sz="0" w:space="0" w:color="auto"/>
        <w:right w:val="none" w:sz="0" w:space="0" w:color="auto"/>
      </w:divBdr>
      <w:divsChild>
        <w:div w:id="1123038964">
          <w:marLeft w:val="0"/>
          <w:marRight w:val="0"/>
          <w:marTop w:val="0"/>
          <w:marBottom w:val="0"/>
          <w:divBdr>
            <w:top w:val="none" w:sz="0" w:space="0" w:color="auto"/>
            <w:left w:val="none" w:sz="0" w:space="0" w:color="auto"/>
            <w:bottom w:val="none" w:sz="0" w:space="0" w:color="auto"/>
            <w:right w:val="none" w:sz="0" w:space="0" w:color="auto"/>
          </w:divBdr>
        </w:div>
        <w:div w:id="870995926">
          <w:marLeft w:val="0"/>
          <w:marRight w:val="0"/>
          <w:marTop w:val="0"/>
          <w:marBottom w:val="0"/>
          <w:divBdr>
            <w:top w:val="none" w:sz="0" w:space="0" w:color="auto"/>
            <w:left w:val="none" w:sz="0" w:space="0" w:color="auto"/>
            <w:bottom w:val="none" w:sz="0" w:space="0" w:color="auto"/>
            <w:right w:val="none" w:sz="0" w:space="0" w:color="auto"/>
          </w:divBdr>
        </w:div>
        <w:div w:id="1611202684">
          <w:marLeft w:val="0"/>
          <w:marRight w:val="0"/>
          <w:marTop w:val="0"/>
          <w:marBottom w:val="0"/>
          <w:divBdr>
            <w:top w:val="none" w:sz="0" w:space="0" w:color="auto"/>
            <w:left w:val="none" w:sz="0" w:space="0" w:color="auto"/>
            <w:bottom w:val="none" w:sz="0" w:space="0" w:color="auto"/>
            <w:right w:val="none" w:sz="0" w:space="0" w:color="auto"/>
          </w:divBdr>
        </w:div>
        <w:div w:id="227112519">
          <w:marLeft w:val="0"/>
          <w:marRight w:val="0"/>
          <w:marTop w:val="0"/>
          <w:marBottom w:val="0"/>
          <w:divBdr>
            <w:top w:val="none" w:sz="0" w:space="0" w:color="auto"/>
            <w:left w:val="none" w:sz="0" w:space="0" w:color="auto"/>
            <w:bottom w:val="none" w:sz="0" w:space="0" w:color="auto"/>
            <w:right w:val="none" w:sz="0" w:space="0" w:color="auto"/>
          </w:divBdr>
        </w:div>
      </w:divsChild>
    </w:div>
    <w:div w:id="1009528524">
      <w:bodyDiv w:val="1"/>
      <w:marLeft w:val="0"/>
      <w:marRight w:val="0"/>
      <w:marTop w:val="0"/>
      <w:marBottom w:val="0"/>
      <w:divBdr>
        <w:top w:val="none" w:sz="0" w:space="0" w:color="auto"/>
        <w:left w:val="none" w:sz="0" w:space="0" w:color="auto"/>
        <w:bottom w:val="none" w:sz="0" w:space="0" w:color="auto"/>
        <w:right w:val="none" w:sz="0" w:space="0" w:color="auto"/>
      </w:divBdr>
      <w:divsChild>
        <w:div w:id="840043402">
          <w:marLeft w:val="480"/>
          <w:marRight w:val="0"/>
          <w:marTop w:val="0"/>
          <w:marBottom w:val="0"/>
          <w:divBdr>
            <w:top w:val="none" w:sz="0" w:space="0" w:color="auto"/>
            <w:left w:val="none" w:sz="0" w:space="0" w:color="auto"/>
            <w:bottom w:val="none" w:sz="0" w:space="0" w:color="auto"/>
            <w:right w:val="none" w:sz="0" w:space="0" w:color="auto"/>
          </w:divBdr>
          <w:divsChild>
            <w:div w:id="6176441">
              <w:marLeft w:val="0"/>
              <w:marRight w:val="0"/>
              <w:marTop w:val="0"/>
              <w:marBottom w:val="240"/>
              <w:divBdr>
                <w:top w:val="none" w:sz="0" w:space="0" w:color="auto"/>
                <w:left w:val="none" w:sz="0" w:space="0" w:color="auto"/>
                <w:bottom w:val="none" w:sz="0" w:space="0" w:color="auto"/>
                <w:right w:val="none" w:sz="0" w:space="0" w:color="auto"/>
              </w:divBdr>
            </w:div>
            <w:div w:id="1563633817">
              <w:marLeft w:val="0"/>
              <w:marRight w:val="0"/>
              <w:marTop w:val="0"/>
              <w:marBottom w:val="240"/>
              <w:divBdr>
                <w:top w:val="none" w:sz="0" w:space="0" w:color="auto"/>
                <w:left w:val="none" w:sz="0" w:space="0" w:color="auto"/>
                <w:bottom w:val="none" w:sz="0" w:space="0" w:color="auto"/>
                <w:right w:val="none" w:sz="0" w:space="0" w:color="auto"/>
              </w:divBdr>
            </w:div>
            <w:div w:id="233392218">
              <w:marLeft w:val="0"/>
              <w:marRight w:val="0"/>
              <w:marTop w:val="0"/>
              <w:marBottom w:val="240"/>
              <w:divBdr>
                <w:top w:val="none" w:sz="0" w:space="0" w:color="auto"/>
                <w:left w:val="none" w:sz="0" w:space="0" w:color="auto"/>
                <w:bottom w:val="none" w:sz="0" w:space="0" w:color="auto"/>
                <w:right w:val="none" w:sz="0" w:space="0" w:color="auto"/>
              </w:divBdr>
            </w:div>
            <w:div w:id="1276785996">
              <w:marLeft w:val="0"/>
              <w:marRight w:val="0"/>
              <w:marTop w:val="0"/>
              <w:marBottom w:val="240"/>
              <w:divBdr>
                <w:top w:val="none" w:sz="0" w:space="0" w:color="auto"/>
                <w:left w:val="none" w:sz="0" w:space="0" w:color="auto"/>
                <w:bottom w:val="none" w:sz="0" w:space="0" w:color="auto"/>
                <w:right w:val="none" w:sz="0" w:space="0" w:color="auto"/>
              </w:divBdr>
            </w:div>
            <w:div w:id="1099450083">
              <w:marLeft w:val="0"/>
              <w:marRight w:val="0"/>
              <w:marTop w:val="0"/>
              <w:marBottom w:val="240"/>
              <w:divBdr>
                <w:top w:val="none" w:sz="0" w:space="0" w:color="auto"/>
                <w:left w:val="none" w:sz="0" w:space="0" w:color="auto"/>
                <w:bottom w:val="none" w:sz="0" w:space="0" w:color="auto"/>
                <w:right w:val="none" w:sz="0" w:space="0" w:color="auto"/>
              </w:divBdr>
            </w:div>
            <w:div w:id="511333348">
              <w:marLeft w:val="0"/>
              <w:marRight w:val="0"/>
              <w:marTop w:val="0"/>
              <w:marBottom w:val="240"/>
              <w:divBdr>
                <w:top w:val="none" w:sz="0" w:space="0" w:color="auto"/>
                <w:left w:val="none" w:sz="0" w:space="0" w:color="auto"/>
                <w:bottom w:val="none" w:sz="0" w:space="0" w:color="auto"/>
                <w:right w:val="none" w:sz="0" w:space="0" w:color="auto"/>
              </w:divBdr>
            </w:div>
            <w:div w:id="1982926281">
              <w:marLeft w:val="0"/>
              <w:marRight w:val="0"/>
              <w:marTop w:val="0"/>
              <w:marBottom w:val="240"/>
              <w:divBdr>
                <w:top w:val="none" w:sz="0" w:space="0" w:color="auto"/>
                <w:left w:val="none" w:sz="0" w:space="0" w:color="auto"/>
                <w:bottom w:val="none" w:sz="0" w:space="0" w:color="auto"/>
                <w:right w:val="none" w:sz="0" w:space="0" w:color="auto"/>
              </w:divBdr>
            </w:div>
            <w:div w:id="1430856284">
              <w:marLeft w:val="0"/>
              <w:marRight w:val="0"/>
              <w:marTop w:val="0"/>
              <w:marBottom w:val="240"/>
              <w:divBdr>
                <w:top w:val="none" w:sz="0" w:space="0" w:color="auto"/>
                <w:left w:val="none" w:sz="0" w:space="0" w:color="auto"/>
                <w:bottom w:val="none" w:sz="0" w:space="0" w:color="auto"/>
                <w:right w:val="none" w:sz="0" w:space="0" w:color="auto"/>
              </w:divBdr>
            </w:div>
            <w:div w:id="827476423">
              <w:marLeft w:val="0"/>
              <w:marRight w:val="0"/>
              <w:marTop w:val="0"/>
              <w:marBottom w:val="240"/>
              <w:divBdr>
                <w:top w:val="none" w:sz="0" w:space="0" w:color="auto"/>
                <w:left w:val="none" w:sz="0" w:space="0" w:color="auto"/>
                <w:bottom w:val="none" w:sz="0" w:space="0" w:color="auto"/>
                <w:right w:val="none" w:sz="0" w:space="0" w:color="auto"/>
              </w:divBdr>
            </w:div>
            <w:div w:id="68305706">
              <w:marLeft w:val="0"/>
              <w:marRight w:val="0"/>
              <w:marTop w:val="0"/>
              <w:marBottom w:val="240"/>
              <w:divBdr>
                <w:top w:val="none" w:sz="0" w:space="0" w:color="auto"/>
                <w:left w:val="none" w:sz="0" w:space="0" w:color="auto"/>
                <w:bottom w:val="none" w:sz="0" w:space="0" w:color="auto"/>
                <w:right w:val="none" w:sz="0" w:space="0" w:color="auto"/>
              </w:divBdr>
            </w:div>
            <w:div w:id="1173498468">
              <w:marLeft w:val="0"/>
              <w:marRight w:val="0"/>
              <w:marTop w:val="0"/>
              <w:marBottom w:val="240"/>
              <w:divBdr>
                <w:top w:val="none" w:sz="0" w:space="0" w:color="auto"/>
                <w:left w:val="none" w:sz="0" w:space="0" w:color="auto"/>
                <w:bottom w:val="none" w:sz="0" w:space="0" w:color="auto"/>
                <w:right w:val="none" w:sz="0" w:space="0" w:color="auto"/>
              </w:divBdr>
            </w:div>
            <w:div w:id="1376345899">
              <w:marLeft w:val="0"/>
              <w:marRight w:val="0"/>
              <w:marTop w:val="0"/>
              <w:marBottom w:val="240"/>
              <w:divBdr>
                <w:top w:val="none" w:sz="0" w:space="0" w:color="auto"/>
                <w:left w:val="none" w:sz="0" w:space="0" w:color="auto"/>
                <w:bottom w:val="none" w:sz="0" w:space="0" w:color="auto"/>
                <w:right w:val="none" w:sz="0" w:space="0" w:color="auto"/>
              </w:divBdr>
            </w:div>
            <w:div w:id="106047118">
              <w:marLeft w:val="0"/>
              <w:marRight w:val="0"/>
              <w:marTop w:val="0"/>
              <w:marBottom w:val="240"/>
              <w:divBdr>
                <w:top w:val="none" w:sz="0" w:space="0" w:color="auto"/>
                <w:left w:val="none" w:sz="0" w:space="0" w:color="auto"/>
                <w:bottom w:val="none" w:sz="0" w:space="0" w:color="auto"/>
                <w:right w:val="none" w:sz="0" w:space="0" w:color="auto"/>
              </w:divBdr>
            </w:div>
            <w:div w:id="982393449">
              <w:marLeft w:val="0"/>
              <w:marRight w:val="0"/>
              <w:marTop w:val="0"/>
              <w:marBottom w:val="240"/>
              <w:divBdr>
                <w:top w:val="none" w:sz="0" w:space="0" w:color="auto"/>
                <w:left w:val="none" w:sz="0" w:space="0" w:color="auto"/>
                <w:bottom w:val="none" w:sz="0" w:space="0" w:color="auto"/>
                <w:right w:val="none" w:sz="0" w:space="0" w:color="auto"/>
              </w:divBdr>
            </w:div>
            <w:div w:id="504445127">
              <w:marLeft w:val="0"/>
              <w:marRight w:val="0"/>
              <w:marTop w:val="0"/>
              <w:marBottom w:val="240"/>
              <w:divBdr>
                <w:top w:val="none" w:sz="0" w:space="0" w:color="auto"/>
                <w:left w:val="none" w:sz="0" w:space="0" w:color="auto"/>
                <w:bottom w:val="none" w:sz="0" w:space="0" w:color="auto"/>
                <w:right w:val="none" w:sz="0" w:space="0" w:color="auto"/>
              </w:divBdr>
            </w:div>
            <w:div w:id="1068461108">
              <w:marLeft w:val="0"/>
              <w:marRight w:val="0"/>
              <w:marTop w:val="0"/>
              <w:marBottom w:val="240"/>
              <w:divBdr>
                <w:top w:val="none" w:sz="0" w:space="0" w:color="auto"/>
                <w:left w:val="none" w:sz="0" w:space="0" w:color="auto"/>
                <w:bottom w:val="none" w:sz="0" w:space="0" w:color="auto"/>
                <w:right w:val="none" w:sz="0" w:space="0" w:color="auto"/>
              </w:divBdr>
            </w:div>
            <w:div w:id="546575620">
              <w:marLeft w:val="0"/>
              <w:marRight w:val="0"/>
              <w:marTop w:val="0"/>
              <w:marBottom w:val="240"/>
              <w:divBdr>
                <w:top w:val="none" w:sz="0" w:space="0" w:color="auto"/>
                <w:left w:val="none" w:sz="0" w:space="0" w:color="auto"/>
                <w:bottom w:val="none" w:sz="0" w:space="0" w:color="auto"/>
                <w:right w:val="none" w:sz="0" w:space="0" w:color="auto"/>
              </w:divBdr>
            </w:div>
            <w:div w:id="1110779566">
              <w:marLeft w:val="0"/>
              <w:marRight w:val="0"/>
              <w:marTop w:val="0"/>
              <w:marBottom w:val="240"/>
              <w:divBdr>
                <w:top w:val="none" w:sz="0" w:space="0" w:color="auto"/>
                <w:left w:val="none" w:sz="0" w:space="0" w:color="auto"/>
                <w:bottom w:val="none" w:sz="0" w:space="0" w:color="auto"/>
                <w:right w:val="none" w:sz="0" w:space="0" w:color="auto"/>
              </w:divBdr>
            </w:div>
            <w:div w:id="64769856">
              <w:marLeft w:val="0"/>
              <w:marRight w:val="0"/>
              <w:marTop w:val="0"/>
              <w:marBottom w:val="240"/>
              <w:divBdr>
                <w:top w:val="none" w:sz="0" w:space="0" w:color="auto"/>
                <w:left w:val="none" w:sz="0" w:space="0" w:color="auto"/>
                <w:bottom w:val="none" w:sz="0" w:space="0" w:color="auto"/>
                <w:right w:val="none" w:sz="0" w:space="0" w:color="auto"/>
              </w:divBdr>
            </w:div>
            <w:div w:id="1860240040">
              <w:marLeft w:val="0"/>
              <w:marRight w:val="0"/>
              <w:marTop w:val="0"/>
              <w:marBottom w:val="240"/>
              <w:divBdr>
                <w:top w:val="none" w:sz="0" w:space="0" w:color="auto"/>
                <w:left w:val="none" w:sz="0" w:space="0" w:color="auto"/>
                <w:bottom w:val="none" w:sz="0" w:space="0" w:color="auto"/>
                <w:right w:val="none" w:sz="0" w:space="0" w:color="auto"/>
              </w:divBdr>
            </w:div>
            <w:div w:id="30964756">
              <w:marLeft w:val="0"/>
              <w:marRight w:val="0"/>
              <w:marTop w:val="0"/>
              <w:marBottom w:val="240"/>
              <w:divBdr>
                <w:top w:val="none" w:sz="0" w:space="0" w:color="auto"/>
                <w:left w:val="none" w:sz="0" w:space="0" w:color="auto"/>
                <w:bottom w:val="none" w:sz="0" w:space="0" w:color="auto"/>
                <w:right w:val="none" w:sz="0" w:space="0" w:color="auto"/>
              </w:divBdr>
            </w:div>
            <w:div w:id="1259827694">
              <w:marLeft w:val="0"/>
              <w:marRight w:val="0"/>
              <w:marTop w:val="0"/>
              <w:marBottom w:val="240"/>
              <w:divBdr>
                <w:top w:val="none" w:sz="0" w:space="0" w:color="auto"/>
                <w:left w:val="none" w:sz="0" w:space="0" w:color="auto"/>
                <w:bottom w:val="none" w:sz="0" w:space="0" w:color="auto"/>
                <w:right w:val="none" w:sz="0" w:space="0" w:color="auto"/>
              </w:divBdr>
            </w:div>
            <w:div w:id="1609921930">
              <w:marLeft w:val="0"/>
              <w:marRight w:val="0"/>
              <w:marTop w:val="0"/>
              <w:marBottom w:val="240"/>
              <w:divBdr>
                <w:top w:val="none" w:sz="0" w:space="0" w:color="auto"/>
                <w:left w:val="none" w:sz="0" w:space="0" w:color="auto"/>
                <w:bottom w:val="none" w:sz="0" w:space="0" w:color="auto"/>
                <w:right w:val="none" w:sz="0" w:space="0" w:color="auto"/>
              </w:divBdr>
            </w:div>
            <w:div w:id="1663123950">
              <w:marLeft w:val="0"/>
              <w:marRight w:val="0"/>
              <w:marTop w:val="0"/>
              <w:marBottom w:val="240"/>
              <w:divBdr>
                <w:top w:val="none" w:sz="0" w:space="0" w:color="auto"/>
                <w:left w:val="none" w:sz="0" w:space="0" w:color="auto"/>
                <w:bottom w:val="none" w:sz="0" w:space="0" w:color="auto"/>
                <w:right w:val="none" w:sz="0" w:space="0" w:color="auto"/>
              </w:divBdr>
            </w:div>
            <w:div w:id="1490442666">
              <w:marLeft w:val="0"/>
              <w:marRight w:val="0"/>
              <w:marTop w:val="0"/>
              <w:marBottom w:val="240"/>
              <w:divBdr>
                <w:top w:val="none" w:sz="0" w:space="0" w:color="auto"/>
                <w:left w:val="none" w:sz="0" w:space="0" w:color="auto"/>
                <w:bottom w:val="none" w:sz="0" w:space="0" w:color="auto"/>
                <w:right w:val="none" w:sz="0" w:space="0" w:color="auto"/>
              </w:divBdr>
            </w:div>
            <w:div w:id="1871339426">
              <w:marLeft w:val="0"/>
              <w:marRight w:val="0"/>
              <w:marTop w:val="0"/>
              <w:marBottom w:val="240"/>
              <w:divBdr>
                <w:top w:val="none" w:sz="0" w:space="0" w:color="auto"/>
                <w:left w:val="none" w:sz="0" w:space="0" w:color="auto"/>
                <w:bottom w:val="none" w:sz="0" w:space="0" w:color="auto"/>
                <w:right w:val="none" w:sz="0" w:space="0" w:color="auto"/>
              </w:divBdr>
            </w:div>
            <w:div w:id="1640113105">
              <w:marLeft w:val="0"/>
              <w:marRight w:val="0"/>
              <w:marTop w:val="0"/>
              <w:marBottom w:val="240"/>
              <w:divBdr>
                <w:top w:val="none" w:sz="0" w:space="0" w:color="auto"/>
                <w:left w:val="none" w:sz="0" w:space="0" w:color="auto"/>
                <w:bottom w:val="none" w:sz="0" w:space="0" w:color="auto"/>
                <w:right w:val="none" w:sz="0" w:space="0" w:color="auto"/>
              </w:divBdr>
            </w:div>
            <w:div w:id="257104336">
              <w:marLeft w:val="0"/>
              <w:marRight w:val="0"/>
              <w:marTop w:val="0"/>
              <w:marBottom w:val="240"/>
              <w:divBdr>
                <w:top w:val="none" w:sz="0" w:space="0" w:color="auto"/>
                <w:left w:val="none" w:sz="0" w:space="0" w:color="auto"/>
                <w:bottom w:val="none" w:sz="0" w:space="0" w:color="auto"/>
                <w:right w:val="none" w:sz="0" w:space="0" w:color="auto"/>
              </w:divBdr>
            </w:div>
            <w:div w:id="1188173802">
              <w:marLeft w:val="0"/>
              <w:marRight w:val="0"/>
              <w:marTop w:val="0"/>
              <w:marBottom w:val="240"/>
              <w:divBdr>
                <w:top w:val="none" w:sz="0" w:space="0" w:color="auto"/>
                <w:left w:val="none" w:sz="0" w:space="0" w:color="auto"/>
                <w:bottom w:val="none" w:sz="0" w:space="0" w:color="auto"/>
                <w:right w:val="none" w:sz="0" w:space="0" w:color="auto"/>
              </w:divBdr>
            </w:div>
            <w:div w:id="1989354750">
              <w:marLeft w:val="0"/>
              <w:marRight w:val="0"/>
              <w:marTop w:val="0"/>
              <w:marBottom w:val="240"/>
              <w:divBdr>
                <w:top w:val="none" w:sz="0" w:space="0" w:color="auto"/>
                <w:left w:val="none" w:sz="0" w:space="0" w:color="auto"/>
                <w:bottom w:val="none" w:sz="0" w:space="0" w:color="auto"/>
                <w:right w:val="none" w:sz="0" w:space="0" w:color="auto"/>
              </w:divBdr>
            </w:div>
            <w:div w:id="1010371418">
              <w:marLeft w:val="0"/>
              <w:marRight w:val="0"/>
              <w:marTop w:val="0"/>
              <w:marBottom w:val="240"/>
              <w:divBdr>
                <w:top w:val="none" w:sz="0" w:space="0" w:color="auto"/>
                <w:left w:val="none" w:sz="0" w:space="0" w:color="auto"/>
                <w:bottom w:val="none" w:sz="0" w:space="0" w:color="auto"/>
                <w:right w:val="none" w:sz="0" w:space="0" w:color="auto"/>
              </w:divBdr>
            </w:div>
            <w:div w:id="318312406">
              <w:marLeft w:val="0"/>
              <w:marRight w:val="0"/>
              <w:marTop w:val="0"/>
              <w:marBottom w:val="240"/>
              <w:divBdr>
                <w:top w:val="none" w:sz="0" w:space="0" w:color="auto"/>
                <w:left w:val="none" w:sz="0" w:space="0" w:color="auto"/>
                <w:bottom w:val="none" w:sz="0" w:space="0" w:color="auto"/>
                <w:right w:val="none" w:sz="0" w:space="0" w:color="auto"/>
              </w:divBdr>
            </w:div>
            <w:div w:id="205069074">
              <w:marLeft w:val="0"/>
              <w:marRight w:val="0"/>
              <w:marTop w:val="0"/>
              <w:marBottom w:val="240"/>
              <w:divBdr>
                <w:top w:val="none" w:sz="0" w:space="0" w:color="auto"/>
                <w:left w:val="none" w:sz="0" w:space="0" w:color="auto"/>
                <w:bottom w:val="none" w:sz="0" w:space="0" w:color="auto"/>
                <w:right w:val="none" w:sz="0" w:space="0" w:color="auto"/>
              </w:divBdr>
            </w:div>
            <w:div w:id="615140426">
              <w:marLeft w:val="0"/>
              <w:marRight w:val="0"/>
              <w:marTop w:val="0"/>
              <w:marBottom w:val="240"/>
              <w:divBdr>
                <w:top w:val="none" w:sz="0" w:space="0" w:color="auto"/>
                <w:left w:val="none" w:sz="0" w:space="0" w:color="auto"/>
                <w:bottom w:val="none" w:sz="0" w:space="0" w:color="auto"/>
                <w:right w:val="none" w:sz="0" w:space="0" w:color="auto"/>
              </w:divBdr>
            </w:div>
            <w:div w:id="1072119458">
              <w:marLeft w:val="0"/>
              <w:marRight w:val="0"/>
              <w:marTop w:val="0"/>
              <w:marBottom w:val="240"/>
              <w:divBdr>
                <w:top w:val="none" w:sz="0" w:space="0" w:color="auto"/>
                <w:left w:val="none" w:sz="0" w:space="0" w:color="auto"/>
                <w:bottom w:val="none" w:sz="0" w:space="0" w:color="auto"/>
                <w:right w:val="none" w:sz="0" w:space="0" w:color="auto"/>
              </w:divBdr>
            </w:div>
            <w:div w:id="1632782893">
              <w:marLeft w:val="0"/>
              <w:marRight w:val="0"/>
              <w:marTop w:val="0"/>
              <w:marBottom w:val="240"/>
              <w:divBdr>
                <w:top w:val="none" w:sz="0" w:space="0" w:color="auto"/>
                <w:left w:val="none" w:sz="0" w:space="0" w:color="auto"/>
                <w:bottom w:val="none" w:sz="0" w:space="0" w:color="auto"/>
                <w:right w:val="none" w:sz="0" w:space="0" w:color="auto"/>
              </w:divBdr>
            </w:div>
            <w:div w:id="900168308">
              <w:marLeft w:val="0"/>
              <w:marRight w:val="0"/>
              <w:marTop w:val="0"/>
              <w:marBottom w:val="240"/>
              <w:divBdr>
                <w:top w:val="none" w:sz="0" w:space="0" w:color="auto"/>
                <w:left w:val="none" w:sz="0" w:space="0" w:color="auto"/>
                <w:bottom w:val="none" w:sz="0" w:space="0" w:color="auto"/>
                <w:right w:val="none" w:sz="0" w:space="0" w:color="auto"/>
              </w:divBdr>
            </w:div>
            <w:div w:id="1318411488">
              <w:marLeft w:val="0"/>
              <w:marRight w:val="0"/>
              <w:marTop w:val="0"/>
              <w:marBottom w:val="240"/>
              <w:divBdr>
                <w:top w:val="none" w:sz="0" w:space="0" w:color="auto"/>
                <w:left w:val="none" w:sz="0" w:space="0" w:color="auto"/>
                <w:bottom w:val="none" w:sz="0" w:space="0" w:color="auto"/>
                <w:right w:val="none" w:sz="0" w:space="0" w:color="auto"/>
              </w:divBdr>
            </w:div>
            <w:div w:id="443498020">
              <w:marLeft w:val="0"/>
              <w:marRight w:val="0"/>
              <w:marTop w:val="0"/>
              <w:marBottom w:val="240"/>
              <w:divBdr>
                <w:top w:val="none" w:sz="0" w:space="0" w:color="auto"/>
                <w:left w:val="none" w:sz="0" w:space="0" w:color="auto"/>
                <w:bottom w:val="none" w:sz="0" w:space="0" w:color="auto"/>
                <w:right w:val="none" w:sz="0" w:space="0" w:color="auto"/>
              </w:divBdr>
            </w:div>
            <w:div w:id="207034001">
              <w:marLeft w:val="0"/>
              <w:marRight w:val="0"/>
              <w:marTop w:val="0"/>
              <w:marBottom w:val="240"/>
              <w:divBdr>
                <w:top w:val="none" w:sz="0" w:space="0" w:color="auto"/>
                <w:left w:val="none" w:sz="0" w:space="0" w:color="auto"/>
                <w:bottom w:val="none" w:sz="0" w:space="0" w:color="auto"/>
                <w:right w:val="none" w:sz="0" w:space="0" w:color="auto"/>
              </w:divBdr>
            </w:div>
            <w:div w:id="1031147508">
              <w:marLeft w:val="0"/>
              <w:marRight w:val="0"/>
              <w:marTop w:val="0"/>
              <w:marBottom w:val="240"/>
              <w:divBdr>
                <w:top w:val="none" w:sz="0" w:space="0" w:color="auto"/>
                <w:left w:val="none" w:sz="0" w:space="0" w:color="auto"/>
                <w:bottom w:val="none" w:sz="0" w:space="0" w:color="auto"/>
                <w:right w:val="none" w:sz="0" w:space="0" w:color="auto"/>
              </w:divBdr>
            </w:div>
            <w:div w:id="99762029">
              <w:marLeft w:val="0"/>
              <w:marRight w:val="0"/>
              <w:marTop w:val="0"/>
              <w:marBottom w:val="240"/>
              <w:divBdr>
                <w:top w:val="none" w:sz="0" w:space="0" w:color="auto"/>
                <w:left w:val="none" w:sz="0" w:space="0" w:color="auto"/>
                <w:bottom w:val="none" w:sz="0" w:space="0" w:color="auto"/>
                <w:right w:val="none" w:sz="0" w:space="0" w:color="auto"/>
              </w:divBdr>
            </w:div>
            <w:div w:id="1224833609">
              <w:marLeft w:val="0"/>
              <w:marRight w:val="0"/>
              <w:marTop w:val="0"/>
              <w:marBottom w:val="240"/>
              <w:divBdr>
                <w:top w:val="none" w:sz="0" w:space="0" w:color="auto"/>
                <w:left w:val="none" w:sz="0" w:space="0" w:color="auto"/>
                <w:bottom w:val="none" w:sz="0" w:space="0" w:color="auto"/>
                <w:right w:val="none" w:sz="0" w:space="0" w:color="auto"/>
              </w:divBdr>
            </w:div>
            <w:div w:id="1564221596">
              <w:marLeft w:val="0"/>
              <w:marRight w:val="0"/>
              <w:marTop w:val="0"/>
              <w:marBottom w:val="240"/>
              <w:divBdr>
                <w:top w:val="none" w:sz="0" w:space="0" w:color="auto"/>
                <w:left w:val="none" w:sz="0" w:space="0" w:color="auto"/>
                <w:bottom w:val="none" w:sz="0" w:space="0" w:color="auto"/>
                <w:right w:val="none" w:sz="0" w:space="0" w:color="auto"/>
              </w:divBdr>
            </w:div>
            <w:div w:id="47069773">
              <w:marLeft w:val="0"/>
              <w:marRight w:val="0"/>
              <w:marTop w:val="0"/>
              <w:marBottom w:val="240"/>
              <w:divBdr>
                <w:top w:val="none" w:sz="0" w:space="0" w:color="auto"/>
                <w:left w:val="none" w:sz="0" w:space="0" w:color="auto"/>
                <w:bottom w:val="none" w:sz="0" w:space="0" w:color="auto"/>
                <w:right w:val="none" w:sz="0" w:space="0" w:color="auto"/>
              </w:divBdr>
            </w:div>
            <w:div w:id="970329596">
              <w:marLeft w:val="0"/>
              <w:marRight w:val="0"/>
              <w:marTop w:val="0"/>
              <w:marBottom w:val="240"/>
              <w:divBdr>
                <w:top w:val="none" w:sz="0" w:space="0" w:color="auto"/>
                <w:left w:val="none" w:sz="0" w:space="0" w:color="auto"/>
                <w:bottom w:val="none" w:sz="0" w:space="0" w:color="auto"/>
                <w:right w:val="none" w:sz="0" w:space="0" w:color="auto"/>
              </w:divBdr>
            </w:div>
            <w:div w:id="2139761385">
              <w:marLeft w:val="0"/>
              <w:marRight w:val="0"/>
              <w:marTop w:val="0"/>
              <w:marBottom w:val="240"/>
              <w:divBdr>
                <w:top w:val="none" w:sz="0" w:space="0" w:color="auto"/>
                <w:left w:val="none" w:sz="0" w:space="0" w:color="auto"/>
                <w:bottom w:val="none" w:sz="0" w:space="0" w:color="auto"/>
                <w:right w:val="none" w:sz="0" w:space="0" w:color="auto"/>
              </w:divBdr>
            </w:div>
            <w:div w:id="846283745">
              <w:marLeft w:val="0"/>
              <w:marRight w:val="0"/>
              <w:marTop w:val="0"/>
              <w:marBottom w:val="240"/>
              <w:divBdr>
                <w:top w:val="none" w:sz="0" w:space="0" w:color="auto"/>
                <w:left w:val="none" w:sz="0" w:space="0" w:color="auto"/>
                <w:bottom w:val="none" w:sz="0" w:space="0" w:color="auto"/>
                <w:right w:val="none" w:sz="0" w:space="0" w:color="auto"/>
              </w:divBdr>
            </w:div>
            <w:div w:id="729113559">
              <w:marLeft w:val="0"/>
              <w:marRight w:val="0"/>
              <w:marTop w:val="0"/>
              <w:marBottom w:val="240"/>
              <w:divBdr>
                <w:top w:val="none" w:sz="0" w:space="0" w:color="auto"/>
                <w:left w:val="none" w:sz="0" w:space="0" w:color="auto"/>
                <w:bottom w:val="none" w:sz="0" w:space="0" w:color="auto"/>
                <w:right w:val="none" w:sz="0" w:space="0" w:color="auto"/>
              </w:divBdr>
            </w:div>
            <w:div w:id="1157455838">
              <w:marLeft w:val="0"/>
              <w:marRight w:val="0"/>
              <w:marTop w:val="0"/>
              <w:marBottom w:val="240"/>
              <w:divBdr>
                <w:top w:val="none" w:sz="0" w:space="0" w:color="auto"/>
                <w:left w:val="none" w:sz="0" w:space="0" w:color="auto"/>
                <w:bottom w:val="none" w:sz="0" w:space="0" w:color="auto"/>
                <w:right w:val="none" w:sz="0" w:space="0" w:color="auto"/>
              </w:divBdr>
            </w:div>
            <w:div w:id="1562056996">
              <w:marLeft w:val="0"/>
              <w:marRight w:val="0"/>
              <w:marTop w:val="0"/>
              <w:marBottom w:val="240"/>
              <w:divBdr>
                <w:top w:val="none" w:sz="0" w:space="0" w:color="auto"/>
                <w:left w:val="none" w:sz="0" w:space="0" w:color="auto"/>
                <w:bottom w:val="none" w:sz="0" w:space="0" w:color="auto"/>
                <w:right w:val="none" w:sz="0" w:space="0" w:color="auto"/>
              </w:divBdr>
            </w:div>
            <w:div w:id="116920852">
              <w:marLeft w:val="0"/>
              <w:marRight w:val="0"/>
              <w:marTop w:val="0"/>
              <w:marBottom w:val="240"/>
              <w:divBdr>
                <w:top w:val="none" w:sz="0" w:space="0" w:color="auto"/>
                <w:left w:val="none" w:sz="0" w:space="0" w:color="auto"/>
                <w:bottom w:val="none" w:sz="0" w:space="0" w:color="auto"/>
                <w:right w:val="none" w:sz="0" w:space="0" w:color="auto"/>
              </w:divBdr>
            </w:div>
            <w:div w:id="579758371">
              <w:marLeft w:val="0"/>
              <w:marRight w:val="0"/>
              <w:marTop w:val="0"/>
              <w:marBottom w:val="240"/>
              <w:divBdr>
                <w:top w:val="none" w:sz="0" w:space="0" w:color="auto"/>
                <w:left w:val="none" w:sz="0" w:space="0" w:color="auto"/>
                <w:bottom w:val="none" w:sz="0" w:space="0" w:color="auto"/>
                <w:right w:val="none" w:sz="0" w:space="0" w:color="auto"/>
              </w:divBdr>
            </w:div>
            <w:div w:id="484206844">
              <w:marLeft w:val="0"/>
              <w:marRight w:val="0"/>
              <w:marTop w:val="0"/>
              <w:marBottom w:val="240"/>
              <w:divBdr>
                <w:top w:val="none" w:sz="0" w:space="0" w:color="auto"/>
                <w:left w:val="none" w:sz="0" w:space="0" w:color="auto"/>
                <w:bottom w:val="none" w:sz="0" w:space="0" w:color="auto"/>
                <w:right w:val="none" w:sz="0" w:space="0" w:color="auto"/>
              </w:divBdr>
            </w:div>
            <w:div w:id="747187667">
              <w:marLeft w:val="0"/>
              <w:marRight w:val="0"/>
              <w:marTop w:val="0"/>
              <w:marBottom w:val="240"/>
              <w:divBdr>
                <w:top w:val="none" w:sz="0" w:space="0" w:color="auto"/>
                <w:left w:val="none" w:sz="0" w:space="0" w:color="auto"/>
                <w:bottom w:val="none" w:sz="0" w:space="0" w:color="auto"/>
                <w:right w:val="none" w:sz="0" w:space="0" w:color="auto"/>
              </w:divBdr>
            </w:div>
            <w:div w:id="104618511">
              <w:marLeft w:val="0"/>
              <w:marRight w:val="0"/>
              <w:marTop w:val="0"/>
              <w:marBottom w:val="240"/>
              <w:divBdr>
                <w:top w:val="none" w:sz="0" w:space="0" w:color="auto"/>
                <w:left w:val="none" w:sz="0" w:space="0" w:color="auto"/>
                <w:bottom w:val="none" w:sz="0" w:space="0" w:color="auto"/>
                <w:right w:val="none" w:sz="0" w:space="0" w:color="auto"/>
              </w:divBdr>
            </w:div>
            <w:div w:id="290521493">
              <w:marLeft w:val="0"/>
              <w:marRight w:val="0"/>
              <w:marTop w:val="0"/>
              <w:marBottom w:val="240"/>
              <w:divBdr>
                <w:top w:val="none" w:sz="0" w:space="0" w:color="auto"/>
                <w:left w:val="none" w:sz="0" w:space="0" w:color="auto"/>
                <w:bottom w:val="none" w:sz="0" w:space="0" w:color="auto"/>
                <w:right w:val="none" w:sz="0" w:space="0" w:color="auto"/>
              </w:divBdr>
            </w:div>
            <w:div w:id="773596933">
              <w:marLeft w:val="0"/>
              <w:marRight w:val="0"/>
              <w:marTop w:val="0"/>
              <w:marBottom w:val="240"/>
              <w:divBdr>
                <w:top w:val="none" w:sz="0" w:space="0" w:color="auto"/>
                <w:left w:val="none" w:sz="0" w:space="0" w:color="auto"/>
                <w:bottom w:val="none" w:sz="0" w:space="0" w:color="auto"/>
                <w:right w:val="none" w:sz="0" w:space="0" w:color="auto"/>
              </w:divBdr>
            </w:div>
            <w:div w:id="236325908">
              <w:marLeft w:val="0"/>
              <w:marRight w:val="0"/>
              <w:marTop w:val="0"/>
              <w:marBottom w:val="240"/>
              <w:divBdr>
                <w:top w:val="none" w:sz="0" w:space="0" w:color="auto"/>
                <w:left w:val="none" w:sz="0" w:space="0" w:color="auto"/>
                <w:bottom w:val="none" w:sz="0" w:space="0" w:color="auto"/>
                <w:right w:val="none" w:sz="0" w:space="0" w:color="auto"/>
              </w:divBdr>
            </w:div>
            <w:div w:id="1988046513">
              <w:marLeft w:val="0"/>
              <w:marRight w:val="0"/>
              <w:marTop w:val="0"/>
              <w:marBottom w:val="240"/>
              <w:divBdr>
                <w:top w:val="none" w:sz="0" w:space="0" w:color="auto"/>
                <w:left w:val="none" w:sz="0" w:space="0" w:color="auto"/>
                <w:bottom w:val="none" w:sz="0" w:space="0" w:color="auto"/>
                <w:right w:val="none" w:sz="0" w:space="0" w:color="auto"/>
              </w:divBdr>
            </w:div>
            <w:div w:id="1454127829">
              <w:marLeft w:val="0"/>
              <w:marRight w:val="0"/>
              <w:marTop w:val="0"/>
              <w:marBottom w:val="240"/>
              <w:divBdr>
                <w:top w:val="none" w:sz="0" w:space="0" w:color="auto"/>
                <w:left w:val="none" w:sz="0" w:space="0" w:color="auto"/>
                <w:bottom w:val="none" w:sz="0" w:space="0" w:color="auto"/>
                <w:right w:val="none" w:sz="0" w:space="0" w:color="auto"/>
              </w:divBdr>
            </w:div>
            <w:div w:id="543643028">
              <w:marLeft w:val="0"/>
              <w:marRight w:val="0"/>
              <w:marTop w:val="0"/>
              <w:marBottom w:val="240"/>
              <w:divBdr>
                <w:top w:val="none" w:sz="0" w:space="0" w:color="auto"/>
                <w:left w:val="none" w:sz="0" w:space="0" w:color="auto"/>
                <w:bottom w:val="none" w:sz="0" w:space="0" w:color="auto"/>
                <w:right w:val="none" w:sz="0" w:space="0" w:color="auto"/>
              </w:divBdr>
            </w:div>
            <w:div w:id="808940499">
              <w:marLeft w:val="0"/>
              <w:marRight w:val="0"/>
              <w:marTop w:val="0"/>
              <w:marBottom w:val="240"/>
              <w:divBdr>
                <w:top w:val="none" w:sz="0" w:space="0" w:color="auto"/>
                <w:left w:val="none" w:sz="0" w:space="0" w:color="auto"/>
                <w:bottom w:val="none" w:sz="0" w:space="0" w:color="auto"/>
                <w:right w:val="none" w:sz="0" w:space="0" w:color="auto"/>
              </w:divBdr>
            </w:div>
            <w:div w:id="338167593">
              <w:marLeft w:val="0"/>
              <w:marRight w:val="0"/>
              <w:marTop w:val="0"/>
              <w:marBottom w:val="240"/>
              <w:divBdr>
                <w:top w:val="none" w:sz="0" w:space="0" w:color="auto"/>
                <w:left w:val="none" w:sz="0" w:space="0" w:color="auto"/>
                <w:bottom w:val="none" w:sz="0" w:space="0" w:color="auto"/>
                <w:right w:val="none" w:sz="0" w:space="0" w:color="auto"/>
              </w:divBdr>
            </w:div>
            <w:div w:id="1280380061">
              <w:marLeft w:val="0"/>
              <w:marRight w:val="0"/>
              <w:marTop w:val="0"/>
              <w:marBottom w:val="240"/>
              <w:divBdr>
                <w:top w:val="none" w:sz="0" w:space="0" w:color="auto"/>
                <w:left w:val="none" w:sz="0" w:space="0" w:color="auto"/>
                <w:bottom w:val="none" w:sz="0" w:space="0" w:color="auto"/>
                <w:right w:val="none" w:sz="0" w:space="0" w:color="auto"/>
              </w:divBdr>
            </w:div>
            <w:div w:id="1734235434">
              <w:marLeft w:val="0"/>
              <w:marRight w:val="0"/>
              <w:marTop w:val="0"/>
              <w:marBottom w:val="240"/>
              <w:divBdr>
                <w:top w:val="none" w:sz="0" w:space="0" w:color="auto"/>
                <w:left w:val="none" w:sz="0" w:space="0" w:color="auto"/>
                <w:bottom w:val="none" w:sz="0" w:space="0" w:color="auto"/>
                <w:right w:val="none" w:sz="0" w:space="0" w:color="auto"/>
              </w:divBdr>
            </w:div>
            <w:div w:id="1237323415">
              <w:marLeft w:val="0"/>
              <w:marRight w:val="0"/>
              <w:marTop w:val="0"/>
              <w:marBottom w:val="240"/>
              <w:divBdr>
                <w:top w:val="none" w:sz="0" w:space="0" w:color="auto"/>
                <w:left w:val="none" w:sz="0" w:space="0" w:color="auto"/>
                <w:bottom w:val="none" w:sz="0" w:space="0" w:color="auto"/>
                <w:right w:val="none" w:sz="0" w:space="0" w:color="auto"/>
              </w:divBdr>
            </w:div>
            <w:div w:id="991643534">
              <w:marLeft w:val="0"/>
              <w:marRight w:val="0"/>
              <w:marTop w:val="0"/>
              <w:marBottom w:val="240"/>
              <w:divBdr>
                <w:top w:val="none" w:sz="0" w:space="0" w:color="auto"/>
                <w:left w:val="none" w:sz="0" w:space="0" w:color="auto"/>
                <w:bottom w:val="none" w:sz="0" w:space="0" w:color="auto"/>
                <w:right w:val="none" w:sz="0" w:space="0" w:color="auto"/>
              </w:divBdr>
            </w:div>
            <w:div w:id="853610632">
              <w:marLeft w:val="0"/>
              <w:marRight w:val="0"/>
              <w:marTop w:val="0"/>
              <w:marBottom w:val="240"/>
              <w:divBdr>
                <w:top w:val="none" w:sz="0" w:space="0" w:color="auto"/>
                <w:left w:val="none" w:sz="0" w:space="0" w:color="auto"/>
                <w:bottom w:val="none" w:sz="0" w:space="0" w:color="auto"/>
                <w:right w:val="none" w:sz="0" w:space="0" w:color="auto"/>
              </w:divBdr>
            </w:div>
            <w:div w:id="841236935">
              <w:marLeft w:val="0"/>
              <w:marRight w:val="0"/>
              <w:marTop w:val="0"/>
              <w:marBottom w:val="240"/>
              <w:divBdr>
                <w:top w:val="none" w:sz="0" w:space="0" w:color="auto"/>
                <w:left w:val="none" w:sz="0" w:space="0" w:color="auto"/>
                <w:bottom w:val="none" w:sz="0" w:space="0" w:color="auto"/>
                <w:right w:val="none" w:sz="0" w:space="0" w:color="auto"/>
              </w:divBdr>
            </w:div>
            <w:div w:id="305015239">
              <w:marLeft w:val="0"/>
              <w:marRight w:val="0"/>
              <w:marTop w:val="0"/>
              <w:marBottom w:val="240"/>
              <w:divBdr>
                <w:top w:val="none" w:sz="0" w:space="0" w:color="auto"/>
                <w:left w:val="none" w:sz="0" w:space="0" w:color="auto"/>
                <w:bottom w:val="none" w:sz="0" w:space="0" w:color="auto"/>
                <w:right w:val="none" w:sz="0" w:space="0" w:color="auto"/>
              </w:divBdr>
            </w:div>
            <w:div w:id="1510681836">
              <w:marLeft w:val="0"/>
              <w:marRight w:val="0"/>
              <w:marTop w:val="0"/>
              <w:marBottom w:val="240"/>
              <w:divBdr>
                <w:top w:val="none" w:sz="0" w:space="0" w:color="auto"/>
                <w:left w:val="none" w:sz="0" w:space="0" w:color="auto"/>
                <w:bottom w:val="none" w:sz="0" w:space="0" w:color="auto"/>
                <w:right w:val="none" w:sz="0" w:space="0" w:color="auto"/>
              </w:divBdr>
            </w:div>
            <w:div w:id="2086218366">
              <w:marLeft w:val="0"/>
              <w:marRight w:val="0"/>
              <w:marTop w:val="0"/>
              <w:marBottom w:val="240"/>
              <w:divBdr>
                <w:top w:val="none" w:sz="0" w:space="0" w:color="auto"/>
                <w:left w:val="none" w:sz="0" w:space="0" w:color="auto"/>
                <w:bottom w:val="none" w:sz="0" w:space="0" w:color="auto"/>
                <w:right w:val="none" w:sz="0" w:space="0" w:color="auto"/>
              </w:divBdr>
            </w:div>
            <w:div w:id="1009869522">
              <w:marLeft w:val="0"/>
              <w:marRight w:val="0"/>
              <w:marTop w:val="0"/>
              <w:marBottom w:val="240"/>
              <w:divBdr>
                <w:top w:val="none" w:sz="0" w:space="0" w:color="auto"/>
                <w:left w:val="none" w:sz="0" w:space="0" w:color="auto"/>
                <w:bottom w:val="none" w:sz="0" w:space="0" w:color="auto"/>
                <w:right w:val="none" w:sz="0" w:space="0" w:color="auto"/>
              </w:divBdr>
            </w:div>
            <w:div w:id="641890022">
              <w:marLeft w:val="0"/>
              <w:marRight w:val="0"/>
              <w:marTop w:val="0"/>
              <w:marBottom w:val="240"/>
              <w:divBdr>
                <w:top w:val="none" w:sz="0" w:space="0" w:color="auto"/>
                <w:left w:val="none" w:sz="0" w:space="0" w:color="auto"/>
                <w:bottom w:val="none" w:sz="0" w:space="0" w:color="auto"/>
                <w:right w:val="none" w:sz="0" w:space="0" w:color="auto"/>
              </w:divBdr>
            </w:div>
            <w:div w:id="2023388268">
              <w:marLeft w:val="0"/>
              <w:marRight w:val="0"/>
              <w:marTop w:val="0"/>
              <w:marBottom w:val="240"/>
              <w:divBdr>
                <w:top w:val="none" w:sz="0" w:space="0" w:color="auto"/>
                <w:left w:val="none" w:sz="0" w:space="0" w:color="auto"/>
                <w:bottom w:val="none" w:sz="0" w:space="0" w:color="auto"/>
                <w:right w:val="none" w:sz="0" w:space="0" w:color="auto"/>
              </w:divBdr>
            </w:div>
            <w:div w:id="2144273773">
              <w:marLeft w:val="0"/>
              <w:marRight w:val="0"/>
              <w:marTop w:val="0"/>
              <w:marBottom w:val="240"/>
              <w:divBdr>
                <w:top w:val="none" w:sz="0" w:space="0" w:color="auto"/>
                <w:left w:val="none" w:sz="0" w:space="0" w:color="auto"/>
                <w:bottom w:val="none" w:sz="0" w:space="0" w:color="auto"/>
                <w:right w:val="none" w:sz="0" w:space="0" w:color="auto"/>
              </w:divBdr>
            </w:div>
            <w:div w:id="986057784">
              <w:marLeft w:val="0"/>
              <w:marRight w:val="0"/>
              <w:marTop w:val="0"/>
              <w:marBottom w:val="240"/>
              <w:divBdr>
                <w:top w:val="none" w:sz="0" w:space="0" w:color="auto"/>
                <w:left w:val="none" w:sz="0" w:space="0" w:color="auto"/>
                <w:bottom w:val="none" w:sz="0" w:space="0" w:color="auto"/>
                <w:right w:val="none" w:sz="0" w:space="0" w:color="auto"/>
              </w:divBdr>
            </w:div>
            <w:div w:id="1571501136">
              <w:marLeft w:val="0"/>
              <w:marRight w:val="0"/>
              <w:marTop w:val="0"/>
              <w:marBottom w:val="240"/>
              <w:divBdr>
                <w:top w:val="none" w:sz="0" w:space="0" w:color="auto"/>
                <w:left w:val="none" w:sz="0" w:space="0" w:color="auto"/>
                <w:bottom w:val="none" w:sz="0" w:space="0" w:color="auto"/>
                <w:right w:val="none" w:sz="0" w:space="0" w:color="auto"/>
              </w:divBdr>
            </w:div>
            <w:div w:id="1868370779">
              <w:marLeft w:val="0"/>
              <w:marRight w:val="0"/>
              <w:marTop w:val="0"/>
              <w:marBottom w:val="240"/>
              <w:divBdr>
                <w:top w:val="none" w:sz="0" w:space="0" w:color="auto"/>
                <w:left w:val="none" w:sz="0" w:space="0" w:color="auto"/>
                <w:bottom w:val="none" w:sz="0" w:space="0" w:color="auto"/>
                <w:right w:val="none" w:sz="0" w:space="0" w:color="auto"/>
              </w:divBdr>
            </w:div>
            <w:div w:id="206651528">
              <w:marLeft w:val="0"/>
              <w:marRight w:val="0"/>
              <w:marTop w:val="0"/>
              <w:marBottom w:val="240"/>
              <w:divBdr>
                <w:top w:val="none" w:sz="0" w:space="0" w:color="auto"/>
                <w:left w:val="none" w:sz="0" w:space="0" w:color="auto"/>
                <w:bottom w:val="none" w:sz="0" w:space="0" w:color="auto"/>
                <w:right w:val="none" w:sz="0" w:space="0" w:color="auto"/>
              </w:divBdr>
            </w:div>
            <w:div w:id="881093477">
              <w:marLeft w:val="0"/>
              <w:marRight w:val="0"/>
              <w:marTop w:val="0"/>
              <w:marBottom w:val="240"/>
              <w:divBdr>
                <w:top w:val="none" w:sz="0" w:space="0" w:color="auto"/>
                <w:left w:val="none" w:sz="0" w:space="0" w:color="auto"/>
                <w:bottom w:val="none" w:sz="0" w:space="0" w:color="auto"/>
                <w:right w:val="none" w:sz="0" w:space="0" w:color="auto"/>
              </w:divBdr>
            </w:div>
            <w:div w:id="91601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881274">
      <w:bodyDiv w:val="1"/>
      <w:marLeft w:val="0"/>
      <w:marRight w:val="0"/>
      <w:marTop w:val="0"/>
      <w:marBottom w:val="0"/>
      <w:divBdr>
        <w:top w:val="none" w:sz="0" w:space="0" w:color="auto"/>
        <w:left w:val="none" w:sz="0" w:space="0" w:color="auto"/>
        <w:bottom w:val="none" w:sz="0" w:space="0" w:color="auto"/>
        <w:right w:val="none" w:sz="0" w:space="0" w:color="auto"/>
      </w:divBdr>
      <w:divsChild>
        <w:div w:id="1159884595">
          <w:marLeft w:val="0"/>
          <w:marRight w:val="0"/>
          <w:marTop w:val="0"/>
          <w:marBottom w:val="0"/>
          <w:divBdr>
            <w:top w:val="none" w:sz="0" w:space="0" w:color="auto"/>
            <w:left w:val="none" w:sz="0" w:space="0" w:color="auto"/>
            <w:bottom w:val="none" w:sz="0" w:space="0" w:color="auto"/>
            <w:right w:val="none" w:sz="0" w:space="0" w:color="auto"/>
          </w:divBdr>
        </w:div>
        <w:div w:id="416444382">
          <w:marLeft w:val="0"/>
          <w:marRight w:val="0"/>
          <w:marTop w:val="0"/>
          <w:marBottom w:val="0"/>
          <w:divBdr>
            <w:top w:val="none" w:sz="0" w:space="0" w:color="auto"/>
            <w:left w:val="none" w:sz="0" w:space="0" w:color="auto"/>
            <w:bottom w:val="none" w:sz="0" w:space="0" w:color="auto"/>
            <w:right w:val="none" w:sz="0" w:space="0" w:color="auto"/>
          </w:divBdr>
        </w:div>
        <w:div w:id="1223327111">
          <w:marLeft w:val="0"/>
          <w:marRight w:val="0"/>
          <w:marTop w:val="0"/>
          <w:marBottom w:val="0"/>
          <w:divBdr>
            <w:top w:val="none" w:sz="0" w:space="0" w:color="auto"/>
            <w:left w:val="none" w:sz="0" w:space="0" w:color="auto"/>
            <w:bottom w:val="none" w:sz="0" w:space="0" w:color="auto"/>
            <w:right w:val="none" w:sz="0" w:space="0" w:color="auto"/>
          </w:divBdr>
        </w:div>
        <w:div w:id="1629161219">
          <w:marLeft w:val="0"/>
          <w:marRight w:val="0"/>
          <w:marTop w:val="0"/>
          <w:marBottom w:val="0"/>
          <w:divBdr>
            <w:top w:val="none" w:sz="0" w:space="0" w:color="auto"/>
            <w:left w:val="none" w:sz="0" w:space="0" w:color="auto"/>
            <w:bottom w:val="none" w:sz="0" w:space="0" w:color="auto"/>
            <w:right w:val="none" w:sz="0" w:space="0" w:color="auto"/>
          </w:divBdr>
        </w:div>
        <w:div w:id="45766333">
          <w:marLeft w:val="0"/>
          <w:marRight w:val="0"/>
          <w:marTop w:val="0"/>
          <w:marBottom w:val="0"/>
          <w:divBdr>
            <w:top w:val="none" w:sz="0" w:space="0" w:color="auto"/>
            <w:left w:val="none" w:sz="0" w:space="0" w:color="auto"/>
            <w:bottom w:val="none" w:sz="0" w:space="0" w:color="auto"/>
            <w:right w:val="none" w:sz="0" w:space="0" w:color="auto"/>
          </w:divBdr>
        </w:div>
        <w:div w:id="710155538">
          <w:marLeft w:val="0"/>
          <w:marRight w:val="0"/>
          <w:marTop w:val="0"/>
          <w:marBottom w:val="0"/>
          <w:divBdr>
            <w:top w:val="none" w:sz="0" w:space="0" w:color="auto"/>
            <w:left w:val="none" w:sz="0" w:space="0" w:color="auto"/>
            <w:bottom w:val="none" w:sz="0" w:space="0" w:color="auto"/>
            <w:right w:val="none" w:sz="0" w:space="0" w:color="auto"/>
          </w:divBdr>
        </w:div>
        <w:div w:id="1267884730">
          <w:marLeft w:val="0"/>
          <w:marRight w:val="0"/>
          <w:marTop w:val="0"/>
          <w:marBottom w:val="0"/>
          <w:divBdr>
            <w:top w:val="none" w:sz="0" w:space="0" w:color="auto"/>
            <w:left w:val="none" w:sz="0" w:space="0" w:color="auto"/>
            <w:bottom w:val="none" w:sz="0" w:space="0" w:color="auto"/>
            <w:right w:val="none" w:sz="0" w:space="0" w:color="auto"/>
          </w:divBdr>
        </w:div>
        <w:div w:id="739988241">
          <w:marLeft w:val="0"/>
          <w:marRight w:val="0"/>
          <w:marTop w:val="0"/>
          <w:marBottom w:val="0"/>
          <w:divBdr>
            <w:top w:val="none" w:sz="0" w:space="0" w:color="auto"/>
            <w:left w:val="none" w:sz="0" w:space="0" w:color="auto"/>
            <w:bottom w:val="none" w:sz="0" w:space="0" w:color="auto"/>
            <w:right w:val="none" w:sz="0" w:space="0" w:color="auto"/>
          </w:divBdr>
        </w:div>
        <w:div w:id="1479834596">
          <w:marLeft w:val="0"/>
          <w:marRight w:val="0"/>
          <w:marTop w:val="0"/>
          <w:marBottom w:val="0"/>
          <w:divBdr>
            <w:top w:val="none" w:sz="0" w:space="0" w:color="auto"/>
            <w:left w:val="none" w:sz="0" w:space="0" w:color="auto"/>
            <w:bottom w:val="none" w:sz="0" w:space="0" w:color="auto"/>
            <w:right w:val="none" w:sz="0" w:space="0" w:color="auto"/>
          </w:divBdr>
        </w:div>
        <w:div w:id="21519864">
          <w:marLeft w:val="0"/>
          <w:marRight w:val="0"/>
          <w:marTop w:val="0"/>
          <w:marBottom w:val="0"/>
          <w:divBdr>
            <w:top w:val="none" w:sz="0" w:space="0" w:color="auto"/>
            <w:left w:val="none" w:sz="0" w:space="0" w:color="auto"/>
            <w:bottom w:val="none" w:sz="0" w:space="0" w:color="auto"/>
            <w:right w:val="none" w:sz="0" w:space="0" w:color="auto"/>
          </w:divBdr>
        </w:div>
        <w:div w:id="449013831">
          <w:marLeft w:val="0"/>
          <w:marRight w:val="0"/>
          <w:marTop w:val="0"/>
          <w:marBottom w:val="0"/>
          <w:divBdr>
            <w:top w:val="none" w:sz="0" w:space="0" w:color="auto"/>
            <w:left w:val="none" w:sz="0" w:space="0" w:color="auto"/>
            <w:bottom w:val="none" w:sz="0" w:space="0" w:color="auto"/>
            <w:right w:val="none" w:sz="0" w:space="0" w:color="auto"/>
          </w:divBdr>
        </w:div>
        <w:div w:id="289015279">
          <w:marLeft w:val="0"/>
          <w:marRight w:val="0"/>
          <w:marTop w:val="0"/>
          <w:marBottom w:val="0"/>
          <w:divBdr>
            <w:top w:val="none" w:sz="0" w:space="0" w:color="auto"/>
            <w:left w:val="none" w:sz="0" w:space="0" w:color="auto"/>
            <w:bottom w:val="none" w:sz="0" w:space="0" w:color="auto"/>
            <w:right w:val="none" w:sz="0" w:space="0" w:color="auto"/>
          </w:divBdr>
        </w:div>
        <w:div w:id="758021225">
          <w:marLeft w:val="0"/>
          <w:marRight w:val="0"/>
          <w:marTop w:val="0"/>
          <w:marBottom w:val="0"/>
          <w:divBdr>
            <w:top w:val="none" w:sz="0" w:space="0" w:color="auto"/>
            <w:left w:val="none" w:sz="0" w:space="0" w:color="auto"/>
            <w:bottom w:val="none" w:sz="0" w:space="0" w:color="auto"/>
            <w:right w:val="none" w:sz="0" w:space="0" w:color="auto"/>
          </w:divBdr>
        </w:div>
        <w:div w:id="1701592234">
          <w:marLeft w:val="0"/>
          <w:marRight w:val="0"/>
          <w:marTop w:val="0"/>
          <w:marBottom w:val="0"/>
          <w:divBdr>
            <w:top w:val="none" w:sz="0" w:space="0" w:color="auto"/>
            <w:left w:val="none" w:sz="0" w:space="0" w:color="auto"/>
            <w:bottom w:val="none" w:sz="0" w:space="0" w:color="auto"/>
            <w:right w:val="none" w:sz="0" w:space="0" w:color="auto"/>
          </w:divBdr>
        </w:div>
        <w:div w:id="1369531510">
          <w:marLeft w:val="0"/>
          <w:marRight w:val="0"/>
          <w:marTop w:val="0"/>
          <w:marBottom w:val="0"/>
          <w:divBdr>
            <w:top w:val="none" w:sz="0" w:space="0" w:color="auto"/>
            <w:left w:val="none" w:sz="0" w:space="0" w:color="auto"/>
            <w:bottom w:val="none" w:sz="0" w:space="0" w:color="auto"/>
            <w:right w:val="none" w:sz="0" w:space="0" w:color="auto"/>
          </w:divBdr>
        </w:div>
        <w:div w:id="508180402">
          <w:marLeft w:val="0"/>
          <w:marRight w:val="0"/>
          <w:marTop w:val="0"/>
          <w:marBottom w:val="0"/>
          <w:divBdr>
            <w:top w:val="none" w:sz="0" w:space="0" w:color="auto"/>
            <w:left w:val="none" w:sz="0" w:space="0" w:color="auto"/>
            <w:bottom w:val="none" w:sz="0" w:space="0" w:color="auto"/>
            <w:right w:val="none" w:sz="0" w:space="0" w:color="auto"/>
          </w:divBdr>
        </w:div>
      </w:divsChild>
    </w:div>
    <w:div w:id="1038044128">
      <w:bodyDiv w:val="1"/>
      <w:marLeft w:val="0"/>
      <w:marRight w:val="0"/>
      <w:marTop w:val="0"/>
      <w:marBottom w:val="0"/>
      <w:divBdr>
        <w:top w:val="none" w:sz="0" w:space="0" w:color="auto"/>
        <w:left w:val="none" w:sz="0" w:space="0" w:color="auto"/>
        <w:bottom w:val="none" w:sz="0" w:space="0" w:color="auto"/>
        <w:right w:val="none" w:sz="0" w:space="0" w:color="auto"/>
      </w:divBdr>
      <w:divsChild>
        <w:div w:id="150830554">
          <w:marLeft w:val="720"/>
          <w:marRight w:val="0"/>
          <w:marTop w:val="80"/>
          <w:marBottom w:val="0"/>
          <w:divBdr>
            <w:top w:val="none" w:sz="0" w:space="0" w:color="auto"/>
            <w:left w:val="none" w:sz="0" w:space="0" w:color="auto"/>
            <w:bottom w:val="none" w:sz="0" w:space="0" w:color="auto"/>
            <w:right w:val="none" w:sz="0" w:space="0" w:color="auto"/>
          </w:divBdr>
        </w:div>
      </w:divsChild>
    </w:div>
    <w:div w:id="1096558813">
      <w:bodyDiv w:val="1"/>
      <w:marLeft w:val="0"/>
      <w:marRight w:val="0"/>
      <w:marTop w:val="0"/>
      <w:marBottom w:val="0"/>
      <w:divBdr>
        <w:top w:val="none" w:sz="0" w:space="0" w:color="auto"/>
        <w:left w:val="none" w:sz="0" w:space="0" w:color="auto"/>
        <w:bottom w:val="none" w:sz="0" w:space="0" w:color="auto"/>
        <w:right w:val="none" w:sz="0" w:space="0" w:color="auto"/>
      </w:divBdr>
    </w:div>
    <w:div w:id="1119182413">
      <w:bodyDiv w:val="1"/>
      <w:marLeft w:val="0"/>
      <w:marRight w:val="0"/>
      <w:marTop w:val="0"/>
      <w:marBottom w:val="0"/>
      <w:divBdr>
        <w:top w:val="none" w:sz="0" w:space="0" w:color="auto"/>
        <w:left w:val="none" w:sz="0" w:space="0" w:color="auto"/>
        <w:bottom w:val="none" w:sz="0" w:space="0" w:color="auto"/>
        <w:right w:val="none" w:sz="0" w:space="0" w:color="auto"/>
      </w:divBdr>
      <w:divsChild>
        <w:div w:id="158155013">
          <w:marLeft w:val="0"/>
          <w:marRight w:val="0"/>
          <w:marTop w:val="0"/>
          <w:marBottom w:val="0"/>
          <w:divBdr>
            <w:top w:val="none" w:sz="0" w:space="0" w:color="auto"/>
            <w:left w:val="none" w:sz="0" w:space="0" w:color="auto"/>
            <w:bottom w:val="none" w:sz="0" w:space="0" w:color="auto"/>
            <w:right w:val="none" w:sz="0" w:space="0" w:color="auto"/>
          </w:divBdr>
        </w:div>
        <w:div w:id="1694846359">
          <w:marLeft w:val="0"/>
          <w:marRight w:val="0"/>
          <w:marTop w:val="0"/>
          <w:marBottom w:val="0"/>
          <w:divBdr>
            <w:top w:val="none" w:sz="0" w:space="0" w:color="auto"/>
            <w:left w:val="none" w:sz="0" w:space="0" w:color="auto"/>
            <w:bottom w:val="none" w:sz="0" w:space="0" w:color="auto"/>
            <w:right w:val="none" w:sz="0" w:space="0" w:color="auto"/>
          </w:divBdr>
        </w:div>
        <w:div w:id="1102140191">
          <w:marLeft w:val="0"/>
          <w:marRight w:val="0"/>
          <w:marTop w:val="0"/>
          <w:marBottom w:val="0"/>
          <w:divBdr>
            <w:top w:val="none" w:sz="0" w:space="0" w:color="auto"/>
            <w:left w:val="none" w:sz="0" w:space="0" w:color="auto"/>
            <w:bottom w:val="none" w:sz="0" w:space="0" w:color="auto"/>
            <w:right w:val="none" w:sz="0" w:space="0" w:color="auto"/>
          </w:divBdr>
        </w:div>
        <w:div w:id="1730498547">
          <w:marLeft w:val="0"/>
          <w:marRight w:val="0"/>
          <w:marTop w:val="0"/>
          <w:marBottom w:val="0"/>
          <w:divBdr>
            <w:top w:val="none" w:sz="0" w:space="0" w:color="auto"/>
            <w:left w:val="none" w:sz="0" w:space="0" w:color="auto"/>
            <w:bottom w:val="none" w:sz="0" w:space="0" w:color="auto"/>
            <w:right w:val="none" w:sz="0" w:space="0" w:color="auto"/>
          </w:divBdr>
        </w:div>
      </w:divsChild>
    </w:div>
    <w:div w:id="1121807635">
      <w:bodyDiv w:val="1"/>
      <w:marLeft w:val="0"/>
      <w:marRight w:val="0"/>
      <w:marTop w:val="0"/>
      <w:marBottom w:val="0"/>
      <w:divBdr>
        <w:top w:val="none" w:sz="0" w:space="0" w:color="auto"/>
        <w:left w:val="none" w:sz="0" w:space="0" w:color="auto"/>
        <w:bottom w:val="none" w:sz="0" w:space="0" w:color="auto"/>
        <w:right w:val="none" w:sz="0" w:space="0" w:color="auto"/>
      </w:divBdr>
    </w:div>
    <w:div w:id="1131248437">
      <w:bodyDiv w:val="1"/>
      <w:marLeft w:val="0"/>
      <w:marRight w:val="0"/>
      <w:marTop w:val="0"/>
      <w:marBottom w:val="0"/>
      <w:divBdr>
        <w:top w:val="none" w:sz="0" w:space="0" w:color="auto"/>
        <w:left w:val="none" w:sz="0" w:space="0" w:color="auto"/>
        <w:bottom w:val="none" w:sz="0" w:space="0" w:color="auto"/>
        <w:right w:val="none" w:sz="0" w:space="0" w:color="auto"/>
      </w:divBdr>
      <w:divsChild>
        <w:div w:id="183401560">
          <w:marLeft w:val="0"/>
          <w:marRight w:val="0"/>
          <w:marTop w:val="0"/>
          <w:marBottom w:val="0"/>
          <w:divBdr>
            <w:top w:val="none" w:sz="0" w:space="0" w:color="auto"/>
            <w:left w:val="none" w:sz="0" w:space="0" w:color="auto"/>
            <w:bottom w:val="none" w:sz="0" w:space="0" w:color="auto"/>
            <w:right w:val="none" w:sz="0" w:space="0" w:color="auto"/>
          </w:divBdr>
        </w:div>
        <w:div w:id="1766730782">
          <w:marLeft w:val="0"/>
          <w:marRight w:val="0"/>
          <w:marTop w:val="0"/>
          <w:marBottom w:val="0"/>
          <w:divBdr>
            <w:top w:val="none" w:sz="0" w:space="0" w:color="auto"/>
            <w:left w:val="none" w:sz="0" w:space="0" w:color="auto"/>
            <w:bottom w:val="none" w:sz="0" w:space="0" w:color="auto"/>
            <w:right w:val="none" w:sz="0" w:space="0" w:color="auto"/>
          </w:divBdr>
        </w:div>
        <w:div w:id="153961598">
          <w:marLeft w:val="0"/>
          <w:marRight w:val="0"/>
          <w:marTop w:val="0"/>
          <w:marBottom w:val="0"/>
          <w:divBdr>
            <w:top w:val="none" w:sz="0" w:space="0" w:color="auto"/>
            <w:left w:val="none" w:sz="0" w:space="0" w:color="auto"/>
            <w:bottom w:val="none" w:sz="0" w:space="0" w:color="auto"/>
            <w:right w:val="none" w:sz="0" w:space="0" w:color="auto"/>
          </w:divBdr>
        </w:div>
        <w:div w:id="1159341664">
          <w:marLeft w:val="0"/>
          <w:marRight w:val="0"/>
          <w:marTop w:val="0"/>
          <w:marBottom w:val="0"/>
          <w:divBdr>
            <w:top w:val="none" w:sz="0" w:space="0" w:color="auto"/>
            <w:left w:val="none" w:sz="0" w:space="0" w:color="auto"/>
            <w:bottom w:val="none" w:sz="0" w:space="0" w:color="auto"/>
            <w:right w:val="none" w:sz="0" w:space="0" w:color="auto"/>
          </w:divBdr>
        </w:div>
        <w:div w:id="892079761">
          <w:marLeft w:val="0"/>
          <w:marRight w:val="0"/>
          <w:marTop w:val="0"/>
          <w:marBottom w:val="0"/>
          <w:divBdr>
            <w:top w:val="none" w:sz="0" w:space="0" w:color="auto"/>
            <w:left w:val="none" w:sz="0" w:space="0" w:color="auto"/>
            <w:bottom w:val="none" w:sz="0" w:space="0" w:color="auto"/>
            <w:right w:val="none" w:sz="0" w:space="0" w:color="auto"/>
          </w:divBdr>
        </w:div>
        <w:div w:id="1464301926">
          <w:marLeft w:val="0"/>
          <w:marRight w:val="0"/>
          <w:marTop w:val="0"/>
          <w:marBottom w:val="0"/>
          <w:divBdr>
            <w:top w:val="none" w:sz="0" w:space="0" w:color="auto"/>
            <w:left w:val="none" w:sz="0" w:space="0" w:color="auto"/>
            <w:bottom w:val="none" w:sz="0" w:space="0" w:color="auto"/>
            <w:right w:val="none" w:sz="0" w:space="0" w:color="auto"/>
          </w:divBdr>
        </w:div>
        <w:div w:id="1915577784">
          <w:marLeft w:val="0"/>
          <w:marRight w:val="0"/>
          <w:marTop w:val="0"/>
          <w:marBottom w:val="0"/>
          <w:divBdr>
            <w:top w:val="none" w:sz="0" w:space="0" w:color="auto"/>
            <w:left w:val="none" w:sz="0" w:space="0" w:color="auto"/>
            <w:bottom w:val="none" w:sz="0" w:space="0" w:color="auto"/>
            <w:right w:val="none" w:sz="0" w:space="0" w:color="auto"/>
          </w:divBdr>
        </w:div>
        <w:div w:id="1757047780">
          <w:marLeft w:val="0"/>
          <w:marRight w:val="0"/>
          <w:marTop w:val="0"/>
          <w:marBottom w:val="0"/>
          <w:divBdr>
            <w:top w:val="none" w:sz="0" w:space="0" w:color="auto"/>
            <w:left w:val="none" w:sz="0" w:space="0" w:color="auto"/>
            <w:bottom w:val="none" w:sz="0" w:space="0" w:color="auto"/>
            <w:right w:val="none" w:sz="0" w:space="0" w:color="auto"/>
          </w:divBdr>
        </w:div>
        <w:div w:id="892741615">
          <w:marLeft w:val="0"/>
          <w:marRight w:val="0"/>
          <w:marTop w:val="0"/>
          <w:marBottom w:val="0"/>
          <w:divBdr>
            <w:top w:val="none" w:sz="0" w:space="0" w:color="auto"/>
            <w:left w:val="none" w:sz="0" w:space="0" w:color="auto"/>
            <w:bottom w:val="none" w:sz="0" w:space="0" w:color="auto"/>
            <w:right w:val="none" w:sz="0" w:space="0" w:color="auto"/>
          </w:divBdr>
        </w:div>
        <w:div w:id="142625819">
          <w:marLeft w:val="0"/>
          <w:marRight w:val="0"/>
          <w:marTop w:val="0"/>
          <w:marBottom w:val="0"/>
          <w:divBdr>
            <w:top w:val="none" w:sz="0" w:space="0" w:color="auto"/>
            <w:left w:val="none" w:sz="0" w:space="0" w:color="auto"/>
            <w:bottom w:val="none" w:sz="0" w:space="0" w:color="auto"/>
            <w:right w:val="none" w:sz="0" w:space="0" w:color="auto"/>
          </w:divBdr>
        </w:div>
        <w:div w:id="1093285881">
          <w:marLeft w:val="0"/>
          <w:marRight w:val="0"/>
          <w:marTop w:val="0"/>
          <w:marBottom w:val="0"/>
          <w:divBdr>
            <w:top w:val="none" w:sz="0" w:space="0" w:color="auto"/>
            <w:left w:val="none" w:sz="0" w:space="0" w:color="auto"/>
            <w:bottom w:val="none" w:sz="0" w:space="0" w:color="auto"/>
            <w:right w:val="none" w:sz="0" w:space="0" w:color="auto"/>
          </w:divBdr>
        </w:div>
        <w:div w:id="1687830424">
          <w:marLeft w:val="0"/>
          <w:marRight w:val="0"/>
          <w:marTop w:val="0"/>
          <w:marBottom w:val="0"/>
          <w:divBdr>
            <w:top w:val="none" w:sz="0" w:space="0" w:color="auto"/>
            <w:left w:val="none" w:sz="0" w:space="0" w:color="auto"/>
            <w:bottom w:val="none" w:sz="0" w:space="0" w:color="auto"/>
            <w:right w:val="none" w:sz="0" w:space="0" w:color="auto"/>
          </w:divBdr>
        </w:div>
        <w:div w:id="870798401">
          <w:marLeft w:val="0"/>
          <w:marRight w:val="0"/>
          <w:marTop w:val="0"/>
          <w:marBottom w:val="0"/>
          <w:divBdr>
            <w:top w:val="none" w:sz="0" w:space="0" w:color="auto"/>
            <w:left w:val="none" w:sz="0" w:space="0" w:color="auto"/>
            <w:bottom w:val="none" w:sz="0" w:space="0" w:color="auto"/>
            <w:right w:val="none" w:sz="0" w:space="0" w:color="auto"/>
          </w:divBdr>
        </w:div>
        <w:div w:id="1940915322">
          <w:marLeft w:val="0"/>
          <w:marRight w:val="0"/>
          <w:marTop w:val="0"/>
          <w:marBottom w:val="0"/>
          <w:divBdr>
            <w:top w:val="none" w:sz="0" w:space="0" w:color="auto"/>
            <w:left w:val="none" w:sz="0" w:space="0" w:color="auto"/>
            <w:bottom w:val="none" w:sz="0" w:space="0" w:color="auto"/>
            <w:right w:val="none" w:sz="0" w:space="0" w:color="auto"/>
          </w:divBdr>
        </w:div>
      </w:divsChild>
    </w:div>
    <w:div w:id="1158959491">
      <w:bodyDiv w:val="1"/>
      <w:marLeft w:val="0"/>
      <w:marRight w:val="0"/>
      <w:marTop w:val="0"/>
      <w:marBottom w:val="0"/>
      <w:divBdr>
        <w:top w:val="none" w:sz="0" w:space="0" w:color="auto"/>
        <w:left w:val="none" w:sz="0" w:space="0" w:color="auto"/>
        <w:bottom w:val="none" w:sz="0" w:space="0" w:color="auto"/>
        <w:right w:val="none" w:sz="0" w:space="0" w:color="auto"/>
      </w:divBdr>
      <w:divsChild>
        <w:div w:id="810706494">
          <w:marLeft w:val="0"/>
          <w:marRight w:val="0"/>
          <w:marTop w:val="0"/>
          <w:marBottom w:val="0"/>
          <w:divBdr>
            <w:top w:val="none" w:sz="0" w:space="0" w:color="auto"/>
            <w:left w:val="none" w:sz="0" w:space="0" w:color="auto"/>
            <w:bottom w:val="none" w:sz="0" w:space="0" w:color="auto"/>
            <w:right w:val="none" w:sz="0" w:space="0" w:color="auto"/>
          </w:divBdr>
        </w:div>
        <w:div w:id="1961759843">
          <w:marLeft w:val="0"/>
          <w:marRight w:val="0"/>
          <w:marTop w:val="0"/>
          <w:marBottom w:val="0"/>
          <w:divBdr>
            <w:top w:val="none" w:sz="0" w:space="0" w:color="auto"/>
            <w:left w:val="none" w:sz="0" w:space="0" w:color="auto"/>
            <w:bottom w:val="none" w:sz="0" w:space="0" w:color="auto"/>
            <w:right w:val="none" w:sz="0" w:space="0" w:color="auto"/>
          </w:divBdr>
        </w:div>
        <w:div w:id="737215141">
          <w:marLeft w:val="0"/>
          <w:marRight w:val="0"/>
          <w:marTop w:val="0"/>
          <w:marBottom w:val="0"/>
          <w:divBdr>
            <w:top w:val="none" w:sz="0" w:space="0" w:color="auto"/>
            <w:left w:val="none" w:sz="0" w:space="0" w:color="auto"/>
            <w:bottom w:val="none" w:sz="0" w:space="0" w:color="auto"/>
            <w:right w:val="none" w:sz="0" w:space="0" w:color="auto"/>
          </w:divBdr>
        </w:div>
        <w:div w:id="34934986">
          <w:marLeft w:val="0"/>
          <w:marRight w:val="0"/>
          <w:marTop w:val="0"/>
          <w:marBottom w:val="0"/>
          <w:divBdr>
            <w:top w:val="none" w:sz="0" w:space="0" w:color="auto"/>
            <w:left w:val="none" w:sz="0" w:space="0" w:color="auto"/>
            <w:bottom w:val="none" w:sz="0" w:space="0" w:color="auto"/>
            <w:right w:val="none" w:sz="0" w:space="0" w:color="auto"/>
          </w:divBdr>
        </w:div>
        <w:div w:id="350957719">
          <w:marLeft w:val="0"/>
          <w:marRight w:val="0"/>
          <w:marTop w:val="0"/>
          <w:marBottom w:val="0"/>
          <w:divBdr>
            <w:top w:val="none" w:sz="0" w:space="0" w:color="auto"/>
            <w:left w:val="none" w:sz="0" w:space="0" w:color="auto"/>
            <w:bottom w:val="none" w:sz="0" w:space="0" w:color="auto"/>
            <w:right w:val="none" w:sz="0" w:space="0" w:color="auto"/>
          </w:divBdr>
        </w:div>
        <w:div w:id="602688636">
          <w:marLeft w:val="0"/>
          <w:marRight w:val="0"/>
          <w:marTop w:val="0"/>
          <w:marBottom w:val="0"/>
          <w:divBdr>
            <w:top w:val="none" w:sz="0" w:space="0" w:color="auto"/>
            <w:left w:val="none" w:sz="0" w:space="0" w:color="auto"/>
            <w:bottom w:val="none" w:sz="0" w:space="0" w:color="auto"/>
            <w:right w:val="none" w:sz="0" w:space="0" w:color="auto"/>
          </w:divBdr>
        </w:div>
        <w:div w:id="1421295318">
          <w:marLeft w:val="0"/>
          <w:marRight w:val="0"/>
          <w:marTop w:val="0"/>
          <w:marBottom w:val="0"/>
          <w:divBdr>
            <w:top w:val="none" w:sz="0" w:space="0" w:color="auto"/>
            <w:left w:val="none" w:sz="0" w:space="0" w:color="auto"/>
            <w:bottom w:val="none" w:sz="0" w:space="0" w:color="auto"/>
            <w:right w:val="none" w:sz="0" w:space="0" w:color="auto"/>
          </w:divBdr>
        </w:div>
        <w:div w:id="1099184306">
          <w:marLeft w:val="0"/>
          <w:marRight w:val="0"/>
          <w:marTop w:val="0"/>
          <w:marBottom w:val="0"/>
          <w:divBdr>
            <w:top w:val="none" w:sz="0" w:space="0" w:color="auto"/>
            <w:left w:val="none" w:sz="0" w:space="0" w:color="auto"/>
            <w:bottom w:val="none" w:sz="0" w:space="0" w:color="auto"/>
            <w:right w:val="none" w:sz="0" w:space="0" w:color="auto"/>
          </w:divBdr>
        </w:div>
        <w:div w:id="635642460">
          <w:marLeft w:val="0"/>
          <w:marRight w:val="0"/>
          <w:marTop w:val="0"/>
          <w:marBottom w:val="0"/>
          <w:divBdr>
            <w:top w:val="none" w:sz="0" w:space="0" w:color="auto"/>
            <w:left w:val="none" w:sz="0" w:space="0" w:color="auto"/>
            <w:bottom w:val="none" w:sz="0" w:space="0" w:color="auto"/>
            <w:right w:val="none" w:sz="0" w:space="0" w:color="auto"/>
          </w:divBdr>
        </w:div>
        <w:div w:id="959605536">
          <w:marLeft w:val="0"/>
          <w:marRight w:val="0"/>
          <w:marTop w:val="0"/>
          <w:marBottom w:val="0"/>
          <w:divBdr>
            <w:top w:val="none" w:sz="0" w:space="0" w:color="auto"/>
            <w:left w:val="none" w:sz="0" w:space="0" w:color="auto"/>
            <w:bottom w:val="none" w:sz="0" w:space="0" w:color="auto"/>
            <w:right w:val="none" w:sz="0" w:space="0" w:color="auto"/>
          </w:divBdr>
        </w:div>
        <w:div w:id="1173305035">
          <w:marLeft w:val="0"/>
          <w:marRight w:val="0"/>
          <w:marTop w:val="0"/>
          <w:marBottom w:val="0"/>
          <w:divBdr>
            <w:top w:val="none" w:sz="0" w:space="0" w:color="auto"/>
            <w:left w:val="none" w:sz="0" w:space="0" w:color="auto"/>
            <w:bottom w:val="none" w:sz="0" w:space="0" w:color="auto"/>
            <w:right w:val="none" w:sz="0" w:space="0" w:color="auto"/>
          </w:divBdr>
        </w:div>
        <w:div w:id="435247081">
          <w:marLeft w:val="0"/>
          <w:marRight w:val="0"/>
          <w:marTop w:val="0"/>
          <w:marBottom w:val="0"/>
          <w:divBdr>
            <w:top w:val="none" w:sz="0" w:space="0" w:color="auto"/>
            <w:left w:val="none" w:sz="0" w:space="0" w:color="auto"/>
            <w:bottom w:val="none" w:sz="0" w:space="0" w:color="auto"/>
            <w:right w:val="none" w:sz="0" w:space="0" w:color="auto"/>
          </w:divBdr>
        </w:div>
        <w:div w:id="429543104">
          <w:marLeft w:val="0"/>
          <w:marRight w:val="0"/>
          <w:marTop w:val="0"/>
          <w:marBottom w:val="0"/>
          <w:divBdr>
            <w:top w:val="none" w:sz="0" w:space="0" w:color="auto"/>
            <w:left w:val="none" w:sz="0" w:space="0" w:color="auto"/>
            <w:bottom w:val="none" w:sz="0" w:space="0" w:color="auto"/>
            <w:right w:val="none" w:sz="0" w:space="0" w:color="auto"/>
          </w:divBdr>
        </w:div>
        <w:div w:id="1184173224">
          <w:marLeft w:val="0"/>
          <w:marRight w:val="0"/>
          <w:marTop w:val="0"/>
          <w:marBottom w:val="0"/>
          <w:divBdr>
            <w:top w:val="none" w:sz="0" w:space="0" w:color="auto"/>
            <w:left w:val="none" w:sz="0" w:space="0" w:color="auto"/>
            <w:bottom w:val="none" w:sz="0" w:space="0" w:color="auto"/>
            <w:right w:val="none" w:sz="0" w:space="0" w:color="auto"/>
          </w:divBdr>
        </w:div>
        <w:div w:id="657341705">
          <w:marLeft w:val="0"/>
          <w:marRight w:val="0"/>
          <w:marTop w:val="0"/>
          <w:marBottom w:val="0"/>
          <w:divBdr>
            <w:top w:val="none" w:sz="0" w:space="0" w:color="auto"/>
            <w:left w:val="none" w:sz="0" w:space="0" w:color="auto"/>
            <w:bottom w:val="none" w:sz="0" w:space="0" w:color="auto"/>
            <w:right w:val="none" w:sz="0" w:space="0" w:color="auto"/>
          </w:divBdr>
        </w:div>
        <w:div w:id="782385962">
          <w:marLeft w:val="0"/>
          <w:marRight w:val="0"/>
          <w:marTop w:val="0"/>
          <w:marBottom w:val="0"/>
          <w:divBdr>
            <w:top w:val="none" w:sz="0" w:space="0" w:color="auto"/>
            <w:left w:val="none" w:sz="0" w:space="0" w:color="auto"/>
            <w:bottom w:val="none" w:sz="0" w:space="0" w:color="auto"/>
            <w:right w:val="none" w:sz="0" w:space="0" w:color="auto"/>
          </w:divBdr>
        </w:div>
        <w:div w:id="1144545191">
          <w:marLeft w:val="0"/>
          <w:marRight w:val="0"/>
          <w:marTop w:val="0"/>
          <w:marBottom w:val="0"/>
          <w:divBdr>
            <w:top w:val="none" w:sz="0" w:space="0" w:color="auto"/>
            <w:left w:val="none" w:sz="0" w:space="0" w:color="auto"/>
            <w:bottom w:val="none" w:sz="0" w:space="0" w:color="auto"/>
            <w:right w:val="none" w:sz="0" w:space="0" w:color="auto"/>
          </w:divBdr>
        </w:div>
        <w:div w:id="751777778">
          <w:marLeft w:val="0"/>
          <w:marRight w:val="0"/>
          <w:marTop w:val="0"/>
          <w:marBottom w:val="0"/>
          <w:divBdr>
            <w:top w:val="none" w:sz="0" w:space="0" w:color="auto"/>
            <w:left w:val="none" w:sz="0" w:space="0" w:color="auto"/>
            <w:bottom w:val="none" w:sz="0" w:space="0" w:color="auto"/>
            <w:right w:val="none" w:sz="0" w:space="0" w:color="auto"/>
          </w:divBdr>
        </w:div>
      </w:divsChild>
    </w:div>
    <w:div w:id="1165516737">
      <w:bodyDiv w:val="1"/>
      <w:marLeft w:val="0"/>
      <w:marRight w:val="0"/>
      <w:marTop w:val="0"/>
      <w:marBottom w:val="0"/>
      <w:divBdr>
        <w:top w:val="none" w:sz="0" w:space="0" w:color="auto"/>
        <w:left w:val="none" w:sz="0" w:space="0" w:color="auto"/>
        <w:bottom w:val="none" w:sz="0" w:space="0" w:color="auto"/>
        <w:right w:val="none" w:sz="0" w:space="0" w:color="auto"/>
      </w:divBdr>
    </w:div>
    <w:div w:id="1169754564">
      <w:bodyDiv w:val="1"/>
      <w:marLeft w:val="0"/>
      <w:marRight w:val="0"/>
      <w:marTop w:val="0"/>
      <w:marBottom w:val="0"/>
      <w:divBdr>
        <w:top w:val="none" w:sz="0" w:space="0" w:color="auto"/>
        <w:left w:val="none" w:sz="0" w:space="0" w:color="auto"/>
        <w:bottom w:val="none" w:sz="0" w:space="0" w:color="auto"/>
        <w:right w:val="none" w:sz="0" w:space="0" w:color="auto"/>
      </w:divBdr>
      <w:divsChild>
        <w:div w:id="359823826">
          <w:marLeft w:val="0"/>
          <w:marRight w:val="0"/>
          <w:marTop w:val="0"/>
          <w:marBottom w:val="0"/>
          <w:divBdr>
            <w:top w:val="none" w:sz="0" w:space="0" w:color="auto"/>
            <w:left w:val="none" w:sz="0" w:space="0" w:color="auto"/>
            <w:bottom w:val="none" w:sz="0" w:space="0" w:color="auto"/>
            <w:right w:val="none" w:sz="0" w:space="0" w:color="auto"/>
          </w:divBdr>
        </w:div>
        <w:div w:id="323314244">
          <w:marLeft w:val="0"/>
          <w:marRight w:val="0"/>
          <w:marTop w:val="0"/>
          <w:marBottom w:val="0"/>
          <w:divBdr>
            <w:top w:val="none" w:sz="0" w:space="0" w:color="auto"/>
            <w:left w:val="none" w:sz="0" w:space="0" w:color="auto"/>
            <w:bottom w:val="none" w:sz="0" w:space="0" w:color="auto"/>
            <w:right w:val="none" w:sz="0" w:space="0" w:color="auto"/>
          </w:divBdr>
        </w:div>
        <w:div w:id="1943031499">
          <w:marLeft w:val="0"/>
          <w:marRight w:val="0"/>
          <w:marTop w:val="0"/>
          <w:marBottom w:val="0"/>
          <w:divBdr>
            <w:top w:val="none" w:sz="0" w:space="0" w:color="auto"/>
            <w:left w:val="none" w:sz="0" w:space="0" w:color="auto"/>
            <w:bottom w:val="none" w:sz="0" w:space="0" w:color="auto"/>
            <w:right w:val="none" w:sz="0" w:space="0" w:color="auto"/>
          </w:divBdr>
        </w:div>
        <w:div w:id="1845245491">
          <w:marLeft w:val="0"/>
          <w:marRight w:val="0"/>
          <w:marTop w:val="0"/>
          <w:marBottom w:val="0"/>
          <w:divBdr>
            <w:top w:val="none" w:sz="0" w:space="0" w:color="auto"/>
            <w:left w:val="none" w:sz="0" w:space="0" w:color="auto"/>
            <w:bottom w:val="none" w:sz="0" w:space="0" w:color="auto"/>
            <w:right w:val="none" w:sz="0" w:space="0" w:color="auto"/>
          </w:divBdr>
        </w:div>
        <w:div w:id="1355617261">
          <w:marLeft w:val="0"/>
          <w:marRight w:val="0"/>
          <w:marTop w:val="0"/>
          <w:marBottom w:val="0"/>
          <w:divBdr>
            <w:top w:val="none" w:sz="0" w:space="0" w:color="auto"/>
            <w:left w:val="none" w:sz="0" w:space="0" w:color="auto"/>
            <w:bottom w:val="none" w:sz="0" w:space="0" w:color="auto"/>
            <w:right w:val="none" w:sz="0" w:space="0" w:color="auto"/>
          </w:divBdr>
        </w:div>
        <w:div w:id="1713840786">
          <w:marLeft w:val="0"/>
          <w:marRight w:val="0"/>
          <w:marTop w:val="0"/>
          <w:marBottom w:val="0"/>
          <w:divBdr>
            <w:top w:val="none" w:sz="0" w:space="0" w:color="auto"/>
            <w:left w:val="none" w:sz="0" w:space="0" w:color="auto"/>
            <w:bottom w:val="none" w:sz="0" w:space="0" w:color="auto"/>
            <w:right w:val="none" w:sz="0" w:space="0" w:color="auto"/>
          </w:divBdr>
        </w:div>
        <w:div w:id="1116101726">
          <w:marLeft w:val="0"/>
          <w:marRight w:val="0"/>
          <w:marTop w:val="0"/>
          <w:marBottom w:val="0"/>
          <w:divBdr>
            <w:top w:val="none" w:sz="0" w:space="0" w:color="auto"/>
            <w:left w:val="none" w:sz="0" w:space="0" w:color="auto"/>
            <w:bottom w:val="none" w:sz="0" w:space="0" w:color="auto"/>
            <w:right w:val="none" w:sz="0" w:space="0" w:color="auto"/>
          </w:divBdr>
        </w:div>
        <w:div w:id="712003223">
          <w:marLeft w:val="0"/>
          <w:marRight w:val="0"/>
          <w:marTop w:val="0"/>
          <w:marBottom w:val="0"/>
          <w:divBdr>
            <w:top w:val="none" w:sz="0" w:space="0" w:color="auto"/>
            <w:left w:val="none" w:sz="0" w:space="0" w:color="auto"/>
            <w:bottom w:val="none" w:sz="0" w:space="0" w:color="auto"/>
            <w:right w:val="none" w:sz="0" w:space="0" w:color="auto"/>
          </w:divBdr>
        </w:div>
        <w:div w:id="60255416">
          <w:marLeft w:val="0"/>
          <w:marRight w:val="0"/>
          <w:marTop w:val="0"/>
          <w:marBottom w:val="0"/>
          <w:divBdr>
            <w:top w:val="none" w:sz="0" w:space="0" w:color="auto"/>
            <w:left w:val="none" w:sz="0" w:space="0" w:color="auto"/>
            <w:bottom w:val="none" w:sz="0" w:space="0" w:color="auto"/>
            <w:right w:val="none" w:sz="0" w:space="0" w:color="auto"/>
          </w:divBdr>
        </w:div>
        <w:div w:id="1920943544">
          <w:marLeft w:val="0"/>
          <w:marRight w:val="0"/>
          <w:marTop w:val="0"/>
          <w:marBottom w:val="0"/>
          <w:divBdr>
            <w:top w:val="none" w:sz="0" w:space="0" w:color="auto"/>
            <w:left w:val="none" w:sz="0" w:space="0" w:color="auto"/>
            <w:bottom w:val="none" w:sz="0" w:space="0" w:color="auto"/>
            <w:right w:val="none" w:sz="0" w:space="0" w:color="auto"/>
          </w:divBdr>
        </w:div>
      </w:divsChild>
    </w:div>
    <w:div w:id="1201823078">
      <w:bodyDiv w:val="1"/>
      <w:marLeft w:val="0"/>
      <w:marRight w:val="0"/>
      <w:marTop w:val="0"/>
      <w:marBottom w:val="0"/>
      <w:divBdr>
        <w:top w:val="none" w:sz="0" w:space="0" w:color="auto"/>
        <w:left w:val="none" w:sz="0" w:space="0" w:color="auto"/>
        <w:bottom w:val="none" w:sz="0" w:space="0" w:color="auto"/>
        <w:right w:val="none" w:sz="0" w:space="0" w:color="auto"/>
      </w:divBdr>
    </w:div>
    <w:div w:id="1212381741">
      <w:bodyDiv w:val="1"/>
      <w:marLeft w:val="0"/>
      <w:marRight w:val="0"/>
      <w:marTop w:val="0"/>
      <w:marBottom w:val="0"/>
      <w:divBdr>
        <w:top w:val="none" w:sz="0" w:space="0" w:color="auto"/>
        <w:left w:val="none" w:sz="0" w:space="0" w:color="auto"/>
        <w:bottom w:val="none" w:sz="0" w:space="0" w:color="auto"/>
        <w:right w:val="none" w:sz="0" w:space="0" w:color="auto"/>
      </w:divBdr>
      <w:divsChild>
        <w:div w:id="1169325353">
          <w:marLeft w:val="0"/>
          <w:marRight w:val="0"/>
          <w:marTop w:val="0"/>
          <w:marBottom w:val="0"/>
          <w:divBdr>
            <w:top w:val="none" w:sz="0" w:space="0" w:color="auto"/>
            <w:left w:val="none" w:sz="0" w:space="0" w:color="auto"/>
            <w:bottom w:val="none" w:sz="0" w:space="0" w:color="auto"/>
            <w:right w:val="none" w:sz="0" w:space="0" w:color="auto"/>
          </w:divBdr>
          <w:divsChild>
            <w:div w:id="1631088840">
              <w:marLeft w:val="0"/>
              <w:marRight w:val="0"/>
              <w:marTop w:val="0"/>
              <w:marBottom w:val="0"/>
              <w:divBdr>
                <w:top w:val="none" w:sz="0" w:space="0" w:color="auto"/>
                <w:left w:val="none" w:sz="0" w:space="0" w:color="auto"/>
                <w:bottom w:val="none" w:sz="0" w:space="0" w:color="auto"/>
                <w:right w:val="none" w:sz="0" w:space="0" w:color="auto"/>
              </w:divBdr>
              <w:divsChild>
                <w:div w:id="162059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274328">
      <w:bodyDiv w:val="1"/>
      <w:marLeft w:val="0"/>
      <w:marRight w:val="0"/>
      <w:marTop w:val="0"/>
      <w:marBottom w:val="0"/>
      <w:divBdr>
        <w:top w:val="none" w:sz="0" w:space="0" w:color="auto"/>
        <w:left w:val="none" w:sz="0" w:space="0" w:color="auto"/>
        <w:bottom w:val="none" w:sz="0" w:space="0" w:color="auto"/>
        <w:right w:val="none" w:sz="0" w:space="0" w:color="auto"/>
      </w:divBdr>
      <w:divsChild>
        <w:div w:id="1587301196">
          <w:marLeft w:val="0"/>
          <w:marRight w:val="0"/>
          <w:marTop w:val="0"/>
          <w:marBottom w:val="0"/>
          <w:divBdr>
            <w:top w:val="none" w:sz="0" w:space="0" w:color="auto"/>
            <w:left w:val="none" w:sz="0" w:space="0" w:color="auto"/>
            <w:bottom w:val="none" w:sz="0" w:space="0" w:color="auto"/>
            <w:right w:val="none" w:sz="0" w:space="0" w:color="auto"/>
          </w:divBdr>
        </w:div>
        <w:div w:id="884876050">
          <w:marLeft w:val="0"/>
          <w:marRight w:val="0"/>
          <w:marTop w:val="0"/>
          <w:marBottom w:val="0"/>
          <w:divBdr>
            <w:top w:val="none" w:sz="0" w:space="0" w:color="auto"/>
            <w:left w:val="none" w:sz="0" w:space="0" w:color="auto"/>
            <w:bottom w:val="none" w:sz="0" w:space="0" w:color="auto"/>
            <w:right w:val="none" w:sz="0" w:space="0" w:color="auto"/>
          </w:divBdr>
        </w:div>
        <w:div w:id="157893169">
          <w:marLeft w:val="0"/>
          <w:marRight w:val="0"/>
          <w:marTop w:val="0"/>
          <w:marBottom w:val="0"/>
          <w:divBdr>
            <w:top w:val="none" w:sz="0" w:space="0" w:color="auto"/>
            <w:left w:val="none" w:sz="0" w:space="0" w:color="auto"/>
            <w:bottom w:val="none" w:sz="0" w:space="0" w:color="auto"/>
            <w:right w:val="none" w:sz="0" w:space="0" w:color="auto"/>
          </w:divBdr>
        </w:div>
        <w:div w:id="1681471458">
          <w:marLeft w:val="0"/>
          <w:marRight w:val="0"/>
          <w:marTop w:val="0"/>
          <w:marBottom w:val="0"/>
          <w:divBdr>
            <w:top w:val="none" w:sz="0" w:space="0" w:color="auto"/>
            <w:left w:val="none" w:sz="0" w:space="0" w:color="auto"/>
            <w:bottom w:val="none" w:sz="0" w:space="0" w:color="auto"/>
            <w:right w:val="none" w:sz="0" w:space="0" w:color="auto"/>
          </w:divBdr>
        </w:div>
        <w:div w:id="1975330261">
          <w:marLeft w:val="0"/>
          <w:marRight w:val="0"/>
          <w:marTop w:val="0"/>
          <w:marBottom w:val="0"/>
          <w:divBdr>
            <w:top w:val="none" w:sz="0" w:space="0" w:color="auto"/>
            <w:left w:val="none" w:sz="0" w:space="0" w:color="auto"/>
            <w:bottom w:val="none" w:sz="0" w:space="0" w:color="auto"/>
            <w:right w:val="none" w:sz="0" w:space="0" w:color="auto"/>
          </w:divBdr>
        </w:div>
        <w:div w:id="1764765490">
          <w:marLeft w:val="0"/>
          <w:marRight w:val="0"/>
          <w:marTop w:val="0"/>
          <w:marBottom w:val="0"/>
          <w:divBdr>
            <w:top w:val="none" w:sz="0" w:space="0" w:color="auto"/>
            <w:left w:val="none" w:sz="0" w:space="0" w:color="auto"/>
            <w:bottom w:val="none" w:sz="0" w:space="0" w:color="auto"/>
            <w:right w:val="none" w:sz="0" w:space="0" w:color="auto"/>
          </w:divBdr>
        </w:div>
        <w:div w:id="623079793">
          <w:marLeft w:val="0"/>
          <w:marRight w:val="0"/>
          <w:marTop w:val="0"/>
          <w:marBottom w:val="0"/>
          <w:divBdr>
            <w:top w:val="none" w:sz="0" w:space="0" w:color="auto"/>
            <w:left w:val="none" w:sz="0" w:space="0" w:color="auto"/>
            <w:bottom w:val="none" w:sz="0" w:space="0" w:color="auto"/>
            <w:right w:val="none" w:sz="0" w:space="0" w:color="auto"/>
          </w:divBdr>
        </w:div>
        <w:div w:id="468863090">
          <w:marLeft w:val="0"/>
          <w:marRight w:val="0"/>
          <w:marTop w:val="0"/>
          <w:marBottom w:val="0"/>
          <w:divBdr>
            <w:top w:val="none" w:sz="0" w:space="0" w:color="auto"/>
            <w:left w:val="none" w:sz="0" w:space="0" w:color="auto"/>
            <w:bottom w:val="none" w:sz="0" w:space="0" w:color="auto"/>
            <w:right w:val="none" w:sz="0" w:space="0" w:color="auto"/>
          </w:divBdr>
        </w:div>
        <w:div w:id="1283145189">
          <w:marLeft w:val="0"/>
          <w:marRight w:val="0"/>
          <w:marTop w:val="0"/>
          <w:marBottom w:val="0"/>
          <w:divBdr>
            <w:top w:val="none" w:sz="0" w:space="0" w:color="auto"/>
            <w:left w:val="none" w:sz="0" w:space="0" w:color="auto"/>
            <w:bottom w:val="none" w:sz="0" w:space="0" w:color="auto"/>
            <w:right w:val="none" w:sz="0" w:space="0" w:color="auto"/>
          </w:divBdr>
        </w:div>
        <w:div w:id="37517002">
          <w:marLeft w:val="0"/>
          <w:marRight w:val="0"/>
          <w:marTop w:val="0"/>
          <w:marBottom w:val="0"/>
          <w:divBdr>
            <w:top w:val="none" w:sz="0" w:space="0" w:color="auto"/>
            <w:left w:val="none" w:sz="0" w:space="0" w:color="auto"/>
            <w:bottom w:val="none" w:sz="0" w:space="0" w:color="auto"/>
            <w:right w:val="none" w:sz="0" w:space="0" w:color="auto"/>
          </w:divBdr>
        </w:div>
        <w:div w:id="1088621174">
          <w:marLeft w:val="0"/>
          <w:marRight w:val="0"/>
          <w:marTop w:val="0"/>
          <w:marBottom w:val="0"/>
          <w:divBdr>
            <w:top w:val="none" w:sz="0" w:space="0" w:color="auto"/>
            <w:left w:val="none" w:sz="0" w:space="0" w:color="auto"/>
            <w:bottom w:val="none" w:sz="0" w:space="0" w:color="auto"/>
            <w:right w:val="none" w:sz="0" w:space="0" w:color="auto"/>
          </w:divBdr>
        </w:div>
        <w:div w:id="1791708837">
          <w:marLeft w:val="0"/>
          <w:marRight w:val="0"/>
          <w:marTop w:val="0"/>
          <w:marBottom w:val="0"/>
          <w:divBdr>
            <w:top w:val="none" w:sz="0" w:space="0" w:color="auto"/>
            <w:left w:val="none" w:sz="0" w:space="0" w:color="auto"/>
            <w:bottom w:val="none" w:sz="0" w:space="0" w:color="auto"/>
            <w:right w:val="none" w:sz="0" w:space="0" w:color="auto"/>
          </w:divBdr>
        </w:div>
        <w:div w:id="677539282">
          <w:marLeft w:val="0"/>
          <w:marRight w:val="0"/>
          <w:marTop w:val="0"/>
          <w:marBottom w:val="0"/>
          <w:divBdr>
            <w:top w:val="none" w:sz="0" w:space="0" w:color="auto"/>
            <w:left w:val="none" w:sz="0" w:space="0" w:color="auto"/>
            <w:bottom w:val="none" w:sz="0" w:space="0" w:color="auto"/>
            <w:right w:val="none" w:sz="0" w:space="0" w:color="auto"/>
          </w:divBdr>
        </w:div>
        <w:div w:id="972565774">
          <w:marLeft w:val="0"/>
          <w:marRight w:val="0"/>
          <w:marTop w:val="0"/>
          <w:marBottom w:val="0"/>
          <w:divBdr>
            <w:top w:val="none" w:sz="0" w:space="0" w:color="auto"/>
            <w:left w:val="none" w:sz="0" w:space="0" w:color="auto"/>
            <w:bottom w:val="none" w:sz="0" w:space="0" w:color="auto"/>
            <w:right w:val="none" w:sz="0" w:space="0" w:color="auto"/>
          </w:divBdr>
        </w:div>
        <w:div w:id="268664378">
          <w:marLeft w:val="0"/>
          <w:marRight w:val="0"/>
          <w:marTop w:val="0"/>
          <w:marBottom w:val="0"/>
          <w:divBdr>
            <w:top w:val="none" w:sz="0" w:space="0" w:color="auto"/>
            <w:left w:val="none" w:sz="0" w:space="0" w:color="auto"/>
            <w:bottom w:val="none" w:sz="0" w:space="0" w:color="auto"/>
            <w:right w:val="none" w:sz="0" w:space="0" w:color="auto"/>
          </w:divBdr>
        </w:div>
        <w:div w:id="761996685">
          <w:marLeft w:val="0"/>
          <w:marRight w:val="0"/>
          <w:marTop w:val="0"/>
          <w:marBottom w:val="0"/>
          <w:divBdr>
            <w:top w:val="none" w:sz="0" w:space="0" w:color="auto"/>
            <w:left w:val="none" w:sz="0" w:space="0" w:color="auto"/>
            <w:bottom w:val="none" w:sz="0" w:space="0" w:color="auto"/>
            <w:right w:val="none" w:sz="0" w:space="0" w:color="auto"/>
          </w:divBdr>
        </w:div>
        <w:div w:id="859467922">
          <w:marLeft w:val="0"/>
          <w:marRight w:val="0"/>
          <w:marTop w:val="0"/>
          <w:marBottom w:val="0"/>
          <w:divBdr>
            <w:top w:val="none" w:sz="0" w:space="0" w:color="auto"/>
            <w:left w:val="none" w:sz="0" w:space="0" w:color="auto"/>
            <w:bottom w:val="none" w:sz="0" w:space="0" w:color="auto"/>
            <w:right w:val="none" w:sz="0" w:space="0" w:color="auto"/>
          </w:divBdr>
        </w:div>
        <w:div w:id="737167337">
          <w:marLeft w:val="0"/>
          <w:marRight w:val="0"/>
          <w:marTop w:val="0"/>
          <w:marBottom w:val="0"/>
          <w:divBdr>
            <w:top w:val="none" w:sz="0" w:space="0" w:color="auto"/>
            <w:left w:val="none" w:sz="0" w:space="0" w:color="auto"/>
            <w:bottom w:val="none" w:sz="0" w:space="0" w:color="auto"/>
            <w:right w:val="none" w:sz="0" w:space="0" w:color="auto"/>
          </w:divBdr>
        </w:div>
      </w:divsChild>
    </w:div>
    <w:div w:id="1231308883">
      <w:bodyDiv w:val="1"/>
      <w:marLeft w:val="0"/>
      <w:marRight w:val="0"/>
      <w:marTop w:val="0"/>
      <w:marBottom w:val="0"/>
      <w:divBdr>
        <w:top w:val="none" w:sz="0" w:space="0" w:color="auto"/>
        <w:left w:val="none" w:sz="0" w:space="0" w:color="auto"/>
        <w:bottom w:val="none" w:sz="0" w:space="0" w:color="auto"/>
        <w:right w:val="none" w:sz="0" w:space="0" w:color="auto"/>
      </w:divBdr>
    </w:div>
    <w:div w:id="1256472845">
      <w:bodyDiv w:val="1"/>
      <w:marLeft w:val="0"/>
      <w:marRight w:val="0"/>
      <w:marTop w:val="0"/>
      <w:marBottom w:val="0"/>
      <w:divBdr>
        <w:top w:val="none" w:sz="0" w:space="0" w:color="auto"/>
        <w:left w:val="none" w:sz="0" w:space="0" w:color="auto"/>
        <w:bottom w:val="none" w:sz="0" w:space="0" w:color="auto"/>
        <w:right w:val="none" w:sz="0" w:space="0" w:color="auto"/>
      </w:divBdr>
      <w:divsChild>
        <w:div w:id="1178152265">
          <w:marLeft w:val="0"/>
          <w:marRight w:val="0"/>
          <w:marTop w:val="0"/>
          <w:marBottom w:val="0"/>
          <w:divBdr>
            <w:top w:val="none" w:sz="0" w:space="0" w:color="auto"/>
            <w:left w:val="none" w:sz="0" w:space="0" w:color="auto"/>
            <w:bottom w:val="none" w:sz="0" w:space="0" w:color="auto"/>
            <w:right w:val="none" w:sz="0" w:space="0" w:color="auto"/>
          </w:divBdr>
        </w:div>
        <w:div w:id="1612735920">
          <w:marLeft w:val="0"/>
          <w:marRight w:val="0"/>
          <w:marTop w:val="0"/>
          <w:marBottom w:val="0"/>
          <w:divBdr>
            <w:top w:val="none" w:sz="0" w:space="0" w:color="auto"/>
            <w:left w:val="none" w:sz="0" w:space="0" w:color="auto"/>
            <w:bottom w:val="none" w:sz="0" w:space="0" w:color="auto"/>
            <w:right w:val="none" w:sz="0" w:space="0" w:color="auto"/>
          </w:divBdr>
        </w:div>
        <w:div w:id="673806144">
          <w:marLeft w:val="0"/>
          <w:marRight w:val="0"/>
          <w:marTop w:val="0"/>
          <w:marBottom w:val="0"/>
          <w:divBdr>
            <w:top w:val="none" w:sz="0" w:space="0" w:color="auto"/>
            <w:left w:val="none" w:sz="0" w:space="0" w:color="auto"/>
            <w:bottom w:val="none" w:sz="0" w:space="0" w:color="auto"/>
            <w:right w:val="none" w:sz="0" w:space="0" w:color="auto"/>
          </w:divBdr>
        </w:div>
        <w:div w:id="1968851832">
          <w:marLeft w:val="0"/>
          <w:marRight w:val="0"/>
          <w:marTop w:val="0"/>
          <w:marBottom w:val="0"/>
          <w:divBdr>
            <w:top w:val="none" w:sz="0" w:space="0" w:color="auto"/>
            <w:left w:val="none" w:sz="0" w:space="0" w:color="auto"/>
            <w:bottom w:val="none" w:sz="0" w:space="0" w:color="auto"/>
            <w:right w:val="none" w:sz="0" w:space="0" w:color="auto"/>
          </w:divBdr>
        </w:div>
        <w:div w:id="1472091204">
          <w:marLeft w:val="0"/>
          <w:marRight w:val="0"/>
          <w:marTop w:val="0"/>
          <w:marBottom w:val="0"/>
          <w:divBdr>
            <w:top w:val="none" w:sz="0" w:space="0" w:color="auto"/>
            <w:left w:val="none" w:sz="0" w:space="0" w:color="auto"/>
            <w:bottom w:val="none" w:sz="0" w:space="0" w:color="auto"/>
            <w:right w:val="none" w:sz="0" w:space="0" w:color="auto"/>
          </w:divBdr>
        </w:div>
        <w:div w:id="1389569577">
          <w:marLeft w:val="0"/>
          <w:marRight w:val="0"/>
          <w:marTop w:val="0"/>
          <w:marBottom w:val="0"/>
          <w:divBdr>
            <w:top w:val="none" w:sz="0" w:space="0" w:color="auto"/>
            <w:left w:val="none" w:sz="0" w:space="0" w:color="auto"/>
            <w:bottom w:val="none" w:sz="0" w:space="0" w:color="auto"/>
            <w:right w:val="none" w:sz="0" w:space="0" w:color="auto"/>
          </w:divBdr>
        </w:div>
        <w:div w:id="349991105">
          <w:marLeft w:val="0"/>
          <w:marRight w:val="0"/>
          <w:marTop w:val="0"/>
          <w:marBottom w:val="0"/>
          <w:divBdr>
            <w:top w:val="none" w:sz="0" w:space="0" w:color="auto"/>
            <w:left w:val="none" w:sz="0" w:space="0" w:color="auto"/>
            <w:bottom w:val="none" w:sz="0" w:space="0" w:color="auto"/>
            <w:right w:val="none" w:sz="0" w:space="0" w:color="auto"/>
          </w:divBdr>
        </w:div>
        <w:div w:id="887649295">
          <w:marLeft w:val="0"/>
          <w:marRight w:val="0"/>
          <w:marTop w:val="0"/>
          <w:marBottom w:val="0"/>
          <w:divBdr>
            <w:top w:val="none" w:sz="0" w:space="0" w:color="auto"/>
            <w:left w:val="none" w:sz="0" w:space="0" w:color="auto"/>
            <w:bottom w:val="none" w:sz="0" w:space="0" w:color="auto"/>
            <w:right w:val="none" w:sz="0" w:space="0" w:color="auto"/>
          </w:divBdr>
        </w:div>
        <w:div w:id="165443105">
          <w:marLeft w:val="0"/>
          <w:marRight w:val="0"/>
          <w:marTop w:val="0"/>
          <w:marBottom w:val="0"/>
          <w:divBdr>
            <w:top w:val="none" w:sz="0" w:space="0" w:color="auto"/>
            <w:left w:val="none" w:sz="0" w:space="0" w:color="auto"/>
            <w:bottom w:val="none" w:sz="0" w:space="0" w:color="auto"/>
            <w:right w:val="none" w:sz="0" w:space="0" w:color="auto"/>
          </w:divBdr>
        </w:div>
        <w:div w:id="2076780888">
          <w:marLeft w:val="0"/>
          <w:marRight w:val="0"/>
          <w:marTop w:val="0"/>
          <w:marBottom w:val="0"/>
          <w:divBdr>
            <w:top w:val="none" w:sz="0" w:space="0" w:color="auto"/>
            <w:left w:val="none" w:sz="0" w:space="0" w:color="auto"/>
            <w:bottom w:val="none" w:sz="0" w:space="0" w:color="auto"/>
            <w:right w:val="none" w:sz="0" w:space="0" w:color="auto"/>
          </w:divBdr>
        </w:div>
        <w:div w:id="486944338">
          <w:marLeft w:val="0"/>
          <w:marRight w:val="0"/>
          <w:marTop w:val="0"/>
          <w:marBottom w:val="0"/>
          <w:divBdr>
            <w:top w:val="none" w:sz="0" w:space="0" w:color="auto"/>
            <w:left w:val="none" w:sz="0" w:space="0" w:color="auto"/>
            <w:bottom w:val="none" w:sz="0" w:space="0" w:color="auto"/>
            <w:right w:val="none" w:sz="0" w:space="0" w:color="auto"/>
          </w:divBdr>
        </w:div>
        <w:div w:id="453132476">
          <w:marLeft w:val="0"/>
          <w:marRight w:val="0"/>
          <w:marTop w:val="0"/>
          <w:marBottom w:val="0"/>
          <w:divBdr>
            <w:top w:val="none" w:sz="0" w:space="0" w:color="auto"/>
            <w:left w:val="none" w:sz="0" w:space="0" w:color="auto"/>
            <w:bottom w:val="none" w:sz="0" w:space="0" w:color="auto"/>
            <w:right w:val="none" w:sz="0" w:space="0" w:color="auto"/>
          </w:divBdr>
        </w:div>
        <w:div w:id="250088397">
          <w:marLeft w:val="0"/>
          <w:marRight w:val="0"/>
          <w:marTop w:val="0"/>
          <w:marBottom w:val="0"/>
          <w:divBdr>
            <w:top w:val="none" w:sz="0" w:space="0" w:color="auto"/>
            <w:left w:val="none" w:sz="0" w:space="0" w:color="auto"/>
            <w:bottom w:val="none" w:sz="0" w:space="0" w:color="auto"/>
            <w:right w:val="none" w:sz="0" w:space="0" w:color="auto"/>
          </w:divBdr>
        </w:div>
      </w:divsChild>
    </w:div>
    <w:div w:id="1304895942">
      <w:bodyDiv w:val="1"/>
      <w:marLeft w:val="0"/>
      <w:marRight w:val="0"/>
      <w:marTop w:val="0"/>
      <w:marBottom w:val="0"/>
      <w:divBdr>
        <w:top w:val="none" w:sz="0" w:space="0" w:color="auto"/>
        <w:left w:val="none" w:sz="0" w:space="0" w:color="auto"/>
        <w:bottom w:val="none" w:sz="0" w:space="0" w:color="auto"/>
        <w:right w:val="none" w:sz="0" w:space="0" w:color="auto"/>
      </w:divBdr>
      <w:divsChild>
        <w:div w:id="993142873">
          <w:marLeft w:val="0"/>
          <w:marRight w:val="0"/>
          <w:marTop w:val="0"/>
          <w:marBottom w:val="0"/>
          <w:divBdr>
            <w:top w:val="none" w:sz="0" w:space="0" w:color="auto"/>
            <w:left w:val="none" w:sz="0" w:space="0" w:color="auto"/>
            <w:bottom w:val="none" w:sz="0" w:space="0" w:color="auto"/>
            <w:right w:val="none" w:sz="0" w:space="0" w:color="auto"/>
          </w:divBdr>
        </w:div>
        <w:div w:id="1596939782">
          <w:marLeft w:val="0"/>
          <w:marRight w:val="0"/>
          <w:marTop w:val="0"/>
          <w:marBottom w:val="0"/>
          <w:divBdr>
            <w:top w:val="none" w:sz="0" w:space="0" w:color="auto"/>
            <w:left w:val="none" w:sz="0" w:space="0" w:color="auto"/>
            <w:bottom w:val="none" w:sz="0" w:space="0" w:color="auto"/>
            <w:right w:val="none" w:sz="0" w:space="0" w:color="auto"/>
          </w:divBdr>
        </w:div>
        <w:div w:id="808403580">
          <w:marLeft w:val="0"/>
          <w:marRight w:val="0"/>
          <w:marTop w:val="0"/>
          <w:marBottom w:val="0"/>
          <w:divBdr>
            <w:top w:val="none" w:sz="0" w:space="0" w:color="auto"/>
            <w:left w:val="none" w:sz="0" w:space="0" w:color="auto"/>
            <w:bottom w:val="none" w:sz="0" w:space="0" w:color="auto"/>
            <w:right w:val="none" w:sz="0" w:space="0" w:color="auto"/>
          </w:divBdr>
        </w:div>
        <w:div w:id="793643165">
          <w:marLeft w:val="0"/>
          <w:marRight w:val="0"/>
          <w:marTop w:val="0"/>
          <w:marBottom w:val="0"/>
          <w:divBdr>
            <w:top w:val="none" w:sz="0" w:space="0" w:color="auto"/>
            <w:left w:val="none" w:sz="0" w:space="0" w:color="auto"/>
            <w:bottom w:val="none" w:sz="0" w:space="0" w:color="auto"/>
            <w:right w:val="none" w:sz="0" w:space="0" w:color="auto"/>
          </w:divBdr>
        </w:div>
        <w:div w:id="1809057187">
          <w:marLeft w:val="0"/>
          <w:marRight w:val="0"/>
          <w:marTop w:val="0"/>
          <w:marBottom w:val="0"/>
          <w:divBdr>
            <w:top w:val="none" w:sz="0" w:space="0" w:color="auto"/>
            <w:left w:val="none" w:sz="0" w:space="0" w:color="auto"/>
            <w:bottom w:val="none" w:sz="0" w:space="0" w:color="auto"/>
            <w:right w:val="none" w:sz="0" w:space="0" w:color="auto"/>
          </w:divBdr>
        </w:div>
        <w:div w:id="1495996368">
          <w:marLeft w:val="0"/>
          <w:marRight w:val="0"/>
          <w:marTop w:val="0"/>
          <w:marBottom w:val="0"/>
          <w:divBdr>
            <w:top w:val="none" w:sz="0" w:space="0" w:color="auto"/>
            <w:left w:val="none" w:sz="0" w:space="0" w:color="auto"/>
            <w:bottom w:val="none" w:sz="0" w:space="0" w:color="auto"/>
            <w:right w:val="none" w:sz="0" w:space="0" w:color="auto"/>
          </w:divBdr>
        </w:div>
        <w:div w:id="452557299">
          <w:marLeft w:val="0"/>
          <w:marRight w:val="0"/>
          <w:marTop w:val="0"/>
          <w:marBottom w:val="0"/>
          <w:divBdr>
            <w:top w:val="none" w:sz="0" w:space="0" w:color="auto"/>
            <w:left w:val="none" w:sz="0" w:space="0" w:color="auto"/>
            <w:bottom w:val="none" w:sz="0" w:space="0" w:color="auto"/>
            <w:right w:val="none" w:sz="0" w:space="0" w:color="auto"/>
          </w:divBdr>
        </w:div>
        <w:div w:id="403727886">
          <w:marLeft w:val="0"/>
          <w:marRight w:val="0"/>
          <w:marTop w:val="0"/>
          <w:marBottom w:val="0"/>
          <w:divBdr>
            <w:top w:val="none" w:sz="0" w:space="0" w:color="auto"/>
            <w:left w:val="none" w:sz="0" w:space="0" w:color="auto"/>
            <w:bottom w:val="none" w:sz="0" w:space="0" w:color="auto"/>
            <w:right w:val="none" w:sz="0" w:space="0" w:color="auto"/>
          </w:divBdr>
        </w:div>
      </w:divsChild>
    </w:div>
    <w:div w:id="1316451666">
      <w:bodyDiv w:val="1"/>
      <w:marLeft w:val="0"/>
      <w:marRight w:val="0"/>
      <w:marTop w:val="0"/>
      <w:marBottom w:val="0"/>
      <w:divBdr>
        <w:top w:val="none" w:sz="0" w:space="0" w:color="auto"/>
        <w:left w:val="none" w:sz="0" w:space="0" w:color="auto"/>
        <w:bottom w:val="none" w:sz="0" w:space="0" w:color="auto"/>
        <w:right w:val="none" w:sz="0" w:space="0" w:color="auto"/>
      </w:divBdr>
    </w:div>
    <w:div w:id="1354961163">
      <w:bodyDiv w:val="1"/>
      <w:marLeft w:val="0"/>
      <w:marRight w:val="0"/>
      <w:marTop w:val="0"/>
      <w:marBottom w:val="0"/>
      <w:divBdr>
        <w:top w:val="none" w:sz="0" w:space="0" w:color="auto"/>
        <w:left w:val="none" w:sz="0" w:space="0" w:color="auto"/>
        <w:bottom w:val="none" w:sz="0" w:space="0" w:color="auto"/>
        <w:right w:val="none" w:sz="0" w:space="0" w:color="auto"/>
      </w:divBdr>
      <w:divsChild>
        <w:div w:id="1591960436">
          <w:marLeft w:val="0"/>
          <w:marRight w:val="0"/>
          <w:marTop w:val="0"/>
          <w:marBottom w:val="0"/>
          <w:divBdr>
            <w:top w:val="none" w:sz="0" w:space="0" w:color="auto"/>
            <w:left w:val="none" w:sz="0" w:space="0" w:color="auto"/>
            <w:bottom w:val="none" w:sz="0" w:space="0" w:color="auto"/>
            <w:right w:val="none" w:sz="0" w:space="0" w:color="auto"/>
          </w:divBdr>
        </w:div>
        <w:div w:id="124473171">
          <w:marLeft w:val="0"/>
          <w:marRight w:val="0"/>
          <w:marTop w:val="0"/>
          <w:marBottom w:val="0"/>
          <w:divBdr>
            <w:top w:val="none" w:sz="0" w:space="0" w:color="auto"/>
            <w:left w:val="none" w:sz="0" w:space="0" w:color="auto"/>
            <w:bottom w:val="none" w:sz="0" w:space="0" w:color="auto"/>
            <w:right w:val="none" w:sz="0" w:space="0" w:color="auto"/>
          </w:divBdr>
        </w:div>
        <w:div w:id="1079642133">
          <w:marLeft w:val="0"/>
          <w:marRight w:val="0"/>
          <w:marTop w:val="0"/>
          <w:marBottom w:val="0"/>
          <w:divBdr>
            <w:top w:val="none" w:sz="0" w:space="0" w:color="auto"/>
            <w:left w:val="none" w:sz="0" w:space="0" w:color="auto"/>
            <w:bottom w:val="none" w:sz="0" w:space="0" w:color="auto"/>
            <w:right w:val="none" w:sz="0" w:space="0" w:color="auto"/>
          </w:divBdr>
        </w:div>
        <w:div w:id="129591558">
          <w:marLeft w:val="0"/>
          <w:marRight w:val="0"/>
          <w:marTop w:val="0"/>
          <w:marBottom w:val="0"/>
          <w:divBdr>
            <w:top w:val="none" w:sz="0" w:space="0" w:color="auto"/>
            <w:left w:val="none" w:sz="0" w:space="0" w:color="auto"/>
            <w:bottom w:val="none" w:sz="0" w:space="0" w:color="auto"/>
            <w:right w:val="none" w:sz="0" w:space="0" w:color="auto"/>
          </w:divBdr>
        </w:div>
        <w:div w:id="735321024">
          <w:marLeft w:val="0"/>
          <w:marRight w:val="0"/>
          <w:marTop w:val="0"/>
          <w:marBottom w:val="0"/>
          <w:divBdr>
            <w:top w:val="none" w:sz="0" w:space="0" w:color="auto"/>
            <w:left w:val="none" w:sz="0" w:space="0" w:color="auto"/>
            <w:bottom w:val="none" w:sz="0" w:space="0" w:color="auto"/>
            <w:right w:val="none" w:sz="0" w:space="0" w:color="auto"/>
          </w:divBdr>
        </w:div>
        <w:div w:id="461579579">
          <w:marLeft w:val="0"/>
          <w:marRight w:val="0"/>
          <w:marTop w:val="0"/>
          <w:marBottom w:val="0"/>
          <w:divBdr>
            <w:top w:val="none" w:sz="0" w:space="0" w:color="auto"/>
            <w:left w:val="none" w:sz="0" w:space="0" w:color="auto"/>
            <w:bottom w:val="none" w:sz="0" w:space="0" w:color="auto"/>
            <w:right w:val="none" w:sz="0" w:space="0" w:color="auto"/>
          </w:divBdr>
        </w:div>
        <w:div w:id="1367369851">
          <w:marLeft w:val="0"/>
          <w:marRight w:val="0"/>
          <w:marTop w:val="0"/>
          <w:marBottom w:val="0"/>
          <w:divBdr>
            <w:top w:val="none" w:sz="0" w:space="0" w:color="auto"/>
            <w:left w:val="none" w:sz="0" w:space="0" w:color="auto"/>
            <w:bottom w:val="none" w:sz="0" w:space="0" w:color="auto"/>
            <w:right w:val="none" w:sz="0" w:space="0" w:color="auto"/>
          </w:divBdr>
        </w:div>
        <w:div w:id="1274048753">
          <w:marLeft w:val="0"/>
          <w:marRight w:val="0"/>
          <w:marTop w:val="0"/>
          <w:marBottom w:val="0"/>
          <w:divBdr>
            <w:top w:val="none" w:sz="0" w:space="0" w:color="auto"/>
            <w:left w:val="none" w:sz="0" w:space="0" w:color="auto"/>
            <w:bottom w:val="none" w:sz="0" w:space="0" w:color="auto"/>
            <w:right w:val="none" w:sz="0" w:space="0" w:color="auto"/>
          </w:divBdr>
        </w:div>
        <w:div w:id="1956669913">
          <w:marLeft w:val="0"/>
          <w:marRight w:val="0"/>
          <w:marTop w:val="0"/>
          <w:marBottom w:val="0"/>
          <w:divBdr>
            <w:top w:val="none" w:sz="0" w:space="0" w:color="auto"/>
            <w:left w:val="none" w:sz="0" w:space="0" w:color="auto"/>
            <w:bottom w:val="none" w:sz="0" w:space="0" w:color="auto"/>
            <w:right w:val="none" w:sz="0" w:space="0" w:color="auto"/>
          </w:divBdr>
        </w:div>
      </w:divsChild>
    </w:div>
    <w:div w:id="1359744117">
      <w:bodyDiv w:val="1"/>
      <w:marLeft w:val="0"/>
      <w:marRight w:val="0"/>
      <w:marTop w:val="0"/>
      <w:marBottom w:val="0"/>
      <w:divBdr>
        <w:top w:val="none" w:sz="0" w:space="0" w:color="auto"/>
        <w:left w:val="none" w:sz="0" w:space="0" w:color="auto"/>
        <w:bottom w:val="none" w:sz="0" w:space="0" w:color="auto"/>
        <w:right w:val="none" w:sz="0" w:space="0" w:color="auto"/>
      </w:divBdr>
      <w:divsChild>
        <w:div w:id="493956708">
          <w:marLeft w:val="0"/>
          <w:marRight w:val="0"/>
          <w:marTop w:val="0"/>
          <w:marBottom w:val="0"/>
          <w:divBdr>
            <w:top w:val="none" w:sz="0" w:space="0" w:color="auto"/>
            <w:left w:val="none" w:sz="0" w:space="0" w:color="auto"/>
            <w:bottom w:val="none" w:sz="0" w:space="0" w:color="auto"/>
            <w:right w:val="none" w:sz="0" w:space="0" w:color="auto"/>
          </w:divBdr>
        </w:div>
        <w:div w:id="1350832497">
          <w:marLeft w:val="0"/>
          <w:marRight w:val="0"/>
          <w:marTop w:val="0"/>
          <w:marBottom w:val="0"/>
          <w:divBdr>
            <w:top w:val="none" w:sz="0" w:space="0" w:color="auto"/>
            <w:left w:val="none" w:sz="0" w:space="0" w:color="auto"/>
            <w:bottom w:val="none" w:sz="0" w:space="0" w:color="auto"/>
            <w:right w:val="none" w:sz="0" w:space="0" w:color="auto"/>
          </w:divBdr>
        </w:div>
        <w:div w:id="615059542">
          <w:marLeft w:val="0"/>
          <w:marRight w:val="0"/>
          <w:marTop w:val="0"/>
          <w:marBottom w:val="0"/>
          <w:divBdr>
            <w:top w:val="none" w:sz="0" w:space="0" w:color="auto"/>
            <w:left w:val="none" w:sz="0" w:space="0" w:color="auto"/>
            <w:bottom w:val="none" w:sz="0" w:space="0" w:color="auto"/>
            <w:right w:val="none" w:sz="0" w:space="0" w:color="auto"/>
          </w:divBdr>
        </w:div>
        <w:div w:id="935015302">
          <w:marLeft w:val="0"/>
          <w:marRight w:val="0"/>
          <w:marTop w:val="0"/>
          <w:marBottom w:val="0"/>
          <w:divBdr>
            <w:top w:val="none" w:sz="0" w:space="0" w:color="auto"/>
            <w:left w:val="none" w:sz="0" w:space="0" w:color="auto"/>
            <w:bottom w:val="none" w:sz="0" w:space="0" w:color="auto"/>
            <w:right w:val="none" w:sz="0" w:space="0" w:color="auto"/>
          </w:divBdr>
        </w:div>
        <w:div w:id="694769806">
          <w:marLeft w:val="0"/>
          <w:marRight w:val="0"/>
          <w:marTop w:val="0"/>
          <w:marBottom w:val="0"/>
          <w:divBdr>
            <w:top w:val="none" w:sz="0" w:space="0" w:color="auto"/>
            <w:left w:val="none" w:sz="0" w:space="0" w:color="auto"/>
            <w:bottom w:val="none" w:sz="0" w:space="0" w:color="auto"/>
            <w:right w:val="none" w:sz="0" w:space="0" w:color="auto"/>
          </w:divBdr>
        </w:div>
        <w:div w:id="1830094597">
          <w:marLeft w:val="0"/>
          <w:marRight w:val="0"/>
          <w:marTop w:val="0"/>
          <w:marBottom w:val="0"/>
          <w:divBdr>
            <w:top w:val="none" w:sz="0" w:space="0" w:color="auto"/>
            <w:left w:val="none" w:sz="0" w:space="0" w:color="auto"/>
            <w:bottom w:val="none" w:sz="0" w:space="0" w:color="auto"/>
            <w:right w:val="none" w:sz="0" w:space="0" w:color="auto"/>
          </w:divBdr>
        </w:div>
        <w:div w:id="1498617561">
          <w:marLeft w:val="0"/>
          <w:marRight w:val="0"/>
          <w:marTop w:val="0"/>
          <w:marBottom w:val="0"/>
          <w:divBdr>
            <w:top w:val="none" w:sz="0" w:space="0" w:color="auto"/>
            <w:left w:val="none" w:sz="0" w:space="0" w:color="auto"/>
            <w:bottom w:val="none" w:sz="0" w:space="0" w:color="auto"/>
            <w:right w:val="none" w:sz="0" w:space="0" w:color="auto"/>
          </w:divBdr>
        </w:div>
        <w:div w:id="67192529">
          <w:marLeft w:val="0"/>
          <w:marRight w:val="0"/>
          <w:marTop w:val="0"/>
          <w:marBottom w:val="0"/>
          <w:divBdr>
            <w:top w:val="none" w:sz="0" w:space="0" w:color="auto"/>
            <w:left w:val="none" w:sz="0" w:space="0" w:color="auto"/>
            <w:bottom w:val="none" w:sz="0" w:space="0" w:color="auto"/>
            <w:right w:val="none" w:sz="0" w:space="0" w:color="auto"/>
          </w:divBdr>
        </w:div>
        <w:div w:id="1718623834">
          <w:marLeft w:val="0"/>
          <w:marRight w:val="0"/>
          <w:marTop w:val="0"/>
          <w:marBottom w:val="0"/>
          <w:divBdr>
            <w:top w:val="none" w:sz="0" w:space="0" w:color="auto"/>
            <w:left w:val="none" w:sz="0" w:space="0" w:color="auto"/>
            <w:bottom w:val="none" w:sz="0" w:space="0" w:color="auto"/>
            <w:right w:val="none" w:sz="0" w:space="0" w:color="auto"/>
          </w:divBdr>
        </w:div>
        <w:div w:id="2132430103">
          <w:marLeft w:val="0"/>
          <w:marRight w:val="0"/>
          <w:marTop w:val="0"/>
          <w:marBottom w:val="0"/>
          <w:divBdr>
            <w:top w:val="none" w:sz="0" w:space="0" w:color="auto"/>
            <w:left w:val="none" w:sz="0" w:space="0" w:color="auto"/>
            <w:bottom w:val="none" w:sz="0" w:space="0" w:color="auto"/>
            <w:right w:val="none" w:sz="0" w:space="0" w:color="auto"/>
          </w:divBdr>
        </w:div>
        <w:div w:id="153230719">
          <w:marLeft w:val="0"/>
          <w:marRight w:val="0"/>
          <w:marTop w:val="0"/>
          <w:marBottom w:val="0"/>
          <w:divBdr>
            <w:top w:val="none" w:sz="0" w:space="0" w:color="auto"/>
            <w:left w:val="none" w:sz="0" w:space="0" w:color="auto"/>
            <w:bottom w:val="none" w:sz="0" w:space="0" w:color="auto"/>
            <w:right w:val="none" w:sz="0" w:space="0" w:color="auto"/>
          </w:divBdr>
        </w:div>
        <w:div w:id="869533539">
          <w:marLeft w:val="0"/>
          <w:marRight w:val="0"/>
          <w:marTop w:val="0"/>
          <w:marBottom w:val="0"/>
          <w:divBdr>
            <w:top w:val="none" w:sz="0" w:space="0" w:color="auto"/>
            <w:left w:val="none" w:sz="0" w:space="0" w:color="auto"/>
            <w:bottom w:val="none" w:sz="0" w:space="0" w:color="auto"/>
            <w:right w:val="none" w:sz="0" w:space="0" w:color="auto"/>
          </w:divBdr>
        </w:div>
        <w:div w:id="1991710969">
          <w:marLeft w:val="0"/>
          <w:marRight w:val="0"/>
          <w:marTop w:val="0"/>
          <w:marBottom w:val="0"/>
          <w:divBdr>
            <w:top w:val="none" w:sz="0" w:space="0" w:color="auto"/>
            <w:left w:val="none" w:sz="0" w:space="0" w:color="auto"/>
            <w:bottom w:val="none" w:sz="0" w:space="0" w:color="auto"/>
            <w:right w:val="none" w:sz="0" w:space="0" w:color="auto"/>
          </w:divBdr>
        </w:div>
        <w:div w:id="579027658">
          <w:marLeft w:val="0"/>
          <w:marRight w:val="0"/>
          <w:marTop w:val="0"/>
          <w:marBottom w:val="0"/>
          <w:divBdr>
            <w:top w:val="none" w:sz="0" w:space="0" w:color="auto"/>
            <w:left w:val="none" w:sz="0" w:space="0" w:color="auto"/>
            <w:bottom w:val="none" w:sz="0" w:space="0" w:color="auto"/>
            <w:right w:val="none" w:sz="0" w:space="0" w:color="auto"/>
          </w:divBdr>
        </w:div>
      </w:divsChild>
    </w:div>
    <w:div w:id="1443496392">
      <w:bodyDiv w:val="1"/>
      <w:marLeft w:val="0"/>
      <w:marRight w:val="0"/>
      <w:marTop w:val="0"/>
      <w:marBottom w:val="0"/>
      <w:divBdr>
        <w:top w:val="none" w:sz="0" w:space="0" w:color="auto"/>
        <w:left w:val="none" w:sz="0" w:space="0" w:color="auto"/>
        <w:bottom w:val="none" w:sz="0" w:space="0" w:color="auto"/>
        <w:right w:val="none" w:sz="0" w:space="0" w:color="auto"/>
      </w:divBdr>
      <w:divsChild>
        <w:div w:id="1157646210">
          <w:marLeft w:val="0"/>
          <w:marRight w:val="0"/>
          <w:marTop w:val="0"/>
          <w:marBottom w:val="0"/>
          <w:divBdr>
            <w:top w:val="none" w:sz="0" w:space="0" w:color="auto"/>
            <w:left w:val="none" w:sz="0" w:space="0" w:color="auto"/>
            <w:bottom w:val="none" w:sz="0" w:space="0" w:color="auto"/>
            <w:right w:val="none" w:sz="0" w:space="0" w:color="auto"/>
          </w:divBdr>
        </w:div>
        <w:div w:id="1572615872">
          <w:marLeft w:val="0"/>
          <w:marRight w:val="0"/>
          <w:marTop w:val="0"/>
          <w:marBottom w:val="0"/>
          <w:divBdr>
            <w:top w:val="none" w:sz="0" w:space="0" w:color="auto"/>
            <w:left w:val="none" w:sz="0" w:space="0" w:color="auto"/>
            <w:bottom w:val="none" w:sz="0" w:space="0" w:color="auto"/>
            <w:right w:val="none" w:sz="0" w:space="0" w:color="auto"/>
          </w:divBdr>
        </w:div>
        <w:div w:id="132917233">
          <w:marLeft w:val="0"/>
          <w:marRight w:val="0"/>
          <w:marTop w:val="0"/>
          <w:marBottom w:val="0"/>
          <w:divBdr>
            <w:top w:val="none" w:sz="0" w:space="0" w:color="auto"/>
            <w:left w:val="none" w:sz="0" w:space="0" w:color="auto"/>
            <w:bottom w:val="none" w:sz="0" w:space="0" w:color="auto"/>
            <w:right w:val="none" w:sz="0" w:space="0" w:color="auto"/>
          </w:divBdr>
        </w:div>
        <w:div w:id="1292639344">
          <w:marLeft w:val="0"/>
          <w:marRight w:val="0"/>
          <w:marTop w:val="0"/>
          <w:marBottom w:val="0"/>
          <w:divBdr>
            <w:top w:val="none" w:sz="0" w:space="0" w:color="auto"/>
            <w:left w:val="none" w:sz="0" w:space="0" w:color="auto"/>
            <w:bottom w:val="none" w:sz="0" w:space="0" w:color="auto"/>
            <w:right w:val="none" w:sz="0" w:space="0" w:color="auto"/>
          </w:divBdr>
        </w:div>
        <w:div w:id="382558676">
          <w:marLeft w:val="0"/>
          <w:marRight w:val="0"/>
          <w:marTop w:val="0"/>
          <w:marBottom w:val="0"/>
          <w:divBdr>
            <w:top w:val="none" w:sz="0" w:space="0" w:color="auto"/>
            <w:left w:val="none" w:sz="0" w:space="0" w:color="auto"/>
            <w:bottom w:val="none" w:sz="0" w:space="0" w:color="auto"/>
            <w:right w:val="none" w:sz="0" w:space="0" w:color="auto"/>
          </w:divBdr>
        </w:div>
        <w:div w:id="748116197">
          <w:marLeft w:val="0"/>
          <w:marRight w:val="0"/>
          <w:marTop w:val="0"/>
          <w:marBottom w:val="0"/>
          <w:divBdr>
            <w:top w:val="none" w:sz="0" w:space="0" w:color="auto"/>
            <w:left w:val="none" w:sz="0" w:space="0" w:color="auto"/>
            <w:bottom w:val="none" w:sz="0" w:space="0" w:color="auto"/>
            <w:right w:val="none" w:sz="0" w:space="0" w:color="auto"/>
          </w:divBdr>
        </w:div>
        <w:div w:id="1616323003">
          <w:marLeft w:val="0"/>
          <w:marRight w:val="0"/>
          <w:marTop w:val="0"/>
          <w:marBottom w:val="0"/>
          <w:divBdr>
            <w:top w:val="none" w:sz="0" w:space="0" w:color="auto"/>
            <w:left w:val="none" w:sz="0" w:space="0" w:color="auto"/>
            <w:bottom w:val="none" w:sz="0" w:space="0" w:color="auto"/>
            <w:right w:val="none" w:sz="0" w:space="0" w:color="auto"/>
          </w:divBdr>
        </w:div>
        <w:div w:id="631206027">
          <w:marLeft w:val="0"/>
          <w:marRight w:val="0"/>
          <w:marTop w:val="0"/>
          <w:marBottom w:val="0"/>
          <w:divBdr>
            <w:top w:val="none" w:sz="0" w:space="0" w:color="auto"/>
            <w:left w:val="none" w:sz="0" w:space="0" w:color="auto"/>
            <w:bottom w:val="none" w:sz="0" w:space="0" w:color="auto"/>
            <w:right w:val="none" w:sz="0" w:space="0" w:color="auto"/>
          </w:divBdr>
        </w:div>
        <w:div w:id="474106520">
          <w:marLeft w:val="0"/>
          <w:marRight w:val="0"/>
          <w:marTop w:val="0"/>
          <w:marBottom w:val="0"/>
          <w:divBdr>
            <w:top w:val="none" w:sz="0" w:space="0" w:color="auto"/>
            <w:left w:val="none" w:sz="0" w:space="0" w:color="auto"/>
            <w:bottom w:val="none" w:sz="0" w:space="0" w:color="auto"/>
            <w:right w:val="none" w:sz="0" w:space="0" w:color="auto"/>
          </w:divBdr>
        </w:div>
        <w:div w:id="892035527">
          <w:marLeft w:val="0"/>
          <w:marRight w:val="0"/>
          <w:marTop w:val="0"/>
          <w:marBottom w:val="0"/>
          <w:divBdr>
            <w:top w:val="none" w:sz="0" w:space="0" w:color="auto"/>
            <w:left w:val="none" w:sz="0" w:space="0" w:color="auto"/>
            <w:bottom w:val="none" w:sz="0" w:space="0" w:color="auto"/>
            <w:right w:val="none" w:sz="0" w:space="0" w:color="auto"/>
          </w:divBdr>
        </w:div>
        <w:div w:id="730496928">
          <w:marLeft w:val="0"/>
          <w:marRight w:val="0"/>
          <w:marTop w:val="0"/>
          <w:marBottom w:val="0"/>
          <w:divBdr>
            <w:top w:val="none" w:sz="0" w:space="0" w:color="auto"/>
            <w:left w:val="none" w:sz="0" w:space="0" w:color="auto"/>
            <w:bottom w:val="none" w:sz="0" w:space="0" w:color="auto"/>
            <w:right w:val="none" w:sz="0" w:space="0" w:color="auto"/>
          </w:divBdr>
        </w:div>
      </w:divsChild>
    </w:div>
    <w:div w:id="1447851112">
      <w:bodyDiv w:val="1"/>
      <w:marLeft w:val="0"/>
      <w:marRight w:val="0"/>
      <w:marTop w:val="0"/>
      <w:marBottom w:val="0"/>
      <w:divBdr>
        <w:top w:val="none" w:sz="0" w:space="0" w:color="auto"/>
        <w:left w:val="none" w:sz="0" w:space="0" w:color="auto"/>
        <w:bottom w:val="none" w:sz="0" w:space="0" w:color="auto"/>
        <w:right w:val="none" w:sz="0" w:space="0" w:color="auto"/>
      </w:divBdr>
      <w:divsChild>
        <w:div w:id="804811517">
          <w:marLeft w:val="0"/>
          <w:marRight w:val="0"/>
          <w:marTop w:val="0"/>
          <w:marBottom w:val="0"/>
          <w:divBdr>
            <w:top w:val="none" w:sz="0" w:space="0" w:color="auto"/>
            <w:left w:val="none" w:sz="0" w:space="0" w:color="auto"/>
            <w:bottom w:val="none" w:sz="0" w:space="0" w:color="auto"/>
            <w:right w:val="none" w:sz="0" w:space="0" w:color="auto"/>
          </w:divBdr>
        </w:div>
        <w:div w:id="50613571">
          <w:marLeft w:val="0"/>
          <w:marRight w:val="0"/>
          <w:marTop w:val="0"/>
          <w:marBottom w:val="0"/>
          <w:divBdr>
            <w:top w:val="none" w:sz="0" w:space="0" w:color="auto"/>
            <w:left w:val="none" w:sz="0" w:space="0" w:color="auto"/>
            <w:bottom w:val="none" w:sz="0" w:space="0" w:color="auto"/>
            <w:right w:val="none" w:sz="0" w:space="0" w:color="auto"/>
          </w:divBdr>
        </w:div>
        <w:div w:id="364521296">
          <w:marLeft w:val="0"/>
          <w:marRight w:val="0"/>
          <w:marTop w:val="0"/>
          <w:marBottom w:val="0"/>
          <w:divBdr>
            <w:top w:val="none" w:sz="0" w:space="0" w:color="auto"/>
            <w:left w:val="none" w:sz="0" w:space="0" w:color="auto"/>
            <w:bottom w:val="none" w:sz="0" w:space="0" w:color="auto"/>
            <w:right w:val="none" w:sz="0" w:space="0" w:color="auto"/>
          </w:divBdr>
        </w:div>
        <w:div w:id="1164126123">
          <w:marLeft w:val="0"/>
          <w:marRight w:val="0"/>
          <w:marTop w:val="0"/>
          <w:marBottom w:val="0"/>
          <w:divBdr>
            <w:top w:val="none" w:sz="0" w:space="0" w:color="auto"/>
            <w:left w:val="none" w:sz="0" w:space="0" w:color="auto"/>
            <w:bottom w:val="none" w:sz="0" w:space="0" w:color="auto"/>
            <w:right w:val="none" w:sz="0" w:space="0" w:color="auto"/>
          </w:divBdr>
        </w:div>
        <w:div w:id="1643073926">
          <w:marLeft w:val="0"/>
          <w:marRight w:val="0"/>
          <w:marTop w:val="0"/>
          <w:marBottom w:val="0"/>
          <w:divBdr>
            <w:top w:val="none" w:sz="0" w:space="0" w:color="auto"/>
            <w:left w:val="none" w:sz="0" w:space="0" w:color="auto"/>
            <w:bottom w:val="none" w:sz="0" w:space="0" w:color="auto"/>
            <w:right w:val="none" w:sz="0" w:space="0" w:color="auto"/>
          </w:divBdr>
        </w:div>
        <w:div w:id="314065090">
          <w:marLeft w:val="0"/>
          <w:marRight w:val="0"/>
          <w:marTop w:val="0"/>
          <w:marBottom w:val="0"/>
          <w:divBdr>
            <w:top w:val="none" w:sz="0" w:space="0" w:color="auto"/>
            <w:left w:val="none" w:sz="0" w:space="0" w:color="auto"/>
            <w:bottom w:val="none" w:sz="0" w:space="0" w:color="auto"/>
            <w:right w:val="none" w:sz="0" w:space="0" w:color="auto"/>
          </w:divBdr>
        </w:div>
        <w:div w:id="1798984628">
          <w:marLeft w:val="0"/>
          <w:marRight w:val="0"/>
          <w:marTop w:val="0"/>
          <w:marBottom w:val="0"/>
          <w:divBdr>
            <w:top w:val="none" w:sz="0" w:space="0" w:color="auto"/>
            <w:left w:val="none" w:sz="0" w:space="0" w:color="auto"/>
            <w:bottom w:val="none" w:sz="0" w:space="0" w:color="auto"/>
            <w:right w:val="none" w:sz="0" w:space="0" w:color="auto"/>
          </w:divBdr>
        </w:div>
        <w:div w:id="1092630554">
          <w:marLeft w:val="0"/>
          <w:marRight w:val="0"/>
          <w:marTop w:val="0"/>
          <w:marBottom w:val="0"/>
          <w:divBdr>
            <w:top w:val="none" w:sz="0" w:space="0" w:color="auto"/>
            <w:left w:val="none" w:sz="0" w:space="0" w:color="auto"/>
            <w:bottom w:val="none" w:sz="0" w:space="0" w:color="auto"/>
            <w:right w:val="none" w:sz="0" w:space="0" w:color="auto"/>
          </w:divBdr>
        </w:div>
        <w:div w:id="1762024540">
          <w:marLeft w:val="0"/>
          <w:marRight w:val="0"/>
          <w:marTop w:val="0"/>
          <w:marBottom w:val="0"/>
          <w:divBdr>
            <w:top w:val="none" w:sz="0" w:space="0" w:color="auto"/>
            <w:left w:val="none" w:sz="0" w:space="0" w:color="auto"/>
            <w:bottom w:val="none" w:sz="0" w:space="0" w:color="auto"/>
            <w:right w:val="none" w:sz="0" w:space="0" w:color="auto"/>
          </w:divBdr>
        </w:div>
        <w:div w:id="1183664542">
          <w:marLeft w:val="0"/>
          <w:marRight w:val="0"/>
          <w:marTop w:val="0"/>
          <w:marBottom w:val="0"/>
          <w:divBdr>
            <w:top w:val="none" w:sz="0" w:space="0" w:color="auto"/>
            <w:left w:val="none" w:sz="0" w:space="0" w:color="auto"/>
            <w:bottom w:val="none" w:sz="0" w:space="0" w:color="auto"/>
            <w:right w:val="none" w:sz="0" w:space="0" w:color="auto"/>
          </w:divBdr>
        </w:div>
      </w:divsChild>
    </w:div>
    <w:div w:id="1471902384">
      <w:bodyDiv w:val="1"/>
      <w:marLeft w:val="0"/>
      <w:marRight w:val="0"/>
      <w:marTop w:val="0"/>
      <w:marBottom w:val="0"/>
      <w:divBdr>
        <w:top w:val="none" w:sz="0" w:space="0" w:color="auto"/>
        <w:left w:val="none" w:sz="0" w:space="0" w:color="auto"/>
        <w:bottom w:val="none" w:sz="0" w:space="0" w:color="auto"/>
        <w:right w:val="none" w:sz="0" w:space="0" w:color="auto"/>
      </w:divBdr>
    </w:div>
    <w:div w:id="1516535602">
      <w:bodyDiv w:val="1"/>
      <w:marLeft w:val="0"/>
      <w:marRight w:val="0"/>
      <w:marTop w:val="0"/>
      <w:marBottom w:val="0"/>
      <w:divBdr>
        <w:top w:val="none" w:sz="0" w:space="0" w:color="auto"/>
        <w:left w:val="none" w:sz="0" w:space="0" w:color="auto"/>
        <w:bottom w:val="none" w:sz="0" w:space="0" w:color="auto"/>
        <w:right w:val="none" w:sz="0" w:space="0" w:color="auto"/>
      </w:divBdr>
      <w:divsChild>
        <w:div w:id="1412583866">
          <w:marLeft w:val="480"/>
          <w:marRight w:val="0"/>
          <w:marTop w:val="0"/>
          <w:marBottom w:val="0"/>
          <w:divBdr>
            <w:top w:val="none" w:sz="0" w:space="0" w:color="auto"/>
            <w:left w:val="none" w:sz="0" w:space="0" w:color="auto"/>
            <w:bottom w:val="none" w:sz="0" w:space="0" w:color="auto"/>
            <w:right w:val="none" w:sz="0" w:space="0" w:color="auto"/>
          </w:divBdr>
          <w:divsChild>
            <w:div w:id="168762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318345">
      <w:bodyDiv w:val="1"/>
      <w:marLeft w:val="0"/>
      <w:marRight w:val="0"/>
      <w:marTop w:val="0"/>
      <w:marBottom w:val="0"/>
      <w:divBdr>
        <w:top w:val="none" w:sz="0" w:space="0" w:color="auto"/>
        <w:left w:val="none" w:sz="0" w:space="0" w:color="auto"/>
        <w:bottom w:val="none" w:sz="0" w:space="0" w:color="auto"/>
        <w:right w:val="none" w:sz="0" w:space="0" w:color="auto"/>
      </w:divBdr>
      <w:divsChild>
        <w:div w:id="157962867">
          <w:marLeft w:val="0"/>
          <w:marRight w:val="0"/>
          <w:marTop w:val="0"/>
          <w:marBottom w:val="0"/>
          <w:divBdr>
            <w:top w:val="none" w:sz="0" w:space="0" w:color="auto"/>
            <w:left w:val="none" w:sz="0" w:space="0" w:color="auto"/>
            <w:bottom w:val="none" w:sz="0" w:space="0" w:color="auto"/>
            <w:right w:val="none" w:sz="0" w:space="0" w:color="auto"/>
          </w:divBdr>
        </w:div>
        <w:div w:id="437795716">
          <w:marLeft w:val="0"/>
          <w:marRight w:val="0"/>
          <w:marTop w:val="0"/>
          <w:marBottom w:val="0"/>
          <w:divBdr>
            <w:top w:val="none" w:sz="0" w:space="0" w:color="auto"/>
            <w:left w:val="none" w:sz="0" w:space="0" w:color="auto"/>
            <w:bottom w:val="none" w:sz="0" w:space="0" w:color="auto"/>
            <w:right w:val="none" w:sz="0" w:space="0" w:color="auto"/>
          </w:divBdr>
        </w:div>
        <w:div w:id="1295598505">
          <w:marLeft w:val="0"/>
          <w:marRight w:val="0"/>
          <w:marTop w:val="0"/>
          <w:marBottom w:val="0"/>
          <w:divBdr>
            <w:top w:val="none" w:sz="0" w:space="0" w:color="auto"/>
            <w:left w:val="none" w:sz="0" w:space="0" w:color="auto"/>
            <w:bottom w:val="none" w:sz="0" w:space="0" w:color="auto"/>
            <w:right w:val="none" w:sz="0" w:space="0" w:color="auto"/>
          </w:divBdr>
        </w:div>
        <w:div w:id="1130243110">
          <w:marLeft w:val="0"/>
          <w:marRight w:val="0"/>
          <w:marTop w:val="0"/>
          <w:marBottom w:val="0"/>
          <w:divBdr>
            <w:top w:val="none" w:sz="0" w:space="0" w:color="auto"/>
            <w:left w:val="none" w:sz="0" w:space="0" w:color="auto"/>
            <w:bottom w:val="none" w:sz="0" w:space="0" w:color="auto"/>
            <w:right w:val="none" w:sz="0" w:space="0" w:color="auto"/>
          </w:divBdr>
        </w:div>
        <w:div w:id="1438285025">
          <w:marLeft w:val="0"/>
          <w:marRight w:val="0"/>
          <w:marTop w:val="0"/>
          <w:marBottom w:val="0"/>
          <w:divBdr>
            <w:top w:val="none" w:sz="0" w:space="0" w:color="auto"/>
            <w:left w:val="none" w:sz="0" w:space="0" w:color="auto"/>
            <w:bottom w:val="none" w:sz="0" w:space="0" w:color="auto"/>
            <w:right w:val="none" w:sz="0" w:space="0" w:color="auto"/>
          </w:divBdr>
        </w:div>
        <w:div w:id="1816943732">
          <w:marLeft w:val="0"/>
          <w:marRight w:val="0"/>
          <w:marTop w:val="0"/>
          <w:marBottom w:val="0"/>
          <w:divBdr>
            <w:top w:val="none" w:sz="0" w:space="0" w:color="auto"/>
            <w:left w:val="none" w:sz="0" w:space="0" w:color="auto"/>
            <w:bottom w:val="none" w:sz="0" w:space="0" w:color="auto"/>
            <w:right w:val="none" w:sz="0" w:space="0" w:color="auto"/>
          </w:divBdr>
        </w:div>
        <w:div w:id="1910380628">
          <w:marLeft w:val="0"/>
          <w:marRight w:val="0"/>
          <w:marTop w:val="0"/>
          <w:marBottom w:val="0"/>
          <w:divBdr>
            <w:top w:val="none" w:sz="0" w:space="0" w:color="auto"/>
            <w:left w:val="none" w:sz="0" w:space="0" w:color="auto"/>
            <w:bottom w:val="none" w:sz="0" w:space="0" w:color="auto"/>
            <w:right w:val="none" w:sz="0" w:space="0" w:color="auto"/>
          </w:divBdr>
        </w:div>
        <w:div w:id="1265531533">
          <w:marLeft w:val="0"/>
          <w:marRight w:val="0"/>
          <w:marTop w:val="0"/>
          <w:marBottom w:val="0"/>
          <w:divBdr>
            <w:top w:val="none" w:sz="0" w:space="0" w:color="auto"/>
            <w:left w:val="none" w:sz="0" w:space="0" w:color="auto"/>
            <w:bottom w:val="none" w:sz="0" w:space="0" w:color="auto"/>
            <w:right w:val="none" w:sz="0" w:space="0" w:color="auto"/>
          </w:divBdr>
        </w:div>
        <w:div w:id="575866570">
          <w:marLeft w:val="0"/>
          <w:marRight w:val="0"/>
          <w:marTop w:val="0"/>
          <w:marBottom w:val="0"/>
          <w:divBdr>
            <w:top w:val="none" w:sz="0" w:space="0" w:color="auto"/>
            <w:left w:val="none" w:sz="0" w:space="0" w:color="auto"/>
            <w:bottom w:val="none" w:sz="0" w:space="0" w:color="auto"/>
            <w:right w:val="none" w:sz="0" w:space="0" w:color="auto"/>
          </w:divBdr>
        </w:div>
        <w:div w:id="125125730">
          <w:marLeft w:val="0"/>
          <w:marRight w:val="0"/>
          <w:marTop w:val="0"/>
          <w:marBottom w:val="0"/>
          <w:divBdr>
            <w:top w:val="none" w:sz="0" w:space="0" w:color="auto"/>
            <w:left w:val="none" w:sz="0" w:space="0" w:color="auto"/>
            <w:bottom w:val="none" w:sz="0" w:space="0" w:color="auto"/>
            <w:right w:val="none" w:sz="0" w:space="0" w:color="auto"/>
          </w:divBdr>
        </w:div>
        <w:div w:id="1888947662">
          <w:marLeft w:val="0"/>
          <w:marRight w:val="0"/>
          <w:marTop w:val="0"/>
          <w:marBottom w:val="0"/>
          <w:divBdr>
            <w:top w:val="none" w:sz="0" w:space="0" w:color="auto"/>
            <w:left w:val="none" w:sz="0" w:space="0" w:color="auto"/>
            <w:bottom w:val="none" w:sz="0" w:space="0" w:color="auto"/>
            <w:right w:val="none" w:sz="0" w:space="0" w:color="auto"/>
          </w:divBdr>
        </w:div>
        <w:div w:id="722369171">
          <w:marLeft w:val="0"/>
          <w:marRight w:val="0"/>
          <w:marTop w:val="0"/>
          <w:marBottom w:val="0"/>
          <w:divBdr>
            <w:top w:val="none" w:sz="0" w:space="0" w:color="auto"/>
            <w:left w:val="none" w:sz="0" w:space="0" w:color="auto"/>
            <w:bottom w:val="none" w:sz="0" w:space="0" w:color="auto"/>
            <w:right w:val="none" w:sz="0" w:space="0" w:color="auto"/>
          </w:divBdr>
        </w:div>
        <w:div w:id="2088332937">
          <w:marLeft w:val="0"/>
          <w:marRight w:val="0"/>
          <w:marTop w:val="0"/>
          <w:marBottom w:val="0"/>
          <w:divBdr>
            <w:top w:val="none" w:sz="0" w:space="0" w:color="auto"/>
            <w:left w:val="none" w:sz="0" w:space="0" w:color="auto"/>
            <w:bottom w:val="none" w:sz="0" w:space="0" w:color="auto"/>
            <w:right w:val="none" w:sz="0" w:space="0" w:color="auto"/>
          </w:divBdr>
        </w:div>
        <w:div w:id="388311508">
          <w:marLeft w:val="0"/>
          <w:marRight w:val="0"/>
          <w:marTop w:val="0"/>
          <w:marBottom w:val="0"/>
          <w:divBdr>
            <w:top w:val="none" w:sz="0" w:space="0" w:color="auto"/>
            <w:left w:val="none" w:sz="0" w:space="0" w:color="auto"/>
            <w:bottom w:val="none" w:sz="0" w:space="0" w:color="auto"/>
            <w:right w:val="none" w:sz="0" w:space="0" w:color="auto"/>
          </w:divBdr>
        </w:div>
        <w:div w:id="998079431">
          <w:marLeft w:val="0"/>
          <w:marRight w:val="0"/>
          <w:marTop w:val="0"/>
          <w:marBottom w:val="0"/>
          <w:divBdr>
            <w:top w:val="none" w:sz="0" w:space="0" w:color="auto"/>
            <w:left w:val="none" w:sz="0" w:space="0" w:color="auto"/>
            <w:bottom w:val="none" w:sz="0" w:space="0" w:color="auto"/>
            <w:right w:val="none" w:sz="0" w:space="0" w:color="auto"/>
          </w:divBdr>
        </w:div>
        <w:div w:id="1076973816">
          <w:marLeft w:val="0"/>
          <w:marRight w:val="0"/>
          <w:marTop w:val="0"/>
          <w:marBottom w:val="0"/>
          <w:divBdr>
            <w:top w:val="none" w:sz="0" w:space="0" w:color="auto"/>
            <w:left w:val="none" w:sz="0" w:space="0" w:color="auto"/>
            <w:bottom w:val="none" w:sz="0" w:space="0" w:color="auto"/>
            <w:right w:val="none" w:sz="0" w:space="0" w:color="auto"/>
          </w:divBdr>
        </w:div>
      </w:divsChild>
    </w:div>
    <w:div w:id="1547181738">
      <w:bodyDiv w:val="1"/>
      <w:marLeft w:val="0"/>
      <w:marRight w:val="0"/>
      <w:marTop w:val="0"/>
      <w:marBottom w:val="0"/>
      <w:divBdr>
        <w:top w:val="none" w:sz="0" w:space="0" w:color="auto"/>
        <w:left w:val="none" w:sz="0" w:space="0" w:color="auto"/>
        <w:bottom w:val="none" w:sz="0" w:space="0" w:color="auto"/>
        <w:right w:val="none" w:sz="0" w:space="0" w:color="auto"/>
      </w:divBdr>
    </w:div>
    <w:div w:id="1561355755">
      <w:bodyDiv w:val="1"/>
      <w:marLeft w:val="0"/>
      <w:marRight w:val="0"/>
      <w:marTop w:val="0"/>
      <w:marBottom w:val="0"/>
      <w:divBdr>
        <w:top w:val="none" w:sz="0" w:space="0" w:color="auto"/>
        <w:left w:val="none" w:sz="0" w:space="0" w:color="auto"/>
        <w:bottom w:val="none" w:sz="0" w:space="0" w:color="auto"/>
        <w:right w:val="none" w:sz="0" w:space="0" w:color="auto"/>
      </w:divBdr>
    </w:div>
    <w:div w:id="1584220637">
      <w:bodyDiv w:val="1"/>
      <w:marLeft w:val="0"/>
      <w:marRight w:val="0"/>
      <w:marTop w:val="0"/>
      <w:marBottom w:val="0"/>
      <w:divBdr>
        <w:top w:val="none" w:sz="0" w:space="0" w:color="auto"/>
        <w:left w:val="none" w:sz="0" w:space="0" w:color="auto"/>
        <w:bottom w:val="none" w:sz="0" w:space="0" w:color="auto"/>
        <w:right w:val="none" w:sz="0" w:space="0" w:color="auto"/>
      </w:divBdr>
      <w:divsChild>
        <w:div w:id="1685670402">
          <w:marLeft w:val="480"/>
          <w:marRight w:val="0"/>
          <w:marTop w:val="0"/>
          <w:marBottom w:val="0"/>
          <w:divBdr>
            <w:top w:val="none" w:sz="0" w:space="0" w:color="auto"/>
            <w:left w:val="none" w:sz="0" w:space="0" w:color="auto"/>
            <w:bottom w:val="none" w:sz="0" w:space="0" w:color="auto"/>
            <w:right w:val="none" w:sz="0" w:space="0" w:color="auto"/>
          </w:divBdr>
          <w:divsChild>
            <w:div w:id="328563971">
              <w:marLeft w:val="0"/>
              <w:marRight w:val="0"/>
              <w:marTop w:val="0"/>
              <w:marBottom w:val="240"/>
              <w:divBdr>
                <w:top w:val="none" w:sz="0" w:space="0" w:color="auto"/>
                <w:left w:val="none" w:sz="0" w:space="0" w:color="auto"/>
                <w:bottom w:val="none" w:sz="0" w:space="0" w:color="auto"/>
                <w:right w:val="none" w:sz="0" w:space="0" w:color="auto"/>
              </w:divBdr>
            </w:div>
            <w:div w:id="1991328512">
              <w:marLeft w:val="0"/>
              <w:marRight w:val="0"/>
              <w:marTop w:val="0"/>
              <w:marBottom w:val="240"/>
              <w:divBdr>
                <w:top w:val="none" w:sz="0" w:space="0" w:color="auto"/>
                <w:left w:val="none" w:sz="0" w:space="0" w:color="auto"/>
                <w:bottom w:val="none" w:sz="0" w:space="0" w:color="auto"/>
                <w:right w:val="none" w:sz="0" w:space="0" w:color="auto"/>
              </w:divBdr>
            </w:div>
            <w:div w:id="1870794077">
              <w:marLeft w:val="0"/>
              <w:marRight w:val="0"/>
              <w:marTop w:val="0"/>
              <w:marBottom w:val="240"/>
              <w:divBdr>
                <w:top w:val="none" w:sz="0" w:space="0" w:color="auto"/>
                <w:left w:val="none" w:sz="0" w:space="0" w:color="auto"/>
                <w:bottom w:val="none" w:sz="0" w:space="0" w:color="auto"/>
                <w:right w:val="none" w:sz="0" w:space="0" w:color="auto"/>
              </w:divBdr>
            </w:div>
            <w:div w:id="566840124">
              <w:marLeft w:val="0"/>
              <w:marRight w:val="0"/>
              <w:marTop w:val="0"/>
              <w:marBottom w:val="240"/>
              <w:divBdr>
                <w:top w:val="none" w:sz="0" w:space="0" w:color="auto"/>
                <w:left w:val="none" w:sz="0" w:space="0" w:color="auto"/>
                <w:bottom w:val="none" w:sz="0" w:space="0" w:color="auto"/>
                <w:right w:val="none" w:sz="0" w:space="0" w:color="auto"/>
              </w:divBdr>
            </w:div>
            <w:div w:id="1606885876">
              <w:marLeft w:val="0"/>
              <w:marRight w:val="0"/>
              <w:marTop w:val="0"/>
              <w:marBottom w:val="240"/>
              <w:divBdr>
                <w:top w:val="none" w:sz="0" w:space="0" w:color="auto"/>
                <w:left w:val="none" w:sz="0" w:space="0" w:color="auto"/>
                <w:bottom w:val="none" w:sz="0" w:space="0" w:color="auto"/>
                <w:right w:val="none" w:sz="0" w:space="0" w:color="auto"/>
              </w:divBdr>
            </w:div>
            <w:div w:id="271060498">
              <w:marLeft w:val="0"/>
              <w:marRight w:val="0"/>
              <w:marTop w:val="0"/>
              <w:marBottom w:val="240"/>
              <w:divBdr>
                <w:top w:val="none" w:sz="0" w:space="0" w:color="auto"/>
                <w:left w:val="none" w:sz="0" w:space="0" w:color="auto"/>
                <w:bottom w:val="none" w:sz="0" w:space="0" w:color="auto"/>
                <w:right w:val="none" w:sz="0" w:space="0" w:color="auto"/>
              </w:divBdr>
            </w:div>
            <w:div w:id="1315451817">
              <w:marLeft w:val="0"/>
              <w:marRight w:val="0"/>
              <w:marTop w:val="0"/>
              <w:marBottom w:val="240"/>
              <w:divBdr>
                <w:top w:val="none" w:sz="0" w:space="0" w:color="auto"/>
                <w:left w:val="none" w:sz="0" w:space="0" w:color="auto"/>
                <w:bottom w:val="none" w:sz="0" w:space="0" w:color="auto"/>
                <w:right w:val="none" w:sz="0" w:space="0" w:color="auto"/>
              </w:divBdr>
            </w:div>
            <w:div w:id="1918007621">
              <w:marLeft w:val="0"/>
              <w:marRight w:val="0"/>
              <w:marTop w:val="0"/>
              <w:marBottom w:val="240"/>
              <w:divBdr>
                <w:top w:val="none" w:sz="0" w:space="0" w:color="auto"/>
                <w:left w:val="none" w:sz="0" w:space="0" w:color="auto"/>
                <w:bottom w:val="none" w:sz="0" w:space="0" w:color="auto"/>
                <w:right w:val="none" w:sz="0" w:space="0" w:color="auto"/>
              </w:divBdr>
            </w:div>
            <w:div w:id="2051804822">
              <w:marLeft w:val="0"/>
              <w:marRight w:val="0"/>
              <w:marTop w:val="0"/>
              <w:marBottom w:val="240"/>
              <w:divBdr>
                <w:top w:val="none" w:sz="0" w:space="0" w:color="auto"/>
                <w:left w:val="none" w:sz="0" w:space="0" w:color="auto"/>
                <w:bottom w:val="none" w:sz="0" w:space="0" w:color="auto"/>
                <w:right w:val="none" w:sz="0" w:space="0" w:color="auto"/>
              </w:divBdr>
            </w:div>
            <w:div w:id="531040498">
              <w:marLeft w:val="0"/>
              <w:marRight w:val="0"/>
              <w:marTop w:val="0"/>
              <w:marBottom w:val="240"/>
              <w:divBdr>
                <w:top w:val="none" w:sz="0" w:space="0" w:color="auto"/>
                <w:left w:val="none" w:sz="0" w:space="0" w:color="auto"/>
                <w:bottom w:val="none" w:sz="0" w:space="0" w:color="auto"/>
                <w:right w:val="none" w:sz="0" w:space="0" w:color="auto"/>
              </w:divBdr>
            </w:div>
            <w:div w:id="812676388">
              <w:marLeft w:val="0"/>
              <w:marRight w:val="0"/>
              <w:marTop w:val="0"/>
              <w:marBottom w:val="240"/>
              <w:divBdr>
                <w:top w:val="none" w:sz="0" w:space="0" w:color="auto"/>
                <w:left w:val="none" w:sz="0" w:space="0" w:color="auto"/>
                <w:bottom w:val="none" w:sz="0" w:space="0" w:color="auto"/>
                <w:right w:val="none" w:sz="0" w:space="0" w:color="auto"/>
              </w:divBdr>
            </w:div>
            <w:div w:id="131599408">
              <w:marLeft w:val="0"/>
              <w:marRight w:val="0"/>
              <w:marTop w:val="0"/>
              <w:marBottom w:val="240"/>
              <w:divBdr>
                <w:top w:val="none" w:sz="0" w:space="0" w:color="auto"/>
                <w:left w:val="none" w:sz="0" w:space="0" w:color="auto"/>
                <w:bottom w:val="none" w:sz="0" w:space="0" w:color="auto"/>
                <w:right w:val="none" w:sz="0" w:space="0" w:color="auto"/>
              </w:divBdr>
            </w:div>
            <w:div w:id="217396889">
              <w:marLeft w:val="0"/>
              <w:marRight w:val="0"/>
              <w:marTop w:val="0"/>
              <w:marBottom w:val="240"/>
              <w:divBdr>
                <w:top w:val="none" w:sz="0" w:space="0" w:color="auto"/>
                <w:left w:val="none" w:sz="0" w:space="0" w:color="auto"/>
                <w:bottom w:val="none" w:sz="0" w:space="0" w:color="auto"/>
                <w:right w:val="none" w:sz="0" w:space="0" w:color="auto"/>
              </w:divBdr>
            </w:div>
            <w:div w:id="756558909">
              <w:marLeft w:val="0"/>
              <w:marRight w:val="0"/>
              <w:marTop w:val="0"/>
              <w:marBottom w:val="240"/>
              <w:divBdr>
                <w:top w:val="none" w:sz="0" w:space="0" w:color="auto"/>
                <w:left w:val="none" w:sz="0" w:space="0" w:color="auto"/>
                <w:bottom w:val="none" w:sz="0" w:space="0" w:color="auto"/>
                <w:right w:val="none" w:sz="0" w:space="0" w:color="auto"/>
              </w:divBdr>
            </w:div>
            <w:div w:id="1170802005">
              <w:marLeft w:val="0"/>
              <w:marRight w:val="0"/>
              <w:marTop w:val="0"/>
              <w:marBottom w:val="240"/>
              <w:divBdr>
                <w:top w:val="none" w:sz="0" w:space="0" w:color="auto"/>
                <w:left w:val="none" w:sz="0" w:space="0" w:color="auto"/>
                <w:bottom w:val="none" w:sz="0" w:space="0" w:color="auto"/>
                <w:right w:val="none" w:sz="0" w:space="0" w:color="auto"/>
              </w:divBdr>
            </w:div>
            <w:div w:id="266693008">
              <w:marLeft w:val="0"/>
              <w:marRight w:val="0"/>
              <w:marTop w:val="0"/>
              <w:marBottom w:val="240"/>
              <w:divBdr>
                <w:top w:val="none" w:sz="0" w:space="0" w:color="auto"/>
                <w:left w:val="none" w:sz="0" w:space="0" w:color="auto"/>
                <w:bottom w:val="none" w:sz="0" w:space="0" w:color="auto"/>
                <w:right w:val="none" w:sz="0" w:space="0" w:color="auto"/>
              </w:divBdr>
            </w:div>
            <w:div w:id="1690448698">
              <w:marLeft w:val="0"/>
              <w:marRight w:val="0"/>
              <w:marTop w:val="0"/>
              <w:marBottom w:val="240"/>
              <w:divBdr>
                <w:top w:val="none" w:sz="0" w:space="0" w:color="auto"/>
                <w:left w:val="none" w:sz="0" w:space="0" w:color="auto"/>
                <w:bottom w:val="none" w:sz="0" w:space="0" w:color="auto"/>
                <w:right w:val="none" w:sz="0" w:space="0" w:color="auto"/>
              </w:divBdr>
            </w:div>
            <w:div w:id="1072463323">
              <w:marLeft w:val="0"/>
              <w:marRight w:val="0"/>
              <w:marTop w:val="0"/>
              <w:marBottom w:val="240"/>
              <w:divBdr>
                <w:top w:val="none" w:sz="0" w:space="0" w:color="auto"/>
                <w:left w:val="none" w:sz="0" w:space="0" w:color="auto"/>
                <w:bottom w:val="none" w:sz="0" w:space="0" w:color="auto"/>
                <w:right w:val="none" w:sz="0" w:space="0" w:color="auto"/>
              </w:divBdr>
            </w:div>
            <w:div w:id="1579094134">
              <w:marLeft w:val="0"/>
              <w:marRight w:val="0"/>
              <w:marTop w:val="0"/>
              <w:marBottom w:val="240"/>
              <w:divBdr>
                <w:top w:val="none" w:sz="0" w:space="0" w:color="auto"/>
                <w:left w:val="none" w:sz="0" w:space="0" w:color="auto"/>
                <w:bottom w:val="none" w:sz="0" w:space="0" w:color="auto"/>
                <w:right w:val="none" w:sz="0" w:space="0" w:color="auto"/>
              </w:divBdr>
            </w:div>
            <w:div w:id="47654538">
              <w:marLeft w:val="0"/>
              <w:marRight w:val="0"/>
              <w:marTop w:val="0"/>
              <w:marBottom w:val="240"/>
              <w:divBdr>
                <w:top w:val="none" w:sz="0" w:space="0" w:color="auto"/>
                <w:left w:val="none" w:sz="0" w:space="0" w:color="auto"/>
                <w:bottom w:val="none" w:sz="0" w:space="0" w:color="auto"/>
                <w:right w:val="none" w:sz="0" w:space="0" w:color="auto"/>
              </w:divBdr>
            </w:div>
            <w:div w:id="244923058">
              <w:marLeft w:val="0"/>
              <w:marRight w:val="0"/>
              <w:marTop w:val="0"/>
              <w:marBottom w:val="240"/>
              <w:divBdr>
                <w:top w:val="none" w:sz="0" w:space="0" w:color="auto"/>
                <w:left w:val="none" w:sz="0" w:space="0" w:color="auto"/>
                <w:bottom w:val="none" w:sz="0" w:space="0" w:color="auto"/>
                <w:right w:val="none" w:sz="0" w:space="0" w:color="auto"/>
              </w:divBdr>
            </w:div>
            <w:div w:id="1539127795">
              <w:marLeft w:val="0"/>
              <w:marRight w:val="0"/>
              <w:marTop w:val="0"/>
              <w:marBottom w:val="240"/>
              <w:divBdr>
                <w:top w:val="none" w:sz="0" w:space="0" w:color="auto"/>
                <w:left w:val="none" w:sz="0" w:space="0" w:color="auto"/>
                <w:bottom w:val="none" w:sz="0" w:space="0" w:color="auto"/>
                <w:right w:val="none" w:sz="0" w:space="0" w:color="auto"/>
              </w:divBdr>
            </w:div>
            <w:div w:id="683937705">
              <w:marLeft w:val="0"/>
              <w:marRight w:val="0"/>
              <w:marTop w:val="0"/>
              <w:marBottom w:val="240"/>
              <w:divBdr>
                <w:top w:val="none" w:sz="0" w:space="0" w:color="auto"/>
                <w:left w:val="none" w:sz="0" w:space="0" w:color="auto"/>
                <w:bottom w:val="none" w:sz="0" w:space="0" w:color="auto"/>
                <w:right w:val="none" w:sz="0" w:space="0" w:color="auto"/>
              </w:divBdr>
            </w:div>
            <w:div w:id="1367558609">
              <w:marLeft w:val="0"/>
              <w:marRight w:val="0"/>
              <w:marTop w:val="0"/>
              <w:marBottom w:val="240"/>
              <w:divBdr>
                <w:top w:val="none" w:sz="0" w:space="0" w:color="auto"/>
                <w:left w:val="none" w:sz="0" w:space="0" w:color="auto"/>
                <w:bottom w:val="none" w:sz="0" w:space="0" w:color="auto"/>
                <w:right w:val="none" w:sz="0" w:space="0" w:color="auto"/>
              </w:divBdr>
            </w:div>
            <w:div w:id="1751384509">
              <w:marLeft w:val="0"/>
              <w:marRight w:val="0"/>
              <w:marTop w:val="0"/>
              <w:marBottom w:val="240"/>
              <w:divBdr>
                <w:top w:val="none" w:sz="0" w:space="0" w:color="auto"/>
                <w:left w:val="none" w:sz="0" w:space="0" w:color="auto"/>
                <w:bottom w:val="none" w:sz="0" w:space="0" w:color="auto"/>
                <w:right w:val="none" w:sz="0" w:space="0" w:color="auto"/>
              </w:divBdr>
            </w:div>
            <w:div w:id="1034307991">
              <w:marLeft w:val="0"/>
              <w:marRight w:val="0"/>
              <w:marTop w:val="0"/>
              <w:marBottom w:val="240"/>
              <w:divBdr>
                <w:top w:val="none" w:sz="0" w:space="0" w:color="auto"/>
                <w:left w:val="none" w:sz="0" w:space="0" w:color="auto"/>
                <w:bottom w:val="none" w:sz="0" w:space="0" w:color="auto"/>
                <w:right w:val="none" w:sz="0" w:space="0" w:color="auto"/>
              </w:divBdr>
            </w:div>
            <w:div w:id="1356615668">
              <w:marLeft w:val="0"/>
              <w:marRight w:val="0"/>
              <w:marTop w:val="0"/>
              <w:marBottom w:val="240"/>
              <w:divBdr>
                <w:top w:val="none" w:sz="0" w:space="0" w:color="auto"/>
                <w:left w:val="none" w:sz="0" w:space="0" w:color="auto"/>
                <w:bottom w:val="none" w:sz="0" w:space="0" w:color="auto"/>
                <w:right w:val="none" w:sz="0" w:space="0" w:color="auto"/>
              </w:divBdr>
            </w:div>
            <w:div w:id="1427269268">
              <w:marLeft w:val="0"/>
              <w:marRight w:val="0"/>
              <w:marTop w:val="0"/>
              <w:marBottom w:val="240"/>
              <w:divBdr>
                <w:top w:val="none" w:sz="0" w:space="0" w:color="auto"/>
                <w:left w:val="none" w:sz="0" w:space="0" w:color="auto"/>
                <w:bottom w:val="none" w:sz="0" w:space="0" w:color="auto"/>
                <w:right w:val="none" w:sz="0" w:space="0" w:color="auto"/>
              </w:divBdr>
            </w:div>
            <w:div w:id="1517882385">
              <w:marLeft w:val="0"/>
              <w:marRight w:val="0"/>
              <w:marTop w:val="0"/>
              <w:marBottom w:val="240"/>
              <w:divBdr>
                <w:top w:val="none" w:sz="0" w:space="0" w:color="auto"/>
                <w:left w:val="none" w:sz="0" w:space="0" w:color="auto"/>
                <w:bottom w:val="none" w:sz="0" w:space="0" w:color="auto"/>
                <w:right w:val="none" w:sz="0" w:space="0" w:color="auto"/>
              </w:divBdr>
            </w:div>
            <w:div w:id="1814717525">
              <w:marLeft w:val="0"/>
              <w:marRight w:val="0"/>
              <w:marTop w:val="0"/>
              <w:marBottom w:val="240"/>
              <w:divBdr>
                <w:top w:val="none" w:sz="0" w:space="0" w:color="auto"/>
                <w:left w:val="none" w:sz="0" w:space="0" w:color="auto"/>
                <w:bottom w:val="none" w:sz="0" w:space="0" w:color="auto"/>
                <w:right w:val="none" w:sz="0" w:space="0" w:color="auto"/>
              </w:divBdr>
            </w:div>
            <w:div w:id="926037039">
              <w:marLeft w:val="0"/>
              <w:marRight w:val="0"/>
              <w:marTop w:val="0"/>
              <w:marBottom w:val="240"/>
              <w:divBdr>
                <w:top w:val="none" w:sz="0" w:space="0" w:color="auto"/>
                <w:left w:val="none" w:sz="0" w:space="0" w:color="auto"/>
                <w:bottom w:val="none" w:sz="0" w:space="0" w:color="auto"/>
                <w:right w:val="none" w:sz="0" w:space="0" w:color="auto"/>
              </w:divBdr>
            </w:div>
            <w:div w:id="429861371">
              <w:marLeft w:val="0"/>
              <w:marRight w:val="0"/>
              <w:marTop w:val="0"/>
              <w:marBottom w:val="240"/>
              <w:divBdr>
                <w:top w:val="none" w:sz="0" w:space="0" w:color="auto"/>
                <w:left w:val="none" w:sz="0" w:space="0" w:color="auto"/>
                <w:bottom w:val="none" w:sz="0" w:space="0" w:color="auto"/>
                <w:right w:val="none" w:sz="0" w:space="0" w:color="auto"/>
              </w:divBdr>
            </w:div>
            <w:div w:id="247352862">
              <w:marLeft w:val="0"/>
              <w:marRight w:val="0"/>
              <w:marTop w:val="0"/>
              <w:marBottom w:val="240"/>
              <w:divBdr>
                <w:top w:val="none" w:sz="0" w:space="0" w:color="auto"/>
                <w:left w:val="none" w:sz="0" w:space="0" w:color="auto"/>
                <w:bottom w:val="none" w:sz="0" w:space="0" w:color="auto"/>
                <w:right w:val="none" w:sz="0" w:space="0" w:color="auto"/>
              </w:divBdr>
            </w:div>
            <w:div w:id="1835604514">
              <w:marLeft w:val="0"/>
              <w:marRight w:val="0"/>
              <w:marTop w:val="0"/>
              <w:marBottom w:val="240"/>
              <w:divBdr>
                <w:top w:val="none" w:sz="0" w:space="0" w:color="auto"/>
                <w:left w:val="none" w:sz="0" w:space="0" w:color="auto"/>
                <w:bottom w:val="none" w:sz="0" w:space="0" w:color="auto"/>
                <w:right w:val="none" w:sz="0" w:space="0" w:color="auto"/>
              </w:divBdr>
            </w:div>
            <w:div w:id="545795230">
              <w:marLeft w:val="0"/>
              <w:marRight w:val="0"/>
              <w:marTop w:val="0"/>
              <w:marBottom w:val="240"/>
              <w:divBdr>
                <w:top w:val="none" w:sz="0" w:space="0" w:color="auto"/>
                <w:left w:val="none" w:sz="0" w:space="0" w:color="auto"/>
                <w:bottom w:val="none" w:sz="0" w:space="0" w:color="auto"/>
                <w:right w:val="none" w:sz="0" w:space="0" w:color="auto"/>
              </w:divBdr>
            </w:div>
            <w:div w:id="1278297690">
              <w:marLeft w:val="0"/>
              <w:marRight w:val="0"/>
              <w:marTop w:val="0"/>
              <w:marBottom w:val="240"/>
              <w:divBdr>
                <w:top w:val="none" w:sz="0" w:space="0" w:color="auto"/>
                <w:left w:val="none" w:sz="0" w:space="0" w:color="auto"/>
                <w:bottom w:val="none" w:sz="0" w:space="0" w:color="auto"/>
                <w:right w:val="none" w:sz="0" w:space="0" w:color="auto"/>
              </w:divBdr>
            </w:div>
            <w:div w:id="59863621">
              <w:marLeft w:val="0"/>
              <w:marRight w:val="0"/>
              <w:marTop w:val="0"/>
              <w:marBottom w:val="240"/>
              <w:divBdr>
                <w:top w:val="none" w:sz="0" w:space="0" w:color="auto"/>
                <w:left w:val="none" w:sz="0" w:space="0" w:color="auto"/>
                <w:bottom w:val="none" w:sz="0" w:space="0" w:color="auto"/>
                <w:right w:val="none" w:sz="0" w:space="0" w:color="auto"/>
              </w:divBdr>
            </w:div>
            <w:div w:id="1525367287">
              <w:marLeft w:val="0"/>
              <w:marRight w:val="0"/>
              <w:marTop w:val="0"/>
              <w:marBottom w:val="240"/>
              <w:divBdr>
                <w:top w:val="none" w:sz="0" w:space="0" w:color="auto"/>
                <w:left w:val="none" w:sz="0" w:space="0" w:color="auto"/>
                <w:bottom w:val="none" w:sz="0" w:space="0" w:color="auto"/>
                <w:right w:val="none" w:sz="0" w:space="0" w:color="auto"/>
              </w:divBdr>
            </w:div>
            <w:div w:id="986713192">
              <w:marLeft w:val="0"/>
              <w:marRight w:val="0"/>
              <w:marTop w:val="0"/>
              <w:marBottom w:val="240"/>
              <w:divBdr>
                <w:top w:val="none" w:sz="0" w:space="0" w:color="auto"/>
                <w:left w:val="none" w:sz="0" w:space="0" w:color="auto"/>
                <w:bottom w:val="none" w:sz="0" w:space="0" w:color="auto"/>
                <w:right w:val="none" w:sz="0" w:space="0" w:color="auto"/>
              </w:divBdr>
            </w:div>
            <w:div w:id="25106729">
              <w:marLeft w:val="0"/>
              <w:marRight w:val="0"/>
              <w:marTop w:val="0"/>
              <w:marBottom w:val="240"/>
              <w:divBdr>
                <w:top w:val="none" w:sz="0" w:space="0" w:color="auto"/>
                <w:left w:val="none" w:sz="0" w:space="0" w:color="auto"/>
                <w:bottom w:val="none" w:sz="0" w:space="0" w:color="auto"/>
                <w:right w:val="none" w:sz="0" w:space="0" w:color="auto"/>
              </w:divBdr>
            </w:div>
            <w:div w:id="1072964252">
              <w:marLeft w:val="0"/>
              <w:marRight w:val="0"/>
              <w:marTop w:val="0"/>
              <w:marBottom w:val="240"/>
              <w:divBdr>
                <w:top w:val="none" w:sz="0" w:space="0" w:color="auto"/>
                <w:left w:val="none" w:sz="0" w:space="0" w:color="auto"/>
                <w:bottom w:val="none" w:sz="0" w:space="0" w:color="auto"/>
                <w:right w:val="none" w:sz="0" w:space="0" w:color="auto"/>
              </w:divBdr>
            </w:div>
            <w:div w:id="1525359797">
              <w:marLeft w:val="0"/>
              <w:marRight w:val="0"/>
              <w:marTop w:val="0"/>
              <w:marBottom w:val="240"/>
              <w:divBdr>
                <w:top w:val="none" w:sz="0" w:space="0" w:color="auto"/>
                <w:left w:val="none" w:sz="0" w:space="0" w:color="auto"/>
                <w:bottom w:val="none" w:sz="0" w:space="0" w:color="auto"/>
                <w:right w:val="none" w:sz="0" w:space="0" w:color="auto"/>
              </w:divBdr>
            </w:div>
            <w:div w:id="1136487278">
              <w:marLeft w:val="0"/>
              <w:marRight w:val="0"/>
              <w:marTop w:val="0"/>
              <w:marBottom w:val="240"/>
              <w:divBdr>
                <w:top w:val="none" w:sz="0" w:space="0" w:color="auto"/>
                <w:left w:val="none" w:sz="0" w:space="0" w:color="auto"/>
                <w:bottom w:val="none" w:sz="0" w:space="0" w:color="auto"/>
                <w:right w:val="none" w:sz="0" w:space="0" w:color="auto"/>
              </w:divBdr>
            </w:div>
            <w:div w:id="148136690">
              <w:marLeft w:val="0"/>
              <w:marRight w:val="0"/>
              <w:marTop w:val="0"/>
              <w:marBottom w:val="240"/>
              <w:divBdr>
                <w:top w:val="none" w:sz="0" w:space="0" w:color="auto"/>
                <w:left w:val="none" w:sz="0" w:space="0" w:color="auto"/>
                <w:bottom w:val="none" w:sz="0" w:space="0" w:color="auto"/>
                <w:right w:val="none" w:sz="0" w:space="0" w:color="auto"/>
              </w:divBdr>
            </w:div>
            <w:div w:id="1971283253">
              <w:marLeft w:val="0"/>
              <w:marRight w:val="0"/>
              <w:marTop w:val="0"/>
              <w:marBottom w:val="240"/>
              <w:divBdr>
                <w:top w:val="none" w:sz="0" w:space="0" w:color="auto"/>
                <w:left w:val="none" w:sz="0" w:space="0" w:color="auto"/>
                <w:bottom w:val="none" w:sz="0" w:space="0" w:color="auto"/>
                <w:right w:val="none" w:sz="0" w:space="0" w:color="auto"/>
              </w:divBdr>
            </w:div>
            <w:div w:id="1347975747">
              <w:marLeft w:val="0"/>
              <w:marRight w:val="0"/>
              <w:marTop w:val="0"/>
              <w:marBottom w:val="240"/>
              <w:divBdr>
                <w:top w:val="none" w:sz="0" w:space="0" w:color="auto"/>
                <w:left w:val="none" w:sz="0" w:space="0" w:color="auto"/>
                <w:bottom w:val="none" w:sz="0" w:space="0" w:color="auto"/>
                <w:right w:val="none" w:sz="0" w:space="0" w:color="auto"/>
              </w:divBdr>
            </w:div>
            <w:div w:id="149060513">
              <w:marLeft w:val="0"/>
              <w:marRight w:val="0"/>
              <w:marTop w:val="0"/>
              <w:marBottom w:val="240"/>
              <w:divBdr>
                <w:top w:val="none" w:sz="0" w:space="0" w:color="auto"/>
                <w:left w:val="none" w:sz="0" w:space="0" w:color="auto"/>
                <w:bottom w:val="none" w:sz="0" w:space="0" w:color="auto"/>
                <w:right w:val="none" w:sz="0" w:space="0" w:color="auto"/>
              </w:divBdr>
            </w:div>
            <w:div w:id="228729862">
              <w:marLeft w:val="0"/>
              <w:marRight w:val="0"/>
              <w:marTop w:val="0"/>
              <w:marBottom w:val="240"/>
              <w:divBdr>
                <w:top w:val="none" w:sz="0" w:space="0" w:color="auto"/>
                <w:left w:val="none" w:sz="0" w:space="0" w:color="auto"/>
                <w:bottom w:val="none" w:sz="0" w:space="0" w:color="auto"/>
                <w:right w:val="none" w:sz="0" w:space="0" w:color="auto"/>
              </w:divBdr>
            </w:div>
            <w:div w:id="25494804">
              <w:marLeft w:val="0"/>
              <w:marRight w:val="0"/>
              <w:marTop w:val="0"/>
              <w:marBottom w:val="240"/>
              <w:divBdr>
                <w:top w:val="none" w:sz="0" w:space="0" w:color="auto"/>
                <w:left w:val="none" w:sz="0" w:space="0" w:color="auto"/>
                <w:bottom w:val="none" w:sz="0" w:space="0" w:color="auto"/>
                <w:right w:val="none" w:sz="0" w:space="0" w:color="auto"/>
              </w:divBdr>
            </w:div>
            <w:div w:id="1625697870">
              <w:marLeft w:val="0"/>
              <w:marRight w:val="0"/>
              <w:marTop w:val="0"/>
              <w:marBottom w:val="240"/>
              <w:divBdr>
                <w:top w:val="none" w:sz="0" w:space="0" w:color="auto"/>
                <w:left w:val="none" w:sz="0" w:space="0" w:color="auto"/>
                <w:bottom w:val="none" w:sz="0" w:space="0" w:color="auto"/>
                <w:right w:val="none" w:sz="0" w:space="0" w:color="auto"/>
              </w:divBdr>
            </w:div>
            <w:div w:id="72432437">
              <w:marLeft w:val="0"/>
              <w:marRight w:val="0"/>
              <w:marTop w:val="0"/>
              <w:marBottom w:val="240"/>
              <w:divBdr>
                <w:top w:val="none" w:sz="0" w:space="0" w:color="auto"/>
                <w:left w:val="none" w:sz="0" w:space="0" w:color="auto"/>
                <w:bottom w:val="none" w:sz="0" w:space="0" w:color="auto"/>
                <w:right w:val="none" w:sz="0" w:space="0" w:color="auto"/>
              </w:divBdr>
            </w:div>
            <w:div w:id="1810323819">
              <w:marLeft w:val="0"/>
              <w:marRight w:val="0"/>
              <w:marTop w:val="0"/>
              <w:marBottom w:val="240"/>
              <w:divBdr>
                <w:top w:val="none" w:sz="0" w:space="0" w:color="auto"/>
                <w:left w:val="none" w:sz="0" w:space="0" w:color="auto"/>
                <w:bottom w:val="none" w:sz="0" w:space="0" w:color="auto"/>
                <w:right w:val="none" w:sz="0" w:space="0" w:color="auto"/>
              </w:divBdr>
            </w:div>
            <w:div w:id="1959679821">
              <w:marLeft w:val="0"/>
              <w:marRight w:val="0"/>
              <w:marTop w:val="0"/>
              <w:marBottom w:val="240"/>
              <w:divBdr>
                <w:top w:val="none" w:sz="0" w:space="0" w:color="auto"/>
                <w:left w:val="none" w:sz="0" w:space="0" w:color="auto"/>
                <w:bottom w:val="none" w:sz="0" w:space="0" w:color="auto"/>
                <w:right w:val="none" w:sz="0" w:space="0" w:color="auto"/>
              </w:divBdr>
            </w:div>
            <w:div w:id="1382244532">
              <w:marLeft w:val="0"/>
              <w:marRight w:val="0"/>
              <w:marTop w:val="0"/>
              <w:marBottom w:val="240"/>
              <w:divBdr>
                <w:top w:val="none" w:sz="0" w:space="0" w:color="auto"/>
                <w:left w:val="none" w:sz="0" w:space="0" w:color="auto"/>
                <w:bottom w:val="none" w:sz="0" w:space="0" w:color="auto"/>
                <w:right w:val="none" w:sz="0" w:space="0" w:color="auto"/>
              </w:divBdr>
            </w:div>
            <w:div w:id="1962035324">
              <w:marLeft w:val="0"/>
              <w:marRight w:val="0"/>
              <w:marTop w:val="0"/>
              <w:marBottom w:val="240"/>
              <w:divBdr>
                <w:top w:val="none" w:sz="0" w:space="0" w:color="auto"/>
                <w:left w:val="none" w:sz="0" w:space="0" w:color="auto"/>
                <w:bottom w:val="none" w:sz="0" w:space="0" w:color="auto"/>
                <w:right w:val="none" w:sz="0" w:space="0" w:color="auto"/>
              </w:divBdr>
            </w:div>
            <w:div w:id="1208836786">
              <w:marLeft w:val="0"/>
              <w:marRight w:val="0"/>
              <w:marTop w:val="0"/>
              <w:marBottom w:val="240"/>
              <w:divBdr>
                <w:top w:val="none" w:sz="0" w:space="0" w:color="auto"/>
                <w:left w:val="none" w:sz="0" w:space="0" w:color="auto"/>
                <w:bottom w:val="none" w:sz="0" w:space="0" w:color="auto"/>
                <w:right w:val="none" w:sz="0" w:space="0" w:color="auto"/>
              </w:divBdr>
            </w:div>
            <w:div w:id="1948610410">
              <w:marLeft w:val="0"/>
              <w:marRight w:val="0"/>
              <w:marTop w:val="0"/>
              <w:marBottom w:val="240"/>
              <w:divBdr>
                <w:top w:val="none" w:sz="0" w:space="0" w:color="auto"/>
                <w:left w:val="none" w:sz="0" w:space="0" w:color="auto"/>
                <w:bottom w:val="none" w:sz="0" w:space="0" w:color="auto"/>
                <w:right w:val="none" w:sz="0" w:space="0" w:color="auto"/>
              </w:divBdr>
            </w:div>
            <w:div w:id="1323049176">
              <w:marLeft w:val="0"/>
              <w:marRight w:val="0"/>
              <w:marTop w:val="0"/>
              <w:marBottom w:val="240"/>
              <w:divBdr>
                <w:top w:val="none" w:sz="0" w:space="0" w:color="auto"/>
                <w:left w:val="none" w:sz="0" w:space="0" w:color="auto"/>
                <w:bottom w:val="none" w:sz="0" w:space="0" w:color="auto"/>
                <w:right w:val="none" w:sz="0" w:space="0" w:color="auto"/>
              </w:divBdr>
            </w:div>
            <w:div w:id="368604164">
              <w:marLeft w:val="0"/>
              <w:marRight w:val="0"/>
              <w:marTop w:val="0"/>
              <w:marBottom w:val="240"/>
              <w:divBdr>
                <w:top w:val="none" w:sz="0" w:space="0" w:color="auto"/>
                <w:left w:val="none" w:sz="0" w:space="0" w:color="auto"/>
                <w:bottom w:val="none" w:sz="0" w:space="0" w:color="auto"/>
                <w:right w:val="none" w:sz="0" w:space="0" w:color="auto"/>
              </w:divBdr>
            </w:div>
            <w:div w:id="1512833766">
              <w:marLeft w:val="0"/>
              <w:marRight w:val="0"/>
              <w:marTop w:val="0"/>
              <w:marBottom w:val="240"/>
              <w:divBdr>
                <w:top w:val="none" w:sz="0" w:space="0" w:color="auto"/>
                <w:left w:val="none" w:sz="0" w:space="0" w:color="auto"/>
                <w:bottom w:val="none" w:sz="0" w:space="0" w:color="auto"/>
                <w:right w:val="none" w:sz="0" w:space="0" w:color="auto"/>
              </w:divBdr>
            </w:div>
            <w:div w:id="734548869">
              <w:marLeft w:val="0"/>
              <w:marRight w:val="0"/>
              <w:marTop w:val="0"/>
              <w:marBottom w:val="240"/>
              <w:divBdr>
                <w:top w:val="none" w:sz="0" w:space="0" w:color="auto"/>
                <w:left w:val="none" w:sz="0" w:space="0" w:color="auto"/>
                <w:bottom w:val="none" w:sz="0" w:space="0" w:color="auto"/>
                <w:right w:val="none" w:sz="0" w:space="0" w:color="auto"/>
              </w:divBdr>
            </w:div>
            <w:div w:id="1004699179">
              <w:marLeft w:val="0"/>
              <w:marRight w:val="0"/>
              <w:marTop w:val="0"/>
              <w:marBottom w:val="240"/>
              <w:divBdr>
                <w:top w:val="none" w:sz="0" w:space="0" w:color="auto"/>
                <w:left w:val="none" w:sz="0" w:space="0" w:color="auto"/>
                <w:bottom w:val="none" w:sz="0" w:space="0" w:color="auto"/>
                <w:right w:val="none" w:sz="0" w:space="0" w:color="auto"/>
              </w:divBdr>
            </w:div>
            <w:div w:id="1636787950">
              <w:marLeft w:val="0"/>
              <w:marRight w:val="0"/>
              <w:marTop w:val="0"/>
              <w:marBottom w:val="240"/>
              <w:divBdr>
                <w:top w:val="none" w:sz="0" w:space="0" w:color="auto"/>
                <w:left w:val="none" w:sz="0" w:space="0" w:color="auto"/>
                <w:bottom w:val="none" w:sz="0" w:space="0" w:color="auto"/>
                <w:right w:val="none" w:sz="0" w:space="0" w:color="auto"/>
              </w:divBdr>
            </w:div>
            <w:div w:id="1474062473">
              <w:marLeft w:val="0"/>
              <w:marRight w:val="0"/>
              <w:marTop w:val="0"/>
              <w:marBottom w:val="240"/>
              <w:divBdr>
                <w:top w:val="none" w:sz="0" w:space="0" w:color="auto"/>
                <w:left w:val="none" w:sz="0" w:space="0" w:color="auto"/>
                <w:bottom w:val="none" w:sz="0" w:space="0" w:color="auto"/>
                <w:right w:val="none" w:sz="0" w:space="0" w:color="auto"/>
              </w:divBdr>
            </w:div>
            <w:div w:id="1676489954">
              <w:marLeft w:val="0"/>
              <w:marRight w:val="0"/>
              <w:marTop w:val="0"/>
              <w:marBottom w:val="240"/>
              <w:divBdr>
                <w:top w:val="none" w:sz="0" w:space="0" w:color="auto"/>
                <w:left w:val="none" w:sz="0" w:space="0" w:color="auto"/>
                <w:bottom w:val="none" w:sz="0" w:space="0" w:color="auto"/>
                <w:right w:val="none" w:sz="0" w:space="0" w:color="auto"/>
              </w:divBdr>
            </w:div>
            <w:div w:id="1715226220">
              <w:marLeft w:val="0"/>
              <w:marRight w:val="0"/>
              <w:marTop w:val="0"/>
              <w:marBottom w:val="240"/>
              <w:divBdr>
                <w:top w:val="none" w:sz="0" w:space="0" w:color="auto"/>
                <w:left w:val="none" w:sz="0" w:space="0" w:color="auto"/>
                <w:bottom w:val="none" w:sz="0" w:space="0" w:color="auto"/>
                <w:right w:val="none" w:sz="0" w:space="0" w:color="auto"/>
              </w:divBdr>
            </w:div>
            <w:div w:id="705058746">
              <w:marLeft w:val="0"/>
              <w:marRight w:val="0"/>
              <w:marTop w:val="0"/>
              <w:marBottom w:val="240"/>
              <w:divBdr>
                <w:top w:val="none" w:sz="0" w:space="0" w:color="auto"/>
                <w:left w:val="none" w:sz="0" w:space="0" w:color="auto"/>
                <w:bottom w:val="none" w:sz="0" w:space="0" w:color="auto"/>
                <w:right w:val="none" w:sz="0" w:space="0" w:color="auto"/>
              </w:divBdr>
            </w:div>
            <w:div w:id="635990086">
              <w:marLeft w:val="0"/>
              <w:marRight w:val="0"/>
              <w:marTop w:val="0"/>
              <w:marBottom w:val="240"/>
              <w:divBdr>
                <w:top w:val="none" w:sz="0" w:space="0" w:color="auto"/>
                <w:left w:val="none" w:sz="0" w:space="0" w:color="auto"/>
                <w:bottom w:val="none" w:sz="0" w:space="0" w:color="auto"/>
                <w:right w:val="none" w:sz="0" w:space="0" w:color="auto"/>
              </w:divBdr>
            </w:div>
            <w:div w:id="1458142522">
              <w:marLeft w:val="0"/>
              <w:marRight w:val="0"/>
              <w:marTop w:val="0"/>
              <w:marBottom w:val="240"/>
              <w:divBdr>
                <w:top w:val="none" w:sz="0" w:space="0" w:color="auto"/>
                <w:left w:val="none" w:sz="0" w:space="0" w:color="auto"/>
                <w:bottom w:val="none" w:sz="0" w:space="0" w:color="auto"/>
                <w:right w:val="none" w:sz="0" w:space="0" w:color="auto"/>
              </w:divBdr>
            </w:div>
            <w:div w:id="1421025633">
              <w:marLeft w:val="0"/>
              <w:marRight w:val="0"/>
              <w:marTop w:val="0"/>
              <w:marBottom w:val="240"/>
              <w:divBdr>
                <w:top w:val="none" w:sz="0" w:space="0" w:color="auto"/>
                <w:left w:val="none" w:sz="0" w:space="0" w:color="auto"/>
                <w:bottom w:val="none" w:sz="0" w:space="0" w:color="auto"/>
                <w:right w:val="none" w:sz="0" w:space="0" w:color="auto"/>
              </w:divBdr>
            </w:div>
            <w:div w:id="342368156">
              <w:marLeft w:val="0"/>
              <w:marRight w:val="0"/>
              <w:marTop w:val="0"/>
              <w:marBottom w:val="240"/>
              <w:divBdr>
                <w:top w:val="none" w:sz="0" w:space="0" w:color="auto"/>
                <w:left w:val="none" w:sz="0" w:space="0" w:color="auto"/>
                <w:bottom w:val="none" w:sz="0" w:space="0" w:color="auto"/>
                <w:right w:val="none" w:sz="0" w:space="0" w:color="auto"/>
              </w:divBdr>
            </w:div>
            <w:div w:id="824393154">
              <w:marLeft w:val="0"/>
              <w:marRight w:val="0"/>
              <w:marTop w:val="0"/>
              <w:marBottom w:val="240"/>
              <w:divBdr>
                <w:top w:val="none" w:sz="0" w:space="0" w:color="auto"/>
                <w:left w:val="none" w:sz="0" w:space="0" w:color="auto"/>
                <w:bottom w:val="none" w:sz="0" w:space="0" w:color="auto"/>
                <w:right w:val="none" w:sz="0" w:space="0" w:color="auto"/>
              </w:divBdr>
            </w:div>
            <w:div w:id="1429230206">
              <w:marLeft w:val="0"/>
              <w:marRight w:val="0"/>
              <w:marTop w:val="0"/>
              <w:marBottom w:val="240"/>
              <w:divBdr>
                <w:top w:val="none" w:sz="0" w:space="0" w:color="auto"/>
                <w:left w:val="none" w:sz="0" w:space="0" w:color="auto"/>
                <w:bottom w:val="none" w:sz="0" w:space="0" w:color="auto"/>
                <w:right w:val="none" w:sz="0" w:space="0" w:color="auto"/>
              </w:divBdr>
            </w:div>
            <w:div w:id="1245726791">
              <w:marLeft w:val="0"/>
              <w:marRight w:val="0"/>
              <w:marTop w:val="0"/>
              <w:marBottom w:val="240"/>
              <w:divBdr>
                <w:top w:val="none" w:sz="0" w:space="0" w:color="auto"/>
                <w:left w:val="none" w:sz="0" w:space="0" w:color="auto"/>
                <w:bottom w:val="none" w:sz="0" w:space="0" w:color="auto"/>
                <w:right w:val="none" w:sz="0" w:space="0" w:color="auto"/>
              </w:divBdr>
            </w:div>
            <w:div w:id="2015917141">
              <w:marLeft w:val="0"/>
              <w:marRight w:val="0"/>
              <w:marTop w:val="0"/>
              <w:marBottom w:val="240"/>
              <w:divBdr>
                <w:top w:val="none" w:sz="0" w:space="0" w:color="auto"/>
                <w:left w:val="none" w:sz="0" w:space="0" w:color="auto"/>
                <w:bottom w:val="none" w:sz="0" w:space="0" w:color="auto"/>
                <w:right w:val="none" w:sz="0" w:space="0" w:color="auto"/>
              </w:divBdr>
            </w:div>
            <w:div w:id="332952295">
              <w:marLeft w:val="0"/>
              <w:marRight w:val="0"/>
              <w:marTop w:val="0"/>
              <w:marBottom w:val="240"/>
              <w:divBdr>
                <w:top w:val="none" w:sz="0" w:space="0" w:color="auto"/>
                <w:left w:val="none" w:sz="0" w:space="0" w:color="auto"/>
                <w:bottom w:val="none" w:sz="0" w:space="0" w:color="auto"/>
                <w:right w:val="none" w:sz="0" w:space="0" w:color="auto"/>
              </w:divBdr>
            </w:div>
            <w:div w:id="903759421">
              <w:marLeft w:val="0"/>
              <w:marRight w:val="0"/>
              <w:marTop w:val="0"/>
              <w:marBottom w:val="240"/>
              <w:divBdr>
                <w:top w:val="none" w:sz="0" w:space="0" w:color="auto"/>
                <w:left w:val="none" w:sz="0" w:space="0" w:color="auto"/>
                <w:bottom w:val="none" w:sz="0" w:space="0" w:color="auto"/>
                <w:right w:val="none" w:sz="0" w:space="0" w:color="auto"/>
              </w:divBdr>
            </w:div>
            <w:div w:id="715810465">
              <w:marLeft w:val="0"/>
              <w:marRight w:val="0"/>
              <w:marTop w:val="0"/>
              <w:marBottom w:val="240"/>
              <w:divBdr>
                <w:top w:val="none" w:sz="0" w:space="0" w:color="auto"/>
                <w:left w:val="none" w:sz="0" w:space="0" w:color="auto"/>
                <w:bottom w:val="none" w:sz="0" w:space="0" w:color="auto"/>
                <w:right w:val="none" w:sz="0" w:space="0" w:color="auto"/>
              </w:divBdr>
            </w:div>
            <w:div w:id="1475098532">
              <w:marLeft w:val="0"/>
              <w:marRight w:val="0"/>
              <w:marTop w:val="0"/>
              <w:marBottom w:val="240"/>
              <w:divBdr>
                <w:top w:val="none" w:sz="0" w:space="0" w:color="auto"/>
                <w:left w:val="none" w:sz="0" w:space="0" w:color="auto"/>
                <w:bottom w:val="none" w:sz="0" w:space="0" w:color="auto"/>
                <w:right w:val="none" w:sz="0" w:space="0" w:color="auto"/>
              </w:divBdr>
            </w:div>
            <w:div w:id="543911613">
              <w:marLeft w:val="0"/>
              <w:marRight w:val="0"/>
              <w:marTop w:val="0"/>
              <w:marBottom w:val="240"/>
              <w:divBdr>
                <w:top w:val="none" w:sz="0" w:space="0" w:color="auto"/>
                <w:left w:val="none" w:sz="0" w:space="0" w:color="auto"/>
                <w:bottom w:val="none" w:sz="0" w:space="0" w:color="auto"/>
                <w:right w:val="none" w:sz="0" w:space="0" w:color="auto"/>
              </w:divBdr>
            </w:div>
            <w:div w:id="1806968816">
              <w:marLeft w:val="0"/>
              <w:marRight w:val="0"/>
              <w:marTop w:val="0"/>
              <w:marBottom w:val="240"/>
              <w:divBdr>
                <w:top w:val="none" w:sz="0" w:space="0" w:color="auto"/>
                <w:left w:val="none" w:sz="0" w:space="0" w:color="auto"/>
                <w:bottom w:val="none" w:sz="0" w:space="0" w:color="auto"/>
                <w:right w:val="none" w:sz="0" w:space="0" w:color="auto"/>
              </w:divBdr>
            </w:div>
            <w:div w:id="118155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400972">
      <w:bodyDiv w:val="1"/>
      <w:marLeft w:val="0"/>
      <w:marRight w:val="0"/>
      <w:marTop w:val="0"/>
      <w:marBottom w:val="0"/>
      <w:divBdr>
        <w:top w:val="none" w:sz="0" w:space="0" w:color="auto"/>
        <w:left w:val="none" w:sz="0" w:space="0" w:color="auto"/>
        <w:bottom w:val="none" w:sz="0" w:space="0" w:color="auto"/>
        <w:right w:val="none" w:sz="0" w:space="0" w:color="auto"/>
      </w:divBdr>
    </w:div>
    <w:div w:id="1605305385">
      <w:bodyDiv w:val="1"/>
      <w:marLeft w:val="0"/>
      <w:marRight w:val="0"/>
      <w:marTop w:val="0"/>
      <w:marBottom w:val="0"/>
      <w:divBdr>
        <w:top w:val="none" w:sz="0" w:space="0" w:color="auto"/>
        <w:left w:val="none" w:sz="0" w:space="0" w:color="auto"/>
        <w:bottom w:val="none" w:sz="0" w:space="0" w:color="auto"/>
        <w:right w:val="none" w:sz="0" w:space="0" w:color="auto"/>
      </w:divBdr>
    </w:div>
    <w:div w:id="1610972139">
      <w:bodyDiv w:val="1"/>
      <w:marLeft w:val="0"/>
      <w:marRight w:val="0"/>
      <w:marTop w:val="0"/>
      <w:marBottom w:val="0"/>
      <w:divBdr>
        <w:top w:val="none" w:sz="0" w:space="0" w:color="auto"/>
        <w:left w:val="none" w:sz="0" w:space="0" w:color="auto"/>
        <w:bottom w:val="none" w:sz="0" w:space="0" w:color="auto"/>
        <w:right w:val="none" w:sz="0" w:space="0" w:color="auto"/>
      </w:divBdr>
      <w:divsChild>
        <w:div w:id="562956136">
          <w:marLeft w:val="0"/>
          <w:marRight w:val="0"/>
          <w:marTop w:val="0"/>
          <w:marBottom w:val="0"/>
          <w:divBdr>
            <w:top w:val="none" w:sz="0" w:space="0" w:color="auto"/>
            <w:left w:val="none" w:sz="0" w:space="0" w:color="auto"/>
            <w:bottom w:val="none" w:sz="0" w:space="0" w:color="auto"/>
            <w:right w:val="none" w:sz="0" w:space="0" w:color="auto"/>
          </w:divBdr>
        </w:div>
        <w:div w:id="919867512">
          <w:marLeft w:val="0"/>
          <w:marRight w:val="0"/>
          <w:marTop w:val="0"/>
          <w:marBottom w:val="0"/>
          <w:divBdr>
            <w:top w:val="none" w:sz="0" w:space="0" w:color="auto"/>
            <w:left w:val="none" w:sz="0" w:space="0" w:color="auto"/>
            <w:bottom w:val="none" w:sz="0" w:space="0" w:color="auto"/>
            <w:right w:val="none" w:sz="0" w:space="0" w:color="auto"/>
          </w:divBdr>
        </w:div>
        <w:div w:id="1342318201">
          <w:marLeft w:val="0"/>
          <w:marRight w:val="0"/>
          <w:marTop w:val="0"/>
          <w:marBottom w:val="0"/>
          <w:divBdr>
            <w:top w:val="none" w:sz="0" w:space="0" w:color="auto"/>
            <w:left w:val="none" w:sz="0" w:space="0" w:color="auto"/>
            <w:bottom w:val="none" w:sz="0" w:space="0" w:color="auto"/>
            <w:right w:val="none" w:sz="0" w:space="0" w:color="auto"/>
          </w:divBdr>
        </w:div>
        <w:div w:id="203907817">
          <w:marLeft w:val="0"/>
          <w:marRight w:val="0"/>
          <w:marTop w:val="0"/>
          <w:marBottom w:val="0"/>
          <w:divBdr>
            <w:top w:val="none" w:sz="0" w:space="0" w:color="auto"/>
            <w:left w:val="none" w:sz="0" w:space="0" w:color="auto"/>
            <w:bottom w:val="none" w:sz="0" w:space="0" w:color="auto"/>
            <w:right w:val="none" w:sz="0" w:space="0" w:color="auto"/>
          </w:divBdr>
        </w:div>
        <w:div w:id="618802990">
          <w:marLeft w:val="0"/>
          <w:marRight w:val="0"/>
          <w:marTop w:val="0"/>
          <w:marBottom w:val="0"/>
          <w:divBdr>
            <w:top w:val="none" w:sz="0" w:space="0" w:color="auto"/>
            <w:left w:val="none" w:sz="0" w:space="0" w:color="auto"/>
            <w:bottom w:val="none" w:sz="0" w:space="0" w:color="auto"/>
            <w:right w:val="none" w:sz="0" w:space="0" w:color="auto"/>
          </w:divBdr>
        </w:div>
        <w:div w:id="208690327">
          <w:marLeft w:val="0"/>
          <w:marRight w:val="0"/>
          <w:marTop w:val="0"/>
          <w:marBottom w:val="0"/>
          <w:divBdr>
            <w:top w:val="none" w:sz="0" w:space="0" w:color="auto"/>
            <w:left w:val="none" w:sz="0" w:space="0" w:color="auto"/>
            <w:bottom w:val="none" w:sz="0" w:space="0" w:color="auto"/>
            <w:right w:val="none" w:sz="0" w:space="0" w:color="auto"/>
          </w:divBdr>
        </w:div>
        <w:div w:id="879435490">
          <w:marLeft w:val="0"/>
          <w:marRight w:val="0"/>
          <w:marTop w:val="0"/>
          <w:marBottom w:val="0"/>
          <w:divBdr>
            <w:top w:val="none" w:sz="0" w:space="0" w:color="auto"/>
            <w:left w:val="none" w:sz="0" w:space="0" w:color="auto"/>
            <w:bottom w:val="none" w:sz="0" w:space="0" w:color="auto"/>
            <w:right w:val="none" w:sz="0" w:space="0" w:color="auto"/>
          </w:divBdr>
        </w:div>
        <w:div w:id="1333683757">
          <w:marLeft w:val="0"/>
          <w:marRight w:val="0"/>
          <w:marTop w:val="0"/>
          <w:marBottom w:val="0"/>
          <w:divBdr>
            <w:top w:val="none" w:sz="0" w:space="0" w:color="auto"/>
            <w:left w:val="none" w:sz="0" w:space="0" w:color="auto"/>
            <w:bottom w:val="none" w:sz="0" w:space="0" w:color="auto"/>
            <w:right w:val="none" w:sz="0" w:space="0" w:color="auto"/>
          </w:divBdr>
        </w:div>
      </w:divsChild>
    </w:div>
    <w:div w:id="1618680096">
      <w:bodyDiv w:val="1"/>
      <w:marLeft w:val="0"/>
      <w:marRight w:val="0"/>
      <w:marTop w:val="0"/>
      <w:marBottom w:val="0"/>
      <w:divBdr>
        <w:top w:val="none" w:sz="0" w:space="0" w:color="auto"/>
        <w:left w:val="none" w:sz="0" w:space="0" w:color="auto"/>
        <w:bottom w:val="none" w:sz="0" w:space="0" w:color="auto"/>
        <w:right w:val="none" w:sz="0" w:space="0" w:color="auto"/>
      </w:divBdr>
      <w:divsChild>
        <w:div w:id="1445540264">
          <w:marLeft w:val="0"/>
          <w:marRight w:val="0"/>
          <w:marTop w:val="0"/>
          <w:marBottom w:val="0"/>
          <w:divBdr>
            <w:top w:val="none" w:sz="0" w:space="0" w:color="auto"/>
            <w:left w:val="none" w:sz="0" w:space="0" w:color="auto"/>
            <w:bottom w:val="none" w:sz="0" w:space="0" w:color="auto"/>
            <w:right w:val="none" w:sz="0" w:space="0" w:color="auto"/>
          </w:divBdr>
        </w:div>
        <w:div w:id="582222476">
          <w:marLeft w:val="0"/>
          <w:marRight w:val="0"/>
          <w:marTop w:val="0"/>
          <w:marBottom w:val="0"/>
          <w:divBdr>
            <w:top w:val="none" w:sz="0" w:space="0" w:color="auto"/>
            <w:left w:val="none" w:sz="0" w:space="0" w:color="auto"/>
            <w:bottom w:val="none" w:sz="0" w:space="0" w:color="auto"/>
            <w:right w:val="none" w:sz="0" w:space="0" w:color="auto"/>
          </w:divBdr>
        </w:div>
        <w:div w:id="721365446">
          <w:marLeft w:val="0"/>
          <w:marRight w:val="0"/>
          <w:marTop w:val="0"/>
          <w:marBottom w:val="0"/>
          <w:divBdr>
            <w:top w:val="none" w:sz="0" w:space="0" w:color="auto"/>
            <w:left w:val="none" w:sz="0" w:space="0" w:color="auto"/>
            <w:bottom w:val="none" w:sz="0" w:space="0" w:color="auto"/>
            <w:right w:val="none" w:sz="0" w:space="0" w:color="auto"/>
          </w:divBdr>
        </w:div>
        <w:div w:id="673458344">
          <w:marLeft w:val="0"/>
          <w:marRight w:val="0"/>
          <w:marTop w:val="0"/>
          <w:marBottom w:val="0"/>
          <w:divBdr>
            <w:top w:val="none" w:sz="0" w:space="0" w:color="auto"/>
            <w:left w:val="none" w:sz="0" w:space="0" w:color="auto"/>
            <w:bottom w:val="none" w:sz="0" w:space="0" w:color="auto"/>
            <w:right w:val="none" w:sz="0" w:space="0" w:color="auto"/>
          </w:divBdr>
        </w:div>
        <w:div w:id="1216625055">
          <w:marLeft w:val="0"/>
          <w:marRight w:val="0"/>
          <w:marTop w:val="0"/>
          <w:marBottom w:val="0"/>
          <w:divBdr>
            <w:top w:val="none" w:sz="0" w:space="0" w:color="auto"/>
            <w:left w:val="none" w:sz="0" w:space="0" w:color="auto"/>
            <w:bottom w:val="none" w:sz="0" w:space="0" w:color="auto"/>
            <w:right w:val="none" w:sz="0" w:space="0" w:color="auto"/>
          </w:divBdr>
        </w:div>
        <w:div w:id="290942974">
          <w:marLeft w:val="0"/>
          <w:marRight w:val="0"/>
          <w:marTop w:val="0"/>
          <w:marBottom w:val="0"/>
          <w:divBdr>
            <w:top w:val="none" w:sz="0" w:space="0" w:color="auto"/>
            <w:left w:val="none" w:sz="0" w:space="0" w:color="auto"/>
            <w:bottom w:val="none" w:sz="0" w:space="0" w:color="auto"/>
            <w:right w:val="none" w:sz="0" w:space="0" w:color="auto"/>
          </w:divBdr>
        </w:div>
        <w:div w:id="2106343387">
          <w:marLeft w:val="0"/>
          <w:marRight w:val="0"/>
          <w:marTop w:val="0"/>
          <w:marBottom w:val="0"/>
          <w:divBdr>
            <w:top w:val="none" w:sz="0" w:space="0" w:color="auto"/>
            <w:left w:val="none" w:sz="0" w:space="0" w:color="auto"/>
            <w:bottom w:val="none" w:sz="0" w:space="0" w:color="auto"/>
            <w:right w:val="none" w:sz="0" w:space="0" w:color="auto"/>
          </w:divBdr>
        </w:div>
        <w:div w:id="1602180645">
          <w:marLeft w:val="0"/>
          <w:marRight w:val="0"/>
          <w:marTop w:val="0"/>
          <w:marBottom w:val="0"/>
          <w:divBdr>
            <w:top w:val="none" w:sz="0" w:space="0" w:color="auto"/>
            <w:left w:val="none" w:sz="0" w:space="0" w:color="auto"/>
            <w:bottom w:val="none" w:sz="0" w:space="0" w:color="auto"/>
            <w:right w:val="none" w:sz="0" w:space="0" w:color="auto"/>
          </w:divBdr>
        </w:div>
        <w:div w:id="1738895850">
          <w:marLeft w:val="0"/>
          <w:marRight w:val="0"/>
          <w:marTop w:val="0"/>
          <w:marBottom w:val="0"/>
          <w:divBdr>
            <w:top w:val="none" w:sz="0" w:space="0" w:color="auto"/>
            <w:left w:val="none" w:sz="0" w:space="0" w:color="auto"/>
            <w:bottom w:val="none" w:sz="0" w:space="0" w:color="auto"/>
            <w:right w:val="none" w:sz="0" w:space="0" w:color="auto"/>
          </w:divBdr>
        </w:div>
        <w:div w:id="1271667000">
          <w:marLeft w:val="0"/>
          <w:marRight w:val="0"/>
          <w:marTop w:val="0"/>
          <w:marBottom w:val="0"/>
          <w:divBdr>
            <w:top w:val="none" w:sz="0" w:space="0" w:color="auto"/>
            <w:left w:val="none" w:sz="0" w:space="0" w:color="auto"/>
            <w:bottom w:val="none" w:sz="0" w:space="0" w:color="auto"/>
            <w:right w:val="none" w:sz="0" w:space="0" w:color="auto"/>
          </w:divBdr>
        </w:div>
        <w:div w:id="172502043">
          <w:marLeft w:val="0"/>
          <w:marRight w:val="0"/>
          <w:marTop w:val="0"/>
          <w:marBottom w:val="0"/>
          <w:divBdr>
            <w:top w:val="none" w:sz="0" w:space="0" w:color="auto"/>
            <w:left w:val="none" w:sz="0" w:space="0" w:color="auto"/>
            <w:bottom w:val="none" w:sz="0" w:space="0" w:color="auto"/>
            <w:right w:val="none" w:sz="0" w:space="0" w:color="auto"/>
          </w:divBdr>
        </w:div>
        <w:div w:id="217789610">
          <w:marLeft w:val="0"/>
          <w:marRight w:val="0"/>
          <w:marTop w:val="0"/>
          <w:marBottom w:val="0"/>
          <w:divBdr>
            <w:top w:val="none" w:sz="0" w:space="0" w:color="auto"/>
            <w:left w:val="none" w:sz="0" w:space="0" w:color="auto"/>
            <w:bottom w:val="none" w:sz="0" w:space="0" w:color="auto"/>
            <w:right w:val="none" w:sz="0" w:space="0" w:color="auto"/>
          </w:divBdr>
        </w:div>
        <w:div w:id="2077387070">
          <w:marLeft w:val="0"/>
          <w:marRight w:val="0"/>
          <w:marTop w:val="0"/>
          <w:marBottom w:val="0"/>
          <w:divBdr>
            <w:top w:val="none" w:sz="0" w:space="0" w:color="auto"/>
            <w:left w:val="none" w:sz="0" w:space="0" w:color="auto"/>
            <w:bottom w:val="none" w:sz="0" w:space="0" w:color="auto"/>
            <w:right w:val="none" w:sz="0" w:space="0" w:color="auto"/>
          </w:divBdr>
        </w:div>
        <w:div w:id="496043986">
          <w:marLeft w:val="0"/>
          <w:marRight w:val="0"/>
          <w:marTop w:val="0"/>
          <w:marBottom w:val="0"/>
          <w:divBdr>
            <w:top w:val="none" w:sz="0" w:space="0" w:color="auto"/>
            <w:left w:val="none" w:sz="0" w:space="0" w:color="auto"/>
            <w:bottom w:val="none" w:sz="0" w:space="0" w:color="auto"/>
            <w:right w:val="none" w:sz="0" w:space="0" w:color="auto"/>
          </w:divBdr>
        </w:div>
        <w:div w:id="492797865">
          <w:marLeft w:val="0"/>
          <w:marRight w:val="0"/>
          <w:marTop w:val="0"/>
          <w:marBottom w:val="0"/>
          <w:divBdr>
            <w:top w:val="none" w:sz="0" w:space="0" w:color="auto"/>
            <w:left w:val="none" w:sz="0" w:space="0" w:color="auto"/>
            <w:bottom w:val="none" w:sz="0" w:space="0" w:color="auto"/>
            <w:right w:val="none" w:sz="0" w:space="0" w:color="auto"/>
          </w:divBdr>
        </w:div>
        <w:div w:id="299532174">
          <w:marLeft w:val="0"/>
          <w:marRight w:val="0"/>
          <w:marTop w:val="0"/>
          <w:marBottom w:val="0"/>
          <w:divBdr>
            <w:top w:val="none" w:sz="0" w:space="0" w:color="auto"/>
            <w:left w:val="none" w:sz="0" w:space="0" w:color="auto"/>
            <w:bottom w:val="none" w:sz="0" w:space="0" w:color="auto"/>
            <w:right w:val="none" w:sz="0" w:space="0" w:color="auto"/>
          </w:divBdr>
        </w:div>
        <w:div w:id="130489106">
          <w:marLeft w:val="0"/>
          <w:marRight w:val="0"/>
          <w:marTop w:val="0"/>
          <w:marBottom w:val="0"/>
          <w:divBdr>
            <w:top w:val="none" w:sz="0" w:space="0" w:color="auto"/>
            <w:left w:val="none" w:sz="0" w:space="0" w:color="auto"/>
            <w:bottom w:val="none" w:sz="0" w:space="0" w:color="auto"/>
            <w:right w:val="none" w:sz="0" w:space="0" w:color="auto"/>
          </w:divBdr>
        </w:div>
        <w:div w:id="370687370">
          <w:marLeft w:val="0"/>
          <w:marRight w:val="0"/>
          <w:marTop w:val="0"/>
          <w:marBottom w:val="0"/>
          <w:divBdr>
            <w:top w:val="none" w:sz="0" w:space="0" w:color="auto"/>
            <w:left w:val="none" w:sz="0" w:space="0" w:color="auto"/>
            <w:bottom w:val="none" w:sz="0" w:space="0" w:color="auto"/>
            <w:right w:val="none" w:sz="0" w:space="0" w:color="auto"/>
          </w:divBdr>
        </w:div>
      </w:divsChild>
    </w:div>
    <w:div w:id="1657033126">
      <w:bodyDiv w:val="1"/>
      <w:marLeft w:val="0"/>
      <w:marRight w:val="0"/>
      <w:marTop w:val="0"/>
      <w:marBottom w:val="0"/>
      <w:divBdr>
        <w:top w:val="none" w:sz="0" w:space="0" w:color="auto"/>
        <w:left w:val="none" w:sz="0" w:space="0" w:color="auto"/>
        <w:bottom w:val="none" w:sz="0" w:space="0" w:color="auto"/>
        <w:right w:val="none" w:sz="0" w:space="0" w:color="auto"/>
      </w:divBdr>
      <w:divsChild>
        <w:div w:id="1063794264">
          <w:marLeft w:val="0"/>
          <w:marRight w:val="0"/>
          <w:marTop w:val="0"/>
          <w:marBottom w:val="0"/>
          <w:divBdr>
            <w:top w:val="none" w:sz="0" w:space="0" w:color="auto"/>
            <w:left w:val="none" w:sz="0" w:space="0" w:color="auto"/>
            <w:bottom w:val="none" w:sz="0" w:space="0" w:color="auto"/>
            <w:right w:val="none" w:sz="0" w:space="0" w:color="auto"/>
          </w:divBdr>
          <w:divsChild>
            <w:div w:id="1194264651">
              <w:marLeft w:val="0"/>
              <w:marRight w:val="0"/>
              <w:marTop w:val="0"/>
              <w:marBottom w:val="0"/>
              <w:divBdr>
                <w:top w:val="none" w:sz="0" w:space="0" w:color="auto"/>
                <w:left w:val="none" w:sz="0" w:space="0" w:color="auto"/>
                <w:bottom w:val="none" w:sz="0" w:space="0" w:color="auto"/>
                <w:right w:val="none" w:sz="0" w:space="0" w:color="auto"/>
              </w:divBdr>
              <w:divsChild>
                <w:div w:id="1845825899">
                  <w:marLeft w:val="0"/>
                  <w:marRight w:val="0"/>
                  <w:marTop w:val="0"/>
                  <w:marBottom w:val="0"/>
                  <w:divBdr>
                    <w:top w:val="none" w:sz="0" w:space="0" w:color="auto"/>
                    <w:left w:val="none" w:sz="0" w:space="0" w:color="auto"/>
                    <w:bottom w:val="none" w:sz="0" w:space="0" w:color="auto"/>
                    <w:right w:val="none" w:sz="0" w:space="0" w:color="auto"/>
                  </w:divBdr>
                  <w:divsChild>
                    <w:div w:id="132365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653338">
      <w:bodyDiv w:val="1"/>
      <w:marLeft w:val="0"/>
      <w:marRight w:val="0"/>
      <w:marTop w:val="0"/>
      <w:marBottom w:val="0"/>
      <w:divBdr>
        <w:top w:val="none" w:sz="0" w:space="0" w:color="auto"/>
        <w:left w:val="none" w:sz="0" w:space="0" w:color="auto"/>
        <w:bottom w:val="none" w:sz="0" w:space="0" w:color="auto"/>
        <w:right w:val="none" w:sz="0" w:space="0" w:color="auto"/>
      </w:divBdr>
      <w:divsChild>
        <w:div w:id="1124034648">
          <w:marLeft w:val="0"/>
          <w:marRight w:val="0"/>
          <w:marTop w:val="0"/>
          <w:marBottom w:val="0"/>
          <w:divBdr>
            <w:top w:val="none" w:sz="0" w:space="0" w:color="auto"/>
            <w:left w:val="none" w:sz="0" w:space="0" w:color="auto"/>
            <w:bottom w:val="none" w:sz="0" w:space="0" w:color="auto"/>
            <w:right w:val="none" w:sz="0" w:space="0" w:color="auto"/>
          </w:divBdr>
        </w:div>
        <w:div w:id="415982411">
          <w:marLeft w:val="0"/>
          <w:marRight w:val="0"/>
          <w:marTop w:val="0"/>
          <w:marBottom w:val="0"/>
          <w:divBdr>
            <w:top w:val="none" w:sz="0" w:space="0" w:color="auto"/>
            <w:left w:val="none" w:sz="0" w:space="0" w:color="auto"/>
            <w:bottom w:val="none" w:sz="0" w:space="0" w:color="auto"/>
            <w:right w:val="none" w:sz="0" w:space="0" w:color="auto"/>
          </w:divBdr>
        </w:div>
        <w:div w:id="1378504050">
          <w:marLeft w:val="0"/>
          <w:marRight w:val="0"/>
          <w:marTop w:val="0"/>
          <w:marBottom w:val="0"/>
          <w:divBdr>
            <w:top w:val="none" w:sz="0" w:space="0" w:color="auto"/>
            <w:left w:val="none" w:sz="0" w:space="0" w:color="auto"/>
            <w:bottom w:val="none" w:sz="0" w:space="0" w:color="auto"/>
            <w:right w:val="none" w:sz="0" w:space="0" w:color="auto"/>
          </w:divBdr>
        </w:div>
        <w:div w:id="886377739">
          <w:marLeft w:val="0"/>
          <w:marRight w:val="0"/>
          <w:marTop w:val="0"/>
          <w:marBottom w:val="0"/>
          <w:divBdr>
            <w:top w:val="none" w:sz="0" w:space="0" w:color="auto"/>
            <w:left w:val="none" w:sz="0" w:space="0" w:color="auto"/>
            <w:bottom w:val="none" w:sz="0" w:space="0" w:color="auto"/>
            <w:right w:val="none" w:sz="0" w:space="0" w:color="auto"/>
          </w:divBdr>
        </w:div>
        <w:div w:id="2069568876">
          <w:marLeft w:val="0"/>
          <w:marRight w:val="0"/>
          <w:marTop w:val="0"/>
          <w:marBottom w:val="0"/>
          <w:divBdr>
            <w:top w:val="none" w:sz="0" w:space="0" w:color="auto"/>
            <w:left w:val="none" w:sz="0" w:space="0" w:color="auto"/>
            <w:bottom w:val="none" w:sz="0" w:space="0" w:color="auto"/>
            <w:right w:val="none" w:sz="0" w:space="0" w:color="auto"/>
          </w:divBdr>
        </w:div>
        <w:div w:id="1143616646">
          <w:marLeft w:val="0"/>
          <w:marRight w:val="0"/>
          <w:marTop w:val="0"/>
          <w:marBottom w:val="0"/>
          <w:divBdr>
            <w:top w:val="none" w:sz="0" w:space="0" w:color="auto"/>
            <w:left w:val="none" w:sz="0" w:space="0" w:color="auto"/>
            <w:bottom w:val="none" w:sz="0" w:space="0" w:color="auto"/>
            <w:right w:val="none" w:sz="0" w:space="0" w:color="auto"/>
          </w:divBdr>
        </w:div>
        <w:div w:id="177428339">
          <w:marLeft w:val="0"/>
          <w:marRight w:val="0"/>
          <w:marTop w:val="0"/>
          <w:marBottom w:val="0"/>
          <w:divBdr>
            <w:top w:val="none" w:sz="0" w:space="0" w:color="auto"/>
            <w:left w:val="none" w:sz="0" w:space="0" w:color="auto"/>
            <w:bottom w:val="none" w:sz="0" w:space="0" w:color="auto"/>
            <w:right w:val="none" w:sz="0" w:space="0" w:color="auto"/>
          </w:divBdr>
        </w:div>
        <w:div w:id="2064937431">
          <w:marLeft w:val="0"/>
          <w:marRight w:val="0"/>
          <w:marTop w:val="0"/>
          <w:marBottom w:val="0"/>
          <w:divBdr>
            <w:top w:val="none" w:sz="0" w:space="0" w:color="auto"/>
            <w:left w:val="none" w:sz="0" w:space="0" w:color="auto"/>
            <w:bottom w:val="none" w:sz="0" w:space="0" w:color="auto"/>
            <w:right w:val="none" w:sz="0" w:space="0" w:color="auto"/>
          </w:divBdr>
        </w:div>
      </w:divsChild>
    </w:div>
    <w:div w:id="1705213412">
      <w:bodyDiv w:val="1"/>
      <w:marLeft w:val="0"/>
      <w:marRight w:val="0"/>
      <w:marTop w:val="0"/>
      <w:marBottom w:val="0"/>
      <w:divBdr>
        <w:top w:val="none" w:sz="0" w:space="0" w:color="auto"/>
        <w:left w:val="none" w:sz="0" w:space="0" w:color="auto"/>
        <w:bottom w:val="none" w:sz="0" w:space="0" w:color="auto"/>
        <w:right w:val="none" w:sz="0" w:space="0" w:color="auto"/>
      </w:divBdr>
    </w:div>
    <w:div w:id="1705708580">
      <w:bodyDiv w:val="1"/>
      <w:marLeft w:val="0"/>
      <w:marRight w:val="0"/>
      <w:marTop w:val="0"/>
      <w:marBottom w:val="0"/>
      <w:divBdr>
        <w:top w:val="none" w:sz="0" w:space="0" w:color="auto"/>
        <w:left w:val="none" w:sz="0" w:space="0" w:color="auto"/>
        <w:bottom w:val="none" w:sz="0" w:space="0" w:color="auto"/>
        <w:right w:val="none" w:sz="0" w:space="0" w:color="auto"/>
      </w:divBdr>
      <w:divsChild>
        <w:div w:id="487602212">
          <w:marLeft w:val="0"/>
          <w:marRight w:val="0"/>
          <w:marTop w:val="0"/>
          <w:marBottom w:val="0"/>
          <w:divBdr>
            <w:top w:val="none" w:sz="0" w:space="0" w:color="auto"/>
            <w:left w:val="none" w:sz="0" w:space="0" w:color="auto"/>
            <w:bottom w:val="none" w:sz="0" w:space="0" w:color="auto"/>
            <w:right w:val="none" w:sz="0" w:space="0" w:color="auto"/>
          </w:divBdr>
        </w:div>
        <w:div w:id="1729842733">
          <w:marLeft w:val="0"/>
          <w:marRight w:val="0"/>
          <w:marTop w:val="0"/>
          <w:marBottom w:val="0"/>
          <w:divBdr>
            <w:top w:val="none" w:sz="0" w:space="0" w:color="auto"/>
            <w:left w:val="none" w:sz="0" w:space="0" w:color="auto"/>
            <w:bottom w:val="none" w:sz="0" w:space="0" w:color="auto"/>
            <w:right w:val="none" w:sz="0" w:space="0" w:color="auto"/>
          </w:divBdr>
        </w:div>
        <w:div w:id="1154370767">
          <w:marLeft w:val="0"/>
          <w:marRight w:val="0"/>
          <w:marTop w:val="0"/>
          <w:marBottom w:val="0"/>
          <w:divBdr>
            <w:top w:val="none" w:sz="0" w:space="0" w:color="auto"/>
            <w:left w:val="none" w:sz="0" w:space="0" w:color="auto"/>
            <w:bottom w:val="none" w:sz="0" w:space="0" w:color="auto"/>
            <w:right w:val="none" w:sz="0" w:space="0" w:color="auto"/>
          </w:divBdr>
        </w:div>
        <w:div w:id="780614680">
          <w:marLeft w:val="0"/>
          <w:marRight w:val="0"/>
          <w:marTop w:val="0"/>
          <w:marBottom w:val="0"/>
          <w:divBdr>
            <w:top w:val="none" w:sz="0" w:space="0" w:color="auto"/>
            <w:left w:val="none" w:sz="0" w:space="0" w:color="auto"/>
            <w:bottom w:val="none" w:sz="0" w:space="0" w:color="auto"/>
            <w:right w:val="none" w:sz="0" w:space="0" w:color="auto"/>
          </w:divBdr>
        </w:div>
        <w:div w:id="1821726987">
          <w:marLeft w:val="0"/>
          <w:marRight w:val="0"/>
          <w:marTop w:val="0"/>
          <w:marBottom w:val="0"/>
          <w:divBdr>
            <w:top w:val="none" w:sz="0" w:space="0" w:color="auto"/>
            <w:left w:val="none" w:sz="0" w:space="0" w:color="auto"/>
            <w:bottom w:val="none" w:sz="0" w:space="0" w:color="auto"/>
            <w:right w:val="none" w:sz="0" w:space="0" w:color="auto"/>
          </w:divBdr>
        </w:div>
        <w:div w:id="378549307">
          <w:marLeft w:val="0"/>
          <w:marRight w:val="0"/>
          <w:marTop w:val="0"/>
          <w:marBottom w:val="0"/>
          <w:divBdr>
            <w:top w:val="none" w:sz="0" w:space="0" w:color="auto"/>
            <w:left w:val="none" w:sz="0" w:space="0" w:color="auto"/>
            <w:bottom w:val="none" w:sz="0" w:space="0" w:color="auto"/>
            <w:right w:val="none" w:sz="0" w:space="0" w:color="auto"/>
          </w:divBdr>
        </w:div>
        <w:div w:id="1111510232">
          <w:marLeft w:val="0"/>
          <w:marRight w:val="0"/>
          <w:marTop w:val="0"/>
          <w:marBottom w:val="0"/>
          <w:divBdr>
            <w:top w:val="none" w:sz="0" w:space="0" w:color="auto"/>
            <w:left w:val="none" w:sz="0" w:space="0" w:color="auto"/>
            <w:bottom w:val="none" w:sz="0" w:space="0" w:color="auto"/>
            <w:right w:val="none" w:sz="0" w:space="0" w:color="auto"/>
          </w:divBdr>
        </w:div>
        <w:div w:id="717822306">
          <w:marLeft w:val="0"/>
          <w:marRight w:val="0"/>
          <w:marTop w:val="0"/>
          <w:marBottom w:val="0"/>
          <w:divBdr>
            <w:top w:val="none" w:sz="0" w:space="0" w:color="auto"/>
            <w:left w:val="none" w:sz="0" w:space="0" w:color="auto"/>
            <w:bottom w:val="none" w:sz="0" w:space="0" w:color="auto"/>
            <w:right w:val="none" w:sz="0" w:space="0" w:color="auto"/>
          </w:divBdr>
        </w:div>
        <w:div w:id="1267302275">
          <w:marLeft w:val="0"/>
          <w:marRight w:val="0"/>
          <w:marTop w:val="0"/>
          <w:marBottom w:val="0"/>
          <w:divBdr>
            <w:top w:val="none" w:sz="0" w:space="0" w:color="auto"/>
            <w:left w:val="none" w:sz="0" w:space="0" w:color="auto"/>
            <w:bottom w:val="none" w:sz="0" w:space="0" w:color="auto"/>
            <w:right w:val="none" w:sz="0" w:space="0" w:color="auto"/>
          </w:divBdr>
        </w:div>
        <w:div w:id="1863784969">
          <w:marLeft w:val="0"/>
          <w:marRight w:val="0"/>
          <w:marTop w:val="0"/>
          <w:marBottom w:val="0"/>
          <w:divBdr>
            <w:top w:val="none" w:sz="0" w:space="0" w:color="auto"/>
            <w:left w:val="none" w:sz="0" w:space="0" w:color="auto"/>
            <w:bottom w:val="none" w:sz="0" w:space="0" w:color="auto"/>
            <w:right w:val="none" w:sz="0" w:space="0" w:color="auto"/>
          </w:divBdr>
        </w:div>
        <w:div w:id="1529293014">
          <w:marLeft w:val="0"/>
          <w:marRight w:val="0"/>
          <w:marTop w:val="0"/>
          <w:marBottom w:val="0"/>
          <w:divBdr>
            <w:top w:val="none" w:sz="0" w:space="0" w:color="auto"/>
            <w:left w:val="none" w:sz="0" w:space="0" w:color="auto"/>
            <w:bottom w:val="none" w:sz="0" w:space="0" w:color="auto"/>
            <w:right w:val="none" w:sz="0" w:space="0" w:color="auto"/>
          </w:divBdr>
        </w:div>
        <w:div w:id="561408544">
          <w:marLeft w:val="0"/>
          <w:marRight w:val="0"/>
          <w:marTop w:val="0"/>
          <w:marBottom w:val="0"/>
          <w:divBdr>
            <w:top w:val="none" w:sz="0" w:space="0" w:color="auto"/>
            <w:left w:val="none" w:sz="0" w:space="0" w:color="auto"/>
            <w:bottom w:val="none" w:sz="0" w:space="0" w:color="auto"/>
            <w:right w:val="none" w:sz="0" w:space="0" w:color="auto"/>
          </w:divBdr>
        </w:div>
        <w:div w:id="78255508">
          <w:marLeft w:val="0"/>
          <w:marRight w:val="0"/>
          <w:marTop w:val="0"/>
          <w:marBottom w:val="0"/>
          <w:divBdr>
            <w:top w:val="none" w:sz="0" w:space="0" w:color="auto"/>
            <w:left w:val="none" w:sz="0" w:space="0" w:color="auto"/>
            <w:bottom w:val="none" w:sz="0" w:space="0" w:color="auto"/>
            <w:right w:val="none" w:sz="0" w:space="0" w:color="auto"/>
          </w:divBdr>
        </w:div>
        <w:div w:id="1634939874">
          <w:marLeft w:val="0"/>
          <w:marRight w:val="0"/>
          <w:marTop w:val="0"/>
          <w:marBottom w:val="0"/>
          <w:divBdr>
            <w:top w:val="none" w:sz="0" w:space="0" w:color="auto"/>
            <w:left w:val="none" w:sz="0" w:space="0" w:color="auto"/>
            <w:bottom w:val="none" w:sz="0" w:space="0" w:color="auto"/>
            <w:right w:val="none" w:sz="0" w:space="0" w:color="auto"/>
          </w:divBdr>
        </w:div>
        <w:div w:id="1829907645">
          <w:marLeft w:val="0"/>
          <w:marRight w:val="0"/>
          <w:marTop w:val="0"/>
          <w:marBottom w:val="0"/>
          <w:divBdr>
            <w:top w:val="none" w:sz="0" w:space="0" w:color="auto"/>
            <w:left w:val="none" w:sz="0" w:space="0" w:color="auto"/>
            <w:bottom w:val="none" w:sz="0" w:space="0" w:color="auto"/>
            <w:right w:val="none" w:sz="0" w:space="0" w:color="auto"/>
          </w:divBdr>
        </w:div>
        <w:div w:id="1737430774">
          <w:marLeft w:val="0"/>
          <w:marRight w:val="0"/>
          <w:marTop w:val="0"/>
          <w:marBottom w:val="0"/>
          <w:divBdr>
            <w:top w:val="none" w:sz="0" w:space="0" w:color="auto"/>
            <w:left w:val="none" w:sz="0" w:space="0" w:color="auto"/>
            <w:bottom w:val="none" w:sz="0" w:space="0" w:color="auto"/>
            <w:right w:val="none" w:sz="0" w:space="0" w:color="auto"/>
          </w:divBdr>
        </w:div>
      </w:divsChild>
    </w:div>
    <w:div w:id="1706519833">
      <w:bodyDiv w:val="1"/>
      <w:marLeft w:val="0"/>
      <w:marRight w:val="0"/>
      <w:marTop w:val="0"/>
      <w:marBottom w:val="0"/>
      <w:divBdr>
        <w:top w:val="none" w:sz="0" w:space="0" w:color="auto"/>
        <w:left w:val="none" w:sz="0" w:space="0" w:color="auto"/>
        <w:bottom w:val="none" w:sz="0" w:space="0" w:color="auto"/>
        <w:right w:val="none" w:sz="0" w:space="0" w:color="auto"/>
      </w:divBdr>
      <w:divsChild>
        <w:div w:id="539972119">
          <w:marLeft w:val="0"/>
          <w:marRight w:val="0"/>
          <w:marTop w:val="0"/>
          <w:marBottom w:val="0"/>
          <w:divBdr>
            <w:top w:val="none" w:sz="0" w:space="0" w:color="auto"/>
            <w:left w:val="none" w:sz="0" w:space="0" w:color="auto"/>
            <w:bottom w:val="none" w:sz="0" w:space="0" w:color="auto"/>
            <w:right w:val="none" w:sz="0" w:space="0" w:color="auto"/>
          </w:divBdr>
          <w:divsChild>
            <w:div w:id="1832794033">
              <w:marLeft w:val="0"/>
              <w:marRight w:val="0"/>
              <w:marTop w:val="0"/>
              <w:marBottom w:val="0"/>
              <w:divBdr>
                <w:top w:val="none" w:sz="0" w:space="0" w:color="auto"/>
                <w:left w:val="none" w:sz="0" w:space="0" w:color="auto"/>
                <w:bottom w:val="none" w:sz="0" w:space="0" w:color="auto"/>
                <w:right w:val="none" w:sz="0" w:space="0" w:color="auto"/>
              </w:divBdr>
              <w:divsChild>
                <w:div w:id="874854273">
                  <w:marLeft w:val="0"/>
                  <w:marRight w:val="0"/>
                  <w:marTop w:val="0"/>
                  <w:marBottom w:val="0"/>
                  <w:divBdr>
                    <w:top w:val="none" w:sz="0" w:space="0" w:color="auto"/>
                    <w:left w:val="none" w:sz="0" w:space="0" w:color="auto"/>
                    <w:bottom w:val="none" w:sz="0" w:space="0" w:color="auto"/>
                    <w:right w:val="none" w:sz="0" w:space="0" w:color="auto"/>
                  </w:divBdr>
                  <w:divsChild>
                    <w:div w:id="210379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4423303">
      <w:bodyDiv w:val="1"/>
      <w:marLeft w:val="0"/>
      <w:marRight w:val="0"/>
      <w:marTop w:val="0"/>
      <w:marBottom w:val="0"/>
      <w:divBdr>
        <w:top w:val="none" w:sz="0" w:space="0" w:color="auto"/>
        <w:left w:val="none" w:sz="0" w:space="0" w:color="auto"/>
        <w:bottom w:val="none" w:sz="0" w:space="0" w:color="auto"/>
        <w:right w:val="none" w:sz="0" w:space="0" w:color="auto"/>
      </w:divBdr>
    </w:div>
    <w:div w:id="1789616910">
      <w:bodyDiv w:val="1"/>
      <w:marLeft w:val="0"/>
      <w:marRight w:val="0"/>
      <w:marTop w:val="0"/>
      <w:marBottom w:val="0"/>
      <w:divBdr>
        <w:top w:val="none" w:sz="0" w:space="0" w:color="auto"/>
        <w:left w:val="none" w:sz="0" w:space="0" w:color="auto"/>
        <w:bottom w:val="none" w:sz="0" w:space="0" w:color="auto"/>
        <w:right w:val="none" w:sz="0" w:space="0" w:color="auto"/>
      </w:divBdr>
      <w:divsChild>
        <w:div w:id="1436829840">
          <w:marLeft w:val="480"/>
          <w:marRight w:val="0"/>
          <w:marTop w:val="0"/>
          <w:marBottom w:val="0"/>
          <w:divBdr>
            <w:top w:val="none" w:sz="0" w:space="0" w:color="auto"/>
            <w:left w:val="none" w:sz="0" w:space="0" w:color="auto"/>
            <w:bottom w:val="none" w:sz="0" w:space="0" w:color="auto"/>
            <w:right w:val="none" w:sz="0" w:space="0" w:color="auto"/>
          </w:divBdr>
          <w:divsChild>
            <w:div w:id="24021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012239">
      <w:bodyDiv w:val="1"/>
      <w:marLeft w:val="0"/>
      <w:marRight w:val="0"/>
      <w:marTop w:val="0"/>
      <w:marBottom w:val="0"/>
      <w:divBdr>
        <w:top w:val="none" w:sz="0" w:space="0" w:color="auto"/>
        <w:left w:val="none" w:sz="0" w:space="0" w:color="auto"/>
        <w:bottom w:val="none" w:sz="0" w:space="0" w:color="auto"/>
        <w:right w:val="none" w:sz="0" w:space="0" w:color="auto"/>
      </w:divBdr>
      <w:divsChild>
        <w:div w:id="2090417226">
          <w:marLeft w:val="0"/>
          <w:marRight w:val="0"/>
          <w:marTop w:val="0"/>
          <w:marBottom w:val="0"/>
          <w:divBdr>
            <w:top w:val="none" w:sz="0" w:space="0" w:color="auto"/>
            <w:left w:val="none" w:sz="0" w:space="0" w:color="auto"/>
            <w:bottom w:val="none" w:sz="0" w:space="0" w:color="auto"/>
            <w:right w:val="none" w:sz="0" w:space="0" w:color="auto"/>
          </w:divBdr>
        </w:div>
        <w:div w:id="83579462">
          <w:marLeft w:val="0"/>
          <w:marRight w:val="0"/>
          <w:marTop w:val="0"/>
          <w:marBottom w:val="0"/>
          <w:divBdr>
            <w:top w:val="none" w:sz="0" w:space="0" w:color="auto"/>
            <w:left w:val="none" w:sz="0" w:space="0" w:color="auto"/>
            <w:bottom w:val="none" w:sz="0" w:space="0" w:color="auto"/>
            <w:right w:val="none" w:sz="0" w:space="0" w:color="auto"/>
          </w:divBdr>
        </w:div>
        <w:div w:id="1462922719">
          <w:marLeft w:val="0"/>
          <w:marRight w:val="0"/>
          <w:marTop w:val="0"/>
          <w:marBottom w:val="0"/>
          <w:divBdr>
            <w:top w:val="none" w:sz="0" w:space="0" w:color="auto"/>
            <w:left w:val="none" w:sz="0" w:space="0" w:color="auto"/>
            <w:bottom w:val="none" w:sz="0" w:space="0" w:color="auto"/>
            <w:right w:val="none" w:sz="0" w:space="0" w:color="auto"/>
          </w:divBdr>
        </w:div>
        <w:div w:id="951859193">
          <w:marLeft w:val="0"/>
          <w:marRight w:val="0"/>
          <w:marTop w:val="0"/>
          <w:marBottom w:val="0"/>
          <w:divBdr>
            <w:top w:val="none" w:sz="0" w:space="0" w:color="auto"/>
            <w:left w:val="none" w:sz="0" w:space="0" w:color="auto"/>
            <w:bottom w:val="none" w:sz="0" w:space="0" w:color="auto"/>
            <w:right w:val="none" w:sz="0" w:space="0" w:color="auto"/>
          </w:divBdr>
        </w:div>
        <w:div w:id="1889679258">
          <w:marLeft w:val="0"/>
          <w:marRight w:val="0"/>
          <w:marTop w:val="0"/>
          <w:marBottom w:val="0"/>
          <w:divBdr>
            <w:top w:val="none" w:sz="0" w:space="0" w:color="auto"/>
            <w:left w:val="none" w:sz="0" w:space="0" w:color="auto"/>
            <w:bottom w:val="none" w:sz="0" w:space="0" w:color="auto"/>
            <w:right w:val="none" w:sz="0" w:space="0" w:color="auto"/>
          </w:divBdr>
        </w:div>
        <w:div w:id="873078411">
          <w:marLeft w:val="0"/>
          <w:marRight w:val="0"/>
          <w:marTop w:val="0"/>
          <w:marBottom w:val="0"/>
          <w:divBdr>
            <w:top w:val="none" w:sz="0" w:space="0" w:color="auto"/>
            <w:left w:val="none" w:sz="0" w:space="0" w:color="auto"/>
            <w:bottom w:val="none" w:sz="0" w:space="0" w:color="auto"/>
            <w:right w:val="none" w:sz="0" w:space="0" w:color="auto"/>
          </w:divBdr>
        </w:div>
        <w:div w:id="1046219180">
          <w:marLeft w:val="0"/>
          <w:marRight w:val="0"/>
          <w:marTop w:val="0"/>
          <w:marBottom w:val="0"/>
          <w:divBdr>
            <w:top w:val="none" w:sz="0" w:space="0" w:color="auto"/>
            <w:left w:val="none" w:sz="0" w:space="0" w:color="auto"/>
            <w:bottom w:val="none" w:sz="0" w:space="0" w:color="auto"/>
            <w:right w:val="none" w:sz="0" w:space="0" w:color="auto"/>
          </w:divBdr>
        </w:div>
        <w:div w:id="142893218">
          <w:marLeft w:val="0"/>
          <w:marRight w:val="0"/>
          <w:marTop w:val="0"/>
          <w:marBottom w:val="0"/>
          <w:divBdr>
            <w:top w:val="none" w:sz="0" w:space="0" w:color="auto"/>
            <w:left w:val="none" w:sz="0" w:space="0" w:color="auto"/>
            <w:bottom w:val="none" w:sz="0" w:space="0" w:color="auto"/>
            <w:right w:val="none" w:sz="0" w:space="0" w:color="auto"/>
          </w:divBdr>
        </w:div>
        <w:div w:id="1210997833">
          <w:marLeft w:val="0"/>
          <w:marRight w:val="0"/>
          <w:marTop w:val="0"/>
          <w:marBottom w:val="0"/>
          <w:divBdr>
            <w:top w:val="none" w:sz="0" w:space="0" w:color="auto"/>
            <w:left w:val="none" w:sz="0" w:space="0" w:color="auto"/>
            <w:bottom w:val="none" w:sz="0" w:space="0" w:color="auto"/>
            <w:right w:val="none" w:sz="0" w:space="0" w:color="auto"/>
          </w:divBdr>
        </w:div>
        <w:div w:id="228807912">
          <w:marLeft w:val="0"/>
          <w:marRight w:val="0"/>
          <w:marTop w:val="0"/>
          <w:marBottom w:val="0"/>
          <w:divBdr>
            <w:top w:val="none" w:sz="0" w:space="0" w:color="auto"/>
            <w:left w:val="none" w:sz="0" w:space="0" w:color="auto"/>
            <w:bottom w:val="none" w:sz="0" w:space="0" w:color="auto"/>
            <w:right w:val="none" w:sz="0" w:space="0" w:color="auto"/>
          </w:divBdr>
        </w:div>
        <w:div w:id="1879926885">
          <w:marLeft w:val="0"/>
          <w:marRight w:val="0"/>
          <w:marTop w:val="0"/>
          <w:marBottom w:val="0"/>
          <w:divBdr>
            <w:top w:val="none" w:sz="0" w:space="0" w:color="auto"/>
            <w:left w:val="none" w:sz="0" w:space="0" w:color="auto"/>
            <w:bottom w:val="none" w:sz="0" w:space="0" w:color="auto"/>
            <w:right w:val="none" w:sz="0" w:space="0" w:color="auto"/>
          </w:divBdr>
        </w:div>
        <w:div w:id="324479495">
          <w:marLeft w:val="0"/>
          <w:marRight w:val="0"/>
          <w:marTop w:val="0"/>
          <w:marBottom w:val="0"/>
          <w:divBdr>
            <w:top w:val="none" w:sz="0" w:space="0" w:color="auto"/>
            <w:left w:val="none" w:sz="0" w:space="0" w:color="auto"/>
            <w:bottom w:val="none" w:sz="0" w:space="0" w:color="auto"/>
            <w:right w:val="none" w:sz="0" w:space="0" w:color="auto"/>
          </w:divBdr>
        </w:div>
      </w:divsChild>
    </w:div>
    <w:div w:id="1827670840">
      <w:bodyDiv w:val="1"/>
      <w:marLeft w:val="0"/>
      <w:marRight w:val="0"/>
      <w:marTop w:val="0"/>
      <w:marBottom w:val="0"/>
      <w:divBdr>
        <w:top w:val="none" w:sz="0" w:space="0" w:color="auto"/>
        <w:left w:val="none" w:sz="0" w:space="0" w:color="auto"/>
        <w:bottom w:val="none" w:sz="0" w:space="0" w:color="auto"/>
        <w:right w:val="none" w:sz="0" w:space="0" w:color="auto"/>
      </w:divBdr>
      <w:divsChild>
        <w:div w:id="1776555376">
          <w:marLeft w:val="480"/>
          <w:marRight w:val="0"/>
          <w:marTop w:val="0"/>
          <w:marBottom w:val="0"/>
          <w:divBdr>
            <w:top w:val="none" w:sz="0" w:space="0" w:color="auto"/>
            <w:left w:val="none" w:sz="0" w:space="0" w:color="auto"/>
            <w:bottom w:val="none" w:sz="0" w:space="0" w:color="auto"/>
            <w:right w:val="none" w:sz="0" w:space="0" w:color="auto"/>
          </w:divBdr>
          <w:divsChild>
            <w:div w:id="207639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860625">
      <w:bodyDiv w:val="1"/>
      <w:marLeft w:val="0"/>
      <w:marRight w:val="0"/>
      <w:marTop w:val="0"/>
      <w:marBottom w:val="0"/>
      <w:divBdr>
        <w:top w:val="none" w:sz="0" w:space="0" w:color="auto"/>
        <w:left w:val="none" w:sz="0" w:space="0" w:color="auto"/>
        <w:bottom w:val="none" w:sz="0" w:space="0" w:color="auto"/>
        <w:right w:val="none" w:sz="0" w:space="0" w:color="auto"/>
      </w:divBdr>
      <w:divsChild>
        <w:div w:id="1195582725">
          <w:marLeft w:val="0"/>
          <w:marRight w:val="0"/>
          <w:marTop w:val="0"/>
          <w:marBottom w:val="0"/>
          <w:divBdr>
            <w:top w:val="none" w:sz="0" w:space="0" w:color="auto"/>
            <w:left w:val="none" w:sz="0" w:space="0" w:color="auto"/>
            <w:bottom w:val="none" w:sz="0" w:space="0" w:color="auto"/>
            <w:right w:val="none" w:sz="0" w:space="0" w:color="auto"/>
          </w:divBdr>
        </w:div>
        <w:div w:id="1078212818">
          <w:marLeft w:val="0"/>
          <w:marRight w:val="0"/>
          <w:marTop w:val="0"/>
          <w:marBottom w:val="0"/>
          <w:divBdr>
            <w:top w:val="none" w:sz="0" w:space="0" w:color="auto"/>
            <w:left w:val="none" w:sz="0" w:space="0" w:color="auto"/>
            <w:bottom w:val="none" w:sz="0" w:space="0" w:color="auto"/>
            <w:right w:val="none" w:sz="0" w:space="0" w:color="auto"/>
          </w:divBdr>
        </w:div>
        <w:div w:id="1988317539">
          <w:marLeft w:val="0"/>
          <w:marRight w:val="0"/>
          <w:marTop w:val="0"/>
          <w:marBottom w:val="0"/>
          <w:divBdr>
            <w:top w:val="none" w:sz="0" w:space="0" w:color="auto"/>
            <w:left w:val="none" w:sz="0" w:space="0" w:color="auto"/>
            <w:bottom w:val="none" w:sz="0" w:space="0" w:color="auto"/>
            <w:right w:val="none" w:sz="0" w:space="0" w:color="auto"/>
          </w:divBdr>
        </w:div>
        <w:div w:id="1611475474">
          <w:marLeft w:val="0"/>
          <w:marRight w:val="0"/>
          <w:marTop w:val="0"/>
          <w:marBottom w:val="0"/>
          <w:divBdr>
            <w:top w:val="none" w:sz="0" w:space="0" w:color="auto"/>
            <w:left w:val="none" w:sz="0" w:space="0" w:color="auto"/>
            <w:bottom w:val="none" w:sz="0" w:space="0" w:color="auto"/>
            <w:right w:val="none" w:sz="0" w:space="0" w:color="auto"/>
          </w:divBdr>
        </w:div>
        <w:div w:id="40519074">
          <w:marLeft w:val="0"/>
          <w:marRight w:val="0"/>
          <w:marTop w:val="0"/>
          <w:marBottom w:val="0"/>
          <w:divBdr>
            <w:top w:val="none" w:sz="0" w:space="0" w:color="auto"/>
            <w:left w:val="none" w:sz="0" w:space="0" w:color="auto"/>
            <w:bottom w:val="none" w:sz="0" w:space="0" w:color="auto"/>
            <w:right w:val="none" w:sz="0" w:space="0" w:color="auto"/>
          </w:divBdr>
        </w:div>
        <w:div w:id="109665791">
          <w:marLeft w:val="0"/>
          <w:marRight w:val="0"/>
          <w:marTop w:val="0"/>
          <w:marBottom w:val="0"/>
          <w:divBdr>
            <w:top w:val="none" w:sz="0" w:space="0" w:color="auto"/>
            <w:left w:val="none" w:sz="0" w:space="0" w:color="auto"/>
            <w:bottom w:val="none" w:sz="0" w:space="0" w:color="auto"/>
            <w:right w:val="none" w:sz="0" w:space="0" w:color="auto"/>
          </w:divBdr>
        </w:div>
        <w:div w:id="291642876">
          <w:marLeft w:val="0"/>
          <w:marRight w:val="0"/>
          <w:marTop w:val="0"/>
          <w:marBottom w:val="0"/>
          <w:divBdr>
            <w:top w:val="none" w:sz="0" w:space="0" w:color="auto"/>
            <w:left w:val="none" w:sz="0" w:space="0" w:color="auto"/>
            <w:bottom w:val="none" w:sz="0" w:space="0" w:color="auto"/>
            <w:right w:val="none" w:sz="0" w:space="0" w:color="auto"/>
          </w:divBdr>
        </w:div>
        <w:div w:id="1470367869">
          <w:marLeft w:val="0"/>
          <w:marRight w:val="0"/>
          <w:marTop w:val="0"/>
          <w:marBottom w:val="0"/>
          <w:divBdr>
            <w:top w:val="none" w:sz="0" w:space="0" w:color="auto"/>
            <w:left w:val="none" w:sz="0" w:space="0" w:color="auto"/>
            <w:bottom w:val="none" w:sz="0" w:space="0" w:color="auto"/>
            <w:right w:val="none" w:sz="0" w:space="0" w:color="auto"/>
          </w:divBdr>
        </w:div>
        <w:div w:id="790901549">
          <w:marLeft w:val="0"/>
          <w:marRight w:val="0"/>
          <w:marTop w:val="0"/>
          <w:marBottom w:val="0"/>
          <w:divBdr>
            <w:top w:val="none" w:sz="0" w:space="0" w:color="auto"/>
            <w:left w:val="none" w:sz="0" w:space="0" w:color="auto"/>
            <w:bottom w:val="none" w:sz="0" w:space="0" w:color="auto"/>
            <w:right w:val="none" w:sz="0" w:space="0" w:color="auto"/>
          </w:divBdr>
        </w:div>
        <w:div w:id="1874423429">
          <w:marLeft w:val="0"/>
          <w:marRight w:val="0"/>
          <w:marTop w:val="0"/>
          <w:marBottom w:val="0"/>
          <w:divBdr>
            <w:top w:val="none" w:sz="0" w:space="0" w:color="auto"/>
            <w:left w:val="none" w:sz="0" w:space="0" w:color="auto"/>
            <w:bottom w:val="none" w:sz="0" w:space="0" w:color="auto"/>
            <w:right w:val="none" w:sz="0" w:space="0" w:color="auto"/>
          </w:divBdr>
        </w:div>
        <w:div w:id="2106026445">
          <w:marLeft w:val="0"/>
          <w:marRight w:val="0"/>
          <w:marTop w:val="0"/>
          <w:marBottom w:val="0"/>
          <w:divBdr>
            <w:top w:val="none" w:sz="0" w:space="0" w:color="auto"/>
            <w:left w:val="none" w:sz="0" w:space="0" w:color="auto"/>
            <w:bottom w:val="none" w:sz="0" w:space="0" w:color="auto"/>
            <w:right w:val="none" w:sz="0" w:space="0" w:color="auto"/>
          </w:divBdr>
        </w:div>
        <w:div w:id="1948344612">
          <w:marLeft w:val="0"/>
          <w:marRight w:val="0"/>
          <w:marTop w:val="0"/>
          <w:marBottom w:val="0"/>
          <w:divBdr>
            <w:top w:val="none" w:sz="0" w:space="0" w:color="auto"/>
            <w:left w:val="none" w:sz="0" w:space="0" w:color="auto"/>
            <w:bottom w:val="none" w:sz="0" w:space="0" w:color="auto"/>
            <w:right w:val="none" w:sz="0" w:space="0" w:color="auto"/>
          </w:divBdr>
        </w:div>
        <w:div w:id="1310936852">
          <w:marLeft w:val="0"/>
          <w:marRight w:val="0"/>
          <w:marTop w:val="0"/>
          <w:marBottom w:val="0"/>
          <w:divBdr>
            <w:top w:val="none" w:sz="0" w:space="0" w:color="auto"/>
            <w:left w:val="none" w:sz="0" w:space="0" w:color="auto"/>
            <w:bottom w:val="none" w:sz="0" w:space="0" w:color="auto"/>
            <w:right w:val="none" w:sz="0" w:space="0" w:color="auto"/>
          </w:divBdr>
        </w:div>
        <w:div w:id="1438986926">
          <w:marLeft w:val="0"/>
          <w:marRight w:val="0"/>
          <w:marTop w:val="0"/>
          <w:marBottom w:val="0"/>
          <w:divBdr>
            <w:top w:val="none" w:sz="0" w:space="0" w:color="auto"/>
            <w:left w:val="none" w:sz="0" w:space="0" w:color="auto"/>
            <w:bottom w:val="none" w:sz="0" w:space="0" w:color="auto"/>
            <w:right w:val="none" w:sz="0" w:space="0" w:color="auto"/>
          </w:divBdr>
        </w:div>
        <w:div w:id="1546139619">
          <w:marLeft w:val="0"/>
          <w:marRight w:val="0"/>
          <w:marTop w:val="0"/>
          <w:marBottom w:val="0"/>
          <w:divBdr>
            <w:top w:val="none" w:sz="0" w:space="0" w:color="auto"/>
            <w:left w:val="none" w:sz="0" w:space="0" w:color="auto"/>
            <w:bottom w:val="none" w:sz="0" w:space="0" w:color="auto"/>
            <w:right w:val="none" w:sz="0" w:space="0" w:color="auto"/>
          </w:divBdr>
        </w:div>
        <w:div w:id="465658426">
          <w:marLeft w:val="0"/>
          <w:marRight w:val="0"/>
          <w:marTop w:val="0"/>
          <w:marBottom w:val="0"/>
          <w:divBdr>
            <w:top w:val="none" w:sz="0" w:space="0" w:color="auto"/>
            <w:left w:val="none" w:sz="0" w:space="0" w:color="auto"/>
            <w:bottom w:val="none" w:sz="0" w:space="0" w:color="auto"/>
            <w:right w:val="none" w:sz="0" w:space="0" w:color="auto"/>
          </w:divBdr>
        </w:div>
      </w:divsChild>
    </w:div>
    <w:div w:id="1833446419">
      <w:bodyDiv w:val="1"/>
      <w:marLeft w:val="0"/>
      <w:marRight w:val="0"/>
      <w:marTop w:val="0"/>
      <w:marBottom w:val="0"/>
      <w:divBdr>
        <w:top w:val="none" w:sz="0" w:space="0" w:color="auto"/>
        <w:left w:val="none" w:sz="0" w:space="0" w:color="auto"/>
        <w:bottom w:val="none" w:sz="0" w:space="0" w:color="auto"/>
        <w:right w:val="none" w:sz="0" w:space="0" w:color="auto"/>
      </w:divBdr>
      <w:divsChild>
        <w:div w:id="232009228">
          <w:marLeft w:val="0"/>
          <w:marRight w:val="0"/>
          <w:marTop w:val="0"/>
          <w:marBottom w:val="0"/>
          <w:divBdr>
            <w:top w:val="none" w:sz="0" w:space="0" w:color="auto"/>
            <w:left w:val="none" w:sz="0" w:space="0" w:color="auto"/>
            <w:bottom w:val="none" w:sz="0" w:space="0" w:color="auto"/>
            <w:right w:val="none" w:sz="0" w:space="0" w:color="auto"/>
          </w:divBdr>
        </w:div>
        <w:div w:id="675226730">
          <w:marLeft w:val="0"/>
          <w:marRight w:val="0"/>
          <w:marTop w:val="0"/>
          <w:marBottom w:val="0"/>
          <w:divBdr>
            <w:top w:val="none" w:sz="0" w:space="0" w:color="auto"/>
            <w:left w:val="none" w:sz="0" w:space="0" w:color="auto"/>
            <w:bottom w:val="none" w:sz="0" w:space="0" w:color="auto"/>
            <w:right w:val="none" w:sz="0" w:space="0" w:color="auto"/>
          </w:divBdr>
        </w:div>
        <w:div w:id="108354234">
          <w:marLeft w:val="0"/>
          <w:marRight w:val="0"/>
          <w:marTop w:val="0"/>
          <w:marBottom w:val="0"/>
          <w:divBdr>
            <w:top w:val="none" w:sz="0" w:space="0" w:color="auto"/>
            <w:left w:val="none" w:sz="0" w:space="0" w:color="auto"/>
            <w:bottom w:val="none" w:sz="0" w:space="0" w:color="auto"/>
            <w:right w:val="none" w:sz="0" w:space="0" w:color="auto"/>
          </w:divBdr>
        </w:div>
        <w:div w:id="735013601">
          <w:marLeft w:val="0"/>
          <w:marRight w:val="0"/>
          <w:marTop w:val="0"/>
          <w:marBottom w:val="0"/>
          <w:divBdr>
            <w:top w:val="none" w:sz="0" w:space="0" w:color="auto"/>
            <w:left w:val="none" w:sz="0" w:space="0" w:color="auto"/>
            <w:bottom w:val="none" w:sz="0" w:space="0" w:color="auto"/>
            <w:right w:val="none" w:sz="0" w:space="0" w:color="auto"/>
          </w:divBdr>
        </w:div>
        <w:div w:id="1362629380">
          <w:marLeft w:val="0"/>
          <w:marRight w:val="0"/>
          <w:marTop w:val="0"/>
          <w:marBottom w:val="0"/>
          <w:divBdr>
            <w:top w:val="none" w:sz="0" w:space="0" w:color="auto"/>
            <w:left w:val="none" w:sz="0" w:space="0" w:color="auto"/>
            <w:bottom w:val="none" w:sz="0" w:space="0" w:color="auto"/>
            <w:right w:val="none" w:sz="0" w:space="0" w:color="auto"/>
          </w:divBdr>
        </w:div>
        <w:div w:id="98062619">
          <w:marLeft w:val="0"/>
          <w:marRight w:val="0"/>
          <w:marTop w:val="0"/>
          <w:marBottom w:val="0"/>
          <w:divBdr>
            <w:top w:val="none" w:sz="0" w:space="0" w:color="auto"/>
            <w:left w:val="none" w:sz="0" w:space="0" w:color="auto"/>
            <w:bottom w:val="none" w:sz="0" w:space="0" w:color="auto"/>
            <w:right w:val="none" w:sz="0" w:space="0" w:color="auto"/>
          </w:divBdr>
        </w:div>
        <w:div w:id="388265340">
          <w:marLeft w:val="0"/>
          <w:marRight w:val="0"/>
          <w:marTop w:val="0"/>
          <w:marBottom w:val="0"/>
          <w:divBdr>
            <w:top w:val="none" w:sz="0" w:space="0" w:color="auto"/>
            <w:left w:val="none" w:sz="0" w:space="0" w:color="auto"/>
            <w:bottom w:val="none" w:sz="0" w:space="0" w:color="auto"/>
            <w:right w:val="none" w:sz="0" w:space="0" w:color="auto"/>
          </w:divBdr>
        </w:div>
        <w:div w:id="1123580259">
          <w:marLeft w:val="0"/>
          <w:marRight w:val="0"/>
          <w:marTop w:val="0"/>
          <w:marBottom w:val="0"/>
          <w:divBdr>
            <w:top w:val="none" w:sz="0" w:space="0" w:color="auto"/>
            <w:left w:val="none" w:sz="0" w:space="0" w:color="auto"/>
            <w:bottom w:val="none" w:sz="0" w:space="0" w:color="auto"/>
            <w:right w:val="none" w:sz="0" w:space="0" w:color="auto"/>
          </w:divBdr>
        </w:div>
      </w:divsChild>
    </w:div>
    <w:div w:id="1843004165">
      <w:bodyDiv w:val="1"/>
      <w:marLeft w:val="0"/>
      <w:marRight w:val="0"/>
      <w:marTop w:val="0"/>
      <w:marBottom w:val="0"/>
      <w:divBdr>
        <w:top w:val="none" w:sz="0" w:space="0" w:color="auto"/>
        <w:left w:val="none" w:sz="0" w:space="0" w:color="auto"/>
        <w:bottom w:val="none" w:sz="0" w:space="0" w:color="auto"/>
        <w:right w:val="none" w:sz="0" w:space="0" w:color="auto"/>
      </w:divBdr>
    </w:div>
    <w:div w:id="1913194128">
      <w:bodyDiv w:val="1"/>
      <w:marLeft w:val="0"/>
      <w:marRight w:val="0"/>
      <w:marTop w:val="0"/>
      <w:marBottom w:val="0"/>
      <w:divBdr>
        <w:top w:val="none" w:sz="0" w:space="0" w:color="auto"/>
        <w:left w:val="none" w:sz="0" w:space="0" w:color="auto"/>
        <w:bottom w:val="none" w:sz="0" w:space="0" w:color="auto"/>
        <w:right w:val="none" w:sz="0" w:space="0" w:color="auto"/>
      </w:divBdr>
      <w:divsChild>
        <w:div w:id="539754753">
          <w:marLeft w:val="0"/>
          <w:marRight w:val="0"/>
          <w:marTop w:val="0"/>
          <w:marBottom w:val="0"/>
          <w:divBdr>
            <w:top w:val="none" w:sz="0" w:space="0" w:color="auto"/>
            <w:left w:val="none" w:sz="0" w:space="0" w:color="auto"/>
            <w:bottom w:val="none" w:sz="0" w:space="0" w:color="auto"/>
            <w:right w:val="none" w:sz="0" w:space="0" w:color="auto"/>
          </w:divBdr>
        </w:div>
        <w:div w:id="419376071">
          <w:marLeft w:val="0"/>
          <w:marRight w:val="0"/>
          <w:marTop w:val="0"/>
          <w:marBottom w:val="0"/>
          <w:divBdr>
            <w:top w:val="none" w:sz="0" w:space="0" w:color="auto"/>
            <w:left w:val="none" w:sz="0" w:space="0" w:color="auto"/>
            <w:bottom w:val="none" w:sz="0" w:space="0" w:color="auto"/>
            <w:right w:val="none" w:sz="0" w:space="0" w:color="auto"/>
          </w:divBdr>
        </w:div>
        <w:div w:id="2014869181">
          <w:marLeft w:val="0"/>
          <w:marRight w:val="0"/>
          <w:marTop w:val="0"/>
          <w:marBottom w:val="0"/>
          <w:divBdr>
            <w:top w:val="none" w:sz="0" w:space="0" w:color="auto"/>
            <w:left w:val="none" w:sz="0" w:space="0" w:color="auto"/>
            <w:bottom w:val="none" w:sz="0" w:space="0" w:color="auto"/>
            <w:right w:val="none" w:sz="0" w:space="0" w:color="auto"/>
          </w:divBdr>
        </w:div>
        <w:div w:id="1424255876">
          <w:marLeft w:val="0"/>
          <w:marRight w:val="0"/>
          <w:marTop w:val="0"/>
          <w:marBottom w:val="0"/>
          <w:divBdr>
            <w:top w:val="none" w:sz="0" w:space="0" w:color="auto"/>
            <w:left w:val="none" w:sz="0" w:space="0" w:color="auto"/>
            <w:bottom w:val="none" w:sz="0" w:space="0" w:color="auto"/>
            <w:right w:val="none" w:sz="0" w:space="0" w:color="auto"/>
          </w:divBdr>
        </w:div>
        <w:div w:id="1436053697">
          <w:marLeft w:val="0"/>
          <w:marRight w:val="0"/>
          <w:marTop w:val="0"/>
          <w:marBottom w:val="0"/>
          <w:divBdr>
            <w:top w:val="none" w:sz="0" w:space="0" w:color="auto"/>
            <w:left w:val="none" w:sz="0" w:space="0" w:color="auto"/>
            <w:bottom w:val="none" w:sz="0" w:space="0" w:color="auto"/>
            <w:right w:val="none" w:sz="0" w:space="0" w:color="auto"/>
          </w:divBdr>
        </w:div>
        <w:div w:id="1134983956">
          <w:marLeft w:val="0"/>
          <w:marRight w:val="0"/>
          <w:marTop w:val="0"/>
          <w:marBottom w:val="0"/>
          <w:divBdr>
            <w:top w:val="none" w:sz="0" w:space="0" w:color="auto"/>
            <w:left w:val="none" w:sz="0" w:space="0" w:color="auto"/>
            <w:bottom w:val="none" w:sz="0" w:space="0" w:color="auto"/>
            <w:right w:val="none" w:sz="0" w:space="0" w:color="auto"/>
          </w:divBdr>
        </w:div>
        <w:div w:id="1632396102">
          <w:marLeft w:val="0"/>
          <w:marRight w:val="0"/>
          <w:marTop w:val="0"/>
          <w:marBottom w:val="0"/>
          <w:divBdr>
            <w:top w:val="none" w:sz="0" w:space="0" w:color="auto"/>
            <w:left w:val="none" w:sz="0" w:space="0" w:color="auto"/>
            <w:bottom w:val="none" w:sz="0" w:space="0" w:color="auto"/>
            <w:right w:val="none" w:sz="0" w:space="0" w:color="auto"/>
          </w:divBdr>
        </w:div>
        <w:div w:id="627127380">
          <w:marLeft w:val="0"/>
          <w:marRight w:val="0"/>
          <w:marTop w:val="0"/>
          <w:marBottom w:val="0"/>
          <w:divBdr>
            <w:top w:val="none" w:sz="0" w:space="0" w:color="auto"/>
            <w:left w:val="none" w:sz="0" w:space="0" w:color="auto"/>
            <w:bottom w:val="none" w:sz="0" w:space="0" w:color="auto"/>
            <w:right w:val="none" w:sz="0" w:space="0" w:color="auto"/>
          </w:divBdr>
        </w:div>
        <w:div w:id="2130657953">
          <w:marLeft w:val="0"/>
          <w:marRight w:val="0"/>
          <w:marTop w:val="0"/>
          <w:marBottom w:val="0"/>
          <w:divBdr>
            <w:top w:val="none" w:sz="0" w:space="0" w:color="auto"/>
            <w:left w:val="none" w:sz="0" w:space="0" w:color="auto"/>
            <w:bottom w:val="none" w:sz="0" w:space="0" w:color="auto"/>
            <w:right w:val="none" w:sz="0" w:space="0" w:color="auto"/>
          </w:divBdr>
        </w:div>
        <w:div w:id="1127819300">
          <w:marLeft w:val="0"/>
          <w:marRight w:val="0"/>
          <w:marTop w:val="0"/>
          <w:marBottom w:val="0"/>
          <w:divBdr>
            <w:top w:val="none" w:sz="0" w:space="0" w:color="auto"/>
            <w:left w:val="none" w:sz="0" w:space="0" w:color="auto"/>
            <w:bottom w:val="none" w:sz="0" w:space="0" w:color="auto"/>
            <w:right w:val="none" w:sz="0" w:space="0" w:color="auto"/>
          </w:divBdr>
        </w:div>
        <w:div w:id="135999203">
          <w:marLeft w:val="0"/>
          <w:marRight w:val="0"/>
          <w:marTop w:val="0"/>
          <w:marBottom w:val="0"/>
          <w:divBdr>
            <w:top w:val="none" w:sz="0" w:space="0" w:color="auto"/>
            <w:left w:val="none" w:sz="0" w:space="0" w:color="auto"/>
            <w:bottom w:val="none" w:sz="0" w:space="0" w:color="auto"/>
            <w:right w:val="none" w:sz="0" w:space="0" w:color="auto"/>
          </w:divBdr>
        </w:div>
        <w:div w:id="1291746917">
          <w:marLeft w:val="0"/>
          <w:marRight w:val="0"/>
          <w:marTop w:val="0"/>
          <w:marBottom w:val="0"/>
          <w:divBdr>
            <w:top w:val="none" w:sz="0" w:space="0" w:color="auto"/>
            <w:left w:val="none" w:sz="0" w:space="0" w:color="auto"/>
            <w:bottom w:val="none" w:sz="0" w:space="0" w:color="auto"/>
            <w:right w:val="none" w:sz="0" w:space="0" w:color="auto"/>
          </w:divBdr>
        </w:div>
        <w:div w:id="228154614">
          <w:marLeft w:val="0"/>
          <w:marRight w:val="0"/>
          <w:marTop w:val="0"/>
          <w:marBottom w:val="0"/>
          <w:divBdr>
            <w:top w:val="none" w:sz="0" w:space="0" w:color="auto"/>
            <w:left w:val="none" w:sz="0" w:space="0" w:color="auto"/>
            <w:bottom w:val="none" w:sz="0" w:space="0" w:color="auto"/>
            <w:right w:val="none" w:sz="0" w:space="0" w:color="auto"/>
          </w:divBdr>
        </w:div>
        <w:div w:id="1972662587">
          <w:marLeft w:val="0"/>
          <w:marRight w:val="0"/>
          <w:marTop w:val="0"/>
          <w:marBottom w:val="0"/>
          <w:divBdr>
            <w:top w:val="none" w:sz="0" w:space="0" w:color="auto"/>
            <w:left w:val="none" w:sz="0" w:space="0" w:color="auto"/>
            <w:bottom w:val="none" w:sz="0" w:space="0" w:color="auto"/>
            <w:right w:val="none" w:sz="0" w:space="0" w:color="auto"/>
          </w:divBdr>
        </w:div>
        <w:div w:id="259799586">
          <w:marLeft w:val="0"/>
          <w:marRight w:val="0"/>
          <w:marTop w:val="0"/>
          <w:marBottom w:val="0"/>
          <w:divBdr>
            <w:top w:val="none" w:sz="0" w:space="0" w:color="auto"/>
            <w:left w:val="none" w:sz="0" w:space="0" w:color="auto"/>
            <w:bottom w:val="none" w:sz="0" w:space="0" w:color="auto"/>
            <w:right w:val="none" w:sz="0" w:space="0" w:color="auto"/>
          </w:divBdr>
        </w:div>
        <w:div w:id="1421751299">
          <w:marLeft w:val="0"/>
          <w:marRight w:val="0"/>
          <w:marTop w:val="0"/>
          <w:marBottom w:val="0"/>
          <w:divBdr>
            <w:top w:val="none" w:sz="0" w:space="0" w:color="auto"/>
            <w:left w:val="none" w:sz="0" w:space="0" w:color="auto"/>
            <w:bottom w:val="none" w:sz="0" w:space="0" w:color="auto"/>
            <w:right w:val="none" w:sz="0" w:space="0" w:color="auto"/>
          </w:divBdr>
        </w:div>
      </w:divsChild>
    </w:div>
    <w:div w:id="2041978434">
      <w:bodyDiv w:val="1"/>
      <w:marLeft w:val="0"/>
      <w:marRight w:val="0"/>
      <w:marTop w:val="0"/>
      <w:marBottom w:val="0"/>
      <w:divBdr>
        <w:top w:val="none" w:sz="0" w:space="0" w:color="auto"/>
        <w:left w:val="none" w:sz="0" w:space="0" w:color="auto"/>
        <w:bottom w:val="none" w:sz="0" w:space="0" w:color="auto"/>
        <w:right w:val="none" w:sz="0" w:space="0" w:color="auto"/>
      </w:divBdr>
      <w:divsChild>
        <w:div w:id="837887404">
          <w:marLeft w:val="0"/>
          <w:marRight w:val="0"/>
          <w:marTop w:val="0"/>
          <w:marBottom w:val="0"/>
          <w:divBdr>
            <w:top w:val="none" w:sz="0" w:space="0" w:color="auto"/>
            <w:left w:val="none" w:sz="0" w:space="0" w:color="auto"/>
            <w:bottom w:val="none" w:sz="0" w:space="0" w:color="auto"/>
            <w:right w:val="none" w:sz="0" w:space="0" w:color="auto"/>
          </w:divBdr>
        </w:div>
        <w:div w:id="1382170065">
          <w:marLeft w:val="0"/>
          <w:marRight w:val="0"/>
          <w:marTop w:val="0"/>
          <w:marBottom w:val="0"/>
          <w:divBdr>
            <w:top w:val="none" w:sz="0" w:space="0" w:color="auto"/>
            <w:left w:val="none" w:sz="0" w:space="0" w:color="auto"/>
            <w:bottom w:val="none" w:sz="0" w:space="0" w:color="auto"/>
            <w:right w:val="none" w:sz="0" w:space="0" w:color="auto"/>
          </w:divBdr>
        </w:div>
        <w:div w:id="416751881">
          <w:marLeft w:val="0"/>
          <w:marRight w:val="0"/>
          <w:marTop w:val="0"/>
          <w:marBottom w:val="0"/>
          <w:divBdr>
            <w:top w:val="none" w:sz="0" w:space="0" w:color="auto"/>
            <w:left w:val="none" w:sz="0" w:space="0" w:color="auto"/>
            <w:bottom w:val="none" w:sz="0" w:space="0" w:color="auto"/>
            <w:right w:val="none" w:sz="0" w:space="0" w:color="auto"/>
          </w:divBdr>
        </w:div>
        <w:div w:id="2045249093">
          <w:marLeft w:val="0"/>
          <w:marRight w:val="0"/>
          <w:marTop w:val="0"/>
          <w:marBottom w:val="0"/>
          <w:divBdr>
            <w:top w:val="none" w:sz="0" w:space="0" w:color="auto"/>
            <w:left w:val="none" w:sz="0" w:space="0" w:color="auto"/>
            <w:bottom w:val="none" w:sz="0" w:space="0" w:color="auto"/>
            <w:right w:val="none" w:sz="0" w:space="0" w:color="auto"/>
          </w:divBdr>
        </w:div>
        <w:div w:id="2125415815">
          <w:marLeft w:val="0"/>
          <w:marRight w:val="0"/>
          <w:marTop w:val="0"/>
          <w:marBottom w:val="0"/>
          <w:divBdr>
            <w:top w:val="none" w:sz="0" w:space="0" w:color="auto"/>
            <w:left w:val="none" w:sz="0" w:space="0" w:color="auto"/>
            <w:bottom w:val="none" w:sz="0" w:space="0" w:color="auto"/>
            <w:right w:val="none" w:sz="0" w:space="0" w:color="auto"/>
          </w:divBdr>
        </w:div>
        <w:div w:id="2036231069">
          <w:marLeft w:val="0"/>
          <w:marRight w:val="0"/>
          <w:marTop w:val="0"/>
          <w:marBottom w:val="0"/>
          <w:divBdr>
            <w:top w:val="none" w:sz="0" w:space="0" w:color="auto"/>
            <w:left w:val="none" w:sz="0" w:space="0" w:color="auto"/>
            <w:bottom w:val="none" w:sz="0" w:space="0" w:color="auto"/>
            <w:right w:val="none" w:sz="0" w:space="0" w:color="auto"/>
          </w:divBdr>
        </w:div>
        <w:div w:id="522592534">
          <w:marLeft w:val="0"/>
          <w:marRight w:val="0"/>
          <w:marTop w:val="0"/>
          <w:marBottom w:val="0"/>
          <w:divBdr>
            <w:top w:val="none" w:sz="0" w:space="0" w:color="auto"/>
            <w:left w:val="none" w:sz="0" w:space="0" w:color="auto"/>
            <w:bottom w:val="none" w:sz="0" w:space="0" w:color="auto"/>
            <w:right w:val="none" w:sz="0" w:space="0" w:color="auto"/>
          </w:divBdr>
        </w:div>
        <w:div w:id="1406805469">
          <w:marLeft w:val="0"/>
          <w:marRight w:val="0"/>
          <w:marTop w:val="0"/>
          <w:marBottom w:val="0"/>
          <w:divBdr>
            <w:top w:val="none" w:sz="0" w:space="0" w:color="auto"/>
            <w:left w:val="none" w:sz="0" w:space="0" w:color="auto"/>
            <w:bottom w:val="none" w:sz="0" w:space="0" w:color="auto"/>
            <w:right w:val="none" w:sz="0" w:space="0" w:color="auto"/>
          </w:divBdr>
        </w:div>
        <w:div w:id="350684826">
          <w:marLeft w:val="0"/>
          <w:marRight w:val="0"/>
          <w:marTop w:val="0"/>
          <w:marBottom w:val="0"/>
          <w:divBdr>
            <w:top w:val="none" w:sz="0" w:space="0" w:color="auto"/>
            <w:left w:val="none" w:sz="0" w:space="0" w:color="auto"/>
            <w:bottom w:val="none" w:sz="0" w:space="0" w:color="auto"/>
            <w:right w:val="none" w:sz="0" w:space="0" w:color="auto"/>
          </w:divBdr>
        </w:div>
        <w:div w:id="1296834198">
          <w:marLeft w:val="0"/>
          <w:marRight w:val="0"/>
          <w:marTop w:val="0"/>
          <w:marBottom w:val="0"/>
          <w:divBdr>
            <w:top w:val="none" w:sz="0" w:space="0" w:color="auto"/>
            <w:left w:val="none" w:sz="0" w:space="0" w:color="auto"/>
            <w:bottom w:val="none" w:sz="0" w:space="0" w:color="auto"/>
            <w:right w:val="none" w:sz="0" w:space="0" w:color="auto"/>
          </w:divBdr>
        </w:div>
        <w:div w:id="1597592245">
          <w:marLeft w:val="0"/>
          <w:marRight w:val="0"/>
          <w:marTop w:val="0"/>
          <w:marBottom w:val="0"/>
          <w:divBdr>
            <w:top w:val="none" w:sz="0" w:space="0" w:color="auto"/>
            <w:left w:val="none" w:sz="0" w:space="0" w:color="auto"/>
            <w:bottom w:val="none" w:sz="0" w:space="0" w:color="auto"/>
            <w:right w:val="none" w:sz="0" w:space="0" w:color="auto"/>
          </w:divBdr>
        </w:div>
        <w:div w:id="445197972">
          <w:marLeft w:val="0"/>
          <w:marRight w:val="0"/>
          <w:marTop w:val="0"/>
          <w:marBottom w:val="0"/>
          <w:divBdr>
            <w:top w:val="none" w:sz="0" w:space="0" w:color="auto"/>
            <w:left w:val="none" w:sz="0" w:space="0" w:color="auto"/>
            <w:bottom w:val="none" w:sz="0" w:space="0" w:color="auto"/>
            <w:right w:val="none" w:sz="0" w:space="0" w:color="auto"/>
          </w:divBdr>
        </w:div>
      </w:divsChild>
    </w:div>
    <w:div w:id="2058972818">
      <w:bodyDiv w:val="1"/>
      <w:marLeft w:val="0"/>
      <w:marRight w:val="0"/>
      <w:marTop w:val="0"/>
      <w:marBottom w:val="0"/>
      <w:divBdr>
        <w:top w:val="none" w:sz="0" w:space="0" w:color="auto"/>
        <w:left w:val="none" w:sz="0" w:space="0" w:color="auto"/>
        <w:bottom w:val="none" w:sz="0" w:space="0" w:color="auto"/>
        <w:right w:val="none" w:sz="0" w:space="0" w:color="auto"/>
      </w:divBdr>
    </w:div>
    <w:div w:id="2124808882">
      <w:bodyDiv w:val="1"/>
      <w:marLeft w:val="0"/>
      <w:marRight w:val="0"/>
      <w:marTop w:val="0"/>
      <w:marBottom w:val="0"/>
      <w:divBdr>
        <w:top w:val="none" w:sz="0" w:space="0" w:color="auto"/>
        <w:left w:val="none" w:sz="0" w:space="0" w:color="auto"/>
        <w:bottom w:val="none" w:sz="0" w:space="0" w:color="auto"/>
        <w:right w:val="none" w:sz="0" w:space="0" w:color="auto"/>
      </w:divBdr>
      <w:divsChild>
        <w:div w:id="1729261806">
          <w:marLeft w:val="0"/>
          <w:marRight w:val="0"/>
          <w:marTop w:val="0"/>
          <w:marBottom w:val="0"/>
          <w:divBdr>
            <w:top w:val="none" w:sz="0" w:space="0" w:color="auto"/>
            <w:left w:val="none" w:sz="0" w:space="0" w:color="auto"/>
            <w:bottom w:val="none" w:sz="0" w:space="0" w:color="auto"/>
            <w:right w:val="none" w:sz="0" w:space="0" w:color="auto"/>
          </w:divBdr>
        </w:div>
        <w:div w:id="243882168">
          <w:marLeft w:val="0"/>
          <w:marRight w:val="0"/>
          <w:marTop w:val="0"/>
          <w:marBottom w:val="0"/>
          <w:divBdr>
            <w:top w:val="none" w:sz="0" w:space="0" w:color="auto"/>
            <w:left w:val="none" w:sz="0" w:space="0" w:color="auto"/>
            <w:bottom w:val="none" w:sz="0" w:space="0" w:color="auto"/>
            <w:right w:val="none" w:sz="0" w:space="0" w:color="auto"/>
          </w:divBdr>
        </w:div>
        <w:div w:id="604852351">
          <w:marLeft w:val="0"/>
          <w:marRight w:val="0"/>
          <w:marTop w:val="0"/>
          <w:marBottom w:val="0"/>
          <w:divBdr>
            <w:top w:val="none" w:sz="0" w:space="0" w:color="auto"/>
            <w:left w:val="none" w:sz="0" w:space="0" w:color="auto"/>
            <w:bottom w:val="none" w:sz="0" w:space="0" w:color="auto"/>
            <w:right w:val="none" w:sz="0" w:space="0" w:color="auto"/>
          </w:divBdr>
        </w:div>
        <w:div w:id="733627036">
          <w:marLeft w:val="0"/>
          <w:marRight w:val="0"/>
          <w:marTop w:val="0"/>
          <w:marBottom w:val="0"/>
          <w:divBdr>
            <w:top w:val="none" w:sz="0" w:space="0" w:color="auto"/>
            <w:left w:val="none" w:sz="0" w:space="0" w:color="auto"/>
            <w:bottom w:val="none" w:sz="0" w:space="0" w:color="auto"/>
            <w:right w:val="none" w:sz="0" w:space="0" w:color="auto"/>
          </w:divBdr>
        </w:div>
        <w:div w:id="1842968112">
          <w:marLeft w:val="0"/>
          <w:marRight w:val="0"/>
          <w:marTop w:val="0"/>
          <w:marBottom w:val="0"/>
          <w:divBdr>
            <w:top w:val="none" w:sz="0" w:space="0" w:color="auto"/>
            <w:left w:val="none" w:sz="0" w:space="0" w:color="auto"/>
            <w:bottom w:val="none" w:sz="0" w:space="0" w:color="auto"/>
            <w:right w:val="none" w:sz="0" w:space="0" w:color="auto"/>
          </w:divBdr>
        </w:div>
        <w:div w:id="1090082042">
          <w:marLeft w:val="0"/>
          <w:marRight w:val="0"/>
          <w:marTop w:val="0"/>
          <w:marBottom w:val="0"/>
          <w:divBdr>
            <w:top w:val="none" w:sz="0" w:space="0" w:color="auto"/>
            <w:left w:val="none" w:sz="0" w:space="0" w:color="auto"/>
            <w:bottom w:val="none" w:sz="0" w:space="0" w:color="auto"/>
            <w:right w:val="none" w:sz="0" w:space="0" w:color="auto"/>
          </w:divBdr>
        </w:div>
        <w:div w:id="153567880">
          <w:marLeft w:val="0"/>
          <w:marRight w:val="0"/>
          <w:marTop w:val="0"/>
          <w:marBottom w:val="0"/>
          <w:divBdr>
            <w:top w:val="none" w:sz="0" w:space="0" w:color="auto"/>
            <w:left w:val="none" w:sz="0" w:space="0" w:color="auto"/>
            <w:bottom w:val="none" w:sz="0" w:space="0" w:color="auto"/>
            <w:right w:val="none" w:sz="0" w:space="0" w:color="auto"/>
          </w:divBdr>
        </w:div>
        <w:div w:id="19002411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29/94JC00572" TargetMode="External"/><Relationship Id="rId21" Type="http://schemas.openxmlformats.org/officeDocument/2006/relationships/hyperlink" Target="https://doi.org/10.1029/2011GL047629" TargetMode="External"/><Relationship Id="rId42" Type="http://schemas.openxmlformats.org/officeDocument/2006/relationships/hyperlink" Target="https://doi.org/10.1016/j.physd.2006.11.008" TargetMode="External"/><Relationship Id="rId47" Type="http://schemas.openxmlformats.org/officeDocument/2006/relationships/hyperlink" Target="https://doi.org/10.1111/j.2153-3490.1958.tb01984.x" TargetMode="External"/><Relationship Id="rId63" Type="http://schemas.openxmlformats.org/officeDocument/2006/relationships/hyperlink" Target="https://doi.org/10.1175/1520-0434(2002)017%3c0173:TIOHRA%3e2.0.CO;2" TargetMode="External"/><Relationship Id="rId68" Type="http://schemas.openxmlformats.org/officeDocument/2006/relationships/hyperlink" Target="https://doi.org/10.1175/2011MWR3546.1" TargetMode="External"/><Relationship Id="rId84" Type="http://schemas.openxmlformats.org/officeDocument/2006/relationships/hyperlink" Target="https://doi.org/10.1175/MWR-D-17-0336.1" TargetMode="External"/><Relationship Id="rId89" Type="http://schemas.openxmlformats.org/officeDocument/2006/relationships/image" Target="media/image2.png"/><Relationship Id="rId16" Type="http://schemas.openxmlformats.org/officeDocument/2006/relationships/hyperlink" Target="https://doi.org/10.3402/tellusa.v67.28027" TargetMode="External"/><Relationship Id="rId107" Type="http://schemas.openxmlformats.org/officeDocument/2006/relationships/theme" Target="theme/theme1.xml"/><Relationship Id="rId11" Type="http://schemas.openxmlformats.org/officeDocument/2006/relationships/hyperlink" Target="https://doi.org/10.1175/1520-0493(2001)129%3c2884:AEAKFF%3e2.0.CO;2" TargetMode="External"/><Relationship Id="rId32" Type="http://schemas.openxmlformats.org/officeDocument/2006/relationships/hyperlink" Target="https://doi.org/10.1175/MWR3020.1" TargetMode="External"/><Relationship Id="rId37" Type="http://schemas.openxmlformats.org/officeDocument/2006/relationships/hyperlink" Target="https://doi.org/10.1175/1520-0493(2001)129%3c0123:ASEKFF%3e2.0.CO;2" TargetMode="External"/><Relationship Id="rId53" Type="http://schemas.openxmlformats.org/officeDocument/2006/relationships/hyperlink" Target="https://doi.org/10.1256/qj.02.132" TargetMode="External"/><Relationship Id="rId58" Type="http://schemas.openxmlformats.org/officeDocument/2006/relationships/hyperlink" Target="https://doi.org/10.1175/MWR-D-12-00318.1" TargetMode="External"/><Relationship Id="rId74" Type="http://schemas.openxmlformats.org/officeDocument/2006/relationships/hyperlink" Target="https://doi.org/10.1175/MWR3307.1" TargetMode="External"/><Relationship Id="rId79" Type="http://schemas.openxmlformats.org/officeDocument/2006/relationships/hyperlink" Target="https://doi.org/10.1175/MWR-D-20-0215.1" TargetMode="External"/><Relationship Id="rId102" Type="http://schemas.openxmlformats.org/officeDocument/2006/relationships/image" Target="media/image15.png"/><Relationship Id="rId5" Type="http://schemas.openxmlformats.org/officeDocument/2006/relationships/webSettings" Target="webSettings.xml"/><Relationship Id="rId90" Type="http://schemas.openxmlformats.org/officeDocument/2006/relationships/image" Target="media/image3.png"/><Relationship Id="rId95" Type="http://schemas.openxmlformats.org/officeDocument/2006/relationships/image" Target="media/image8.png"/><Relationship Id="rId22" Type="http://schemas.openxmlformats.org/officeDocument/2006/relationships/hyperlink" Target="https://doi.org/10.1175/JCLI-D-12-00061.1" TargetMode="External"/><Relationship Id="rId27" Type="http://schemas.openxmlformats.org/officeDocument/2006/relationships/hyperlink" Target="https://doi.org/10.3402/tellusa.v50i5.14561" TargetMode="External"/><Relationship Id="rId43" Type="http://schemas.openxmlformats.org/officeDocument/2006/relationships/hyperlink" Target="https://doi.org/10.25923/JW00-R987" TargetMode="External"/><Relationship Id="rId48" Type="http://schemas.openxmlformats.org/officeDocument/2006/relationships/hyperlink" Target="https://doi.org/10.1175/1520-0442(1992)005%3c0435:TSABWS%3e2.0.CO;2" TargetMode="External"/><Relationship Id="rId64" Type="http://schemas.openxmlformats.org/officeDocument/2006/relationships/hyperlink" Target="https://doi.org/10.5194/npg-10-463-2003" TargetMode="External"/><Relationship Id="rId69" Type="http://schemas.openxmlformats.org/officeDocument/2006/relationships/hyperlink" Target="https://doi.org/10.1175/1520-0477(1998)079%3c0061:APGTWA%3e2.0.CO;2" TargetMode="External"/><Relationship Id="rId80" Type="http://schemas.openxmlformats.org/officeDocument/2006/relationships/hyperlink" Target="https://doi.org/10.1175/1520-0493(2002)130%3c1913:EDAWPO%3e2.0.CO;2" TargetMode="External"/><Relationship Id="rId85" Type="http://schemas.openxmlformats.org/officeDocument/2006/relationships/hyperlink" Target="https://doi.org/10.1175/2009MWR2645.1" TargetMode="External"/><Relationship Id="rId12" Type="http://schemas.openxmlformats.org/officeDocument/2006/relationships/hyperlink" Target="https://doi.org/10.1038/nature14956" TargetMode="External"/><Relationship Id="rId17" Type="http://schemas.openxmlformats.org/officeDocument/2006/relationships/hyperlink" Target="https://doi.org/10.5194/npg-20-669-2013" TargetMode="External"/><Relationship Id="rId33" Type="http://schemas.openxmlformats.org/officeDocument/2006/relationships/hyperlink" Target="https://doi.org/10.1175/1520-0493(2001)129%3c2776:DDFOBE%3e2.0.CO;2" TargetMode="External"/><Relationship Id="rId38" Type="http://schemas.openxmlformats.org/officeDocument/2006/relationships/hyperlink" Target="https://doi.org/10.1175/MWR-D-15-0440.1" TargetMode="External"/><Relationship Id="rId59" Type="http://schemas.openxmlformats.org/officeDocument/2006/relationships/hyperlink" Target="https://doi.org/10.1002/qj.3545" TargetMode="External"/><Relationship Id="rId103" Type="http://schemas.openxmlformats.org/officeDocument/2006/relationships/image" Target="media/image16.png"/><Relationship Id="rId20" Type="http://schemas.openxmlformats.org/officeDocument/2006/relationships/hyperlink" Target="https://doi.org/10.1175/1520-0493(1982)110%3c1354:TCMASF%3e2.0.CO;2" TargetMode="External"/><Relationship Id="rId41" Type="http://schemas.openxmlformats.org/officeDocument/2006/relationships/hyperlink" Target="https://doi.org/10.1175/MWR-D-20-0166.1" TargetMode="External"/><Relationship Id="rId54" Type="http://schemas.openxmlformats.org/officeDocument/2006/relationships/hyperlink" Target="https://doi.org/10.1175/MWR-D-14-00195.1" TargetMode="External"/><Relationship Id="rId62" Type="http://schemas.openxmlformats.org/officeDocument/2006/relationships/hyperlink" Target="https://doi.org/10.1002/2014GL060863" TargetMode="External"/><Relationship Id="rId70" Type="http://schemas.openxmlformats.org/officeDocument/2006/relationships/hyperlink" Target="https://doi.org/10.1175/2010MWR3245.1" TargetMode="External"/><Relationship Id="rId75" Type="http://schemas.openxmlformats.org/officeDocument/2006/relationships/hyperlink" Target="https://doi.org/10.1175/MWR3282.1" TargetMode="External"/><Relationship Id="rId83" Type="http://schemas.openxmlformats.org/officeDocument/2006/relationships/hyperlink" Target="https://doi.org/10.1002/2017MS001009" TargetMode="External"/><Relationship Id="rId88" Type="http://schemas.openxmlformats.org/officeDocument/2006/relationships/image" Target="media/image1.png"/><Relationship Id="rId91" Type="http://schemas.openxmlformats.org/officeDocument/2006/relationships/image" Target="media/image4.png"/><Relationship Id="rId9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175/1520-0493(1996)124%3c1256:DAUIAU%3e2.0.CO;2" TargetMode="External"/><Relationship Id="rId23" Type="http://schemas.openxmlformats.org/officeDocument/2006/relationships/hyperlink" Target="https://doi.org/10.1029/2019GL082410" TargetMode="External"/><Relationship Id="rId28" Type="http://schemas.openxmlformats.org/officeDocument/2006/relationships/hyperlink" Target="https://doi.org/10.1080/16000870.2021.1903770" TargetMode="External"/><Relationship Id="rId36" Type="http://schemas.openxmlformats.org/officeDocument/2006/relationships/hyperlink" Target="https://doi.org/10.1175/1520-0493(1998)126%3c0796:DAUAEK%3e2.0.CO;2" TargetMode="External"/><Relationship Id="rId49" Type="http://schemas.openxmlformats.org/officeDocument/2006/relationships/hyperlink" Target="https://doi.org/10.1002/2016MS000864" TargetMode="External"/><Relationship Id="rId57" Type="http://schemas.openxmlformats.org/officeDocument/2006/relationships/hyperlink" Target="https://doi.org/10.1007/s00376-012-1249-y" TargetMode="External"/><Relationship Id="rId106" Type="http://schemas.openxmlformats.org/officeDocument/2006/relationships/fontTable" Target="fontTable.xml"/><Relationship Id="rId10" Type="http://schemas.openxmlformats.org/officeDocument/2006/relationships/footer" Target="footer3.xml"/><Relationship Id="rId31" Type="http://schemas.openxmlformats.org/officeDocument/2006/relationships/hyperlink" Target="https://doi.org/10.1175/1520-0493(2000)128%3c2905:AHEKFV%3e2.0.CO;2" TargetMode="External"/><Relationship Id="rId44" Type="http://schemas.openxmlformats.org/officeDocument/2006/relationships/hyperlink" Target="https://www.weather.gov/media/sti/nggps/NGGPS%20Dycore%20Phase%202%20Test%20Report%20website.pdf" TargetMode="External"/><Relationship Id="rId52" Type="http://schemas.openxmlformats.org/officeDocument/2006/relationships/hyperlink" Target="https://doi.org/10.1002/qj.49712354416" TargetMode="External"/><Relationship Id="rId60" Type="http://schemas.openxmlformats.org/officeDocument/2006/relationships/hyperlink" Target="http://ams.confex.com/ams/pdfpapers/37628.pdf" TargetMode="External"/><Relationship Id="rId65" Type="http://schemas.openxmlformats.org/officeDocument/2006/relationships/hyperlink" Target="https://doi.org/10.1016/j.jcp.2007.07.022" TargetMode="External"/><Relationship Id="rId73" Type="http://schemas.openxmlformats.org/officeDocument/2006/relationships/hyperlink" Target="https://doi.org/10.1175/1520-0493(2004)132%3c1590:WIBAEO%3e2.0.CO;2" TargetMode="External"/><Relationship Id="rId78" Type="http://schemas.openxmlformats.org/officeDocument/2006/relationships/hyperlink" Target="https://doi.org/10.1175/MWR-D-20-0290.1" TargetMode="External"/><Relationship Id="rId81" Type="http://schemas.openxmlformats.org/officeDocument/2006/relationships/hyperlink" Target="https://doi.org/10.1175/MWR-D-11-00276.1" TargetMode="External"/><Relationship Id="rId86" Type="http://schemas.openxmlformats.org/officeDocument/2006/relationships/hyperlink" Target="https://doi.org/10.1175/1520-0493(1997)125%3c1931:APCSFO%3e2.0.CO;2" TargetMode="External"/><Relationship Id="rId94" Type="http://schemas.openxmlformats.org/officeDocument/2006/relationships/image" Target="media/image7.png"/><Relationship Id="rId99" Type="http://schemas.openxmlformats.org/officeDocument/2006/relationships/image" Target="media/image12.png"/><Relationship Id="rId10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yperlink" Target="https://doi.org/10.1175/AMSMONOGRAPHS-D-18-0020.1" TargetMode="External"/><Relationship Id="rId18" Type="http://schemas.openxmlformats.org/officeDocument/2006/relationships/hyperlink" Target="https://doi.org/10.1175/MWR-D-14-00354.1" TargetMode="External"/><Relationship Id="rId39" Type="http://schemas.openxmlformats.org/officeDocument/2006/relationships/hyperlink" Target="https://doi.org/10.1175/MWR-D-13-00138.1" TargetMode="External"/><Relationship Id="rId34" Type="http://schemas.openxmlformats.org/officeDocument/2006/relationships/hyperlink" Target="https://doi.org/10.1175/MWR-D-14-00333.1" TargetMode="External"/><Relationship Id="rId50" Type="http://schemas.openxmlformats.org/officeDocument/2006/relationships/hyperlink" Target="https://doi.org/10.1175/1520-0493(2004)132%3c2293:AVLFDC%3e2.0.CO;2" TargetMode="External"/><Relationship Id="rId55" Type="http://schemas.openxmlformats.org/officeDocument/2006/relationships/hyperlink" Target="https://www.ecmwf.int/node/10829" TargetMode="External"/><Relationship Id="rId76" Type="http://schemas.openxmlformats.org/officeDocument/2006/relationships/hyperlink" Target="https://doi.org/10.1175/2009MWR2923.1" TargetMode="External"/><Relationship Id="rId97" Type="http://schemas.openxmlformats.org/officeDocument/2006/relationships/image" Target="media/image10.png"/><Relationship Id="rId104" Type="http://schemas.openxmlformats.org/officeDocument/2006/relationships/image" Target="media/image17.png"/><Relationship Id="rId7" Type="http://schemas.openxmlformats.org/officeDocument/2006/relationships/endnotes" Target="endnotes.xml"/><Relationship Id="rId71" Type="http://schemas.openxmlformats.org/officeDocument/2006/relationships/hyperlink" Target="https://doi.org/10.1175/1520-0469(2003)060%3c1140:ACOBAE%3e2.0.CO;2" TargetMode="External"/><Relationship Id="rId92" Type="http://schemas.openxmlformats.org/officeDocument/2006/relationships/image" Target="media/image5.png"/><Relationship Id="rId2" Type="http://schemas.openxmlformats.org/officeDocument/2006/relationships/numbering" Target="numbering.xml"/><Relationship Id="rId29" Type="http://schemas.openxmlformats.org/officeDocument/2006/relationships/hyperlink" Target="https://doi.org/10.1002/qj.49712555417" TargetMode="External"/><Relationship Id="rId24" Type="http://schemas.openxmlformats.org/officeDocument/2006/relationships/hyperlink" Target="https://doi.org/10.1016/j.asr.2005.02.097" TargetMode="External"/><Relationship Id="rId40" Type="http://schemas.openxmlformats.org/officeDocument/2006/relationships/hyperlink" Target="https://doi.org/10.1175/MWR-D-18-0009.1" TargetMode="External"/><Relationship Id="rId45" Type="http://schemas.openxmlformats.org/officeDocument/2006/relationships/hyperlink" Target="https://doi.org/10.1175/MWR-D-19-0002.1" TargetMode="External"/><Relationship Id="rId66" Type="http://schemas.openxmlformats.org/officeDocument/2006/relationships/hyperlink" Target="https://doi.org/10.1175/MWR-D-12-00234.1" TargetMode="External"/><Relationship Id="rId87" Type="http://schemas.openxmlformats.org/officeDocument/2006/relationships/hyperlink" Target="https://doi.org/10.1175/BAMS-D-17-0246.1" TargetMode="External"/><Relationship Id="rId61" Type="http://schemas.openxmlformats.org/officeDocument/2006/relationships/hyperlink" Target="https://doi.org/10.2151/sola.2013-038" TargetMode="External"/><Relationship Id="rId82" Type="http://schemas.openxmlformats.org/officeDocument/2006/relationships/hyperlink" Target="https://doi.org/10.5194/acp-16-14925-2016" TargetMode="External"/><Relationship Id="rId19" Type="http://schemas.openxmlformats.org/officeDocument/2006/relationships/hyperlink" Target="https://doi.org/10.1175/1520-0493(1969)097%3c0716:SROADA%3e2.3.CO;2" TargetMode="External"/><Relationship Id="rId14" Type="http://schemas.openxmlformats.org/officeDocument/2006/relationships/hyperlink" Target="https://doi.org/10.1175/1520-0493(2001)129%3c0420:ASWTET%3e2.0.CO;2" TargetMode="External"/><Relationship Id="rId30" Type="http://schemas.openxmlformats.org/officeDocument/2006/relationships/hyperlink" Target="https://doi.org/10.1175/1520-0450(1976)015%3c1252:TCMASP%3e2.0.CO;2" TargetMode="External"/><Relationship Id="rId35" Type="http://schemas.openxmlformats.org/officeDocument/2006/relationships/hyperlink" Target="https://doi.org/10.1175/1520-0450-34.1.3" TargetMode="External"/><Relationship Id="rId56" Type="http://schemas.openxmlformats.org/officeDocument/2006/relationships/hyperlink" Target="https://doi.org/10.1175/MWR-D-17-0068.1" TargetMode="External"/><Relationship Id="rId77" Type="http://schemas.openxmlformats.org/officeDocument/2006/relationships/hyperlink" Target="https://doi.org/10.1175/MWR-D-12-00141.1" TargetMode="External"/><Relationship Id="rId100" Type="http://schemas.openxmlformats.org/officeDocument/2006/relationships/image" Target="media/image13.png"/><Relationship Id="rId105" Type="http://schemas.openxmlformats.org/officeDocument/2006/relationships/footer" Target="footer4.xml"/><Relationship Id="rId8" Type="http://schemas.openxmlformats.org/officeDocument/2006/relationships/footer" Target="footer1.xml"/><Relationship Id="rId51" Type="http://schemas.openxmlformats.org/officeDocument/2006/relationships/hyperlink" Target="https://doi.org/10.1175/1520-0493(1996)124%3c2046:MFFSLT%3e2.0.CO;2" TargetMode="External"/><Relationship Id="rId72" Type="http://schemas.openxmlformats.org/officeDocument/2006/relationships/hyperlink" Target="https://doi.org/10.1175/MWR-D-13-00303.1" TargetMode="External"/><Relationship Id="rId93" Type="http://schemas.openxmlformats.org/officeDocument/2006/relationships/image" Target="media/image6.png"/><Relationship Id="rId98" Type="http://schemas.openxmlformats.org/officeDocument/2006/relationships/image" Target="media/image11.png"/><Relationship Id="rId3" Type="http://schemas.openxmlformats.org/officeDocument/2006/relationships/styles" Target="styles.xml"/><Relationship Id="rId25" Type="http://schemas.openxmlformats.org/officeDocument/2006/relationships/hyperlink" Target="https://doi.org/10.1175/1520-0469(1999)056%3c1627:SVPGIA%3e2.0.CO;2" TargetMode="External"/><Relationship Id="rId46" Type="http://schemas.openxmlformats.org/officeDocument/2006/relationships/hyperlink" Target="https://doi.org/10.1175/MWR-D-13-00351.1" TargetMode="External"/><Relationship Id="rId67" Type="http://schemas.openxmlformats.org/officeDocument/2006/relationships/hyperlink" Target="https://doi.org/10.1002/qj.3159"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metoc.navy.mil/jtwc/jtwc.html?best-tracks" TargetMode="External"/><Relationship Id="rId1" Type="http://schemas.openxmlformats.org/officeDocument/2006/relationships/hyperlink" Target="https://www.nhc.noaa.gov/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1BFC80-52FD-FE4F-B8F8-1DB559708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19568</TotalTime>
  <Pages>73</Pages>
  <Words>15229</Words>
  <Characters>86809</Characters>
  <Application>Microsoft Office Word</Application>
  <DocSecurity>0</DocSecurity>
  <Lines>723</Lines>
  <Paragraphs>203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Erin Jones</cp:lastModifiedBy>
  <cp:revision>202</cp:revision>
  <dcterms:created xsi:type="dcterms:W3CDTF">2022-04-09T15:20:00Z</dcterms:created>
  <dcterms:modified xsi:type="dcterms:W3CDTF">2022-05-05T16:00:00Z</dcterms:modified>
</cp:coreProperties>
</file>