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515A" w:rsidRPr="00C162E9" w:rsidRDefault="00E46B5F" w:rsidP="00C162E9">
      <w:pPr>
        <w:pStyle w:val="Body"/>
        <w:spacing w:after="0"/>
        <w:jc w:val="center"/>
      </w:pPr>
      <w:r>
        <w:rPr>
          <w:rFonts w:ascii="Helvetica Neue" w:hAnsi="Helvetica Neue"/>
          <w:caps/>
        </w:rPr>
        <w:t>University of Oklahoma</w:t>
      </w:r>
    </w:p>
    <w:p w:rsidR="0078515A" w:rsidRDefault="0078515A">
      <w:pPr>
        <w:pStyle w:val="Body"/>
        <w:spacing w:after="0"/>
        <w:jc w:val="center"/>
        <w:rPr>
          <w:rFonts w:ascii="Helvetica Neue" w:eastAsia="Helvetica Neue" w:hAnsi="Helvetica Neue" w:cs="Helvetica Neue"/>
          <w:caps/>
        </w:rPr>
      </w:pPr>
    </w:p>
    <w:p w:rsidR="0078515A" w:rsidRDefault="00E46B5F">
      <w:pPr>
        <w:pStyle w:val="Body"/>
        <w:spacing w:after="0"/>
        <w:jc w:val="center"/>
        <w:rPr>
          <w:rFonts w:ascii="Helvetica Neue" w:eastAsia="Helvetica Neue" w:hAnsi="Helvetica Neue" w:cs="Helvetica Neue"/>
          <w:caps/>
        </w:rPr>
      </w:pPr>
      <w:r>
        <w:rPr>
          <w:rFonts w:ascii="Helvetica Neue" w:hAnsi="Helvetica Neue"/>
          <w:caps/>
        </w:rPr>
        <w:t>Graduate College</w:t>
      </w:r>
    </w:p>
    <w:p w:rsidR="0078515A" w:rsidRDefault="0078515A">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78515A" w:rsidRPr="005B6ACF" w:rsidRDefault="00E46B5F">
      <w:pPr>
        <w:pStyle w:val="Body"/>
        <w:spacing w:after="0" w:line="480" w:lineRule="auto"/>
        <w:jc w:val="center"/>
        <w:rPr>
          <w:rFonts w:ascii="Helvetica Neue" w:eastAsia="Helvetica Neue" w:hAnsi="Helvetica Neue" w:cs="Helvetica Neue"/>
          <w:caps/>
        </w:rPr>
      </w:pPr>
      <w:r w:rsidRPr="005B6ACF">
        <w:rPr>
          <w:rFonts w:ascii="Helvetica Neue" w:hAnsi="Helvetica Neue"/>
          <w:caps/>
        </w:rPr>
        <w:t>INCOMPLETE STATE-MAKING IN A DIVIDED POLITY:</w:t>
      </w:r>
    </w:p>
    <w:p w:rsidR="0078515A" w:rsidRPr="005B6ACF" w:rsidRDefault="00E46B5F">
      <w:pPr>
        <w:pStyle w:val="Body"/>
        <w:spacing w:after="0" w:line="480" w:lineRule="auto"/>
        <w:jc w:val="center"/>
        <w:rPr>
          <w:rFonts w:ascii="Helvetica Neue" w:eastAsia="Helvetica Neue" w:hAnsi="Helvetica Neue" w:cs="Helvetica Neue"/>
          <w:caps/>
        </w:rPr>
      </w:pPr>
      <w:r w:rsidRPr="005B6ACF">
        <w:rPr>
          <w:rFonts w:ascii="Helvetica Neue" w:hAnsi="Helvetica Neue"/>
          <w:caps/>
        </w:rPr>
        <w:t>HABSBURG AUSTRIA, 1618-1914</w:t>
      </w:r>
    </w:p>
    <w:p w:rsidR="0078515A" w:rsidRDefault="0078515A">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78515A" w:rsidRDefault="00E46B5F">
      <w:pPr>
        <w:pStyle w:val="Body"/>
        <w:spacing w:after="0"/>
        <w:jc w:val="center"/>
        <w:rPr>
          <w:rFonts w:ascii="Helvetica Neue" w:eastAsia="Helvetica Neue" w:hAnsi="Helvetica Neue" w:cs="Helvetica Neue"/>
          <w:caps/>
        </w:rPr>
      </w:pPr>
      <w:r>
        <w:rPr>
          <w:rFonts w:ascii="Helvetica Neue" w:hAnsi="Helvetica Neue"/>
          <w:caps/>
        </w:rPr>
        <w:t>A thesis</w:t>
      </w:r>
    </w:p>
    <w:p w:rsidR="0078515A" w:rsidRDefault="0078515A">
      <w:pPr>
        <w:pStyle w:val="Body"/>
        <w:spacing w:after="0"/>
        <w:jc w:val="center"/>
        <w:rPr>
          <w:rFonts w:ascii="Helvetica Neue" w:eastAsia="Helvetica Neue" w:hAnsi="Helvetica Neue" w:cs="Helvetica Neue"/>
          <w:caps/>
        </w:rPr>
      </w:pPr>
    </w:p>
    <w:p w:rsidR="0078515A" w:rsidRDefault="00E46B5F">
      <w:pPr>
        <w:pStyle w:val="Body"/>
        <w:spacing w:after="0"/>
        <w:jc w:val="center"/>
        <w:rPr>
          <w:rFonts w:ascii="Helvetica Neue" w:eastAsia="Helvetica Neue" w:hAnsi="Helvetica Neue" w:cs="Helvetica Neue"/>
          <w:caps/>
        </w:rPr>
      </w:pPr>
      <w:r>
        <w:rPr>
          <w:rFonts w:ascii="Helvetica Neue" w:hAnsi="Helvetica Neue"/>
          <w:caps/>
        </w:rPr>
        <w:t>submitted to the graduate faculty</w:t>
      </w:r>
    </w:p>
    <w:p w:rsidR="0078515A" w:rsidRDefault="0078515A">
      <w:pPr>
        <w:pStyle w:val="Body"/>
        <w:spacing w:after="0"/>
        <w:jc w:val="center"/>
        <w:rPr>
          <w:rFonts w:ascii="Helvetica Neue" w:eastAsia="Helvetica Neue" w:hAnsi="Helvetica Neue" w:cs="Helvetica Neue"/>
        </w:rPr>
      </w:pPr>
    </w:p>
    <w:p w:rsidR="0078515A" w:rsidRDefault="00E46B5F">
      <w:pPr>
        <w:pStyle w:val="Body"/>
        <w:spacing w:after="0"/>
        <w:jc w:val="center"/>
        <w:rPr>
          <w:rFonts w:ascii="Helvetica Neue" w:eastAsia="Helvetica Neue" w:hAnsi="Helvetica Neue" w:cs="Helvetica Neue"/>
        </w:rPr>
      </w:pPr>
      <w:r>
        <w:rPr>
          <w:rFonts w:ascii="Helvetica Neue" w:hAnsi="Helvetica Neue"/>
        </w:rPr>
        <w:t>in partial fulfillment of the requirements for the</w:t>
      </w:r>
    </w:p>
    <w:p w:rsidR="0078515A" w:rsidRDefault="0078515A">
      <w:pPr>
        <w:pStyle w:val="Body"/>
        <w:spacing w:after="0"/>
        <w:jc w:val="center"/>
        <w:rPr>
          <w:rFonts w:ascii="Helvetica Neue" w:eastAsia="Helvetica Neue" w:hAnsi="Helvetica Neue" w:cs="Helvetica Neue"/>
        </w:rPr>
      </w:pPr>
    </w:p>
    <w:p w:rsidR="0078515A" w:rsidRDefault="00E46B5F">
      <w:pPr>
        <w:pStyle w:val="Body"/>
        <w:spacing w:after="0"/>
        <w:jc w:val="center"/>
        <w:rPr>
          <w:rFonts w:ascii="Helvetica Neue" w:eastAsia="Helvetica Neue" w:hAnsi="Helvetica Neue" w:cs="Helvetica Neue"/>
        </w:rPr>
      </w:pPr>
      <w:r>
        <w:rPr>
          <w:rFonts w:ascii="Helvetica Neue" w:hAnsi="Helvetica Neue"/>
        </w:rPr>
        <w:t>Degree of</w:t>
      </w:r>
    </w:p>
    <w:p w:rsidR="0078515A" w:rsidRDefault="0078515A">
      <w:pPr>
        <w:pStyle w:val="Body"/>
        <w:spacing w:after="0"/>
        <w:jc w:val="center"/>
        <w:rPr>
          <w:rFonts w:ascii="Helvetica Neue" w:eastAsia="Helvetica Neue" w:hAnsi="Helvetica Neue" w:cs="Helvetica Neue"/>
        </w:rPr>
      </w:pPr>
    </w:p>
    <w:p w:rsidR="0078515A" w:rsidRDefault="00E46B5F">
      <w:pPr>
        <w:pStyle w:val="NoSpacing"/>
        <w:spacing w:line="480" w:lineRule="auto"/>
        <w:jc w:val="center"/>
        <w:rPr>
          <w:rFonts w:ascii="Helvetica Neue" w:eastAsia="Helvetica Neue" w:hAnsi="Helvetica Neue" w:cs="Helvetica Neue"/>
          <w:caps/>
        </w:rPr>
      </w:pPr>
      <w:r>
        <w:rPr>
          <w:rFonts w:ascii="Helvetica Neue" w:hAnsi="Helvetica Neue"/>
          <w:caps/>
        </w:rPr>
        <w:t>Master of Arts in International Studies</w:t>
      </w:r>
    </w:p>
    <w:p w:rsidR="0078515A" w:rsidRDefault="0078515A">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bookmarkStart w:id="0" w:name="_GoBack"/>
      <w:bookmarkEnd w:id="0"/>
    </w:p>
    <w:p w:rsidR="0078515A" w:rsidRDefault="00E46B5F">
      <w:pPr>
        <w:pStyle w:val="Body"/>
        <w:spacing w:after="0"/>
        <w:jc w:val="center"/>
        <w:rPr>
          <w:rFonts w:ascii="Helvetica Neue" w:eastAsia="Helvetica Neue" w:hAnsi="Helvetica Neue" w:cs="Helvetica Neue"/>
        </w:rPr>
      </w:pPr>
      <w:r>
        <w:rPr>
          <w:rFonts w:ascii="Helvetica Neue" w:hAnsi="Helvetica Neue"/>
        </w:rPr>
        <w:t>By</w:t>
      </w:r>
    </w:p>
    <w:p w:rsidR="0078515A" w:rsidRPr="005B6ACF" w:rsidRDefault="0078515A">
      <w:pPr>
        <w:pStyle w:val="Body"/>
        <w:spacing w:after="0"/>
        <w:jc w:val="center"/>
        <w:rPr>
          <w:rFonts w:ascii="Helvetica Neue" w:eastAsia="Helvetica Neue" w:hAnsi="Helvetica Neue" w:cs="Helvetica Neue"/>
          <w:caps/>
        </w:rPr>
      </w:pPr>
    </w:p>
    <w:p w:rsidR="0078515A" w:rsidRDefault="00E46B5F">
      <w:pPr>
        <w:pStyle w:val="Body"/>
        <w:spacing w:after="0"/>
        <w:jc w:val="center"/>
        <w:rPr>
          <w:rFonts w:ascii="Helvetica Neue" w:eastAsia="Helvetica Neue" w:hAnsi="Helvetica Neue" w:cs="Helvetica Neue"/>
          <w:caps/>
        </w:rPr>
      </w:pPr>
      <w:r w:rsidRPr="005B6ACF">
        <w:rPr>
          <w:rFonts w:ascii="Helvetica Neue" w:hAnsi="Helvetica Neue"/>
          <w:caps/>
        </w:rPr>
        <w:t>ANNA ELEANOR KIERIG</w:t>
      </w:r>
    </w:p>
    <w:p w:rsidR="0078515A" w:rsidRDefault="00E46B5F">
      <w:pPr>
        <w:pStyle w:val="Body"/>
        <w:spacing w:after="0"/>
        <w:jc w:val="center"/>
        <w:rPr>
          <w:rFonts w:ascii="Helvetica Neue" w:eastAsia="Helvetica Neue" w:hAnsi="Helvetica Neue" w:cs="Helvetica Neue"/>
        </w:rPr>
      </w:pPr>
      <w:r>
        <w:rPr>
          <w:rFonts w:ascii="Helvetica Neue" w:hAnsi="Helvetica Neue"/>
        </w:rPr>
        <w:t>Norman, Oklahoma</w:t>
      </w:r>
    </w:p>
    <w:p w:rsidR="0078515A" w:rsidRDefault="00E46B5F">
      <w:pPr>
        <w:pStyle w:val="Body"/>
        <w:spacing w:after="0"/>
        <w:jc w:val="center"/>
        <w:rPr>
          <w:rFonts w:ascii="Helvetica Neue" w:eastAsia="Helvetica Neue" w:hAnsi="Helvetica Neue" w:cs="Helvetica Neue"/>
        </w:rPr>
      </w:pPr>
      <w:r>
        <w:rPr>
          <w:rFonts w:ascii="Helvetica Neue" w:hAnsi="Helvetica Neue"/>
        </w:rPr>
        <w:t>2018</w:t>
      </w:r>
    </w:p>
    <w:p w:rsidR="0078515A" w:rsidRPr="005B6ACF" w:rsidRDefault="0078515A">
      <w:pPr>
        <w:pStyle w:val="Body"/>
        <w:spacing w:after="0"/>
        <w:jc w:val="center"/>
        <w:rPr>
          <w:rFonts w:ascii="Helvetica Neue" w:eastAsia="Helvetica Neue" w:hAnsi="Helvetica Neue" w:cs="Helvetica Neue"/>
          <w:caps/>
        </w:rPr>
      </w:pPr>
    </w:p>
    <w:p w:rsidR="0078515A" w:rsidRPr="005B6ACF" w:rsidRDefault="00E46B5F">
      <w:pPr>
        <w:pStyle w:val="Body"/>
        <w:spacing w:after="0"/>
        <w:jc w:val="center"/>
        <w:rPr>
          <w:rFonts w:ascii="Helvetica Neue" w:eastAsia="Helvetica Neue" w:hAnsi="Helvetica Neue" w:cs="Helvetica Neue"/>
          <w:caps/>
        </w:rPr>
      </w:pPr>
      <w:r w:rsidRPr="005B6ACF">
        <w:rPr>
          <w:rFonts w:ascii="Helvetica Neue" w:hAnsi="Helvetica Neue"/>
          <w:caps/>
        </w:rPr>
        <w:lastRenderedPageBreak/>
        <w:t>INCOMPLETE STATE-MAKING IN A DIVIDED POLITY:</w:t>
      </w:r>
    </w:p>
    <w:p w:rsidR="0078515A" w:rsidRDefault="00E46B5F" w:rsidP="00FE00AA">
      <w:pPr>
        <w:pStyle w:val="Body"/>
        <w:spacing w:after="0"/>
        <w:jc w:val="center"/>
        <w:rPr>
          <w:rFonts w:ascii="Helvetica Neue" w:eastAsia="Helvetica Neue" w:hAnsi="Helvetica Neue" w:cs="Helvetica Neue"/>
          <w:caps/>
        </w:rPr>
      </w:pPr>
      <w:r w:rsidRPr="005B6ACF">
        <w:rPr>
          <w:rFonts w:ascii="Helvetica Neue" w:hAnsi="Helvetica Neue"/>
          <w:caps/>
        </w:rPr>
        <w:t>HABSBURG AUSTRIA, 1618-1914</w:t>
      </w:r>
    </w:p>
    <w:p w:rsidR="0078515A" w:rsidRDefault="0078515A">
      <w:pPr>
        <w:pStyle w:val="Body"/>
        <w:spacing w:after="0"/>
        <w:jc w:val="center"/>
        <w:rPr>
          <w:rFonts w:ascii="Helvetica Neue" w:eastAsia="Helvetica Neue" w:hAnsi="Helvetica Neue" w:cs="Helvetica Neue"/>
          <w:caps/>
        </w:rPr>
      </w:pPr>
    </w:p>
    <w:p w:rsidR="00FE00AA" w:rsidRDefault="00FE00AA">
      <w:pPr>
        <w:pStyle w:val="Body"/>
        <w:spacing w:after="0"/>
        <w:jc w:val="center"/>
        <w:rPr>
          <w:rFonts w:ascii="Helvetica Neue" w:eastAsia="Helvetica Neue" w:hAnsi="Helvetica Neue" w:cs="Helvetica Neue"/>
          <w:caps/>
        </w:rPr>
      </w:pPr>
    </w:p>
    <w:p w:rsidR="0078515A" w:rsidRDefault="00E46B5F">
      <w:pPr>
        <w:pStyle w:val="Body"/>
        <w:spacing w:after="0"/>
        <w:jc w:val="center"/>
        <w:rPr>
          <w:rFonts w:ascii="Helvetica Neue" w:eastAsia="Helvetica Neue" w:hAnsi="Helvetica Neue" w:cs="Helvetica Neue"/>
          <w:caps/>
        </w:rPr>
      </w:pPr>
      <w:r>
        <w:rPr>
          <w:rFonts w:ascii="Helvetica Neue" w:hAnsi="Helvetica Neue"/>
          <w:caps/>
        </w:rPr>
        <w:t>A thesis approved for the</w:t>
      </w:r>
    </w:p>
    <w:p w:rsidR="0078515A" w:rsidRDefault="00E46B5F">
      <w:pPr>
        <w:pStyle w:val="Body"/>
        <w:spacing w:after="0"/>
        <w:jc w:val="center"/>
        <w:rPr>
          <w:rFonts w:ascii="Helvetica Neue" w:eastAsia="Helvetica Neue" w:hAnsi="Helvetica Neue" w:cs="Helvetica Neue"/>
          <w:caps/>
        </w:rPr>
      </w:pPr>
      <w:r w:rsidRPr="005B6ACF">
        <w:rPr>
          <w:rFonts w:ascii="Helvetica Neue" w:hAnsi="Helvetica Neue"/>
          <w:caps/>
        </w:rPr>
        <w:t>COLLEGE OF INTERNATIONAL STUDIES</w:t>
      </w:r>
    </w:p>
    <w:p w:rsidR="0078515A" w:rsidRDefault="0078515A">
      <w:pPr>
        <w:pStyle w:val="Body"/>
        <w:spacing w:after="0"/>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E5641C" w:rsidRDefault="00E5641C">
      <w:pPr>
        <w:pStyle w:val="Body"/>
        <w:spacing w:after="0"/>
        <w:jc w:val="center"/>
        <w:rPr>
          <w:rFonts w:ascii="Helvetica Neue" w:eastAsia="Helvetica Neue" w:hAnsi="Helvetica Neue" w:cs="Helvetica Neue"/>
          <w:caps/>
        </w:rPr>
      </w:pPr>
    </w:p>
    <w:p w:rsidR="0078515A" w:rsidRDefault="00E46B5F">
      <w:pPr>
        <w:pStyle w:val="Body"/>
        <w:spacing w:after="0"/>
        <w:jc w:val="center"/>
        <w:rPr>
          <w:rFonts w:ascii="Helvetica Neue" w:eastAsia="Helvetica Neue" w:hAnsi="Helvetica Neue" w:cs="Helvetica Neue"/>
          <w:caps/>
        </w:rPr>
      </w:pPr>
      <w:r>
        <w:rPr>
          <w:rFonts w:ascii="Helvetica Neue" w:hAnsi="Helvetica Neue"/>
          <w:caps/>
        </w:rPr>
        <w:t>By</w:t>
      </w:r>
    </w:p>
    <w:p w:rsidR="0078515A" w:rsidRDefault="0078515A">
      <w:pPr>
        <w:pStyle w:val="Body"/>
        <w:spacing w:after="0"/>
        <w:jc w:val="center"/>
        <w:rPr>
          <w:rFonts w:ascii="Helvetica Neue" w:eastAsia="Helvetica Neue" w:hAnsi="Helvetica Neue" w:cs="Helvetica Neue"/>
          <w:caps/>
        </w:rPr>
      </w:pPr>
    </w:p>
    <w:p w:rsidR="00E5641C" w:rsidRDefault="00E5641C">
      <w:pPr>
        <w:pStyle w:val="Body"/>
        <w:spacing w:after="0"/>
        <w:jc w:val="center"/>
        <w:rPr>
          <w:rFonts w:ascii="Helvetica Neue" w:eastAsia="Helvetica Neue" w:hAnsi="Helvetica Neue" w:cs="Helvetica Neue"/>
          <w:caps/>
        </w:rPr>
      </w:pPr>
    </w:p>
    <w:p w:rsidR="0078515A" w:rsidRDefault="0078515A">
      <w:pPr>
        <w:pStyle w:val="Body"/>
        <w:spacing w:after="0"/>
        <w:jc w:val="center"/>
        <w:rPr>
          <w:rFonts w:ascii="Helvetica Neue" w:eastAsia="Helvetica Neue" w:hAnsi="Helvetica Neue" w:cs="Helvetica Neue"/>
          <w:caps/>
        </w:rPr>
      </w:pPr>
    </w:p>
    <w:p w:rsidR="0078515A" w:rsidRDefault="00E46B5F">
      <w:pPr>
        <w:pStyle w:val="Body"/>
        <w:spacing w:after="0"/>
        <w:jc w:val="right"/>
        <w:rPr>
          <w:rFonts w:ascii="Helvetica Neue" w:eastAsia="Helvetica Neue" w:hAnsi="Helvetica Neue" w:cs="Helvetica Neue"/>
          <w:caps/>
        </w:rPr>
      </w:pPr>
      <w:r>
        <w:rPr>
          <w:rFonts w:ascii="Helvetica Neue" w:hAnsi="Helvetica Neue"/>
          <w:caps/>
        </w:rPr>
        <w:t>______________________________</w:t>
      </w:r>
    </w:p>
    <w:p w:rsidR="0078515A" w:rsidRDefault="00E46B5F">
      <w:pPr>
        <w:pStyle w:val="Body"/>
        <w:spacing w:after="0"/>
        <w:jc w:val="right"/>
        <w:rPr>
          <w:rFonts w:ascii="Helvetica Neue" w:eastAsia="Helvetica Neue" w:hAnsi="Helvetica Neue" w:cs="Helvetica Neue"/>
        </w:rPr>
      </w:pPr>
      <w:r>
        <w:rPr>
          <w:rFonts w:ascii="Helvetica Neue" w:hAnsi="Helvetica Neue"/>
        </w:rPr>
        <w:t>Dr. Mitchell P. Smith, Chair</w:t>
      </w:r>
    </w:p>
    <w:p w:rsidR="0078515A" w:rsidRDefault="0078515A">
      <w:pPr>
        <w:pStyle w:val="Body"/>
        <w:spacing w:after="0"/>
        <w:jc w:val="right"/>
        <w:rPr>
          <w:rFonts w:ascii="Helvetica Neue" w:eastAsia="Helvetica Neue" w:hAnsi="Helvetica Neue" w:cs="Helvetica Neue"/>
        </w:rPr>
      </w:pPr>
    </w:p>
    <w:p w:rsidR="0078515A" w:rsidRDefault="0078515A">
      <w:pPr>
        <w:pStyle w:val="Body"/>
        <w:spacing w:after="0"/>
        <w:jc w:val="right"/>
        <w:rPr>
          <w:rFonts w:ascii="Helvetica Neue" w:eastAsia="Helvetica Neue" w:hAnsi="Helvetica Neue" w:cs="Helvetica Neue"/>
        </w:rPr>
      </w:pPr>
    </w:p>
    <w:p w:rsidR="0078515A" w:rsidRDefault="00E46B5F">
      <w:pPr>
        <w:pStyle w:val="Body"/>
        <w:spacing w:after="0"/>
        <w:jc w:val="right"/>
        <w:rPr>
          <w:rFonts w:ascii="Helvetica Neue" w:eastAsia="Helvetica Neue" w:hAnsi="Helvetica Neue" w:cs="Helvetica Neue"/>
        </w:rPr>
      </w:pPr>
      <w:r>
        <w:rPr>
          <w:rFonts w:ascii="Helvetica Neue" w:hAnsi="Helvetica Neue"/>
        </w:rPr>
        <w:t>______________________________</w:t>
      </w:r>
    </w:p>
    <w:p w:rsidR="0078515A" w:rsidRPr="005B6ACF" w:rsidRDefault="00E46B5F">
      <w:pPr>
        <w:pStyle w:val="Body"/>
        <w:spacing w:after="0"/>
        <w:jc w:val="right"/>
        <w:rPr>
          <w:rFonts w:ascii="Helvetica Neue" w:eastAsia="Helvetica Neue" w:hAnsi="Helvetica Neue" w:cs="Helvetica Neue"/>
          <w:lang w:val="de-AT"/>
        </w:rPr>
      </w:pPr>
      <w:r>
        <w:rPr>
          <w:rFonts w:ascii="Helvetica Neue" w:hAnsi="Helvetica Neue"/>
          <w:lang w:val="de-DE"/>
        </w:rPr>
        <w:t>Dr. Eric A. Heinze</w:t>
      </w:r>
    </w:p>
    <w:p w:rsidR="0078515A" w:rsidRDefault="0078515A">
      <w:pPr>
        <w:pStyle w:val="Body"/>
        <w:spacing w:after="0"/>
        <w:jc w:val="right"/>
        <w:rPr>
          <w:rFonts w:ascii="Helvetica Neue" w:eastAsia="Helvetica Neue" w:hAnsi="Helvetica Neue" w:cs="Helvetica Neue"/>
          <w:lang w:val="de-DE"/>
        </w:rPr>
      </w:pPr>
    </w:p>
    <w:p w:rsidR="0078515A" w:rsidRDefault="0078515A">
      <w:pPr>
        <w:pStyle w:val="Body"/>
        <w:spacing w:after="0"/>
        <w:jc w:val="right"/>
        <w:rPr>
          <w:rFonts w:ascii="Helvetica Neue" w:eastAsia="Helvetica Neue" w:hAnsi="Helvetica Neue" w:cs="Helvetica Neue"/>
          <w:lang w:val="de-DE"/>
        </w:rPr>
      </w:pPr>
    </w:p>
    <w:p w:rsidR="0078515A" w:rsidRPr="005B6ACF" w:rsidRDefault="00E46B5F">
      <w:pPr>
        <w:pStyle w:val="Body"/>
        <w:spacing w:after="0"/>
        <w:jc w:val="right"/>
        <w:rPr>
          <w:rFonts w:ascii="Helvetica Neue" w:eastAsia="Helvetica Neue" w:hAnsi="Helvetica Neue" w:cs="Helvetica Neue"/>
          <w:lang w:val="de-AT"/>
        </w:rPr>
      </w:pPr>
      <w:r w:rsidRPr="005B6ACF">
        <w:rPr>
          <w:rFonts w:ascii="Helvetica Neue" w:hAnsi="Helvetica Neue"/>
          <w:lang w:val="de-AT"/>
        </w:rPr>
        <w:t>______________________________</w:t>
      </w:r>
    </w:p>
    <w:p w:rsidR="0078515A" w:rsidRPr="005B6ACF" w:rsidRDefault="00E46B5F">
      <w:pPr>
        <w:pStyle w:val="Body"/>
        <w:spacing w:after="0"/>
        <w:jc w:val="right"/>
        <w:rPr>
          <w:rFonts w:ascii="Helvetica Neue" w:eastAsia="Helvetica Neue" w:hAnsi="Helvetica Neue" w:cs="Helvetica Neue"/>
          <w:lang w:val="de-AT"/>
        </w:rPr>
      </w:pPr>
      <w:r w:rsidRPr="005B6ACF">
        <w:rPr>
          <w:rFonts w:ascii="Helvetica Neue" w:hAnsi="Helvetica Neue"/>
          <w:lang w:val="de-AT"/>
        </w:rPr>
        <w:t>Dr. Darren Purcell</w:t>
      </w:r>
    </w:p>
    <w:p w:rsidR="0078515A" w:rsidRPr="005B6ACF" w:rsidRDefault="0078515A">
      <w:pPr>
        <w:pStyle w:val="Body"/>
        <w:spacing w:after="0"/>
        <w:jc w:val="right"/>
        <w:rPr>
          <w:rFonts w:ascii="Helvetica Neue" w:eastAsia="Helvetica Neue" w:hAnsi="Helvetica Neue" w:cs="Helvetica Neue"/>
          <w:lang w:val="de-AT"/>
        </w:rPr>
      </w:pPr>
    </w:p>
    <w:p w:rsidR="0078515A" w:rsidRPr="005B6ACF" w:rsidRDefault="0078515A">
      <w:pPr>
        <w:pStyle w:val="Body"/>
        <w:spacing w:after="0"/>
        <w:jc w:val="right"/>
        <w:rPr>
          <w:rFonts w:ascii="Helvetica Neue" w:eastAsia="Helvetica Neue" w:hAnsi="Helvetica Neue" w:cs="Helvetica Neue"/>
          <w:lang w:val="de-AT"/>
        </w:rPr>
      </w:pPr>
    </w:p>
    <w:p w:rsidR="0078515A" w:rsidRPr="005B6ACF" w:rsidRDefault="0078515A">
      <w:pPr>
        <w:pStyle w:val="Body"/>
        <w:spacing w:after="0"/>
        <w:jc w:val="center"/>
        <w:rPr>
          <w:rFonts w:ascii="Helvetica Neue" w:eastAsia="Helvetica Neue" w:hAnsi="Helvetica Neue" w:cs="Helvetica Neue"/>
          <w:lang w:val="de-AT"/>
        </w:rPr>
      </w:pPr>
    </w:p>
    <w:p w:rsidR="0078515A" w:rsidRPr="005B6ACF" w:rsidRDefault="0078515A">
      <w:pPr>
        <w:pStyle w:val="Body"/>
        <w:spacing w:after="0"/>
        <w:jc w:val="center"/>
        <w:rPr>
          <w:rFonts w:ascii="Helvetica Neue" w:eastAsia="Helvetica Neue" w:hAnsi="Helvetica Neue" w:cs="Helvetica Neue"/>
          <w:lang w:val="de-AT"/>
        </w:rPr>
      </w:pPr>
    </w:p>
    <w:p w:rsidR="0078515A" w:rsidRPr="005B6ACF" w:rsidRDefault="0078515A">
      <w:pPr>
        <w:pStyle w:val="Body"/>
        <w:spacing w:after="0"/>
        <w:jc w:val="center"/>
        <w:rPr>
          <w:rFonts w:ascii="Helvetica Neue" w:eastAsia="Helvetica Neue" w:hAnsi="Helvetica Neue" w:cs="Helvetica Neue"/>
          <w:lang w:val="de-AT"/>
        </w:rPr>
      </w:pPr>
    </w:p>
    <w:p w:rsidR="0078515A" w:rsidRPr="005B6ACF" w:rsidRDefault="0078515A">
      <w:pPr>
        <w:pStyle w:val="Body"/>
        <w:spacing w:after="0"/>
        <w:jc w:val="center"/>
        <w:rPr>
          <w:rFonts w:ascii="Helvetica Neue" w:eastAsia="Helvetica Neue" w:hAnsi="Helvetica Neue" w:cs="Helvetica Neue"/>
          <w:lang w:val="de-AT"/>
        </w:rPr>
      </w:pPr>
    </w:p>
    <w:p w:rsidR="0078515A" w:rsidRPr="005B6ACF" w:rsidRDefault="0078515A">
      <w:pPr>
        <w:pStyle w:val="Body"/>
        <w:spacing w:after="0"/>
        <w:jc w:val="center"/>
        <w:rPr>
          <w:rFonts w:ascii="Helvetica Neue" w:eastAsia="Helvetica Neue" w:hAnsi="Helvetica Neue" w:cs="Helvetica Neue"/>
          <w:lang w:val="de-AT"/>
        </w:rPr>
      </w:pPr>
    </w:p>
    <w:p w:rsidR="0078515A" w:rsidRPr="005B6ACF" w:rsidRDefault="0078515A">
      <w:pPr>
        <w:pStyle w:val="Body"/>
        <w:spacing w:after="0"/>
        <w:jc w:val="center"/>
        <w:rPr>
          <w:rFonts w:ascii="Helvetica Neue" w:eastAsia="Helvetica Neue" w:hAnsi="Helvetica Neue" w:cs="Helvetica Neue"/>
          <w:lang w:val="de-AT"/>
        </w:rPr>
      </w:pPr>
    </w:p>
    <w:p w:rsidR="0078515A" w:rsidRPr="005B6ACF" w:rsidRDefault="0078515A">
      <w:pPr>
        <w:pStyle w:val="Body"/>
        <w:spacing w:after="0"/>
        <w:jc w:val="center"/>
        <w:rPr>
          <w:rFonts w:ascii="Helvetica Neue" w:eastAsia="Helvetica Neue" w:hAnsi="Helvetica Neue" w:cs="Helvetica Neue"/>
          <w:lang w:val="de-AT"/>
        </w:rPr>
      </w:pPr>
    </w:p>
    <w:p w:rsidR="0078515A" w:rsidRPr="005B6ACF" w:rsidRDefault="0078515A">
      <w:pPr>
        <w:pStyle w:val="Body"/>
        <w:spacing w:after="0"/>
        <w:jc w:val="center"/>
        <w:rPr>
          <w:rFonts w:ascii="Helvetica Neue" w:eastAsia="Helvetica Neue" w:hAnsi="Helvetica Neue" w:cs="Helvetica Neue"/>
          <w:lang w:val="de-AT"/>
        </w:rPr>
      </w:pPr>
    </w:p>
    <w:p w:rsidR="0078515A" w:rsidRPr="005B6ACF" w:rsidRDefault="0078515A">
      <w:pPr>
        <w:pStyle w:val="Body"/>
        <w:spacing w:after="0"/>
        <w:jc w:val="center"/>
        <w:rPr>
          <w:rFonts w:ascii="Helvetica Neue" w:eastAsia="Helvetica Neue" w:hAnsi="Helvetica Neue" w:cs="Helvetica Neue"/>
          <w:lang w:val="de-AT"/>
        </w:rPr>
      </w:pPr>
    </w:p>
    <w:p w:rsidR="0078515A" w:rsidRPr="005B6ACF" w:rsidRDefault="0078515A">
      <w:pPr>
        <w:pStyle w:val="Body"/>
        <w:spacing w:after="0"/>
        <w:jc w:val="center"/>
        <w:rPr>
          <w:rFonts w:ascii="Helvetica Neue" w:eastAsia="Helvetica Neue" w:hAnsi="Helvetica Neue" w:cs="Helvetica Neue"/>
          <w:lang w:val="de-AT"/>
        </w:rPr>
      </w:pPr>
    </w:p>
    <w:p w:rsidR="0078515A" w:rsidRPr="005B6ACF" w:rsidRDefault="0078515A">
      <w:pPr>
        <w:pStyle w:val="Body"/>
        <w:spacing w:after="0"/>
        <w:jc w:val="center"/>
        <w:rPr>
          <w:rFonts w:ascii="Helvetica Neue" w:eastAsia="Helvetica Neue" w:hAnsi="Helvetica Neue" w:cs="Helvetica Neue"/>
          <w:lang w:val="de-AT"/>
        </w:rPr>
      </w:pPr>
    </w:p>
    <w:p w:rsidR="0078515A" w:rsidRPr="005B6ACF" w:rsidRDefault="0078515A">
      <w:pPr>
        <w:pStyle w:val="Body"/>
        <w:spacing w:after="0"/>
        <w:jc w:val="center"/>
        <w:rPr>
          <w:rFonts w:ascii="Helvetica Neue" w:eastAsia="Helvetica Neue" w:hAnsi="Helvetica Neue" w:cs="Helvetica Neue"/>
          <w:lang w:val="de-AT"/>
        </w:rPr>
      </w:pPr>
    </w:p>
    <w:p w:rsidR="0078515A" w:rsidRPr="005B6ACF" w:rsidRDefault="0078515A">
      <w:pPr>
        <w:pStyle w:val="Body"/>
        <w:spacing w:after="0"/>
        <w:jc w:val="center"/>
        <w:rPr>
          <w:rFonts w:ascii="Helvetica Neue" w:eastAsia="Helvetica Neue" w:hAnsi="Helvetica Neue" w:cs="Helvetica Neue"/>
          <w:lang w:val="de-AT"/>
        </w:rPr>
      </w:pPr>
    </w:p>
    <w:p w:rsidR="0078515A" w:rsidRPr="005B6ACF" w:rsidRDefault="0078515A">
      <w:pPr>
        <w:pStyle w:val="Body"/>
        <w:spacing w:after="0"/>
        <w:jc w:val="center"/>
        <w:rPr>
          <w:rFonts w:ascii="Helvetica Neue" w:eastAsia="Helvetica Neue" w:hAnsi="Helvetica Neue" w:cs="Helvetica Neue"/>
          <w:lang w:val="de-AT"/>
        </w:rPr>
      </w:pPr>
    </w:p>
    <w:p w:rsidR="0078515A" w:rsidRPr="005B6ACF" w:rsidRDefault="0078515A">
      <w:pPr>
        <w:pStyle w:val="Body"/>
        <w:spacing w:after="0"/>
        <w:jc w:val="center"/>
        <w:rPr>
          <w:rFonts w:ascii="Helvetica Neue" w:eastAsia="Helvetica Neue" w:hAnsi="Helvetica Neue" w:cs="Helvetica Neue"/>
          <w:lang w:val="de-AT"/>
        </w:rPr>
      </w:pPr>
    </w:p>
    <w:p w:rsidR="0078515A" w:rsidRPr="005B6ACF" w:rsidRDefault="0078515A">
      <w:pPr>
        <w:pStyle w:val="Body"/>
        <w:spacing w:after="0"/>
        <w:jc w:val="center"/>
        <w:rPr>
          <w:rFonts w:ascii="Helvetica Neue" w:eastAsia="Helvetica Neue" w:hAnsi="Helvetica Neue" w:cs="Helvetica Neue"/>
          <w:lang w:val="de-AT"/>
        </w:rPr>
      </w:pPr>
    </w:p>
    <w:p w:rsidR="0078515A" w:rsidRPr="00FE00AA" w:rsidRDefault="0078515A" w:rsidP="00AA386C">
      <w:pPr>
        <w:pStyle w:val="Body"/>
        <w:spacing w:after="0"/>
        <w:rPr>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Default="0078515A">
      <w:pPr>
        <w:pStyle w:val="Body"/>
        <w:spacing w:after="0"/>
        <w:jc w:val="center"/>
        <w:rPr>
          <w:rFonts w:ascii="Helvetica Neue" w:eastAsia="Helvetica Neue" w:hAnsi="Helvetica Neue" w:cs="Helvetica Neue"/>
          <w:lang w:val="de-AT"/>
        </w:rPr>
      </w:pPr>
    </w:p>
    <w:p w:rsidR="00FE00AA" w:rsidRDefault="00FE00AA">
      <w:pPr>
        <w:pStyle w:val="Body"/>
        <w:spacing w:after="0"/>
        <w:jc w:val="center"/>
        <w:rPr>
          <w:rFonts w:ascii="Helvetica Neue" w:eastAsia="Helvetica Neue" w:hAnsi="Helvetica Neue" w:cs="Helvetica Neue"/>
          <w:lang w:val="de-AT"/>
        </w:rPr>
      </w:pPr>
    </w:p>
    <w:p w:rsidR="00FE00AA" w:rsidRDefault="00FE00AA">
      <w:pPr>
        <w:pStyle w:val="Body"/>
        <w:spacing w:after="0"/>
        <w:jc w:val="center"/>
        <w:rPr>
          <w:rFonts w:ascii="Helvetica Neue" w:eastAsia="Helvetica Neue" w:hAnsi="Helvetica Neue" w:cs="Helvetica Neue"/>
          <w:lang w:val="de-AT"/>
        </w:rPr>
      </w:pPr>
    </w:p>
    <w:p w:rsidR="00FE00AA" w:rsidRDefault="00FE00AA">
      <w:pPr>
        <w:pStyle w:val="Body"/>
        <w:spacing w:after="0"/>
        <w:jc w:val="center"/>
        <w:rPr>
          <w:rFonts w:ascii="Helvetica Neue" w:eastAsia="Helvetica Neue" w:hAnsi="Helvetica Neue" w:cs="Helvetica Neue"/>
          <w:lang w:val="de-AT"/>
        </w:rPr>
      </w:pPr>
    </w:p>
    <w:p w:rsidR="00FE00AA" w:rsidRDefault="00FE00AA">
      <w:pPr>
        <w:pStyle w:val="Body"/>
        <w:spacing w:after="0"/>
        <w:jc w:val="center"/>
        <w:rPr>
          <w:rFonts w:ascii="Helvetica Neue" w:eastAsia="Helvetica Neue" w:hAnsi="Helvetica Neue" w:cs="Helvetica Neue"/>
          <w:lang w:val="de-AT"/>
        </w:rPr>
      </w:pPr>
    </w:p>
    <w:p w:rsidR="00FE00AA" w:rsidRDefault="00FE00AA">
      <w:pPr>
        <w:pStyle w:val="Body"/>
        <w:spacing w:after="0"/>
        <w:jc w:val="center"/>
        <w:rPr>
          <w:rFonts w:ascii="Helvetica Neue" w:eastAsia="Helvetica Neue" w:hAnsi="Helvetica Neue" w:cs="Helvetica Neue"/>
          <w:lang w:val="de-AT"/>
        </w:rPr>
      </w:pPr>
    </w:p>
    <w:p w:rsidR="00FE00AA" w:rsidRDefault="00FE00AA">
      <w:pPr>
        <w:pStyle w:val="Body"/>
        <w:spacing w:after="0"/>
        <w:jc w:val="center"/>
        <w:rPr>
          <w:rFonts w:ascii="Helvetica Neue" w:eastAsia="Helvetica Neue" w:hAnsi="Helvetica Neue" w:cs="Helvetica Neue"/>
          <w:lang w:val="de-AT"/>
        </w:rPr>
      </w:pPr>
    </w:p>
    <w:p w:rsidR="00FE00AA" w:rsidRPr="00FE00AA" w:rsidRDefault="00FE00A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Pr="00FE00AA" w:rsidRDefault="0078515A">
      <w:pPr>
        <w:pStyle w:val="Body"/>
        <w:spacing w:after="0"/>
        <w:jc w:val="center"/>
        <w:rPr>
          <w:rFonts w:ascii="Helvetica Neue" w:eastAsia="Helvetica Neue" w:hAnsi="Helvetica Neue" w:cs="Helvetica Neue"/>
          <w:lang w:val="de-AT"/>
        </w:rPr>
      </w:pPr>
    </w:p>
    <w:p w:rsidR="0078515A" w:rsidRDefault="00E46B5F">
      <w:pPr>
        <w:pStyle w:val="Body"/>
        <w:spacing w:after="0"/>
        <w:jc w:val="center"/>
        <w:rPr>
          <w:rFonts w:ascii="Helvetica Neue" w:eastAsia="Helvetica Neue" w:hAnsi="Helvetica Neue" w:cs="Helvetica Neue"/>
        </w:rPr>
      </w:pPr>
      <w:r w:rsidRPr="005B6ACF">
        <w:rPr>
          <w:rFonts w:ascii="Helvetica Neue" w:hAnsi="Helvetica Neue"/>
        </w:rPr>
        <w:t xml:space="preserve">© </w:t>
      </w:r>
      <w:r>
        <w:rPr>
          <w:rFonts w:ascii="Helvetica Neue" w:hAnsi="Helvetica Neue"/>
        </w:rPr>
        <w:t>Copyright by ANNA ELEANOR KIERIG 2018</w:t>
      </w:r>
    </w:p>
    <w:p w:rsidR="0078515A" w:rsidRDefault="00E46B5F">
      <w:pPr>
        <w:pStyle w:val="Body"/>
        <w:spacing w:after="0"/>
        <w:jc w:val="center"/>
        <w:rPr>
          <w:rFonts w:ascii="Helvetica Neue" w:eastAsia="Helvetica Neue" w:hAnsi="Helvetica Neue" w:cs="Helvetica Neue"/>
        </w:rPr>
      </w:pPr>
      <w:r>
        <w:rPr>
          <w:rFonts w:ascii="Helvetica Neue" w:hAnsi="Helvetica Neue"/>
        </w:rPr>
        <w:t xml:space="preserve"> Creative Commons Attribution-NonCommercial-Share Alike </w:t>
      </w:r>
    </w:p>
    <w:p w:rsidR="0078515A" w:rsidRPr="005B6ACF" w:rsidRDefault="00E46B5F">
      <w:pPr>
        <w:pStyle w:val="Body"/>
        <w:spacing w:after="0"/>
        <w:jc w:val="center"/>
        <w:rPr>
          <w:lang w:val="de-AT"/>
        </w:rPr>
      </w:pPr>
      <w:r w:rsidRPr="005B6ACF">
        <w:rPr>
          <w:rFonts w:ascii="Helvetica Neue" w:hAnsi="Helvetica Neue"/>
          <w:lang w:val="de-AT"/>
        </w:rPr>
        <w:t>CC BY-NC-SA</w:t>
      </w:r>
      <w:r>
        <w:rPr>
          <w:rFonts w:ascii="Helvetica Neue" w:eastAsia="Helvetica Neue" w:hAnsi="Helvetica Neue" w:cs="Helvetica Neue"/>
          <w:noProof/>
        </w:rPr>
        <w:drawing>
          <wp:anchor distT="152400" distB="152400" distL="152400" distR="152400" simplePos="0" relativeHeight="251659264" behindDoc="0" locked="0" layoutInCell="1" allowOverlap="1">
            <wp:simplePos x="0" y="0"/>
            <wp:positionH relativeFrom="margin">
              <wp:align>center</wp:align>
            </wp:positionH>
            <wp:positionV relativeFrom="line">
              <wp:posOffset>238490</wp:posOffset>
            </wp:positionV>
            <wp:extent cx="1278481" cy="447310"/>
            <wp:effectExtent l="0" t="0" r="4445"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a:picLocks noChangeAspect="1"/>
                    </pic:cNvPicPr>
                  </pic:nvPicPr>
                  <pic:blipFill>
                    <a:blip r:embed="rId6">
                      <a:extLst/>
                    </a:blip>
                    <a:stretch>
                      <a:fillRect/>
                    </a:stretch>
                  </pic:blipFill>
                  <pic:spPr>
                    <a:xfrm>
                      <a:off x="0" y="0"/>
                      <a:ext cx="1278481" cy="447310"/>
                    </a:xfrm>
                    <a:prstGeom prst="rect">
                      <a:avLst/>
                    </a:prstGeom>
                    <a:ln w="12700" cap="flat">
                      <a:noFill/>
                      <a:miter lim="400000"/>
                    </a:ln>
                    <a:effectLst/>
                  </pic:spPr>
                </pic:pic>
              </a:graphicData>
            </a:graphic>
          </wp:anchor>
        </w:drawing>
      </w:r>
      <w:r>
        <w:rPr>
          <w:rFonts w:ascii="Arial Unicode MS" w:hAnsi="Arial Unicode MS"/>
          <w:sz w:val="22"/>
          <w:szCs w:val="22"/>
          <w:lang w:val="de-DE"/>
        </w:rPr>
        <w:br w:type="page"/>
      </w:r>
    </w:p>
    <w:p w:rsidR="0078515A" w:rsidRDefault="00E46B5F">
      <w:pPr>
        <w:pStyle w:val="Body"/>
        <w:spacing w:after="0" w:line="480" w:lineRule="auto"/>
        <w:rPr>
          <w:rFonts w:ascii="Helvetica Neue" w:eastAsia="Helvetica Neue" w:hAnsi="Helvetica Neue" w:cs="Helvetica Neue"/>
          <w:i/>
          <w:iCs/>
          <w:sz w:val="22"/>
          <w:szCs w:val="22"/>
          <w:lang w:val="de-DE"/>
        </w:rPr>
      </w:pPr>
      <w:r>
        <w:rPr>
          <w:rFonts w:ascii="Helvetica Neue" w:hAnsi="Helvetica Neue"/>
          <w:b/>
          <w:bCs/>
          <w:sz w:val="28"/>
          <w:szCs w:val="28"/>
          <w:lang w:val="de-DE"/>
        </w:rPr>
        <w:lastRenderedPageBreak/>
        <w:t>Widmung</w:t>
      </w:r>
      <w:r w:rsidRPr="005B6ACF">
        <w:rPr>
          <w:rFonts w:ascii="Helvetica Neue" w:hAnsi="Helvetica Neue"/>
          <w:b/>
          <w:bCs/>
          <w:sz w:val="28"/>
          <w:szCs w:val="28"/>
          <w:lang w:val="de-AT"/>
        </w:rPr>
        <w:t xml:space="preserve"> </w:t>
      </w:r>
    </w:p>
    <w:p w:rsidR="0078515A" w:rsidRPr="005B6ACF" w:rsidRDefault="00E46B5F">
      <w:pPr>
        <w:pStyle w:val="Body"/>
        <w:rPr>
          <w:rFonts w:ascii="Helvetica Neue" w:eastAsia="Helvetica Neue" w:hAnsi="Helvetica Neue" w:cs="Helvetica Neue"/>
          <w:i/>
          <w:iCs/>
          <w:lang w:val="de-AT"/>
        </w:rPr>
      </w:pPr>
      <w:r>
        <w:rPr>
          <w:rFonts w:ascii="Helvetica Neue" w:hAnsi="Helvetica Neue"/>
          <w:i/>
          <w:iCs/>
          <w:lang w:val="de-DE"/>
        </w:rPr>
        <w:t xml:space="preserve">In Dankbarkeit an alle gewidmet, die mir geholfen haben. </w:t>
      </w:r>
      <w:r>
        <w:rPr>
          <w:rFonts w:ascii="Helvetica Neue" w:eastAsia="Helvetica Neue" w:hAnsi="Helvetica Neue" w:cs="Helvetica Neue"/>
          <w:i/>
          <w:iCs/>
          <w:lang w:val="de-DE"/>
        </w:rPr>
        <w:br/>
      </w:r>
      <w:r>
        <w:rPr>
          <w:rFonts w:ascii="Helvetica Neue" w:hAnsi="Helvetica Neue"/>
          <w:i/>
          <w:iCs/>
          <w:lang w:val="de-DE"/>
        </w:rPr>
        <w:t>Ihr wißt, wer ihr seid. —AEK</w:t>
      </w:r>
    </w:p>
    <w:p w:rsidR="0078515A" w:rsidRDefault="0078515A">
      <w:pPr>
        <w:pStyle w:val="Body"/>
        <w:spacing w:after="0" w:line="480" w:lineRule="auto"/>
        <w:rPr>
          <w:rFonts w:ascii="Helvetica Neue" w:eastAsia="Helvetica Neue" w:hAnsi="Helvetica Neue" w:cs="Helvetica Neue"/>
          <w:sz w:val="28"/>
          <w:szCs w:val="28"/>
          <w:lang w:val="de-DE"/>
        </w:rPr>
      </w:pPr>
    </w:p>
    <w:p w:rsidR="0078515A" w:rsidRDefault="0078515A">
      <w:pPr>
        <w:pStyle w:val="Body"/>
        <w:spacing w:after="0" w:line="480" w:lineRule="auto"/>
        <w:rPr>
          <w:rFonts w:ascii="Helvetica Neue" w:eastAsia="Helvetica Neue" w:hAnsi="Helvetica Neue" w:cs="Helvetica Neue"/>
          <w:sz w:val="28"/>
          <w:szCs w:val="28"/>
          <w:lang w:val="de-DE"/>
        </w:rPr>
      </w:pPr>
    </w:p>
    <w:p w:rsidR="0078515A" w:rsidRDefault="0078515A">
      <w:pPr>
        <w:pStyle w:val="Body"/>
        <w:spacing w:after="0" w:line="480" w:lineRule="auto"/>
        <w:rPr>
          <w:rFonts w:ascii="Helvetica Neue" w:eastAsia="Helvetica Neue" w:hAnsi="Helvetica Neue" w:cs="Helvetica Neue"/>
          <w:sz w:val="28"/>
          <w:szCs w:val="28"/>
          <w:lang w:val="de-DE"/>
        </w:rPr>
      </w:pPr>
    </w:p>
    <w:p w:rsidR="0078515A" w:rsidRDefault="0078515A">
      <w:pPr>
        <w:pStyle w:val="Body"/>
        <w:spacing w:after="0" w:line="480" w:lineRule="auto"/>
        <w:rPr>
          <w:rFonts w:ascii="Helvetica Neue" w:eastAsia="Helvetica Neue" w:hAnsi="Helvetica Neue" w:cs="Helvetica Neue"/>
          <w:sz w:val="28"/>
          <w:szCs w:val="28"/>
          <w:lang w:val="de-DE"/>
        </w:rPr>
      </w:pPr>
    </w:p>
    <w:p w:rsidR="0078515A" w:rsidRDefault="0078515A">
      <w:pPr>
        <w:pStyle w:val="Body"/>
        <w:spacing w:after="0" w:line="480" w:lineRule="auto"/>
        <w:rPr>
          <w:rFonts w:ascii="Helvetica Neue" w:eastAsia="Helvetica Neue" w:hAnsi="Helvetica Neue" w:cs="Helvetica Neue"/>
          <w:sz w:val="28"/>
          <w:szCs w:val="28"/>
          <w:lang w:val="de-DE"/>
        </w:rPr>
      </w:pPr>
    </w:p>
    <w:p w:rsidR="0078515A" w:rsidRDefault="0078515A">
      <w:pPr>
        <w:pStyle w:val="Body"/>
        <w:spacing w:after="0" w:line="480" w:lineRule="auto"/>
        <w:rPr>
          <w:rFonts w:ascii="Helvetica Neue" w:eastAsia="Helvetica Neue" w:hAnsi="Helvetica Neue" w:cs="Helvetica Neue"/>
          <w:sz w:val="28"/>
          <w:szCs w:val="28"/>
          <w:lang w:val="de-DE"/>
        </w:rPr>
      </w:pPr>
    </w:p>
    <w:p w:rsidR="0078515A" w:rsidRDefault="0078515A">
      <w:pPr>
        <w:pStyle w:val="Body"/>
        <w:spacing w:after="0" w:line="480" w:lineRule="auto"/>
        <w:rPr>
          <w:rFonts w:ascii="Helvetica Neue" w:eastAsia="Helvetica Neue" w:hAnsi="Helvetica Neue" w:cs="Helvetica Neue"/>
          <w:sz w:val="28"/>
          <w:szCs w:val="28"/>
          <w:lang w:val="de-DE"/>
        </w:rPr>
      </w:pPr>
    </w:p>
    <w:p w:rsidR="0078515A" w:rsidRDefault="0078515A">
      <w:pPr>
        <w:pStyle w:val="Body"/>
        <w:spacing w:after="0" w:line="480" w:lineRule="auto"/>
        <w:rPr>
          <w:rFonts w:ascii="Helvetica Neue" w:eastAsia="Helvetica Neue" w:hAnsi="Helvetica Neue" w:cs="Helvetica Neue"/>
          <w:sz w:val="28"/>
          <w:szCs w:val="28"/>
          <w:lang w:val="de-DE"/>
        </w:rPr>
      </w:pPr>
    </w:p>
    <w:p w:rsidR="0078515A" w:rsidRDefault="0078515A">
      <w:pPr>
        <w:pStyle w:val="Body"/>
        <w:spacing w:after="0" w:line="480" w:lineRule="auto"/>
        <w:rPr>
          <w:rFonts w:ascii="Helvetica Neue" w:eastAsia="Helvetica Neue" w:hAnsi="Helvetica Neue" w:cs="Helvetica Neue"/>
          <w:sz w:val="28"/>
          <w:szCs w:val="28"/>
          <w:lang w:val="de-DE"/>
        </w:rPr>
      </w:pPr>
    </w:p>
    <w:p w:rsidR="0078515A" w:rsidRDefault="0078515A">
      <w:pPr>
        <w:pStyle w:val="Body"/>
        <w:spacing w:after="0" w:line="480" w:lineRule="auto"/>
        <w:rPr>
          <w:rFonts w:ascii="Helvetica Neue" w:eastAsia="Helvetica Neue" w:hAnsi="Helvetica Neue" w:cs="Helvetica Neue"/>
          <w:sz w:val="28"/>
          <w:szCs w:val="28"/>
          <w:lang w:val="de-DE"/>
        </w:rPr>
      </w:pPr>
    </w:p>
    <w:p w:rsidR="0078515A" w:rsidRDefault="0078515A">
      <w:pPr>
        <w:pStyle w:val="Body"/>
        <w:spacing w:after="0" w:line="480" w:lineRule="auto"/>
        <w:rPr>
          <w:rFonts w:ascii="Helvetica Neue" w:eastAsia="Helvetica Neue" w:hAnsi="Helvetica Neue" w:cs="Helvetica Neue"/>
          <w:sz w:val="28"/>
          <w:szCs w:val="28"/>
          <w:lang w:val="de-DE"/>
        </w:rPr>
      </w:pPr>
    </w:p>
    <w:p w:rsidR="0078515A" w:rsidRDefault="0078515A">
      <w:pPr>
        <w:pStyle w:val="Body"/>
        <w:spacing w:after="0" w:line="480" w:lineRule="auto"/>
        <w:rPr>
          <w:rFonts w:ascii="Helvetica Neue" w:eastAsia="Helvetica Neue" w:hAnsi="Helvetica Neue" w:cs="Helvetica Neue"/>
          <w:sz w:val="28"/>
          <w:szCs w:val="28"/>
          <w:lang w:val="de-DE"/>
        </w:rPr>
      </w:pPr>
    </w:p>
    <w:p w:rsidR="0078515A" w:rsidRDefault="0078515A">
      <w:pPr>
        <w:pStyle w:val="Body"/>
        <w:spacing w:after="0" w:line="480" w:lineRule="auto"/>
        <w:rPr>
          <w:rFonts w:ascii="Helvetica Neue" w:eastAsia="Helvetica Neue" w:hAnsi="Helvetica Neue" w:cs="Helvetica Neue"/>
          <w:sz w:val="28"/>
          <w:szCs w:val="28"/>
          <w:lang w:val="de-DE"/>
        </w:rPr>
      </w:pPr>
    </w:p>
    <w:p w:rsidR="0078515A" w:rsidRDefault="0078515A">
      <w:pPr>
        <w:pStyle w:val="Body"/>
        <w:spacing w:after="0" w:line="480" w:lineRule="auto"/>
        <w:rPr>
          <w:rFonts w:ascii="Helvetica Neue" w:eastAsia="Helvetica Neue" w:hAnsi="Helvetica Neue" w:cs="Helvetica Neue"/>
          <w:sz w:val="28"/>
          <w:szCs w:val="28"/>
          <w:lang w:val="de-DE"/>
        </w:rPr>
      </w:pPr>
    </w:p>
    <w:p w:rsidR="0078515A" w:rsidRPr="005B6ACF" w:rsidRDefault="0078515A">
      <w:pPr>
        <w:pStyle w:val="Body"/>
        <w:spacing w:after="0" w:line="480" w:lineRule="auto"/>
        <w:rPr>
          <w:lang w:val="de-AT"/>
        </w:rPr>
        <w:sectPr w:rsidR="0078515A" w:rsidRPr="005B6ACF" w:rsidSect="00F11B03">
          <w:footerReference w:type="even" r:id="rId7"/>
          <w:footerReference w:type="default" r:id="rId8"/>
          <w:pgSz w:w="12240" w:h="15840"/>
          <w:pgMar w:top="1872" w:right="1872" w:bottom="1872" w:left="2304" w:header="720" w:footer="720" w:gutter="0"/>
          <w:pgNumType w:start="4"/>
          <w:cols w:space="720"/>
        </w:sectPr>
      </w:pPr>
    </w:p>
    <w:p w:rsidR="0078515A" w:rsidRDefault="00E46B5F">
      <w:pPr>
        <w:pStyle w:val="Body"/>
        <w:spacing w:after="0" w:line="480" w:lineRule="auto"/>
        <w:rPr>
          <w:rFonts w:ascii="Helvetica Neue" w:eastAsia="Helvetica Neue" w:hAnsi="Helvetica Neue" w:cs="Helvetica Neue"/>
          <w:b/>
          <w:bCs/>
          <w:sz w:val="28"/>
          <w:szCs w:val="28"/>
        </w:rPr>
      </w:pPr>
      <w:r>
        <w:rPr>
          <w:rFonts w:ascii="Helvetica Neue" w:hAnsi="Helvetica Neue"/>
          <w:b/>
          <w:bCs/>
          <w:sz w:val="28"/>
          <w:szCs w:val="28"/>
        </w:rPr>
        <w:lastRenderedPageBreak/>
        <w:t xml:space="preserve">Acknowledgements </w:t>
      </w:r>
    </w:p>
    <w:p w:rsidR="0078515A" w:rsidRDefault="00E46B5F">
      <w:pPr>
        <w:pStyle w:val="Body"/>
        <w:tabs>
          <w:tab w:val="left" w:pos="360"/>
          <w:tab w:val="left" w:pos="720"/>
          <w:tab w:val="left" w:pos="1080"/>
          <w:tab w:val="left" w:pos="1440"/>
          <w:tab w:val="left" w:pos="1800"/>
          <w:tab w:val="left" w:pos="2160"/>
          <w:tab w:val="left" w:pos="2880"/>
          <w:tab w:val="left" w:pos="3600"/>
          <w:tab w:val="left" w:pos="4320"/>
        </w:tabs>
        <w:spacing w:after="0" w:line="276" w:lineRule="auto"/>
        <w:rPr>
          <w:rFonts w:ascii="Helvetica Neue" w:eastAsia="Helvetica Neue" w:hAnsi="Helvetica Neue" w:cs="Helvetica Neue"/>
        </w:rPr>
      </w:pPr>
      <w:r>
        <w:rPr>
          <w:rFonts w:ascii="Helvetica Neue" w:hAnsi="Helvetica Neue"/>
        </w:rPr>
        <w:t xml:space="preserve">Very special thanks to my advisor, Mitchell P. Smith for his patience, support, and guidance over the last ten years that I’ve been honored to know him. Throughout my career at OU, Professor Smith has been there, in his own way, at every step I’ve taken. I would not have come this far without him and I will always be grateful. </w:t>
      </w:r>
    </w:p>
    <w:p w:rsidR="0078515A" w:rsidRDefault="0078515A">
      <w:pPr>
        <w:pStyle w:val="Body"/>
        <w:tabs>
          <w:tab w:val="left" w:pos="360"/>
          <w:tab w:val="left" w:pos="720"/>
          <w:tab w:val="left" w:pos="1080"/>
          <w:tab w:val="left" w:pos="1440"/>
          <w:tab w:val="left" w:pos="1800"/>
          <w:tab w:val="left" w:pos="2160"/>
          <w:tab w:val="left" w:pos="2880"/>
          <w:tab w:val="left" w:pos="3600"/>
          <w:tab w:val="left" w:pos="4320"/>
        </w:tabs>
        <w:spacing w:after="0" w:line="276" w:lineRule="auto"/>
        <w:rPr>
          <w:rFonts w:ascii="Helvetica Neue" w:eastAsia="Helvetica Neue" w:hAnsi="Helvetica Neue" w:cs="Helvetica Neue"/>
        </w:rPr>
      </w:pPr>
    </w:p>
    <w:p w:rsidR="0078515A" w:rsidRDefault="00E46B5F">
      <w:pPr>
        <w:pStyle w:val="Body"/>
        <w:tabs>
          <w:tab w:val="left" w:pos="360"/>
          <w:tab w:val="left" w:pos="720"/>
          <w:tab w:val="left" w:pos="1080"/>
          <w:tab w:val="left" w:pos="1440"/>
          <w:tab w:val="left" w:pos="1800"/>
          <w:tab w:val="left" w:pos="2160"/>
          <w:tab w:val="left" w:pos="2880"/>
          <w:tab w:val="left" w:pos="3600"/>
          <w:tab w:val="left" w:pos="4320"/>
        </w:tabs>
        <w:spacing w:after="0" w:line="276" w:lineRule="auto"/>
        <w:rPr>
          <w:rFonts w:ascii="Helvetica Neue" w:eastAsia="Helvetica Neue" w:hAnsi="Helvetica Neue" w:cs="Helvetica Neue"/>
        </w:rPr>
      </w:pPr>
      <w:r>
        <w:rPr>
          <w:rFonts w:ascii="Helvetica Neue" w:hAnsi="Helvetica Neue"/>
        </w:rPr>
        <w:t xml:space="preserve">Likewise, I wish to extend my thanks to Darren Purcell and Eric Heinze, the other members of my committee for their </w:t>
      </w:r>
      <w:r w:rsidRPr="005B6ACF">
        <w:rPr>
          <w:rFonts w:ascii="Helvetica Neue" w:hAnsi="Helvetica Neue"/>
        </w:rPr>
        <w:t>assistance</w:t>
      </w:r>
      <w:r>
        <w:rPr>
          <w:rFonts w:ascii="Helvetica Neue" w:hAnsi="Helvetica Neue"/>
        </w:rPr>
        <w:t xml:space="preserve">. I took Darren’s Human Geography in Spring 2008. My only regret from that course was that I never took more geography courses. During his time as a faculty member in Political Science, Eric Heinze would often stop to talk to my boss, Justin Wert. I was always very thankful he would include me in their always interesting conversations, it made a bigger impression on me than he knows. </w:t>
      </w:r>
    </w:p>
    <w:p w:rsidR="0078515A" w:rsidRDefault="0078515A">
      <w:pPr>
        <w:pStyle w:val="Body"/>
        <w:tabs>
          <w:tab w:val="left" w:pos="360"/>
          <w:tab w:val="left" w:pos="720"/>
          <w:tab w:val="left" w:pos="1080"/>
          <w:tab w:val="left" w:pos="1440"/>
          <w:tab w:val="left" w:pos="1800"/>
          <w:tab w:val="left" w:pos="2160"/>
          <w:tab w:val="left" w:pos="2880"/>
          <w:tab w:val="left" w:pos="3600"/>
          <w:tab w:val="left" w:pos="4320"/>
        </w:tabs>
        <w:spacing w:after="0" w:line="276" w:lineRule="auto"/>
        <w:rPr>
          <w:rFonts w:ascii="Helvetica Neue" w:eastAsia="Helvetica Neue" w:hAnsi="Helvetica Neue" w:cs="Helvetica Neue"/>
        </w:rPr>
      </w:pPr>
    </w:p>
    <w:p w:rsidR="0078515A" w:rsidRDefault="00E46B5F">
      <w:pPr>
        <w:pStyle w:val="Body"/>
        <w:tabs>
          <w:tab w:val="left" w:pos="360"/>
          <w:tab w:val="left" w:pos="720"/>
          <w:tab w:val="left" w:pos="1080"/>
          <w:tab w:val="left" w:pos="1440"/>
          <w:tab w:val="left" w:pos="1800"/>
          <w:tab w:val="left" w:pos="2160"/>
          <w:tab w:val="left" w:pos="2880"/>
          <w:tab w:val="left" w:pos="3600"/>
          <w:tab w:val="left" w:pos="4320"/>
        </w:tabs>
        <w:spacing w:after="0" w:line="276" w:lineRule="auto"/>
        <w:rPr>
          <w:rFonts w:ascii="Helvetica Neue" w:eastAsia="Helvetica Neue" w:hAnsi="Helvetica Neue" w:cs="Helvetica Neue"/>
        </w:rPr>
      </w:pPr>
      <w:r>
        <w:rPr>
          <w:rFonts w:ascii="Helvetica Neue" w:hAnsi="Helvetica Neue"/>
        </w:rPr>
        <w:t xml:space="preserve">At the OU Libraries, Karen Rupp-Serrano and Jen Waller have been helpful and encouraging beyond belief. Their encouragement and help has meant so much. Thank you both very much. </w:t>
      </w:r>
    </w:p>
    <w:p w:rsidR="0078515A" w:rsidRDefault="0078515A">
      <w:pPr>
        <w:pStyle w:val="Body"/>
        <w:tabs>
          <w:tab w:val="left" w:pos="360"/>
          <w:tab w:val="left" w:pos="720"/>
          <w:tab w:val="left" w:pos="1080"/>
          <w:tab w:val="left" w:pos="1440"/>
          <w:tab w:val="left" w:pos="1800"/>
          <w:tab w:val="left" w:pos="2160"/>
          <w:tab w:val="left" w:pos="2880"/>
          <w:tab w:val="left" w:pos="3600"/>
          <w:tab w:val="left" w:pos="4320"/>
        </w:tabs>
        <w:spacing w:after="0" w:line="276" w:lineRule="auto"/>
        <w:rPr>
          <w:rFonts w:ascii="Helvetica Neue" w:eastAsia="Helvetica Neue" w:hAnsi="Helvetica Neue" w:cs="Helvetica Neue"/>
        </w:rPr>
      </w:pPr>
    </w:p>
    <w:p w:rsidR="0078515A" w:rsidRDefault="00E46B5F">
      <w:pPr>
        <w:pStyle w:val="Body"/>
        <w:tabs>
          <w:tab w:val="left" w:pos="360"/>
          <w:tab w:val="left" w:pos="720"/>
          <w:tab w:val="left" w:pos="1080"/>
          <w:tab w:val="left" w:pos="1440"/>
          <w:tab w:val="left" w:pos="1800"/>
          <w:tab w:val="left" w:pos="2160"/>
          <w:tab w:val="left" w:pos="2880"/>
          <w:tab w:val="left" w:pos="3600"/>
          <w:tab w:val="left" w:pos="4320"/>
        </w:tabs>
        <w:spacing w:after="0" w:line="276" w:lineRule="auto"/>
        <w:rPr>
          <w:rFonts w:ascii="Helvetica Neue" w:eastAsia="Helvetica Neue" w:hAnsi="Helvetica Neue" w:cs="Helvetica Neue"/>
        </w:rPr>
      </w:pPr>
      <w:r>
        <w:rPr>
          <w:rFonts w:ascii="Helvetica Neue" w:hAnsi="Helvetica Neue"/>
        </w:rPr>
        <w:t>During my time at the Paris Lodron-Universität-Salzburg, Reinhard Heinisch was a constant advocate for me, whether helping with legal matters, sending some editing work my way, or, of course, during my stint in Austrian national and European politics.</w:t>
      </w:r>
    </w:p>
    <w:p w:rsidR="0078515A" w:rsidRDefault="0078515A">
      <w:pPr>
        <w:pStyle w:val="Body"/>
        <w:tabs>
          <w:tab w:val="left" w:pos="360"/>
          <w:tab w:val="left" w:pos="720"/>
          <w:tab w:val="left" w:pos="1080"/>
          <w:tab w:val="left" w:pos="1440"/>
          <w:tab w:val="left" w:pos="1800"/>
          <w:tab w:val="left" w:pos="2160"/>
          <w:tab w:val="left" w:pos="2880"/>
          <w:tab w:val="left" w:pos="3600"/>
          <w:tab w:val="left" w:pos="4320"/>
        </w:tabs>
        <w:spacing w:after="0" w:line="276" w:lineRule="auto"/>
        <w:rPr>
          <w:rFonts w:ascii="Helvetica Neue" w:eastAsia="Helvetica Neue" w:hAnsi="Helvetica Neue" w:cs="Helvetica Neue"/>
        </w:rPr>
      </w:pPr>
    </w:p>
    <w:p w:rsidR="0078515A" w:rsidRPr="005B6ACF" w:rsidRDefault="00E46B5F">
      <w:pPr>
        <w:pStyle w:val="Body"/>
        <w:tabs>
          <w:tab w:val="left" w:pos="360"/>
          <w:tab w:val="left" w:pos="720"/>
          <w:tab w:val="left" w:pos="1080"/>
          <w:tab w:val="left" w:pos="1440"/>
          <w:tab w:val="left" w:pos="1800"/>
          <w:tab w:val="left" w:pos="2160"/>
          <w:tab w:val="left" w:pos="2880"/>
          <w:tab w:val="left" w:pos="3600"/>
          <w:tab w:val="left" w:pos="4320"/>
        </w:tabs>
        <w:spacing w:after="0" w:line="276" w:lineRule="auto"/>
        <w:rPr>
          <w:rFonts w:ascii="Helvetica Neue" w:eastAsia="Helvetica Neue" w:hAnsi="Helvetica Neue" w:cs="Helvetica Neue"/>
          <w:lang w:val="de-AT"/>
        </w:rPr>
      </w:pPr>
      <w:r>
        <w:rPr>
          <w:rFonts w:ascii="Helvetica Neue" w:hAnsi="Helvetica Neue"/>
          <w:lang w:val="de-DE"/>
        </w:rPr>
        <w:t xml:space="preserve">Vielen Dank der hoch geschätzten Familie Soder in Unken, bei der ich ungefähr dreieinhalb Jähren gewohnt hatte. Man merkt, daß ich oft schwierig sein kann. Trotzdem, irgendwie sind wir noch immer befreundet. Großartige liebevolle Dank an der Conni: ohne deine Sonnenschein wäre meine Jahre in Österreich viel dunkler. </w:t>
      </w:r>
    </w:p>
    <w:p w:rsidR="0078515A" w:rsidRDefault="0078515A">
      <w:pPr>
        <w:pStyle w:val="Body"/>
        <w:tabs>
          <w:tab w:val="left" w:pos="360"/>
          <w:tab w:val="left" w:pos="720"/>
          <w:tab w:val="left" w:pos="1080"/>
          <w:tab w:val="left" w:pos="1440"/>
          <w:tab w:val="left" w:pos="1800"/>
          <w:tab w:val="left" w:pos="2160"/>
          <w:tab w:val="left" w:pos="2880"/>
          <w:tab w:val="left" w:pos="3600"/>
          <w:tab w:val="left" w:pos="4320"/>
        </w:tabs>
        <w:spacing w:after="0" w:line="276" w:lineRule="auto"/>
        <w:rPr>
          <w:rFonts w:ascii="Helvetica Neue" w:eastAsia="Helvetica Neue" w:hAnsi="Helvetica Neue" w:cs="Helvetica Neue"/>
          <w:i/>
          <w:iCs/>
          <w:lang w:val="de-DE"/>
        </w:rPr>
      </w:pPr>
    </w:p>
    <w:p w:rsidR="0078515A" w:rsidRDefault="00E46B5F">
      <w:pPr>
        <w:pStyle w:val="Body"/>
        <w:tabs>
          <w:tab w:val="left" w:pos="360"/>
          <w:tab w:val="left" w:pos="720"/>
          <w:tab w:val="left" w:pos="1080"/>
          <w:tab w:val="left" w:pos="1440"/>
          <w:tab w:val="left" w:pos="1800"/>
          <w:tab w:val="left" w:pos="2160"/>
          <w:tab w:val="left" w:pos="2880"/>
          <w:tab w:val="left" w:pos="3600"/>
          <w:tab w:val="left" w:pos="4320"/>
        </w:tabs>
        <w:spacing w:after="0" w:line="276" w:lineRule="auto"/>
        <w:rPr>
          <w:rFonts w:ascii="Helvetica Neue" w:hAnsi="Helvetica Neue"/>
        </w:rPr>
      </w:pPr>
      <w:r>
        <w:rPr>
          <w:rFonts w:ascii="Helvetica Neue" w:hAnsi="Helvetica Neue"/>
        </w:rPr>
        <w:t xml:space="preserve">I am very thankful to everyone at the University of Oklahoma, Paris Lodron-Universität-Salzburg, and Oklahoma State University who have </w:t>
      </w:r>
      <w:r>
        <w:rPr>
          <w:rFonts w:ascii="Helvetica Neue" w:hAnsi="Helvetica Neue"/>
        </w:rPr>
        <w:lastRenderedPageBreak/>
        <w:t xml:space="preserve">helped me along the way. There are simply too many people to list all of them. </w:t>
      </w:r>
    </w:p>
    <w:p w:rsidR="00F11B03" w:rsidRDefault="00F11B03">
      <w:pPr>
        <w:pStyle w:val="Body"/>
        <w:tabs>
          <w:tab w:val="left" w:pos="360"/>
          <w:tab w:val="left" w:pos="720"/>
          <w:tab w:val="left" w:pos="1080"/>
          <w:tab w:val="left" w:pos="1440"/>
          <w:tab w:val="left" w:pos="1800"/>
          <w:tab w:val="left" w:pos="2160"/>
          <w:tab w:val="left" w:pos="2880"/>
          <w:tab w:val="left" w:pos="3600"/>
          <w:tab w:val="left" w:pos="4320"/>
        </w:tabs>
        <w:spacing w:after="0" w:line="276" w:lineRule="auto"/>
        <w:rPr>
          <w:rFonts w:ascii="Helvetica Neue" w:eastAsia="Helvetica Neue" w:hAnsi="Helvetica Neue" w:cs="Helvetica Neue"/>
        </w:rPr>
      </w:pPr>
    </w:p>
    <w:p w:rsidR="0078515A" w:rsidRDefault="00E46B5F">
      <w:pPr>
        <w:pStyle w:val="Body"/>
        <w:tabs>
          <w:tab w:val="left" w:pos="360"/>
          <w:tab w:val="left" w:pos="720"/>
          <w:tab w:val="left" w:pos="1080"/>
          <w:tab w:val="left" w:pos="1440"/>
          <w:tab w:val="left" w:pos="1800"/>
          <w:tab w:val="left" w:pos="2160"/>
          <w:tab w:val="left" w:pos="2880"/>
          <w:tab w:val="left" w:pos="3600"/>
          <w:tab w:val="left" w:pos="4320"/>
        </w:tabs>
        <w:spacing w:after="0" w:line="276" w:lineRule="auto"/>
        <w:rPr>
          <w:rFonts w:ascii="Helvetica Neue" w:eastAsia="Helvetica Neue" w:hAnsi="Helvetica Neue" w:cs="Helvetica Neue"/>
        </w:rPr>
      </w:pPr>
      <w:r>
        <w:rPr>
          <w:rFonts w:ascii="Helvetica Neue" w:hAnsi="Helvetica Neue"/>
        </w:rPr>
        <w:t xml:space="preserve">Finally, I am very grateful to my parents and friends for their patience, support, and encouragement. I am sorry that I have often been grumpy, exhausted, and sickly during the writing of this. </w:t>
      </w:r>
    </w:p>
    <w:p w:rsidR="0078515A" w:rsidRDefault="0078515A">
      <w:pPr>
        <w:pStyle w:val="Body"/>
        <w:tabs>
          <w:tab w:val="left" w:pos="360"/>
          <w:tab w:val="left" w:pos="720"/>
          <w:tab w:val="left" w:pos="1080"/>
          <w:tab w:val="left" w:pos="1440"/>
          <w:tab w:val="left" w:pos="1800"/>
          <w:tab w:val="left" w:pos="2160"/>
          <w:tab w:val="left" w:pos="2880"/>
          <w:tab w:val="left" w:pos="3600"/>
          <w:tab w:val="left" w:pos="4320"/>
        </w:tabs>
        <w:spacing w:after="0" w:line="264" w:lineRule="auto"/>
        <w:rPr>
          <w:rFonts w:ascii="Helvetica Neue" w:eastAsia="Helvetica Neue" w:hAnsi="Helvetica Neue" w:cs="Helvetica Neue"/>
        </w:rPr>
      </w:pPr>
    </w:p>
    <w:p w:rsidR="0078515A" w:rsidRDefault="0078515A">
      <w:pPr>
        <w:pStyle w:val="Body"/>
        <w:rPr>
          <w:rFonts w:ascii="Helvetica Neue" w:eastAsia="Helvetica Neue" w:hAnsi="Helvetica Neue" w:cs="Helvetica Neue"/>
          <w:sz w:val="23"/>
          <w:szCs w:val="23"/>
        </w:rPr>
      </w:pPr>
    </w:p>
    <w:p w:rsidR="0078515A" w:rsidRDefault="0078515A">
      <w:pPr>
        <w:pStyle w:val="Body"/>
        <w:rPr>
          <w:rFonts w:ascii="Helvetica Neue" w:eastAsia="Helvetica Neue" w:hAnsi="Helvetica Neue" w:cs="Helvetica Neue"/>
          <w:sz w:val="23"/>
          <w:szCs w:val="23"/>
        </w:rPr>
      </w:pPr>
    </w:p>
    <w:p w:rsidR="0078515A" w:rsidRDefault="0078515A">
      <w:pPr>
        <w:pStyle w:val="Body"/>
        <w:rPr>
          <w:rFonts w:ascii="Helvetica Neue" w:eastAsia="Helvetica Neue" w:hAnsi="Helvetica Neue" w:cs="Helvetica Neue"/>
          <w:sz w:val="23"/>
          <w:szCs w:val="23"/>
        </w:rPr>
      </w:pPr>
    </w:p>
    <w:p w:rsidR="0078515A" w:rsidRDefault="0078515A">
      <w:pPr>
        <w:pStyle w:val="Body"/>
        <w:rPr>
          <w:rFonts w:ascii="Helvetica Neue" w:eastAsia="Helvetica Neue" w:hAnsi="Helvetica Neue" w:cs="Helvetica Neue"/>
          <w:sz w:val="23"/>
          <w:szCs w:val="23"/>
        </w:rPr>
      </w:pPr>
    </w:p>
    <w:p w:rsidR="0078515A" w:rsidRDefault="0078515A">
      <w:pPr>
        <w:pStyle w:val="Body"/>
        <w:rPr>
          <w:rFonts w:ascii="Helvetica Neue" w:eastAsia="Helvetica Neue" w:hAnsi="Helvetica Neue" w:cs="Helvetica Neue"/>
          <w:sz w:val="23"/>
          <w:szCs w:val="23"/>
        </w:rPr>
      </w:pPr>
    </w:p>
    <w:p w:rsidR="0078515A" w:rsidRDefault="0078515A">
      <w:pPr>
        <w:pStyle w:val="Body"/>
        <w:rPr>
          <w:rFonts w:ascii="Helvetica Neue" w:eastAsia="Helvetica Neue" w:hAnsi="Helvetica Neue" w:cs="Helvetica Neue"/>
          <w:sz w:val="23"/>
          <w:szCs w:val="23"/>
        </w:rPr>
      </w:pPr>
    </w:p>
    <w:p w:rsidR="0078515A" w:rsidRDefault="0078515A">
      <w:pPr>
        <w:pStyle w:val="Body"/>
        <w:rPr>
          <w:rFonts w:ascii="Helvetica Neue" w:eastAsia="Helvetica Neue" w:hAnsi="Helvetica Neue" w:cs="Helvetica Neue"/>
          <w:sz w:val="23"/>
          <w:szCs w:val="23"/>
        </w:rPr>
      </w:pPr>
    </w:p>
    <w:p w:rsidR="0078515A" w:rsidRDefault="0078515A">
      <w:pPr>
        <w:pStyle w:val="Body"/>
        <w:rPr>
          <w:rFonts w:ascii="Helvetica Neue" w:eastAsia="Helvetica Neue" w:hAnsi="Helvetica Neue" w:cs="Helvetica Neue"/>
          <w:sz w:val="23"/>
          <w:szCs w:val="23"/>
        </w:rPr>
      </w:pPr>
    </w:p>
    <w:p w:rsidR="0078515A" w:rsidRDefault="0078515A">
      <w:pPr>
        <w:pStyle w:val="Body"/>
        <w:rPr>
          <w:rFonts w:ascii="Helvetica Neue" w:eastAsia="Helvetica Neue" w:hAnsi="Helvetica Neue" w:cs="Helvetica Neue"/>
          <w:sz w:val="23"/>
          <w:szCs w:val="23"/>
        </w:rPr>
      </w:pPr>
    </w:p>
    <w:p w:rsidR="0078515A" w:rsidRDefault="0078515A">
      <w:pPr>
        <w:pStyle w:val="Body"/>
        <w:rPr>
          <w:rFonts w:ascii="Helvetica Neue" w:eastAsia="Helvetica Neue" w:hAnsi="Helvetica Neue" w:cs="Helvetica Neue"/>
          <w:sz w:val="23"/>
          <w:szCs w:val="23"/>
        </w:rPr>
      </w:pPr>
    </w:p>
    <w:p w:rsidR="0078515A" w:rsidRDefault="0078515A">
      <w:pPr>
        <w:pStyle w:val="Body"/>
        <w:rPr>
          <w:rFonts w:ascii="Helvetica Neue" w:eastAsia="Helvetica Neue" w:hAnsi="Helvetica Neue" w:cs="Helvetica Neue"/>
          <w:sz w:val="23"/>
          <w:szCs w:val="23"/>
        </w:rPr>
      </w:pPr>
    </w:p>
    <w:p w:rsidR="0078515A" w:rsidRDefault="0078515A">
      <w:pPr>
        <w:pStyle w:val="Body"/>
        <w:rPr>
          <w:rFonts w:ascii="Helvetica Neue" w:eastAsia="Helvetica Neue" w:hAnsi="Helvetica Neue" w:cs="Helvetica Neue"/>
          <w:sz w:val="23"/>
          <w:szCs w:val="23"/>
        </w:rPr>
      </w:pPr>
    </w:p>
    <w:p w:rsidR="0078515A" w:rsidRDefault="0078515A">
      <w:pPr>
        <w:pStyle w:val="Body"/>
        <w:rPr>
          <w:rFonts w:ascii="Helvetica Neue" w:eastAsia="Helvetica Neue" w:hAnsi="Helvetica Neue" w:cs="Helvetica Neue"/>
          <w:sz w:val="23"/>
          <w:szCs w:val="23"/>
        </w:rPr>
      </w:pPr>
    </w:p>
    <w:p w:rsidR="0078515A" w:rsidRDefault="0078515A">
      <w:pPr>
        <w:pStyle w:val="Body"/>
        <w:rPr>
          <w:rFonts w:ascii="Helvetica Neue" w:eastAsia="Helvetica Neue" w:hAnsi="Helvetica Neue" w:cs="Helvetica Neue"/>
          <w:sz w:val="23"/>
          <w:szCs w:val="23"/>
        </w:rPr>
      </w:pPr>
    </w:p>
    <w:p w:rsidR="0078515A" w:rsidRDefault="0078515A">
      <w:pPr>
        <w:pStyle w:val="Body"/>
        <w:rPr>
          <w:rFonts w:ascii="Helvetica Neue" w:eastAsia="Helvetica Neue" w:hAnsi="Helvetica Neue" w:cs="Helvetica Neue"/>
          <w:sz w:val="23"/>
          <w:szCs w:val="23"/>
        </w:rPr>
      </w:pPr>
    </w:p>
    <w:p w:rsidR="0078515A" w:rsidRDefault="0078515A">
      <w:pPr>
        <w:pStyle w:val="Body"/>
        <w:rPr>
          <w:rFonts w:ascii="Helvetica Neue" w:eastAsia="Helvetica Neue" w:hAnsi="Helvetica Neue" w:cs="Helvetica Neue"/>
          <w:sz w:val="23"/>
          <w:szCs w:val="23"/>
        </w:rPr>
      </w:pPr>
    </w:p>
    <w:p w:rsidR="0078515A" w:rsidRDefault="0078515A">
      <w:pPr>
        <w:pStyle w:val="Body"/>
        <w:rPr>
          <w:rFonts w:ascii="Helvetica Neue" w:eastAsia="Helvetica Neue" w:hAnsi="Helvetica Neue" w:cs="Helvetica Neue"/>
          <w:sz w:val="23"/>
          <w:szCs w:val="23"/>
        </w:rPr>
      </w:pPr>
    </w:p>
    <w:p w:rsidR="0078515A" w:rsidRDefault="0078515A">
      <w:pPr>
        <w:pStyle w:val="Body"/>
        <w:rPr>
          <w:rFonts w:ascii="Helvetica Neue" w:eastAsia="Helvetica Neue" w:hAnsi="Helvetica Neue" w:cs="Helvetica Neue"/>
          <w:sz w:val="23"/>
          <w:szCs w:val="23"/>
        </w:rPr>
      </w:pPr>
    </w:p>
    <w:p w:rsidR="0078515A" w:rsidRDefault="0078515A">
      <w:pPr>
        <w:pStyle w:val="Body"/>
        <w:rPr>
          <w:rFonts w:ascii="Helvetica Neue" w:eastAsia="Helvetica Neue" w:hAnsi="Helvetica Neue" w:cs="Helvetica Neue"/>
          <w:sz w:val="23"/>
          <w:szCs w:val="23"/>
        </w:rPr>
      </w:pPr>
    </w:p>
    <w:tbl>
      <w:tblPr>
        <w:tblpPr w:leftFromText="180" w:rightFromText="180" w:vertAnchor="text" w:horzAnchor="margin" w:tblpY="-671"/>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CACA"/>
        <w:tblLook w:val="0480" w:firstRow="0" w:lastRow="0" w:firstColumn="1" w:lastColumn="0" w:noHBand="0" w:noVBand="1"/>
      </w:tblPr>
      <w:tblGrid>
        <w:gridCol w:w="6419"/>
        <w:gridCol w:w="1337"/>
      </w:tblGrid>
      <w:tr w:rsidR="00645B9F" w:rsidTr="00645B9F">
        <w:trPr>
          <w:trHeight w:val="412"/>
        </w:trPr>
        <w:tc>
          <w:tcPr>
            <w:tcW w:w="4138" w:type="pct"/>
            <w:tcBorders>
              <w:top w:val="single" w:sz="8" w:space="0" w:color="FFFFFF"/>
              <w:left w:val="single" w:sz="8" w:space="0" w:color="FFFFFF"/>
              <w:bottom w:val="nil"/>
              <w:right w:val="nil"/>
            </w:tcBorders>
            <w:shd w:val="clear" w:color="auto" w:fill="FFFFFF"/>
            <w:tcMar>
              <w:top w:w="0" w:type="dxa"/>
              <w:left w:w="0" w:type="dxa"/>
              <w:bottom w:w="0" w:type="dxa"/>
              <w:right w:w="0" w:type="dxa"/>
            </w:tcMar>
            <w:vAlign w:val="center"/>
          </w:tcPr>
          <w:p w:rsidR="00645B9F" w:rsidRDefault="00645B9F" w:rsidP="00645B9F">
            <w:pPr>
              <w:pStyle w:val="Body"/>
              <w:tabs>
                <w:tab w:val="left" w:pos="7996"/>
              </w:tabs>
              <w:spacing w:line="264" w:lineRule="auto"/>
              <w:rPr>
                <w:rFonts w:ascii="Helvetica Neue" w:hAnsi="Helvetica Neue"/>
                <w:b/>
                <w:bCs/>
              </w:rPr>
            </w:pPr>
            <w:r>
              <w:rPr>
                <w:rFonts w:ascii="Helvetica Neue" w:eastAsia="Helvetica Neue" w:hAnsi="Helvetica Neue" w:cs="Helvetica Neue"/>
                <w:b/>
                <w:bCs/>
                <w:sz w:val="28"/>
                <w:szCs w:val="28"/>
              </w:rPr>
              <w:lastRenderedPageBreak/>
              <w:t>Table of Contents</w:t>
            </w:r>
          </w:p>
        </w:tc>
        <w:tc>
          <w:tcPr>
            <w:tcW w:w="862" w:type="pct"/>
            <w:tcBorders>
              <w:top w:val="single" w:sz="8" w:space="0" w:color="FFFFFF"/>
              <w:left w:val="nil"/>
              <w:bottom w:val="nil"/>
              <w:right w:val="single" w:sz="8" w:space="0" w:color="FFFFFF"/>
            </w:tcBorders>
            <w:shd w:val="clear" w:color="auto" w:fill="FFFFFF"/>
            <w:tcMar>
              <w:top w:w="0" w:type="dxa"/>
              <w:left w:w="0" w:type="dxa"/>
              <w:bottom w:w="0" w:type="dxa"/>
              <w:right w:w="0" w:type="dxa"/>
            </w:tcMar>
            <w:vAlign w:val="center"/>
          </w:tcPr>
          <w:p w:rsidR="00645B9F" w:rsidRDefault="00645B9F" w:rsidP="00645B9F"/>
        </w:tc>
      </w:tr>
      <w:tr w:rsidR="00645B9F" w:rsidTr="00645B9F">
        <w:trPr>
          <w:trHeight w:val="412"/>
        </w:trPr>
        <w:tc>
          <w:tcPr>
            <w:tcW w:w="4138" w:type="pct"/>
            <w:tcBorders>
              <w:top w:val="single" w:sz="8" w:space="0" w:color="FFFFFF"/>
              <w:left w:val="single" w:sz="8" w:space="0" w:color="FFFFFF"/>
              <w:bottom w:val="nil"/>
              <w:right w:val="nil"/>
            </w:tcBorders>
            <w:shd w:val="clear" w:color="auto" w:fill="FFFFFF"/>
            <w:tcMar>
              <w:top w:w="0" w:type="dxa"/>
              <w:left w:w="0" w:type="dxa"/>
              <w:bottom w:w="0" w:type="dxa"/>
              <w:right w:w="0" w:type="dxa"/>
            </w:tcMar>
            <w:vAlign w:val="center"/>
          </w:tcPr>
          <w:p w:rsidR="00645B9F" w:rsidRDefault="00645B9F" w:rsidP="00645B9F">
            <w:pPr>
              <w:pStyle w:val="Body"/>
              <w:tabs>
                <w:tab w:val="left" w:pos="7996"/>
              </w:tabs>
              <w:spacing w:line="264" w:lineRule="auto"/>
            </w:pPr>
            <w:r>
              <w:rPr>
                <w:rFonts w:ascii="Helvetica Neue" w:hAnsi="Helvetica Neue"/>
                <w:b/>
                <w:bCs/>
              </w:rPr>
              <w:t>Chapter I</w:t>
            </w:r>
          </w:p>
        </w:tc>
        <w:tc>
          <w:tcPr>
            <w:tcW w:w="862" w:type="pct"/>
            <w:tcBorders>
              <w:top w:val="single" w:sz="8" w:space="0" w:color="FFFFFF"/>
              <w:left w:val="nil"/>
              <w:bottom w:val="nil"/>
              <w:right w:val="single" w:sz="8" w:space="0" w:color="FFFFFF"/>
            </w:tcBorders>
            <w:shd w:val="clear" w:color="auto" w:fill="FFFFFF"/>
            <w:tcMar>
              <w:top w:w="0" w:type="dxa"/>
              <w:left w:w="0" w:type="dxa"/>
              <w:bottom w:w="0" w:type="dxa"/>
              <w:right w:w="0" w:type="dxa"/>
            </w:tcMar>
            <w:vAlign w:val="center"/>
          </w:tcPr>
          <w:p w:rsidR="00645B9F" w:rsidRDefault="00645B9F" w:rsidP="00645B9F"/>
        </w:tc>
      </w:tr>
      <w:tr w:rsidR="00645B9F" w:rsidTr="00645B9F">
        <w:trPr>
          <w:trHeight w:val="408"/>
        </w:trPr>
        <w:tc>
          <w:tcPr>
            <w:tcW w:w="4138" w:type="pct"/>
            <w:tcBorders>
              <w:top w:val="nil"/>
              <w:left w:val="single" w:sz="8" w:space="0" w:color="FFFFFF"/>
              <w:bottom w:val="nil"/>
              <w:right w:val="nil"/>
            </w:tcBorders>
            <w:shd w:val="clear" w:color="auto" w:fill="FFFFFF"/>
            <w:tcMar>
              <w:top w:w="0" w:type="dxa"/>
              <w:left w:w="0" w:type="dxa"/>
              <w:bottom w:w="0" w:type="dxa"/>
              <w:right w:w="0" w:type="dxa"/>
            </w:tcMar>
            <w:vAlign w:val="center"/>
          </w:tcPr>
          <w:p w:rsidR="00645B9F" w:rsidRDefault="00645B9F" w:rsidP="00645B9F">
            <w:pPr>
              <w:pStyle w:val="Body"/>
              <w:tabs>
                <w:tab w:val="left" w:pos="7996"/>
              </w:tabs>
              <w:spacing w:line="264" w:lineRule="auto"/>
            </w:pPr>
            <w:r>
              <w:rPr>
                <w:rFonts w:ascii="Helvetica Neue" w:hAnsi="Helvetica Neue"/>
              </w:rPr>
              <w:t>Making a State in the Salzburger Saalachtal</w:t>
            </w:r>
          </w:p>
        </w:tc>
        <w:tc>
          <w:tcPr>
            <w:tcW w:w="862" w:type="pct"/>
            <w:tcBorders>
              <w:top w:val="nil"/>
              <w:left w:val="nil"/>
              <w:bottom w:val="nil"/>
              <w:right w:val="single" w:sz="8" w:space="0" w:color="FFFFFF"/>
            </w:tcBorders>
            <w:shd w:val="clear" w:color="auto" w:fill="FFFFFF"/>
            <w:tcMar>
              <w:top w:w="0" w:type="dxa"/>
              <w:left w:w="0" w:type="dxa"/>
              <w:bottom w:w="0" w:type="dxa"/>
              <w:right w:w="0" w:type="dxa"/>
            </w:tcMar>
            <w:vAlign w:val="center"/>
          </w:tcPr>
          <w:p w:rsidR="00645B9F" w:rsidRDefault="00645B9F" w:rsidP="00645B9F">
            <w:pPr>
              <w:suppressAutoHyphens/>
              <w:spacing w:line="264" w:lineRule="auto"/>
              <w:jc w:val="right"/>
              <w:outlineLvl w:val="0"/>
            </w:pPr>
            <w:r>
              <w:rPr>
                <w:rFonts w:ascii="Helvetica Neue" w:hAnsi="Helvetica Neue" w:cs="Arial Unicode MS"/>
                <w:color w:val="000000"/>
              </w:rPr>
              <w:t>1</w:t>
            </w:r>
          </w:p>
        </w:tc>
      </w:tr>
      <w:tr w:rsidR="00645B9F" w:rsidTr="00645B9F">
        <w:trPr>
          <w:trHeight w:val="273"/>
        </w:trPr>
        <w:tc>
          <w:tcPr>
            <w:tcW w:w="4138" w:type="pct"/>
            <w:tcBorders>
              <w:top w:val="nil"/>
              <w:left w:val="single" w:sz="8" w:space="0" w:color="FFFFFF"/>
              <w:bottom w:val="nil"/>
              <w:right w:val="nil"/>
            </w:tcBorders>
            <w:shd w:val="clear" w:color="auto" w:fill="FFFFFF"/>
            <w:tcMar>
              <w:top w:w="0" w:type="dxa"/>
              <w:left w:w="0" w:type="dxa"/>
              <w:bottom w:w="0" w:type="dxa"/>
              <w:right w:w="0" w:type="dxa"/>
            </w:tcMar>
            <w:vAlign w:val="center"/>
          </w:tcPr>
          <w:p w:rsidR="00645B9F" w:rsidRDefault="00645B9F" w:rsidP="00645B9F"/>
        </w:tc>
        <w:tc>
          <w:tcPr>
            <w:tcW w:w="862" w:type="pct"/>
            <w:tcBorders>
              <w:top w:val="nil"/>
              <w:left w:val="nil"/>
              <w:bottom w:val="nil"/>
              <w:right w:val="single" w:sz="8" w:space="0" w:color="FFFFFF"/>
            </w:tcBorders>
            <w:shd w:val="clear" w:color="auto" w:fill="FFFFFF"/>
            <w:tcMar>
              <w:top w:w="0" w:type="dxa"/>
              <w:left w:w="0" w:type="dxa"/>
              <w:bottom w:w="0" w:type="dxa"/>
              <w:right w:w="0" w:type="dxa"/>
            </w:tcMar>
            <w:vAlign w:val="center"/>
          </w:tcPr>
          <w:p w:rsidR="00645B9F" w:rsidRDefault="00645B9F" w:rsidP="00645B9F"/>
        </w:tc>
      </w:tr>
      <w:tr w:rsidR="00645B9F" w:rsidTr="00645B9F">
        <w:trPr>
          <w:trHeight w:val="415"/>
        </w:trPr>
        <w:tc>
          <w:tcPr>
            <w:tcW w:w="4138" w:type="pct"/>
            <w:tcBorders>
              <w:top w:val="nil"/>
              <w:left w:val="single" w:sz="8" w:space="0" w:color="FFFFFF"/>
              <w:bottom w:val="nil"/>
              <w:right w:val="nil"/>
            </w:tcBorders>
            <w:shd w:val="clear" w:color="auto" w:fill="FFFFFF"/>
            <w:tcMar>
              <w:top w:w="0" w:type="dxa"/>
              <w:left w:w="0" w:type="dxa"/>
              <w:bottom w:w="0" w:type="dxa"/>
              <w:right w:w="0" w:type="dxa"/>
            </w:tcMar>
            <w:vAlign w:val="center"/>
          </w:tcPr>
          <w:p w:rsidR="00645B9F" w:rsidRDefault="00645B9F" w:rsidP="00645B9F">
            <w:pPr>
              <w:pStyle w:val="Body"/>
              <w:pBdr>
                <w:bottom w:val="none" w:sz="0" w:space="0" w:color="auto"/>
              </w:pBdr>
              <w:spacing w:line="264" w:lineRule="auto"/>
            </w:pPr>
            <w:r>
              <w:rPr>
                <w:rFonts w:ascii="Helvetica Neue" w:hAnsi="Helvetica Neue"/>
                <w:b/>
                <w:bCs/>
              </w:rPr>
              <w:t>Chapter III</w:t>
            </w:r>
          </w:p>
        </w:tc>
        <w:tc>
          <w:tcPr>
            <w:tcW w:w="862" w:type="pct"/>
            <w:tcBorders>
              <w:top w:val="nil"/>
              <w:left w:val="nil"/>
              <w:bottom w:val="nil"/>
              <w:right w:val="single" w:sz="8" w:space="0" w:color="FFFFFF"/>
            </w:tcBorders>
            <w:shd w:val="clear" w:color="auto" w:fill="FFFFFF"/>
            <w:tcMar>
              <w:top w:w="0" w:type="dxa"/>
              <w:left w:w="0" w:type="dxa"/>
              <w:bottom w:w="0" w:type="dxa"/>
              <w:right w:w="0" w:type="dxa"/>
            </w:tcMar>
            <w:vAlign w:val="center"/>
          </w:tcPr>
          <w:p w:rsidR="00645B9F" w:rsidRDefault="00645B9F" w:rsidP="00645B9F"/>
        </w:tc>
      </w:tr>
      <w:tr w:rsidR="00645B9F" w:rsidTr="00645B9F">
        <w:trPr>
          <w:trHeight w:val="419"/>
        </w:trPr>
        <w:tc>
          <w:tcPr>
            <w:tcW w:w="4138" w:type="pct"/>
            <w:tcBorders>
              <w:top w:val="nil"/>
              <w:left w:val="single" w:sz="8" w:space="0" w:color="FFFFFF"/>
              <w:bottom w:val="nil"/>
              <w:right w:val="nil"/>
            </w:tcBorders>
            <w:shd w:val="clear" w:color="auto" w:fill="FFFFFF"/>
            <w:tcMar>
              <w:top w:w="0" w:type="dxa"/>
              <w:left w:w="0" w:type="dxa"/>
              <w:bottom w:w="0" w:type="dxa"/>
              <w:right w:w="0" w:type="dxa"/>
            </w:tcMar>
            <w:vAlign w:val="center"/>
          </w:tcPr>
          <w:p w:rsidR="00645B9F" w:rsidRDefault="00645B9F" w:rsidP="00645B9F">
            <w:pPr>
              <w:pStyle w:val="Body"/>
              <w:tabs>
                <w:tab w:val="left" w:pos="7996"/>
              </w:tabs>
              <w:spacing w:line="264" w:lineRule="auto"/>
            </w:pPr>
            <w:r>
              <w:rPr>
                <w:rFonts w:ascii="Helvetica Neue" w:hAnsi="Helvetica Neue"/>
              </w:rPr>
              <w:t>Making a State in Habsburg Austria, 1618-1648</w:t>
            </w:r>
          </w:p>
        </w:tc>
        <w:tc>
          <w:tcPr>
            <w:tcW w:w="862" w:type="pct"/>
            <w:tcBorders>
              <w:top w:val="nil"/>
              <w:left w:val="nil"/>
              <w:bottom w:val="nil"/>
              <w:right w:val="single" w:sz="8" w:space="0" w:color="FFFFFF"/>
            </w:tcBorders>
            <w:shd w:val="clear" w:color="auto" w:fill="FFFFFF"/>
            <w:tcMar>
              <w:top w:w="0" w:type="dxa"/>
              <w:left w:w="0" w:type="dxa"/>
              <w:bottom w:w="0" w:type="dxa"/>
              <w:right w:w="0" w:type="dxa"/>
            </w:tcMar>
            <w:vAlign w:val="center"/>
          </w:tcPr>
          <w:p w:rsidR="00645B9F" w:rsidRDefault="00645B9F" w:rsidP="00645B9F">
            <w:pPr>
              <w:suppressAutoHyphens/>
              <w:spacing w:line="264" w:lineRule="auto"/>
              <w:jc w:val="right"/>
              <w:outlineLvl w:val="0"/>
            </w:pPr>
            <w:r>
              <w:rPr>
                <w:rFonts w:ascii="Helvetica Neue" w:hAnsi="Helvetica Neue" w:cs="Arial Unicode MS"/>
                <w:color w:val="000000"/>
              </w:rPr>
              <w:t>8</w:t>
            </w:r>
          </w:p>
        </w:tc>
      </w:tr>
      <w:tr w:rsidR="00645B9F" w:rsidTr="00645B9F">
        <w:trPr>
          <w:trHeight w:val="273"/>
        </w:trPr>
        <w:tc>
          <w:tcPr>
            <w:tcW w:w="4138" w:type="pct"/>
            <w:tcBorders>
              <w:top w:val="nil"/>
              <w:left w:val="single" w:sz="8" w:space="0" w:color="FFFFFF"/>
              <w:bottom w:val="nil"/>
              <w:right w:val="nil"/>
            </w:tcBorders>
            <w:shd w:val="clear" w:color="auto" w:fill="FFFFFF"/>
            <w:tcMar>
              <w:top w:w="0" w:type="dxa"/>
              <w:left w:w="0" w:type="dxa"/>
              <w:bottom w:w="0" w:type="dxa"/>
              <w:right w:w="0" w:type="dxa"/>
            </w:tcMar>
            <w:vAlign w:val="center"/>
          </w:tcPr>
          <w:p w:rsidR="00645B9F" w:rsidRDefault="00645B9F" w:rsidP="00645B9F"/>
        </w:tc>
        <w:tc>
          <w:tcPr>
            <w:tcW w:w="862" w:type="pct"/>
            <w:tcBorders>
              <w:top w:val="nil"/>
              <w:left w:val="nil"/>
              <w:bottom w:val="nil"/>
              <w:right w:val="single" w:sz="8" w:space="0" w:color="FFFFFF"/>
            </w:tcBorders>
            <w:shd w:val="clear" w:color="auto" w:fill="FFFFFF"/>
            <w:tcMar>
              <w:top w:w="0" w:type="dxa"/>
              <w:left w:w="0" w:type="dxa"/>
              <w:bottom w:w="0" w:type="dxa"/>
              <w:right w:w="0" w:type="dxa"/>
            </w:tcMar>
            <w:vAlign w:val="center"/>
          </w:tcPr>
          <w:p w:rsidR="00645B9F" w:rsidRDefault="00645B9F" w:rsidP="00645B9F"/>
        </w:tc>
      </w:tr>
      <w:tr w:rsidR="00645B9F" w:rsidTr="00645B9F">
        <w:trPr>
          <w:trHeight w:val="406"/>
        </w:trPr>
        <w:tc>
          <w:tcPr>
            <w:tcW w:w="4138" w:type="pct"/>
            <w:tcBorders>
              <w:top w:val="nil"/>
              <w:left w:val="single" w:sz="8" w:space="0" w:color="FFFFFF"/>
              <w:bottom w:val="nil"/>
              <w:right w:val="nil"/>
            </w:tcBorders>
            <w:shd w:val="clear" w:color="auto" w:fill="FFFFFF"/>
            <w:tcMar>
              <w:top w:w="0" w:type="dxa"/>
              <w:left w:w="0" w:type="dxa"/>
              <w:bottom w:w="0" w:type="dxa"/>
              <w:right w:w="0" w:type="dxa"/>
            </w:tcMar>
            <w:vAlign w:val="center"/>
          </w:tcPr>
          <w:p w:rsidR="00645B9F" w:rsidRDefault="00645B9F" w:rsidP="00645B9F">
            <w:pPr>
              <w:pStyle w:val="Body"/>
              <w:spacing w:line="264" w:lineRule="auto"/>
            </w:pPr>
            <w:r>
              <w:rPr>
                <w:rFonts w:ascii="Helvetica Neue" w:hAnsi="Helvetica Neue"/>
                <w:b/>
                <w:bCs/>
              </w:rPr>
              <w:t>Chapter III</w:t>
            </w:r>
          </w:p>
        </w:tc>
        <w:tc>
          <w:tcPr>
            <w:tcW w:w="862" w:type="pct"/>
            <w:tcBorders>
              <w:top w:val="nil"/>
              <w:left w:val="nil"/>
              <w:bottom w:val="nil"/>
              <w:right w:val="single" w:sz="8" w:space="0" w:color="FFFFFF"/>
            </w:tcBorders>
            <w:shd w:val="clear" w:color="auto" w:fill="FFFFFF"/>
            <w:tcMar>
              <w:top w:w="0" w:type="dxa"/>
              <w:left w:w="0" w:type="dxa"/>
              <w:bottom w:w="0" w:type="dxa"/>
              <w:right w:w="0" w:type="dxa"/>
            </w:tcMar>
            <w:vAlign w:val="center"/>
          </w:tcPr>
          <w:p w:rsidR="00645B9F" w:rsidRDefault="00645B9F" w:rsidP="00645B9F"/>
        </w:tc>
      </w:tr>
      <w:tr w:rsidR="00645B9F" w:rsidTr="00645B9F">
        <w:trPr>
          <w:trHeight w:val="410"/>
        </w:trPr>
        <w:tc>
          <w:tcPr>
            <w:tcW w:w="4138" w:type="pct"/>
            <w:tcBorders>
              <w:top w:val="nil"/>
              <w:left w:val="single" w:sz="8" w:space="0" w:color="FFFFFF"/>
              <w:bottom w:val="nil"/>
              <w:right w:val="nil"/>
            </w:tcBorders>
            <w:shd w:val="clear" w:color="auto" w:fill="FFFFFF"/>
            <w:tcMar>
              <w:top w:w="0" w:type="dxa"/>
              <w:left w:w="0" w:type="dxa"/>
              <w:bottom w:w="0" w:type="dxa"/>
              <w:right w:w="0" w:type="dxa"/>
            </w:tcMar>
            <w:vAlign w:val="center"/>
          </w:tcPr>
          <w:p w:rsidR="00645B9F" w:rsidRDefault="00645B9F" w:rsidP="00645B9F">
            <w:pPr>
              <w:pStyle w:val="Body"/>
              <w:spacing w:line="264" w:lineRule="auto"/>
            </w:pPr>
            <w:r>
              <w:rPr>
                <w:rFonts w:ascii="Helvetica Neue" w:hAnsi="Helvetica Neue"/>
              </w:rPr>
              <w:t>State-Breakdown in Late Habsburg Austria-Hungary</w:t>
            </w:r>
          </w:p>
        </w:tc>
        <w:tc>
          <w:tcPr>
            <w:tcW w:w="862" w:type="pct"/>
            <w:tcBorders>
              <w:top w:val="nil"/>
              <w:left w:val="nil"/>
              <w:bottom w:val="nil"/>
              <w:right w:val="single" w:sz="8" w:space="0" w:color="FFFFFF"/>
            </w:tcBorders>
            <w:shd w:val="clear" w:color="auto" w:fill="FFFFFF"/>
            <w:tcMar>
              <w:top w:w="0" w:type="dxa"/>
              <w:left w:w="0" w:type="dxa"/>
              <w:bottom w:w="0" w:type="dxa"/>
              <w:right w:w="0" w:type="dxa"/>
            </w:tcMar>
            <w:vAlign w:val="center"/>
          </w:tcPr>
          <w:p w:rsidR="00645B9F" w:rsidRDefault="00072AFD" w:rsidP="00645B9F">
            <w:pPr>
              <w:suppressAutoHyphens/>
              <w:spacing w:line="264" w:lineRule="auto"/>
              <w:jc w:val="right"/>
              <w:outlineLvl w:val="0"/>
            </w:pPr>
            <w:r>
              <w:rPr>
                <w:rFonts w:ascii="Helvetica Neue" w:hAnsi="Helvetica Neue" w:cs="Arial Unicode MS"/>
                <w:color w:val="000000"/>
              </w:rPr>
              <w:t>32</w:t>
            </w:r>
          </w:p>
        </w:tc>
      </w:tr>
      <w:tr w:rsidR="00645B9F" w:rsidTr="00645B9F">
        <w:trPr>
          <w:trHeight w:val="273"/>
        </w:trPr>
        <w:tc>
          <w:tcPr>
            <w:tcW w:w="4138" w:type="pct"/>
            <w:tcBorders>
              <w:top w:val="nil"/>
              <w:left w:val="single" w:sz="8" w:space="0" w:color="FFFFFF"/>
              <w:bottom w:val="nil"/>
              <w:right w:val="nil"/>
            </w:tcBorders>
            <w:shd w:val="clear" w:color="auto" w:fill="FFFFFF"/>
            <w:tcMar>
              <w:top w:w="0" w:type="dxa"/>
              <w:left w:w="0" w:type="dxa"/>
              <w:bottom w:w="0" w:type="dxa"/>
              <w:right w:w="0" w:type="dxa"/>
            </w:tcMar>
            <w:vAlign w:val="center"/>
          </w:tcPr>
          <w:p w:rsidR="00645B9F" w:rsidRDefault="00645B9F" w:rsidP="00645B9F"/>
        </w:tc>
        <w:tc>
          <w:tcPr>
            <w:tcW w:w="862" w:type="pct"/>
            <w:tcBorders>
              <w:top w:val="nil"/>
              <w:left w:val="nil"/>
              <w:bottom w:val="nil"/>
              <w:right w:val="single" w:sz="8" w:space="0" w:color="FFFFFF"/>
            </w:tcBorders>
            <w:shd w:val="clear" w:color="auto" w:fill="FFFFFF"/>
            <w:tcMar>
              <w:top w:w="0" w:type="dxa"/>
              <w:left w:w="0" w:type="dxa"/>
              <w:bottom w:w="0" w:type="dxa"/>
              <w:right w:w="0" w:type="dxa"/>
            </w:tcMar>
            <w:vAlign w:val="center"/>
          </w:tcPr>
          <w:p w:rsidR="00645B9F" w:rsidRDefault="00645B9F" w:rsidP="00645B9F"/>
        </w:tc>
      </w:tr>
      <w:tr w:rsidR="00645B9F" w:rsidTr="00645B9F">
        <w:trPr>
          <w:trHeight w:val="415"/>
        </w:trPr>
        <w:tc>
          <w:tcPr>
            <w:tcW w:w="4138" w:type="pct"/>
            <w:tcBorders>
              <w:top w:val="nil"/>
              <w:left w:val="single" w:sz="8" w:space="0" w:color="FFFFFF"/>
              <w:bottom w:val="nil"/>
              <w:right w:val="nil"/>
            </w:tcBorders>
            <w:shd w:val="clear" w:color="auto" w:fill="FFFFFF"/>
            <w:tcMar>
              <w:top w:w="0" w:type="dxa"/>
              <w:left w:w="0" w:type="dxa"/>
              <w:bottom w:w="0" w:type="dxa"/>
              <w:right w:w="0" w:type="dxa"/>
            </w:tcMar>
            <w:vAlign w:val="center"/>
          </w:tcPr>
          <w:p w:rsidR="00645B9F" w:rsidRDefault="00645B9F" w:rsidP="00645B9F">
            <w:pPr>
              <w:pStyle w:val="Body"/>
              <w:spacing w:line="264" w:lineRule="auto"/>
            </w:pPr>
            <w:r>
              <w:rPr>
                <w:rFonts w:ascii="Helvetica Neue" w:hAnsi="Helvetica Neue"/>
                <w:b/>
                <w:bCs/>
                <w:lang w:val="de-DE"/>
              </w:rPr>
              <w:t>Chapter IV</w:t>
            </w:r>
          </w:p>
        </w:tc>
        <w:tc>
          <w:tcPr>
            <w:tcW w:w="862" w:type="pct"/>
            <w:tcBorders>
              <w:top w:val="nil"/>
              <w:left w:val="nil"/>
              <w:bottom w:val="nil"/>
              <w:right w:val="single" w:sz="8" w:space="0" w:color="FFFFFF"/>
            </w:tcBorders>
            <w:shd w:val="clear" w:color="auto" w:fill="FFFFFF"/>
            <w:tcMar>
              <w:top w:w="0" w:type="dxa"/>
              <w:left w:w="0" w:type="dxa"/>
              <w:bottom w:w="0" w:type="dxa"/>
              <w:right w:w="0" w:type="dxa"/>
            </w:tcMar>
            <w:vAlign w:val="center"/>
          </w:tcPr>
          <w:p w:rsidR="00645B9F" w:rsidRDefault="00645B9F" w:rsidP="00645B9F"/>
        </w:tc>
      </w:tr>
      <w:tr w:rsidR="00645B9F" w:rsidTr="00645B9F">
        <w:trPr>
          <w:trHeight w:val="682"/>
        </w:trPr>
        <w:tc>
          <w:tcPr>
            <w:tcW w:w="4138" w:type="pct"/>
            <w:tcBorders>
              <w:top w:val="nil"/>
              <w:left w:val="single" w:sz="8" w:space="0" w:color="FFFFFF"/>
              <w:bottom w:val="nil"/>
              <w:right w:val="nil"/>
            </w:tcBorders>
            <w:shd w:val="clear" w:color="auto" w:fill="FFFFFF"/>
            <w:tcMar>
              <w:top w:w="0" w:type="dxa"/>
              <w:left w:w="0" w:type="dxa"/>
              <w:bottom w:w="0" w:type="dxa"/>
              <w:right w:w="0" w:type="dxa"/>
            </w:tcMar>
            <w:vAlign w:val="center"/>
          </w:tcPr>
          <w:p w:rsidR="00645B9F" w:rsidRPr="00F11B03" w:rsidRDefault="00645B9F" w:rsidP="00645B9F">
            <w:pPr>
              <w:pStyle w:val="Body"/>
              <w:spacing w:line="264" w:lineRule="auto"/>
              <w:rPr>
                <w:lang w:val="de-AT"/>
              </w:rPr>
            </w:pPr>
            <w:r>
              <w:rPr>
                <w:rFonts w:ascii="Helvetica Neue" w:hAnsi="Helvetica Neue"/>
                <w:lang w:val="de-DE"/>
              </w:rPr>
              <w:t>Conclusion: Das Kaiserliche und Königliche</w:t>
            </w:r>
            <w:r w:rsidR="00731234">
              <w:rPr>
                <w:rFonts w:ascii="Helvetica Neue" w:hAnsi="Helvetica Neue"/>
                <w:lang w:val="de-DE"/>
              </w:rPr>
              <w:t xml:space="preserve"> Ministerium für Administrative</w:t>
            </w:r>
            <w:r>
              <w:rPr>
                <w:rFonts w:ascii="Helvetica Neue" w:hAnsi="Helvetica Neue"/>
                <w:lang w:val="de-DE"/>
              </w:rPr>
              <w:t xml:space="preserve"> Angelegenheiten</w:t>
            </w:r>
          </w:p>
        </w:tc>
        <w:tc>
          <w:tcPr>
            <w:tcW w:w="862" w:type="pct"/>
            <w:tcBorders>
              <w:top w:val="nil"/>
              <w:left w:val="nil"/>
              <w:bottom w:val="nil"/>
              <w:right w:val="single" w:sz="8" w:space="0" w:color="FFFFFF"/>
            </w:tcBorders>
            <w:shd w:val="clear" w:color="auto" w:fill="FFFFFF"/>
            <w:tcMar>
              <w:top w:w="0" w:type="dxa"/>
              <w:left w:w="0" w:type="dxa"/>
              <w:bottom w:w="0" w:type="dxa"/>
              <w:right w:w="0" w:type="dxa"/>
            </w:tcMar>
            <w:vAlign w:val="center"/>
          </w:tcPr>
          <w:p w:rsidR="00645B9F" w:rsidRDefault="004D35F5" w:rsidP="00645B9F">
            <w:pPr>
              <w:suppressAutoHyphens/>
              <w:spacing w:line="264" w:lineRule="auto"/>
              <w:jc w:val="right"/>
              <w:outlineLvl w:val="0"/>
            </w:pPr>
            <w:r>
              <w:rPr>
                <w:rFonts w:ascii="Helvetica Neue" w:hAnsi="Helvetica Neue" w:cs="Arial Unicode MS"/>
                <w:color w:val="000000"/>
              </w:rPr>
              <w:t>61</w:t>
            </w:r>
          </w:p>
        </w:tc>
      </w:tr>
      <w:tr w:rsidR="00645B9F" w:rsidTr="00645B9F">
        <w:trPr>
          <w:trHeight w:val="273"/>
        </w:trPr>
        <w:tc>
          <w:tcPr>
            <w:tcW w:w="4138" w:type="pct"/>
            <w:tcBorders>
              <w:top w:val="nil"/>
              <w:left w:val="single" w:sz="8" w:space="0" w:color="FFFFFF"/>
              <w:bottom w:val="nil"/>
              <w:right w:val="nil"/>
            </w:tcBorders>
            <w:shd w:val="clear" w:color="auto" w:fill="FFFFFF"/>
            <w:tcMar>
              <w:top w:w="0" w:type="dxa"/>
              <w:left w:w="0" w:type="dxa"/>
              <w:bottom w:w="0" w:type="dxa"/>
              <w:right w:w="0" w:type="dxa"/>
            </w:tcMar>
            <w:vAlign w:val="center"/>
          </w:tcPr>
          <w:p w:rsidR="00645B9F" w:rsidRDefault="00645B9F" w:rsidP="00645B9F"/>
        </w:tc>
        <w:tc>
          <w:tcPr>
            <w:tcW w:w="862" w:type="pct"/>
            <w:tcBorders>
              <w:top w:val="nil"/>
              <w:left w:val="nil"/>
              <w:bottom w:val="nil"/>
              <w:right w:val="single" w:sz="8" w:space="0" w:color="FFFFFF"/>
            </w:tcBorders>
            <w:shd w:val="clear" w:color="auto" w:fill="FFFFFF"/>
            <w:tcMar>
              <w:top w:w="0" w:type="dxa"/>
              <w:left w:w="0" w:type="dxa"/>
              <w:bottom w:w="0" w:type="dxa"/>
              <w:right w:w="0" w:type="dxa"/>
            </w:tcMar>
            <w:vAlign w:val="center"/>
          </w:tcPr>
          <w:p w:rsidR="00645B9F" w:rsidRDefault="00645B9F" w:rsidP="00645B9F"/>
        </w:tc>
      </w:tr>
      <w:tr w:rsidR="00645B9F" w:rsidTr="00645B9F">
        <w:trPr>
          <w:trHeight w:val="410"/>
        </w:trPr>
        <w:tc>
          <w:tcPr>
            <w:tcW w:w="4138" w:type="pct"/>
            <w:tcBorders>
              <w:top w:val="nil"/>
              <w:left w:val="single" w:sz="8" w:space="0" w:color="FFFFFF"/>
              <w:bottom w:val="single" w:sz="8" w:space="0" w:color="FFFFFF"/>
              <w:right w:val="nil"/>
            </w:tcBorders>
            <w:shd w:val="clear" w:color="auto" w:fill="FFFFFF"/>
            <w:tcMar>
              <w:top w:w="0" w:type="dxa"/>
              <w:left w:w="0" w:type="dxa"/>
              <w:bottom w:w="0" w:type="dxa"/>
              <w:right w:w="0" w:type="dxa"/>
            </w:tcMar>
            <w:vAlign w:val="center"/>
          </w:tcPr>
          <w:p w:rsidR="00645B9F" w:rsidRDefault="00645B9F" w:rsidP="00645B9F">
            <w:pPr>
              <w:pStyle w:val="Body"/>
              <w:spacing w:line="264" w:lineRule="auto"/>
            </w:pPr>
            <w:r>
              <w:rPr>
                <w:rFonts w:ascii="Helvetica Neue" w:hAnsi="Helvetica Neue"/>
                <w:b/>
                <w:bCs/>
                <w:lang w:val="de-DE"/>
              </w:rPr>
              <w:t>Bibliography</w:t>
            </w:r>
          </w:p>
        </w:tc>
        <w:tc>
          <w:tcPr>
            <w:tcW w:w="862" w:type="pct"/>
            <w:tcBorders>
              <w:top w:val="nil"/>
              <w:left w:val="nil"/>
              <w:bottom w:val="single" w:sz="8" w:space="0" w:color="FFFFFF"/>
              <w:right w:val="single" w:sz="8" w:space="0" w:color="FFFFFF"/>
            </w:tcBorders>
            <w:shd w:val="clear" w:color="auto" w:fill="FFFFFF"/>
            <w:tcMar>
              <w:top w:w="0" w:type="dxa"/>
              <w:left w:w="0" w:type="dxa"/>
              <w:bottom w:w="0" w:type="dxa"/>
              <w:right w:w="0" w:type="dxa"/>
            </w:tcMar>
            <w:vAlign w:val="center"/>
          </w:tcPr>
          <w:p w:rsidR="00645B9F" w:rsidRDefault="004D35F5" w:rsidP="00645B9F">
            <w:pPr>
              <w:suppressAutoHyphens/>
              <w:spacing w:line="264" w:lineRule="auto"/>
              <w:jc w:val="right"/>
              <w:outlineLvl w:val="0"/>
            </w:pPr>
            <w:r>
              <w:rPr>
                <w:rFonts w:ascii="Helvetica Neue" w:hAnsi="Helvetica Neue" w:cs="Arial Unicode MS"/>
                <w:color w:val="000000"/>
              </w:rPr>
              <w:t>66</w:t>
            </w:r>
          </w:p>
        </w:tc>
      </w:tr>
    </w:tbl>
    <w:p w:rsidR="0078515A" w:rsidRDefault="0078515A">
      <w:pPr>
        <w:pStyle w:val="Body"/>
        <w:rPr>
          <w:rFonts w:ascii="Helvetica Neue" w:eastAsia="Helvetica Neue" w:hAnsi="Helvetica Neue" w:cs="Helvetica Neue"/>
          <w:sz w:val="23"/>
          <w:szCs w:val="23"/>
        </w:rPr>
      </w:pPr>
    </w:p>
    <w:p w:rsidR="001734D8" w:rsidRDefault="001734D8" w:rsidP="001734D8">
      <w:pPr>
        <w:rPr>
          <w:rFonts w:ascii="Helvetica Neue" w:eastAsia="Helvetica Neue" w:hAnsi="Helvetica Neue" w:cs="Helvetica Neue"/>
          <w:sz w:val="23"/>
          <w:szCs w:val="23"/>
        </w:rPr>
      </w:pPr>
    </w:p>
    <w:p w:rsidR="001734D8" w:rsidRDefault="001734D8" w:rsidP="001734D8">
      <w:pPr>
        <w:rPr>
          <w:rFonts w:ascii="Helvetica Neue" w:eastAsia="Helvetica Neue" w:hAnsi="Helvetica Neue" w:cs="Helvetica Neue"/>
          <w:sz w:val="23"/>
          <w:szCs w:val="23"/>
        </w:rPr>
      </w:pPr>
    </w:p>
    <w:p w:rsidR="001734D8" w:rsidRDefault="001734D8" w:rsidP="001734D8">
      <w:pPr>
        <w:rPr>
          <w:rFonts w:ascii="Helvetica Neue" w:eastAsia="Helvetica Neue" w:hAnsi="Helvetica Neue" w:cs="Helvetica Neue"/>
          <w:sz w:val="23"/>
          <w:szCs w:val="23"/>
        </w:rPr>
      </w:pPr>
    </w:p>
    <w:p w:rsidR="001734D8" w:rsidRDefault="001734D8" w:rsidP="001734D8">
      <w:pPr>
        <w:rPr>
          <w:rFonts w:ascii="Helvetica Neue" w:eastAsia="Helvetica Neue" w:hAnsi="Helvetica Neue" w:cs="Helvetica Neue"/>
          <w:sz w:val="23"/>
          <w:szCs w:val="23"/>
        </w:rPr>
      </w:pPr>
    </w:p>
    <w:p w:rsidR="001734D8" w:rsidRDefault="001734D8" w:rsidP="001734D8">
      <w:pPr>
        <w:rPr>
          <w:rFonts w:ascii="Helvetica Neue" w:eastAsia="Helvetica Neue" w:hAnsi="Helvetica Neue" w:cs="Helvetica Neue"/>
          <w:sz w:val="23"/>
          <w:szCs w:val="23"/>
        </w:rPr>
      </w:pPr>
    </w:p>
    <w:p w:rsidR="001734D8" w:rsidRDefault="001734D8" w:rsidP="001734D8">
      <w:pPr>
        <w:rPr>
          <w:rFonts w:ascii="Helvetica Neue" w:eastAsia="Helvetica Neue" w:hAnsi="Helvetica Neue" w:cs="Helvetica Neue"/>
          <w:sz w:val="23"/>
          <w:szCs w:val="23"/>
        </w:rPr>
      </w:pPr>
    </w:p>
    <w:p w:rsidR="001734D8" w:rsidRDefault="001734D8" w:rsidP="001734D8">
      <w:pPr>
        <w:rPr>
          <w:rFonts w:ascii="Helvetica Neue" w:eastAsia="Helvetica Neue" w:hAnsi="Helvetica Neue" w:cs="Helvetica Neue"/>
          <w:sz w:val="23"/>
          <w:szCs w:val="23"/>
        </w:rPr>
      </w:pPr>
    </w:p>
    <w:p w:rsidR="001734D8" w:rsidRDefault="001734D8" w:rsidP="001734D8">
      <w:pPr>
        <w:rPr>
          <w:rFonts w:ascii="Helvetica Neue" w:eastAsia="Helvetica Neue" w:hAnsi="Helvetica Neue" w:cs="Helvetica Neue"/>
          <w:sz w:val="23"/>
          <w:szCs w:val="23"/>
        </w:rPr>
      </w:pPr>
    </w:p>
    <w:p w:rsidR="001734D8" w:rsidRDefault="001734D8" w:rsidP="001734D8">
      <w:pPr>
        <w:rPr>
          <w:rFonts w:ascii="Helvetica Neue" w:eastAsia="Helvetica Neue" w:hAnsi="Helvetica Neue" w:cs="Helvetica Neue"/>
          <w:sz w:val="23"/>
          <w:szCs w:val="23"/>
        </w:rPr>
      </w:pPr>
    </w:p>
    <w:p w:rsidR="001734D8" w:rsidRDefault="001734D8" w:rsidP="001734D8">
      <w:pPr>
        <w:rPr>
          <w:rFonts w:ascii="Helvetica Neue" w:eastAsia="Helvetica Neue" w:hAnsi="Helvetica Neue" w:cs="Helvetica Neue"/>
          <w:sz w:val="23"/>
          <w:szCs w:val="23"/>
        </w:rPr>
      </w:pPr>
    </w:p>
    <w:p w:rsidR="001734D8" w:rsidRDefault="001734D8" w:rsidP="001734D8">
      <w:pPr>
        <w:rPr>
          <w:rFonts w:ascii="Helvetica Neue" w:eastAsia="Helvetica Neue" w:hAnsi="Helvetica Neue" w:cs="Helvetica Neue"/>
          <w:sz w:val="23"/>
          <w:szCs w:val="23"/>
        </w:rPr>
      </w:pPr>
    </w:p>
    <w:p w:rsidR="001734D8" w:rsidRDefault="001734D8" w:rsidP="001734D8">
      <w:pPr>
        <w:rPr>
          <w:rFonts w:ascii="Helvetica Neue" w:eastAsia="Helvetica Neue" w:hAnsi="Helvetica Neue" w:cs="Helvetica Neue"/>
          <w:sz w:val="23"/>
          <w:szCs w:val="23"/>
        </w:rPr>
      </w:pPr>
    </w:p>
    <w:p w:rsidR="001734D8" w:rsidRDefault="001734D8" w:rsidP="001734D8">
      <w:pPr>
        <w:rPr>
          <w:rFonts w:ascii="Helvetica Neue" w:eastAsia="Helvetica Neue" w:hAnsi="Helvetica Neue" w:cs="Helvetica Neue"/>
          <w:sz w:val="23"/>
          <w:szCs w:val="23"/>
        </w:rPr>
      </w:pPr>
    </w:p>
    <w:p w:rsidR="001734D8" w:rsidRDefault="001734D8" w:rsidP="001734D8">
      <w:pPr>
        <w:rPr>
          <w:rFonts w:ascii="Helvetica Neue" w:eastAsia="Helvetica Neue" w:hAnsi="Helvetica Neue" w:cs="Helvetica Neue"/>
          <w:sz w:val="23"/>
          <w:szCs w:val="23"/>
        </w:rPr>
      </w:pPr>
    </w:p>
    <w:p w:rsidR="001734D8" w:rsidRDefault="001734D8" w:rsidP="001734D8">
      <w:pPr>
        <w:rPr>
          <w:rFonts w:ascii="Helvetica Neue" w:eastAsia="Helvetica Neue" w:hAnsi="Helvetica Neue" w:cs="Helvetica Neue"/>
          <w:sz w:val="23"/>
          <w:szCs w:val="23"/>
        </w:rPr>
      </w:pPr>
    </w:p>
    <w:p w:rsidR="001734D8" w:rsidRDefault="001734D8" w:rsidP="001734D8">
      <w:pPr>
        <w:rPr>
          <w:rFonts w:ascii="Helvetica Neue" w:eastAsia="Helvetica Neue" w:hAnsi="Helvetica Neue" w:cs="Helvetica Neue"/>
          <w:sz w:val="23"/>
          <w:szCs w:val="23"/>
        </w:rPr>
      </w:pPr>
    </w:p>
    <w:p w:rsidR="001734D8" w:rsidRDefault="001734D8" w:rsidP="001734D8">
      <w:pPr>
        <w:rPr>
          <w:rFonts w:ascii="Helvetica Neue" w:eastAsia="Helvetica Neue" w:hAnsi="Helvetica Neue" w:cs="Helvetica Neue"/>
          <w:sz w:val="23"/>
          <w:szCs w:val="23"/>
        </w:rPr>
      </w:pPr>
    </w:p>
    <w:p w:rsidR="004D35F5" w:rsidRDefault="004D35F5" w:rsidP="004D35F5">
      <w:pPr>
        <w:rPr>
          <w:rFonts w:ascii="Helvetica Neue" w:hAnsi="Helvetica Neue"/>
          <w:b/>
          <w:bCs/>
          <w:sz w:val="28"/>
          <w:szCs w:val="28"/>
          <w:lang w:val="de-DE"/>
        </w:rPr>
      </w:pPr>
      <w:r>
        <w:rPr>
          <w:rFonts w:ascii="Helvetica Neue" w:hAnsi="Helvetica Neue"/>
          <w:b/>
          <w:bCs/>
          <w:sz w:val="28"/>
          <w:szCs w:val="28"/>
          <w:lang w:val="de-DE"/>
        </w:rPr>
        <w:br w:type="page"/>
      </w:r>
      <w:r>
        <w:rPr>
          <w:rFonts w:ascii="Helvetica Neue" w:hAnsi="Helvetica Neue"/>
          <w:b/>
          <w:bCs/>
          <w:sz w:val="28"/>
          <w:szCs w:val="28"/>
          <w:lang w:val="de-DE"/>
        </w:rPr>
        <w:lastRenderedPageBreak/>
        <w:t>List of Tables</w:t>
      </w:r>
    </w:p>
    <w:p w:rsidR="004D35F5" w:rsidRPr="009622C2" w:rsidRDefault="004D35F5">
      <w:pPr>
        <w:rPr>
          <w:rFonts w:ascii="Helvetica Neue" w:hAnsi="Helvetica Neue"/>
          <w:b/>
          <w:bCs/>
          <w:lang w:val="de-DE"/>
        </w:rPr>
      </w:pPr>
    </w:p>
    <w:p w:rsidR="009622C2" w:rsidRDefault="004D35F5">
      <w:pPr>
        <w:rPr>
          <w:rFonts w:ascii="Helvetica Neue" w:hAnsi="Helvetica Neue"/>
          <w:b/>
          <w:bCs/>
        </w:rPr>
      </w:pPr>
      <w:r w:rsidRPr="009622C2">
        <w:rPr>
          <w:rFonts w:ascii="Helvetica Neue" w:hAnsi="Helvetica Neue"/>
          <w:b/>
          <w:bCs/>
        </w:rPr>
        <w:t>4.1</w:t>
      </w:r>
      <w:r w:rsidR="009622C2">
        <w:rPr>
          <w:rFonts w:ascii="Helvetica Neue" w:hAnsi="Helvetica Neue"/>
          <w:b/>
          <w:bCs/>
        </w:rPr>
        <w:t xml:space="preserve"> </w:t>
      </w:r>
    </w:p>
    <w:p w:rsidR="004D35F5" w:rsidRPr="009622C2" w:rsidRDefault="009622C2">
      <w:pPr>
        <w:rPr>
          <w:rFonts w:ascii="Helvetica Neue" w:hAnsi="Helvetica Neue"/>
          <w:bCs/>
        </w:rPr>
      </w:pPr>
      <w:r w:rsidRPr="009622C2">
        <w:rPr>
          <w:rFonts w:ascii="Helvetica Neue" w:hAnsi="Helvetica Neue"/>
          <w:bCs/>
        </w:rPr>
        <w:t>Comparison of Domestic and International Challenges, Actions Take</w:t>
      </w:r>
      <w:r>
        <w:rPr>
          <w:rFonts w:ascii="Helvetica Neue" w:hAnsi="Helvetica Neue"/>
          <w:bCs/>
        </w:rPr>
        <w:t>n</w:t>
      </w:r>
      <w:r w:rsidRPr="009622C2">
        <w:rPr>
          <w:rFonts w:ascii="Helvetica Neue" w:hAnsi="Helvetica Neue"/>
          <w:bCs/>
        </w:rPr>
        <w:t>, and Outcomes</w:t>
      </w:r>
      <w:r w:rsidRPr="009622C2">
        <w:rPr>
          <w:rFonts w:ascii="Helvetica Neue" w:hAnsi="Helvetica Neue"/>
          <w:bCs/>
        </w:rPr>
        <w:tab/>
      </w:r>
      <w:r w:rsidRPr="009622C2">
        <w:rPr>
          <w:rFonts w:ascii="Helvetica Neue" w:hAnsi="Helvetica Neue"/>
          <w:bCs/>
        </w:rPr>
        <w:tab/>
      </w:r>
      <w:r>
        <w:rPr>
          <w:rFonts w:ascii="Helvetica Neue" w:hAnsi="Helvetica Neue"/>
          <w:bCs/>
        </w:rPr>
        <w:tab/>
      </w:r>
      <w:r>
        <w:rPr>
          <w:rFonts w:ascii="Helvetica Neue" w:hAnsi="Helvetica Neue"/>
          <w:bCs/>
        </w:rPr>
        <w:tab/>
      </w:r>
      <w:r>
        <w:rPr>
          <w:rFonts w:ascii="Helvetica Neue" w:hAnsi="Helvetica Neue"/>
          <w:bCs/>
        </w:rPr>
        <w:tab/>
        <w:t xml:space="preserve">   </w:t>
      </w:r>
      <w:r>
        <w:rPr>
          <w:rFonts w:ascii="Helvetica Neue" w:hAnsi="Helvetica Neue"/>
          <w:bCs/>
        </w:rPr>
        <w:tab/>
        <w:t xml:space="preserve">           </w:t>
      </w:r>
      <w:r w:rsidR="009E772D">
        <w:rPr>
          <w:rFonts w:ascii="Helvetica Neue" w:hAnsi="Helvetica Neue"/>
          <w:bCs/>
        </w:rPr>
        <w:t xml:space="preserve">   </w:t>
      </w:r>
      <w:r w:rsidR="009E772D">
        <w:rPr>
          <w:rFonts w:ascii="Helvetica Neue" w:hAnsi="Helvetica Neue"/>
          <w:bCs/>
        </w:rPr>
        <w:tab/>
        <w:t xml:space="preserve">    </w:t>
      </w:r>
      <w:r w:rsidRPr="009622C2">
        <w:rPr>
          <w:rFonts w:ascii="Helvetica Neue" w:hAnsi="Helvetica Neue"/>
          <w:bCs/>
        </w:rPr>
        <w:t>63</w:t>
      </w:r>
      <w:r w:rsidR="004D35F5" w:rsidRPr="009622C2">
        <w:rPr>
          <w:rFonts w:ascii="Helvetica Neue" w:hAnsi="Helvetica Neue"/>
          <w:b/>
          <w:bCs/>
          <w:sz w:val="28"/>
          <w:szCs w:val="28"/>
        </w:rPr>
        <w:br w:type="page"/>
      </w:r>
    </w:p>
    <w:p w:rsidR="001734D8" w:rsidRPr="009622C2" w:rsidRDefault="00E46B5F" w:rsidP="002D7C70">
      <w:pPr>
        <w:rPr>
          <w:rFonts w:ascii="Helvetica Neue" w:hAnsi="Helvetica Neue"/>
          <w:b/>
          <w:bCs/>
          <w:sz w:val="28"/>
          <w:szCs w:val="28"/>
        </w:rPr>
      </w:pPr>
      <w:r w:rsidRPr="009622C2">
        <w:rPr>
          <w:rFonts w:ascii="Helvetica Neue" w:hAnsi="Helvetica Neue"/>
          <w:b/>
          <w:bCs/>
          <w:sz w:val="28"/>
          <w:szCs w:val="28"/>
        </w:rPr>
        <w:lastRenderedPageBreak/>
        <w:t>Abstract</w:t>
      </w:r>
    </w:p>
    <w:p w:rsidR="002D7C70" w:rsidRPr="002D7C70" w:rsidRDefault="002D7C70" w:rsidP="002D7C70">
      <w:pPr>
        <w:rPr>
          <w:rFonts w:ascii="Helvetica Neue" w:eastAsia="Helvetica Neue" w:hAnsi="Helvetica Neue" w:cs="Helvetica Neue"/>
          <w:color w:val="000000"/>
          <w:sz w:val="23"/>
          <w:szCs w:val="23"/>
          <w:u w:color="000000"/>
        </w:rPr>
      </w:pPr>
    </w:p>
    <w:p w:rsidR="0078515A" w:rsidRDefault="00E46B5F">
      <w:pPr>
        <w:pStyle w:val="Body"/>
        <w:spacing w:after="0" w:line="480" w:lineRule="auto"/>
        <w:rPr>
          <w:rFonts w:ascii="Helvetica Neue" w:hAnsi="Helvetica Neue"/>
        </w:rPr>
      </w:pPr>
      <w:r w:rsidRPr="00F11B03">
        <w:rPr>
          <w:rFonts w:ascii="Helvetica Neue" w:hAnsi="Helvetica Neue"/>
        </w:rPr>
        <w:t>Habsburg Austria is a unique case for the study of “state-making:” the creation of means by which a sovereign state asserts its ability to control its territory. Examples of state-making include the creation of a professional army and the means with which to pay for it, or the defense of state borders. This thesis examines two periods in Austrian history for evidence of how the Habsburg Austrian state succeeded or failed in this process. The first period centers on the Thirty Years War (1618-1648) which challenged the very existence of the state and which resulted in the establishment of Europe’s first professional standing army by the end of the war. The second period also features a challenge to the state’s existence. However, in this case, the Habsburgs were constrained by a variety of domestic and economic factors, which amplified their international challenges. Ultimately, their failure to engage in effective state-making combined with their</w:t>
      </w:r>
      <w:r w:rsidR="008E0153">
        <w:rPr>
          <w:rFonts w:ascii="Helvetica Neue" w:hAnsi="Helvetica Neue"/>
        </w:rPr>
        <w:t xml:space="preserve"> desperate</w:t>
      </w:r>
      <w:r w:rsidRPr="00F11B03">
        <w:rPr>
          <w:rFonts w:ascii="Helvetica Neue" w:hAnsi="Helvetica Neue"/>
        </w:rPr>
        <w:t xml:space="preserve"> need to </w:t>
      </w:r>
      <w:r w:rsidR="008E0153">
        <w:rPr>
          <w:rFonts w:ascii="Helvetica Neue" w:hAnsi="Helvetica Neue"/>
        </w:rPr>
        <w:t>preserve</w:t>
      </w:r>
      <w:r w:rsidRPr="00F11B03">
        <w:rPr>
          <w:rFonts w:ascii="Helvetica Neue" w:hAnsi="Helvetica Neue"/>
        </w:rPr>
        <w:t xml:space="preserve"> their great-power status resulted in a decision for a war that would ultimately destroy the state.</w:t>
      </w:r>
    </w:p>
    <w:p w:rsidR="001D0A78" w:rsidRDefault="001D0A78">
      <w:pPr>
        <w:pStyle w:val="Body"/>
        <w:spacing w:after="0" w:line="480" w:lineRule="auto"/>
        <w:rPr>
          <w:rFonts w:ascii="Helvetica Neue" w:hAnsi="Helvetica Neue"/>
        </w:rPr>
      </w:pPr>
    </w:p>
    <w:p w:rsidR="001D0A78" w:rsidRDefault="001D0A78">
      <w:pPr>
        <w:pStyle w:val="Body"/>
        <w:spacing w:after="0" w:line="480" w:lineRule="auto"/>
        <w:rPr>
          <w:rFonts w:ascii="Helvetica Neue" w:hAnsi="Helvetica Neue"/>
        </w:rPr>
      </w:pPr>
    </w:p>
    <w:p w:rsidR="001D0A78" w:rsidRDefault="001D0A78">
      <w:pPr>
        <w:pStyle w:val="Body"/>
        <w:spacing w:after="0" w:line="480" w:lineRule="auto"/>
        <w:rPr>
          <w:rFonts w:ascii="Helvetica Neue" w:hAnsi="Helvetica Neue"/>
        </w:rPr>
        <w:sectPr w:rsidR="001D0A78" w:rsidSect="009E772D">
          <w:headerReference w:type="default" r:id="rId9"/>
          <w:footerReference w:type="default" r:id="rId10"/>
          <w:pgSz w:w="12240" w:h="15840"/>
          <w:pgMar w:top="2160" w:right="2160" w:bottom="2160" w:left="2304" w:header="720" w:footer="720" w:gutter="0"/>
          <w:pgNumType w:fmt="lowerRoman" w:start="4"/>
          <w:cols w:space="720"/>
        </w:sectPr>
      </w:pPr>
    </w:p>
    <w:p w:rsidR="001D0A78" w:rsidRDefault="001D0A78" w:rsidP="001D0A78">
      <w:pPr>
        <w:pStyle w:val="BodyA"/>
        <w:widowControl/>
        <w:spacing w:line="360" w:lineRule="auto"/>
        <w:outlineLvl w:val="0"/>
        <w:rPr>
          <w:rFonts w:ascii="Helvetica Neue" w:eastAsia="Helvetica Neue" w:hAnsi="Helvetica Neue" w:cs="Helvetica Neue"/>
          <w:b/>
          <w:bCs/>
          <w:sz w:val="24"/>
          <w:szCs w:val="24"/>
        </w:rPr>
      </w:pPr>
      <w:r>
        <w:rPr>
          <w:rFonts w:ascii="Helvetica Neue" w:hAnsi="Helvetica Neue"/>
          <w:b/>
          <w:bCs/>
          <w:color w:val="16191F"/>
          <w:sz w:val="24"/>
          <w:szCs w:val="24"/>
          <w:u w:color="16191F"/>
          <w:shd w:val="clear" w:color="auto" w:fill="FFFFFF"/>
        </w:rPr>
        <w:lastRenderedPageBreak/>
        <w:t xml:space="preserve">Chapter 1: State-Making in the Salzburger </w:t>
      </w:r>
      <w:r>
        <w:rPr>
          <w:rFonts w:ascii="Helvetica Neue" w:hAnsi="Helvetica Neue"/>
          <w:b/>
          <w:bCs/>
          <w:sz w:val="24"/>
          <w:szCs w:val="24"/>
          <w:lang w:val="nl-NL"/>
        </w:rPr>
        <w:t>Saalachtal</w:t>
      </w: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color w:val="16191F"/>
          <w:sz w:val="24"/>
          <w:szCs w:val="24"/>
          <w:u w:color="16191F"/>
          <w:shd w:val="clear" w:color="auto" w:fill="FFFFFF"/>
        </w:rPr>
      </w:pP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color w:val="16191F"/>
          <w:sz w:val="24"/>
          <w:szCs w:val="24"/>
          <w:u w:color="16191F"/>
          <w:shd w:val="clear" w:color="auto" w:fill="FFFFFF"/>
        </w:rPr>
      </w:pPr>
      <w:r>
        <w:rPr>
          <w:rFonts w:ascii="Helvetica Neue" w:hAnsi="Helvetica Neue"/>
          <w:color w:val="16191F"/>
          <w:sz w:val="24"/>
          <w:szCs w:val="24"/>
          <w:u w:color="16191F"/>
          <w:shd w:val="clear" w:color="auto" w:fill="FFFFFF"/>
        </w:rPr>
        <w:t>This thesis actually began some years ago, on a solitary hike in the Austrian village of Unken, as the author walked past the “</w:t>
      </w:r>
      <w:r>
        <w:rPr>
          <w:rFonts w:ascii="Helvetica Neue" w:hAnsi="Helvetica Neue"/>
          <w:i/>
          <w:iCs/>
          <w:color w:val="16191F"/>
          <w:sz w:val="24"/>
          <w:szCs w:val="24"/>
          <w:u w:color="16191F"/>
          <w:shd w:val="clear" w:color="auto" w:fill="FFFFFF"/>
          <w:lang w:val="it-IT"/>
        </w:rPr>
        <w:t>Kalte Quelle</w:t>
      </w:r>
      <w:r>
        <w:rPr>
          <w:rFonts w:ascii="Helvetica Neue" w:hAnsi="Helvetica Neue"/>
          <w:color w:val="16191F"/>
          <w:sz w:val="24"/>
          <w:szCs w:val="24"/>
          <w:u w:color="16191F"/>
          <w:shd w:val="clear" w:color="auto" w:fill="FFFFFF"/>
        </w:rPr>
        <w:t>” and towards the “</w:t>
      </w:r>
      <w:r>
        <w:rPr>
          <w:rFonts w:ascii="Helvetica Neue" w:hAnsi="Helvetica Neue"/>
          <w:i/>
          <w:iCs/>
          <w:color w:val="16191F"/>
          <w:sz w:val="24"/>
          <w:szCs w:val="24"/>
          <w:u w:color="16191F"/>
          <w:shd w:val="clear" w:color="auto" w:fill="FFFFFF"/>
        </w:rPr>
        <w:t>Festung Kniepaß</w:t>
      </w:r>
      <w:r>
        <w:rPr>
          <w:rFonts w:ascii="Helvetica Neue" w:hAnsi="Helvetica Neue"/>
          <w:color w:val="16191F"/>
          <w:sz w:val="24"/>
          <w:szCs w:val="24"/>
          <w:u w:color="16191F"/>
          <w:shd w:val="clear" w:color="auto" w:fill="FFFFFF"/>
        </w:rPr>
        <w:t xml:space="preserve">,” a small fortress overlooking the ancient road that runs deep into Salzburg’s </w:t>
      </w:r>
      <w:r>
        <w:rPr>
          <w:rFonts w:ascii="Helvetica Neue" w:hAnsi="Helvetica Neue"/>
          <w:i/>
          <w:iCs/>
          <w:color w:val="16191F"/>
          <w:sz w:val="24"/>
          <w:szCs w:val="24"/>
          <w:u w:color="16191F"/>
          <w:shd w:val="clear" w:color="auto" w:fill="FFFFFF"/>
        </w:rPr>
        <w:t>Pinzgau</w:t>
      </w:r>
      <w:r>
        <w:rPr>
          <w:rFonts w:ascii="Helvetica Neue" w:hAnsi="Helvetica Neue"/>
          <w:color w:val="16191F"/>
          <w:sz w:val="24"/>
          <w:szCs w:val="24"/>
          <w:u w:color="16191F"/>
          <w:shd w:val="clear" w:color="auto" w:fill="FFFFFF"/>
        </w:rPr>
        <w:t xml:space="preserve">. Partially due to its position about 20 meters above the road, partially due to its small size, and partially due to the wear of time, someone driving below the ridge it sits atop would hardly notice it. But those able to take a moment and examine the site will find a plaque, commemorating its erection in 1613 under Prince-Archbishop Markus Sittikus. In the years to come, this fortress and Unken’s </w:t>
      </w:r>
      <w:r>
        <w:rPr>
          <w:rFonts w:ascii="Helvetica Neue" w:hAnsi="Helvetica Neue"/>
          <w:i/>
          <w:iCs/>
          <w:color w:val="16191F"/>
          <w:sz w:val="24"/>
          <w:szCs w:val="24"/>
          <w:u w:color="16191F"/>
          <w:shd w:val="clear" w:color="auto" w:fill="FFFFFF"/>
          <w:lang w:val="nl-NL"/>
        </w:rPr>
        <w:t>Landvolk</w:t>
      </w:r>
      <w:r>
        <w:rPr>
          <w:rFonts w:ascii="Helvetica Neue" w:hAnsi="Helvetica Neue"/>
          <w:color w:val="16191F"/>
          <w:sz w:val="24"/>
          <w:szCs w:val="24"/>
          <w:u w:color="16191F"/>
          <w:shd w:val="clear" w:color="auto" w:fill="FFFFFF"/>
        </w:rPr>
        <w:t xml:space="preserve"> militia who guarded it would play a critical role in Salzburg’s efforts to remain unsnarled with the brutal fighting of the Thirty Years War and were charged with expanding it considerably during the 1630s to defend against a potential Swedish invasion.</w:t>
      </w:r>
      <w:r>
        <w:rPr>
          <w:rFonts w:ascii="Helvetica Neue" w:eastAsia="Helvetica Neue" w:hAnsi="Helvetica Neue" w:cs="Helvetica Neue"/>
          <w:color w:val="16191F"/>
          <w:sz w:val="24"/>
          <w:szCs w:val="24"/>
          <w:u w:color="16191F"/>
          <w:shd w:val="clear" w:color="auto" w:fill="FFFFFF"/>
          <w:vertAlign w:val="superscript"/>
        </w:rPr>
        <w:footnoteReference w:id="1"/>
      </w:r>
      <w:r>
        <w:rPr>
          <w:rFonts w:ascii="Helvetica Neue" w:hAnsi="Helvetica Neue"/>
          <w:color w:val="16191F"/>
          <w:sz w:val="24"/>
          <w:szCs w:val="24"/>
          <w:u w:color="16191F"/>
          <w:shd w:val="clear" w:color="auto" w:fill="FFFFFF"/>
        </w:rPr>
        <w:t xml:space="preserve"> However, this fortress served a larger purpose: it was an effort by the Prince-Archbishops who ruled Salzburg to delineate and defend their territory as a sovereign and autonomous part of the Holy Roman </w:t>
      </w:r>
      <w:r>
        <w:rPr>
          <w:rFonts w:ascii="Helvetica Neue" w:hAnsi="Helvetica Neue"/>
          <w:color w:val="16191F"/>
          <w:sz w:val="24"/>
          <w:szCs w:val="24"/>
          <w:u w:color="16191F"/>
          <w:shd w:val="clear" w:color="auto" w:fill="FFFFFF"/>
        </w:rPr>
        <w:lastRenderedPageBreak/>
        <w:t xml:space="preserve">Empire, and to consolidate the means of effective force over this territory. The Festung Kniepaß was a statement of sovereign authority, it was an act of state-making. </w:t>
      </w: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w:eastAsia="Helvetica" w:hAnsi="Helvetica" w:cs="Helvetica"/>
          <w:kern w:val="1"/>
          <w:sz w:val="24"/>
          <w:szCs w:val="24"/>
        </w:rPr>
      </w:pPr>
      <w:r>
        <w:rPr>
          <w:rFonts w:ascii="Helvetica Neue" w:eastAsia="Helvetica Neue" w:hAnsi="Helvetica Neue" w:cs="Helvetica Neue"/>
          <w:color w:val="16191F"/>
          <w:sz w:val="24"/>
          <w:szCs w:val="24"/>
          <w:u w:color="16191F"/>
          <w:shd w:val="clear" w:color="auto" w:fill="FFFFFF"/>
        </w:rPr>
        <w:tab/>
        <w:t xml:space="preserve">Modern Austria is full of tokens of the state-making process like </w:t>
      </w:r>
      <w:r>
        <w:rPr>
          <w:rFonts w:ascii="Helvetica Neue" w:hAnsi="Helvetica Neue"/>
          <w:i/>
          <w:iCs/>
          <w:color w:val="16191F"/>
          <w:sz w:val="24"/>
          <w:szCs w:val="24"/>
          <w:u w:color="16191F"/>
          <w:shd w:val="clear" w:color="auto" w:fill="FFFFFF"/>
        </w:rPr>
        <w:t>Kniepaß</w:t>
      </w:r>
      <w:r>
        <w:rPr>
          <w:rFonts w:ascii="Helvetica Neue" w:hAnsi="Helvetica Neue"/>
          <w:color w:val="16191F"/>
          <w:sz w:val="24"/>
          <w:szCs w:val="24"/>
          <w:u w:color="16191F"/>
          <w:shd w:val="clear" w:color="auto" w:fill="FFFFFF"/>
        </w:rPr>
        <w:t xml:space="preserve">, another example being the </w:t>
      </w:r>
      <w:r>
        <w:rPr>
          <w:rFonts w:ascii="Helvetica" w:hAnsi="Helvetica"/>
          <w:i/>
          <w:iCs/>
          <w:kern w:val="1"/>
          <w:sz w:val="24"/>
          <w:szCs w:val="24"/>
        </w:rPr>
        <w:t>Theresianum</w:t>
      </w:r>
      <w:r>
        <w:rPr>
          <w:rFonts w:ascii="Helvetica" w:hAnsi="Helvetica"/>
          <w:kern w:val="1"/>
          <w:sz w:val="24"/>
          <w:szCs w:val="24"/>
        </w:rPr>
        <w:t xml:space="preserve"> </w:t>
      </w:r>
      <w:r>
        <w:rPr>
          <w:rFonts w:ascii="Helvetica Neue" w:hAnsi="Helvetica Neue"/>
          <w:color w:val="16191F"/>
          <w:sz w:val="24"/>
          <w:szCs w:val="24"/>
          <w:u w:color="16191F"/>
          <w:shd w:val="clear" w:color="auto" w:fill="FFFFFF"/>
        </w:rPr>
        <w:t>Military Academy’s large stone relief adorned with the letters</w:t>
      </w:r>
      <w:r>
        <w:rPr>
          <w:rFonts w:ascii="Helvetica" w:hAnsi="Helvetica"/>
          <w:kern w:val="1"/>
          <w:sz w:val="24"/>
          <w:szCs w:val="24"/>
        </w:rPr>
        <w:t xml:space="preserve"> “AEIOU” “Alles Erdreich ist Österreich untertan” or “All the world is subject to Austria,” the motto chosen by the Holy Roman Emperor Friedrich III (1415-1493, HRE 1452-1493).</w:t>
      </w:r>
      <w:r>
        <w:rPr>
          <w:rFonts w:ascii="Helvetica" w:eastAsia="Helvetica" w:hAnsi="Helvetica" w:cs="Helvetica"/>
          <w:kern w:val="1"/>
          <w:sz w:val="24"/>
          <w:szCs w:val="24"/>
          <w:vertAlign w:val="superscript"/>
        </w:rPr>
        <w:footnoteReference w:id="2"/>
      </w:r>
      <w:r>
        <w:rPr>
          <w:rFonts w:ascii="Helvetica" w:hAnsi="Helvetica"/>
          <w:kern w:val="1"/>
          <w:sz w:val="24"/>
          <w:szCs w:val="24"/>
        </w:rPr>
        <w:t xml:space="preserve"> </w:t>
      </w:r>
      <w:bookmarkStart w:id="1" w:name="Ch_1_Introduction"/>
      <w:r>
        <w:rPr>
          <w:rFonts w:ascii="Helvetica" w:hAnsi="Helvetica"/>
          <w:kern w:val="1"/>
          <w:sz w:val="24"/>
          <w:szCs w:val="24"/>
        </w:rPr>
        <w:t>Many</w:t>
      </w:r>
      <w:bookmarkEnd w:id="1"/>
      <w:r>
        <w:rPr>
          <w:rFonts w:ascii="Helvetica" w:hAnsi="Helvetica"/>
          <w:kern w:val="1"/>
          <w:sz w:val="24"/>
          <w:szCs w:val="24"/>
        </w:rPr>
        <w:t xml:space="preserve"> of the officers and generals who contributed to the achievement (or failure) of Austria’s political and military goals, from the victories of the Napoleonic Wars to the destruction and defeat of World War I, spent their formative years training on the grounds of the </w:t>
      </w:r>
      <w:r>
        <w:rPr>
          <w:rFonts w:ascii="Helvetica" w:hAnsi="Helvetica"/>
          <w:i/>
          <w:iCs/>
          <w:kern w:val="1"/>
          <w:sz w:val="24"/>
          <w:szCs w:val="24"/>
        </w:rPr>
        <w:t>Theresianum</w:t>
      </w:r>
      <w:r>
        <w:rPr>
          <w:rFonts w:ascii="Helvetica" w:hAnsi="Helvetica"/>
          <w:kern w:val="1"/>
          <w:sz w:val="24"/>
          <w:szCs w:val="24"/>
        </w:rPr>
        <w:t xml:space="preserve">: their stories and failures are well known to students of European history. The </w:t>
      </w:r>
      <w:r>
        <w:rPr>
          <w:rFonts w:ascii="Helvetica" w:hAnsi="Helvetica"/>
          <w:i/>
          <w:iCs/>
          <w:kern w:val="1"/>
          <w:sz w:val="24"/>
          <w:szCs w:val="24"/>
          <w:lang w:val="it-IT"/>
        </w:rPr>
        <w:t xml:space="preserve">Theresianum </w:t>
      </w:r>
      <w:r>
        <w:rPr>
          <w:rFonts w:ascii="Helvetica" w:hAnsi="Helvetica"/>
          <w:kern w:val="1"/>
          <w:sz w:val="24"/>
          <w:szCs w:val="24"/>
        </w:rPr>
        <w:t>is significant for the history of Austrian state-making, as its establishment was another step in the creation of a professional standing army.</w:t>
      </w:r>
      <w:r>
        <w:rPr>
          <w:rFonts w:ascii="Helvetica" w:eastAsia="Helvetica" w:hAnsi="Helvetica" w:cs="Helvetica"/>
          <w:kern w:val="1"/>
          <w:sz w:val="24"/>
          <w:szCs w:val="24"/>
          <w:vertAlign w:val="superscript"/>
        </w:rPr>
        <w:footnoteReference w:id="3"/>
      </w:r>
      <w:r w:rsidRPr="008A2841">
        <w:rPr>
          <w:rFonts w:ascii="Helvetica" w:hAnsi="Helvetica"/>
          <w:kern w:val="1"/>
          <w:sz w:val="24"/>
          <w:szCs w:val="24"/>
        </w:rPr>
        <w:t xml:space="preserve"> </w:t>
      </w:r>
    </w:p>
    <w:p w:rsidR="001D0A78" w:rsidRDefault="001D0A78" w:rsidP="001D0A78">
      <w:pPr>
        <w:pStyle w:val="BodyB"/>
        <w:spacing w:line="480" w:lineRule="auto"/>
        <w:ind w:firstLine="720"/>
        <w:rPr>
          <w:rFonts w:ascii="Helvetica" w:eastAsia="Helvetica" w:hAnsi="Helvetica" w:cs="Helvetica"/>
          <w:kern w:val="1"/>
        </w:rPr>
      </w:pPr>
      <w:r w:rsidRPr="008A2841">
        <w:rPr>
          <w:rFonts w:ascii="Helvetica" w:hAnsi="Helvetica"/>
          <w:kern w:val="1"/>
        </w:rPr>
        <w:lastRenderedPageBreak/>
        <w:t xml:space="preserve">The construction of the fortress in Unken or the opening of the </w:t>
      </w:r>
      <w:r>
        <w:rPr>
          <w:rFonts w:ascii="Helvetica" w:hAnsi="Helvetica"/>
          <w:i/>
          <w:iCs/>
          <w:kern w:val="1"/>
        </w:rPr>
        <w:t>Theresianum</w:t>
      </w:r>
      <w:r w:rsidRPr="008A2841">
        <w:rPr>
          <w:rFonts w:ascii="Helvetica" w:hAnsi="Helvetica"/>
          <w:kern w:val="1"/>
        </w:rPr>
        <w:t xml:space="preserve"> in Wiener Neustadt were both acts of state-making: the </w:t>
      </w:r>
      <w:r>
        <w:rPr>
          <w:rFonts w:ascii="Helvetica Neue" w:hAnsi="Helvetica Neue"/>
        </w:rPr>
        <w:t>interlocking historical processes through which sovereign rulers established the institutions, practices, and norms that allowed them to assert their claim to rule over the territory they controlled. State-making was a process of capacity building, for example, the creation of a capable and professional army, relatively efficient means to collect taxes, and, as in Unken, the construction of fortresses from which agents of the sovereign might assert their claim to hold monopoly of legitimate force---their right to use violence to defend the state.</w:t>
      </w:r>
      <w:r>
        <w:rPr>
          <w:rFonts w:ascii="Helvetica" w:hAnsi="Helvetica"/>
          <w:kern w:val="1"/>
          <w:vertAlign w:val="superscript"/>
        </w:rPr>
        <w:t xml:space="preserve"> </w:t>
      </w:r>
      <w:r>
        <w:rPr>
          <w:rFonts w:ascii="Helvetica" w:eastAsia="Helvetica" w:hAnsi="Helvetica" w:cs="Helvetica"/>
          <w:kern w:val="1"/>
          <w:vertAlign w:val="superscript"/>
        </w:rPr>
        <w:footnoteReference w:id="4"/>
      </w:r>
      <w:r>
        <w:rPr>
          <w:rFonts w:ascii="Helvetica Neue" w:hAnsi="Helvetica Neue"/>
        </w:rPr>
        <w:t xml:space="preserve"> A sovereign power </w:t>
      </w:r>
      <w:r>
        <w:rPr>
          <w:rFonts w:ascii="Helvetica" w:hAnsi="Helvetica"/>
          <w:kern w:val="1"/>
        </w:rPr>
        <w:t>can be generally defined as a political body that controls a well-defined space, is relatively centralized, and which differentiates itself from other bodies or corporate structures (e.g. the Catholic Church or a tribal group).</w:t>
      </w:r>
      <w:r>
        <w:rPr>
          <w:rFonts w:ascii="Helvetica" w:eastAsia="Helvetica" w:hAnsi="Helvetica" w:cs="Helvetica"/>
          <w:kern w:val="1"/>
          <w:vertAlign w:val="superscript"/>
        </w:rPr>
        <w:footnoteReference w:id="5"/>
      </w:r>
      <w:r>
        <w:rPr>
          <w:rFonts w:ascii="Helvetica" w:hAnsi="Helvetica"/>
          <w:kern w:val="1"/>
        </w:rPr>
        <w:t xml:space="preserve"> Sovereignty is a result of state-making: a strong state is able to enforce its claims to a monopoly of violence and overcome challenges to its authority.</w:t>
      </w:r>
      <w:r w:rsidRPr="008A2841">
        <w:rPr>
          <w:rFonts w:ascii="Helvetica" w:hAnsi="Helvetica"/>
          <w:kern w:val="1"/>
        </w:rPr>
        <w:t xml:space="preserve"> </w:t>
      </w:r>
    </w:p>
    <w:p w:rsidR="001D0A78" w:rsidRDefault="001D0A78" w:rsidP="001D0A78">
      <w:pPr>
        <w:pStyle w:val="BodyB"/>
        <w:spacing w:line="480" w:lineRule="auto"/>
        <w:ind w:firstLine="720"/>
        <w:rPr>
          <w:rFonts w:ascii="Helvetica" w:eastAsia="Helvetica" w:hAnsi="Helvetica" w:cs="Helvetica"/>
          <w:kern w:val="1"/>
        </w:rPr>
      </w:pPr>
      <w:r w:rsidRPr="008A2841">
        <w:rPr>
          <w:rFonts w:ascii="Helvetica" w:hAnsi="Helvetica"/>
          <w:kern w:val="1"/>
        </w:rPr>
        <w:lastRenderedPageBreak/>
        <w:t xml:space="preserve">This thesis seeks to demonstrate how state-making was attempted within Habsburg Austria. The first case takes place during the Thirty Years War as Protestant invasion and revolt was a profound threat to the state’s ongoing existence. The second case examines how Habsburg Austria-Hungary functioned as a confederation between an industrializing western half and a backward eastern half, and did so in an international context that became gradually more unfavorable to their continued survival. </w:t>
      </w:r>
    </w:p>
    <w:p w:rsidR="001D0A78" w:rsidRDefault="001D0A78" w:rsidP="001D0A78">
      <w:pPr>
        <w:pStyle w:val="BodyB"/>
        <w:spacing w:line="480" w:lineRule="auto"/>
        <w:ind w:firstLine="720"/>
        <w:rPr>
          <w:rFonts w:ascii="Helvetica" w:eastAsia="Helvetica" w:hAnsi="Helvetica" w:cs="Helvetica"/>
          <w:kern w:val="1"/>
        </w:rPr>
      </w:pPr>
      <w:r>
        <w:rPr>
          <w:rFonts w:ascii="Helvetica" w:hAnsi="Helvetica"/>
          <w:kern w:val="1"/>
        </w:rPr>
        <w:t xml:space="preserve">Habsburg Austria is a peculiar case for the study of state-making because it is often claimed to have not achieved the full “promise” of a state as France or Britain are claimed to have done. For example, in his introductory chapter to </w:t>
      </w:r>
      <w:r>
        <w:rPr>
          <w:rFonts w:ascii="Helvetica" w:hAnsi="Helvetica"/>
          <w:i/>
          <w:iCs/>
          <w:kern w:val="1"/>
        </w:rPr>
        <w:t>The Formation of National States in Western Europe</w:t>
      </w:r>
      <w:r>
        <w:rPr>
          <w:rFonts w:ascii="Helvetica" w:hAnsi="Helvetica"/>
          <w:kern w:val="1"/>
        </w:rPr>
        <w:t>, Charles Tilly refers to Habsburg Austria as a “rickety federation” that remained “weakly subordinated to the imperial center.”</w:t>
      </w:r>
      <w:r>
        <w:rPr>
          <w:rFonts w:ascii="Helvetica" w:eastAsia="Helvetica" w:hAnsi="Helvetica" w:cs="Helvetica"/>
          <w:kern w:val="1"/>
          <w:vertAlign w:val="superscript"/>
        </w:rPr>
        <w:footnoteReference w:id="6"/>
      </w:r>
      <w:r>
        <w:rPr>
          <w:rFonts w:ascii="Helvetica" w:hAnsi="Helvetica"/>
          <w:kern w:val="1"/>
        </w:rPr>
        <w:t xml:space="preserve"> This view is largely correct, but it misses a more important point: the Habsburgs were able to engage in the process of state-making, they made an effort to create a functional</w:t>
      </w:r>
      <w:r w:rsidRPr="008A2841">
        <w:rPr>
          <w:rFonts w:ascii="Helvetica" w:hAnsi="Helvetica"/>
          <w:kern w:val="1"/>
        </w:rPr>
        <w:t>ly unified</w:t>
      </w:r>
      <w:r>
        <w:rPr>
          <w:rFonts w:ascii="Helvetica" w:hAnsi="Helvetica"/>
          <w:kern w:val="1"/>
        </w:rPr>
        <w:t xml:space="preserve"> political entity just as France or Britain did</w:t>
      </w:r>
      <w:r w:rsidRPr="008A2841">
        <w:rPr>
          <w:rFonts w:ascii="Helvetica" w:hAnsi="Helvetica"/>
          <w:kern w:val="1"/>
        </w:rPr>
        <w:t>, even if the Habsburgs were ultimately less successful.</w:t>
      </w:r>
    </w:p>
    <w:p w:rsidR="001D0A78" w:rsidRDefault="001D0A78" w:rsidP="001D0A78">
      <w:pPr>
        <w:pStyle w:val="BodyB"/>
        <w:spacing w:line="480" w:lineRule="auto"/>
        <w:ind w:firstLine="720"/>
        <w:rPr>
          <w:rFonts w:ascii="Helvetica" w:eastAsia="Helvetica" w:hAnsi="Helvetica" w:cs="Helvetica"/>
          <w:kern w:val="1"/>
        </w:rPr>
      </w:pPr>
      <w:r w:rsidRPr="008A2841">
        <w:rPr>
          <w:rFonts w:ascii="Helvetica" w:hAnsi="Helvetica"/>
          <w:kern w:val="1"/>
        </w:rPr>
        <w:lastRenderedPageBreak/>
        <w:t>The Habsburgs did this in a context that was less conducive to the process than in Britain or France and which masks the nature of their efforts, leading to Habsburg Austria’s exclusion from</w:t>
      </w:r>
      <w:r>
        <w:rPr>
          <w:rFonts w:ascii="Helvetica" w:hAnsi="Helvetica"/>
          <w:kern w:val="1"/>
        </w:rPr>
        <w:t xml:space="preserve"> the scholarly literature. Charles Tilly’s depiction of Habsburg Austria as a ramshackle confederation is correct for a time, but not for the whole period</w:t>
      </w:r>
      <w:r w:rsidRPr="008A2841">
        <w:rPr>
          <w:rFonts w:ascii="Helvetica" w:hAnsi="Helvetica"/>
          <w:kern w:val="1"/>
        </w:rPr>
        <w:t xml:space="preserve"> after 1648</w:t>
      </w:r>
      <w:r>
        <w:rPr>
          <w:rFonts w:ascii="Helvetica" w:hAnsi="Helvetica"/>
          <w:kern w:val="1"/>
        </w:rPr>
        <w:t xml:space="preserve"> as he seems to suggest. A more recent and prominent example is the work of Daron Acemoglu and James Robinson. Their analysis of the political incentives affecting the development or underdevelopment of European states in the nineteenth century fails to account for the division of Habsburg territories between the Austrian government in Vienna and the Hungarian government in Budapest.</w:t>
      </w:r>
      <w:r>
        <w:rPr>
          <w:rFonts w:ascii="Helvetica" w:eastAsia="Helvetica" w:hAnsi="Helvetica" w:cs="Helvetica"/>
          <w:kern w:val="1"/>
          <w:vertAlign w:val="superscript"/>
        </w:rPr>
        <w:footnoteReference w:id="7"/>
      </w:r>
      <w:r>
        <w:rPr>
          <w:rFonts w:ascii="Helvetica" w:hAnsi="Helvetica"/>
          <w:kern w:val="1"/>
        </w:rPr>
        <w:t xml:space="preserve"> In their telling, it makes no difference that serfdom was eliminated in the lands ruled by Vienna in 1781 but only in 1848-1849 in those lands ruled from Budapest. They ignore the fact that the end of serfdom encouraged industrialization in Austria, which began after the end of the Napoleonic Wars and the wars accompanying need for the labor which might otherwise work in new factories and workshops. </w:t>
      </w:r>
      <w:r w:rsidRPr="008A2841">
        <w:rPr>
          <w:rFonts w:ascii="Helvetica" w:hAnsi="Helvetica"/>
          <w:kern w:val="1"/>
        </w:rPr>
        <w:t xml:space="preserve">Economic development and industrialization are important, as a competitive economy provided the funds necessary </w:t>
      </w:r>
      <w:r w:rsidRPr="008A2841">
        <w:rPr>
          <w:rFonts w:ascii="Helvetica" w:hAnsi="Helvetica"/>
          <w:kern w:val="1"/>
        </w:rPr>
        <w:lastRenderedPageBreak/>
        <w:t xml:space="preserve">for state-making. In the case of Austria-Hungary, state-making was hindered by the positive decisions of </w:t>
      </w:r>
      <w:r>
        <w:rPr>
          <w:rFonts w:ascii="Helvetica" w:hAnsi="Helvetica"/>
          <w:kern w:val="1"/>
        </w:rPr>
        <w:t>Hungarian nobles</w:t>
      </w:r>
      <w:r w:rsidRPr="008A2841">
        <w:rPr>
          <w:rFonts w:ascii="Helvetica" w:hAnsi="Helvetica"/>
          <w:kern w:val="1"/>
        </w:rPr>
        <w:t xml:space="preserve"> that delayed industrialization in</w:t>
      </w:r>
      <w:r>
        <w:rPr>
          <w:rFonts w:ascii="Helvetica" w:hAnsi="Helvetica"/>
          <w:kern w:val="1"/>
        </w:rPr>
        <w:t xml:space="preserve"> the Hungarian lands, </w:t>
      </w:r>
      <w:r w:rsidRPr="008A2841">
        <w:rPr>
          <w:rFonts w:ascii="Helvetica" w:hAnsi="Helvetica"/>
          <w:kern w:val="1"/>
        </w:rPr>
        <w:t>as industrialization and development was well underway in the Austrian half</w:t>
      </w:r>
      <w:r>
        <w:rPr>
          <w:rFonts w:ascii="Helvetica" w:hAnsi="Helvetica"/>
          <w:kern w:val="1"/>
        </w:rPr>
        <w:t>. This</w:t>
      </w:r>
      <w:r w:rsidRPr="008A2841">
        <w:rPr>
          <w:rFonts w:ascii="Helvetica" w:hAnsi="Helvetica"/>
          <w:kern w:val="1"/>
        </w:rPr>
        <w:t xml:space="preserve"> thesis seeks to correct this inaccurate,</w:t>
      </w:r>
      <w:r>
        <w:rPr>
          <w:rFonts w:ascii="Helvetica" w:hAnsi="Helvetica"/>
          <w:kern w:val="1"/>
        </w:rPr>
        <w:t xml:space="preserve"> caricatured view of development and state-making </w:t>
      </w:r>
      <w:r w:rsidRPr="008A2841">
        <w:rPr>
          <w:rFonts w:ascii="Helvetica" w:hAnsi="Helvetica"/>
          <w:kern w:val="1"/>
        </w:rPr>
        <w:t xml:space="preserve">in </w:t>
      </w:r>
      <w:r>
        <w:rPr>
          <w:rFonts w:ascii="Helvetica" w:hAnsi="Helvetica"/>
          <w:kern w:val="1"/>
        </w:rPr>
        <w:t xml:space="preserve">Habsburg Austria, </w:t>
      </w:r>
      <w:r w:rsidRPr="008A2841">
        <w:rPr>
          <w:rFonts w:ascii="Helvetica" w:hAnsi="Helvetica"/>
          <w:kern w:val="1"/>
        </w:rPr>
        <w:t xml:space="preserve">which is </w:t>
      </w:r>
      <w:r>
        <w:rPr>
          <w:rFonts w:ascii="Helvetica" w:hAnsi="Helvetica"/>
          <w:kern w:val="1"/>
        </w:rPr>
        <w:t>often found in work by non-subject specialists like Acemoglu and Robinson or those who romanticize Hungarian culture and politics like Alan Sked.</w:t>
      </w:r>
      <w:r>
        <w:rPr>
          <w:rFonts w:ascii="Helvetica" w:eastAsia="Helvetica" w:hAnsi="Helvetica" w:cs="Helvetica"/>
          <w:kern w:val="1"/>
          <w:vertAlign w:val="superscript"/>
        </w:rPr>
        <w:footnoteReference w:id="8"/>
      </w:r>
    </w:p>
    <w:p w:rsidR="001D0A78" w:rsidRDefault="001D0A78" w:rsidP="001D0A78">
      <w:pPr>
        <w:pStyle w:val="BodyB"/>
        <w:spacing w:line="480" w:lineRule="auto"/>
        <w:ind w:firstLine="720"/>
        <w:rPr>
          <w:rFonts w:ascii="Helvetica" w:eastAsia="Helvetica" w:hAnsi="Helvetica" w:cs="Helvetica"/>
          <w:kern w:val="1"/>
        </w:rPr>
      </w:pPr>
      <w:r>
        <w:rPr>
          <w:rFonts w:ascii="Helvetica" w:hAnsi="Helvetica"/>
          <w:kern w:val="1"/>
        </w:rPr>
        <w:t xml:space="preserve">Where Austria-Hungary succeeded and where </w:t>
      </w:r>
      <w:r w:rsidRPr="008A2841">
        <w:rPr>
          <w:rFonts w:ascii="Helvetica" w:hAnsi="Helvetica"/>
          <w:kern w:val="1"/>
        </w:rPr>
        <w:t>it</w:t>
      </w:r>
      <w:r>
        <w:rPr>
          <w:rFonts w:ascii="Helvetica" w:hAnsi="Helvetica"/>
          <w:kern w:val="1"/>
        </w:rPr>
        <w:t xml:space="preserve"> failed is an interesting and under-explored question. This thesis seeks to partially correct this oversight through an examination of how the state-making process succeeded and failed in two case studies. The first case study examines Austria’s response to the revolt of Czech nobles who sought independence from Habsburg rule in order to establish a Protestant kingdom that would also preserve the feudal rights and prerogatives they felt were threatened by Habsburg centralization. This revolt was a fundamental challenge to Habsburg claims to rule and would require </w:t>
      </w:r>
      <w:r>
        <w:rPr>
          <w:rFonts w:ascii="Helvetica" w:hAnsi="Helvetica"/>
          <w:kern w:val="1"/>
        </w:rPr>
        <w:lastRenderedPageBreak/>
        <w:t>them to centralize and engage in</w:t>
      </w:r>
      <w:r w:rsidRPr="008A2841">
        <w:rPr>
          <w:rFonts w:ascii="Helvetica" w:hAnsi="Helvetica"/>
          <w:kern w:val="1"/>
        </w:rPr>
        <w:t xml:space="preserve"> acts of</w:t>
      </w:r>
      <w:r>
        <w:rPr>
          <w:rFonts w:ascii="Helvetica" w:hAnsi="Helvetica"/>
          <w:kern w:val="1"/>
        </w:rPr>
        <w:t xml:space="preserve"> state-making. Over the course of the war, the Habsburgs would establish a professional army, develop means of efficient tax collection, and lay the foundation of a professional bureaucracy. Challenged to innovate and build a state or suffer defeat and likely the end of their rule in Central Europe, Habsburg Austria </w:t>
      </w:r>
      <w:r w:rsidRPr="008A2841">
        <w:rPr>
          <w:rFonts w:ascii="Helvetica" w:hAnsi="Helvetica"/>
          <w:kern w:val="1"/>
        </w:rPr>
        <w:t>chose the former</w:t>
      </w:r>
      <w:r>
        <w:rPr>
          <w:rFonts w:ascii="Helvetica" w:hAnsi="Helvetica"/>
          <w:kern w:val="1"/>
        </w:rPr>
        <w:t xml:space="preserve"> during the Thirty Years War. </w:t>
      </w:r>
    </w:p>
    <w:p w:rsidR="001D0A78" w:rsidRDefault="001D0A78" w:rsidP="001D0A78">
      <w:pPr>
        <w:pStyle w:val="BodyB"/>
        <w:spacing w:line="480" w:lineRule="auto"/>
        <w:ind w:firstLine="720"/>
        <w:rPr>
          <w:rFonts w:ascii="Helvetica" w:eastAsia="Helvetica" w:hAnsi="Helvetica" w:cs="Helvetica"/>
          <w:kern w:val="1"/>
        </w:rPr>
      </w:pPr>
      <w:r>
        <w:rPr>
          <w:rFonts w:ascii="Helvetica" w:hAnsi="Helvetica"/>
          <w:kern w:val="1"/>
        </w:rPr>
        <w:t xml:space="preserve">The second case is the failure of Austria-Hungary after 1867 to continue to build a state in the nineteenth century and how that failure played out on the domestic, economic, and international levels. This failure took many forms, for example, the bifurcated nature of the post-1867 state acted to push the two halves of the state apart, instead of allowing them to develop and work in unison. Economically, they were anything but unified, as Austria’s industrializing economy required different policies than those of the backward agrarian Hungarian half. Failures on the domestic and economic levels made Austria less able to compete on the international level, for example protectionist trade policy cost Austria-Hungary numerous allies in the Balkans, as its borders effectively closed to their grain and animal exports. Combined with changes to the system of norms that ensured Austria-Hungary’s recognition as a great power amongst other great powers, it was largely </w:t>
      </w:r>
      <w:r>
        <w:rPr>
          <w:rFonts w:ascii="Helvetica" w:hAnsi="Helvetica"/>
          <w:kern w:val="1"/>
        </w:rPr>
        <w:lastRenderedPageBreak/>
        <w:t xml:space="preserve">isolated and appeared to be have little other choice than to declare war in 1914. The failure to construct a state capable of meeting challenges on the domestic, economic, and international levels, or even to do as it had done three centuries prior. </w:t>
      </w:r>
    </w:p>
    <w:p w:rsidR="001D0A78" w:rsidRDefault="001D0A78" w:rsidP="001D0A78">
      <w:pPr>
        <w:pStyle w:val="BodyB"/>
        <w:spacing w:line="480" w:lineRule="auto"/>
        <w:ind w:firstLine="720"/>
      </w:pPr>
      <w:r>
        <w:rPr>
          <w:rFonts w:ascii="Helvetica" w:hAnsi="Helvetica"/>
          <w:kern w:val="1"/>
        </w:rPr>
        <w:t xml:space="preserve">Habsburg Austria was never able to achieve the promise of a state, it was never able to </w:t>
      </w:r>
      <w:r w:rsidRPr="008A2841">
        <w:rPr>
          <w:rFonts w:ascii="Helvetica" w:hAnsi="Helvetica"/>
          <w:kern w:val="1"/>
        </w:rPr>
        <w:t>administer its territories uniformly or establish a common patriotism</w:t>
      </w:r>
      <w:r>
        <w:rPr>
          <w:rFonts w:ascii="Helvetica" w:hAnsi="Helvetica"/>
          <w:kern w:val="1"/>
        </w:rPr>
        <w:t>. However, it did engage in the process of state-making, sometimes accidentally, sometimes with gusto, and sometimes half-heartedly.</w:t>
      </w:r>
      <w:r w:rsidRPr="008A2841">
        <w:rPr>
          <w:rFonts w:ascii="Helvetica" w:hAnsi="Helvetica"/>
          <w:kern w:val="1"/>
        </w:rPr>
        <w:t xml:space="preserve"> </w:t>
      </w:r>
      <w:r>
        <w:rPr>
          <w:rFonts w:ascii="Helvetica" w:hAnsi="Helvetica"/>
          <w:kern w:val="1"/>
        </w:rPr>
        <w:t xml:space="preserve">Its successes and failures are nevertheless illuminating and offer the chance to see a new perspective on state-making, that of Austria-Hungary’s failure. </w:t>
      </w:r>
      <w:r>
        <w:rPr>
          <w:rFonts w:ascii="Arial Unicode MS" w:hAnsi="Arial Unicode MS"/>
          <w:kern w:val="1"/>
        </w:rPr>
        <w:br w:type="page"/>
      </w:r>
    </w:p>
    <w:p w:rsidR="001D0A78" w:rsidRDefault="001D0A78" w:rsidP="001D0A78">
      <w:pPr>
        <w:pStyle w:val="BodyA"/>
        <w:tabs>
          <w:tab w:val="left" w:pos="720"/>
          <w:tab w:val="left" w:pos="1440"/>
          <w:tab w:val="left" w:pos="2160"/>
          <w:tab w:val="left" w:pos="2880"/>
          <w:tab w:val="left" w:pos="3600"/>
          <w:tab w:val="left" w:pos="4320"/>
        </w:tabs>
        <w:spacing w:line="360" w:lineRule="auto"/>
        <w:outlineLvl w:val="0"/>
        <w:rPr>
          <w:rFonts w:ascii="Helvetica Neue" w:eastAsia="Helvetica Neue" w:hAnsi="Helvetica Neue" w:cs="Helvetica Neue"/>
          <w:b/>
          <w:bCs/>
          <w:color w:val="191919"/>
          <w:sz w:val="24"/>
          <w:szCs w:val="24"/>
          <w:u w:color="191919"/>
        </w:rPr>
      </w:pPr>
      <w:r>
        <w:rPr>
          <w:rFonts w:ascii="Helvetica Neue" w:hAnsi="Helvetica Neue"/>
          <w:b/>
          <w:bCs/>
          <w:color w:val="191919"/>
          <w:sz w:val="24"/>
          <w:szCs w:val="24"/>
          <w:u w:color="191919"/>
        </w:rPr>
        <w:lastRenderedPageBreak/>
        <w:t>Chapter 2</w:t>
      </w:r>
    </w:p>
    <w:p w:rsidR="001D0A78" w:rsidRDefault="001D0A78" w:rsidP="001D0A78">
      <w:pPr>
        <w:pStyle w:val="BodyA"/>
        <w:tabs>
          <w:tab w:val="left" w:pos="720"/>
          <w:tab w:val="left" w:pos="1440"/>
          <w:tab w:val="left" w:pos="2160"/>
          <w:tab w:val="left" w:pos="2880"/>
          <w:tab w:val="left" w:pos="3600"/>
          <w:tab w:val="left" w:pos="4320"/>
        </w:tabs>
        <w:spacing w:line="360" w:lineRule="auto"/>
        <w:outlineLvl w:val="0"/>
        <w:rPr>
          <w:rFonts w:ascii="Helvetica Neue" w:eastAsia="Helvetica Neue" w:hAnsi="Helvetica Neue" w:cs="Helvetica Neue"/>
          <w:b/>
          <w:bCs/>
          <w:color w:val="191919"/>
          <w:sz w:val="24"/>
          <w:szCs w:val="24"/>
          <w:u w:color="191919"/>
        </w:rPr>
      </w:pPr>
      <w:r>
        <w:rPr>
          <w:rFonts w:ascii="Helvetica Neue" w:hAnsi="Helvetica Neue"/>
          <w:b/>
          <w:bCs/>
          <w:color w:val="191919"/>
          <w:sz w:val="24"/>
          <w:szCs w:val="24"/>
          <w:u w:color="191919"/>
        </w:rPr>
        <w:t xml:space="preserve">State-Making in Early Modern Habsburg Central Europe, </w:t>
      </w:r>
    </w:p>
    <w:p w:rsidR="001D0A78" w:rsidRDefault="001D0A78" w:rsidP="001D0A78">
      <w:pPr>
        <w:pStyle w:val="BodyA"/>
        <w:tabs>
          <w:tab w:val="left" w:pos="720"/>
          <w:tab w:val="left" w:pos="1440"/>
          <w:tab w:val="left" w:pos="2160"/>
          <w:tab w:val="left" w:pos="2880"/>
          <w:tab w:val="left" w:pos="3600"/>
          <w:tab w:val="left" w:pos="4320"/>
        </w:tabs>
        <w:spacing w:line="360" w:lineRule="auto"/>
        <w:outlineLvl w:val="0"/>
        <w:rPr>
          <w:rFonts w:ascii="Helvetica Neue" w:eastAsia="Helvetica Neue" w:hAnsi="Helvetica Neue" w:cs="Helvetica Neue"/>
          <w:b/>
          <w:bCs/>
          <w:color w:val="191919"/>
          <w:sz w:val="24"/>
          <w:szCs w:val="24"/>
          <w:u w:color="191919"/>
        </w:rPr>
      </w:pPr>
      <w:r>
        <w:rPr>
          <w:rFonts w:ascii="Helvetica Neue" w:hAnsi="Helvetica Neue"/>
          <w:b/>
          <w:bCs/>
          <w:color w:val="191919"/>
          <w:sz w:val="24"/>
          <w:szCs w:val="24"/>
          <w:u w:color="191919"/>
        </w:rPr>
        <w:t>1618 to 1648</w:t>
      </w: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b/>
          <w:bCs/>
          <w:color w:val="191919"/>
          <w:sz w:val="24"/>
          <w:szCs w:val="24"/>
          <w:u w:color="191919"/>
        </w:rPr>
      </w:pP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b/>
          <w:bCs/>
          <w:color w:val="191919"/>
          <w:sz w:val="24"/>
          <w:szCs w:val="24"/>
          <w:u w:color="191919"/>
        </w:rPr>
      </w:pPr>
      <w:r>
        <w:rPr>
          <w:rFonts w:ascii="Helvetica Neue" w:hAnsi="Helvetica Neue"/>
          <w:b/>
          <w:bCs/>
          <w:color w:val="191919"/>
          <w:sz w:val="24"/>
          <w:szCs w:val="24"/>
          <w:u w:color="191919"/>
        </w:rPr>
        <w:t>Introduction</w:t>
      </w: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color w:val="191919"/>
          <w:sz w:val="24"/>
          <w:szCs w:val="24"/>
          <w:u w:color="191919"/>
        </w:rPr>
      </w:pPr>
      <w:r>
        <w:rPr>
          <w:rFonts w:ascii="Helvetica Neue" w:hAnsi="Helvetica Neue"/>
          <w:color w:val="191919"/>
          <w:sz w:val="24"/>
          <w:szCs w:val="24"/>
          <w:u w:color="191919"/>
        </w:rPr>
        <w:t xml:space="preserve">This chapter seeks to explain </w:t>
      </w:r>
      <w:r>
        <w:rPr>
          <w:rFonts w:ascii="Helvetica Neue" w:hAnsi="Helvetica Neue"/>
          <w:color w:val="16191F"/>
          <w:sz w:val="24"/>
          <w:szCs w:val="24"/>
          <w:u w:color="16191F"/>
          <w:shd w:val="clear" w:color="auto" w:fill="FFFFFF"/>
        </w:rPr>
        <w:t xml:space="preserve">how the events of the Thirty Years War from 1618 to 1648 began to spur political development within the lands governed by the Austrian Habsburg monarchy. The outbreak of this war constituted a fundamental challenge to </w:t>
      </w:r>
      <w:r w:rsidRPr="008A2841">
        <w:rPr>
          <w:rFonts w:ascii="Helvetica Neue" w:hAnsi="Helvetica Neue"/>
          <w:color w:val="16191F"/>
          <w:sz w:val="24"/>
          <w:szCs w:val="24"/>
          <w:u w:color="16191F"/>
          <w:shd w:val="clear" w:color="auto" w:fill="FFFFFF"/>
        </w:rPr>
        <w:t>the Habsburgs</w:t>
      </w:r>
      <w:r>
        <w:rPr>
          <w:rFonts w:ascii="Helvetica Neue" w:hAnsi="Helvetica Neue"/>
          <w:color w:val="16191F"/>
          <w:sz w:val="24"/>
          <w:szCs w:val="24"/>
          <w:u w:color="16191F"/>
          <w:shd w:val="clear" w:color="auto" w:fill="FFFFFF"/>
        </w:rPr>
        <w:t xml:space="preserve"> ability to rule, as their rule had previously been dependent on the general support of a class of landholding elites with divergent interests from their own. The breakdown of previous conceptions of the relationship between governed and governor incentivized the development of new means with which </w:t>
      </w:r>
      <w:r w:rsidRPr="008A2841">
        <w:rPr>
          <w:rFonts w:ascii="Helvetica Neue" w:hAnsi="Helvetica Neue"/>
          <w:color w:val="16191F"/>
          <w:sz w:val="24"/>
          <w:szCs w:val="24"/>
          <w:u w:color="16191F"/>
          <w:shd w:val="clear" w:color="auto" w:fill="FFFFFF"/>
        </w:rPr>
        <w:t>monarchs</w:t>
      </w:r>
      <w:r>
        <w:rPr>
          <w:rFonts w:ascii="Helvetica Neue" w:hAnsi="Helvetica Neue"/>
          <w:color w:val="16191F"/>
          <w:sz w:val="24"/>
          <w:szCs w:val="24"/>
          <w:u w:color="16191F"/>
          <w:shd w:val="clear" w:color="auto" w:fill="FFFFFF"/>
        </w:rPr>
        <w:t xml:space="preserve"> might exercise a monopoly on the legitimate use of violence and coercion within the territories they claimed to rule.</w:t>
      </w: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sz w:val="24"/>
          <w:szCs w:val="24"/>
        </w:rPr>
      </w:pPr>
      <w:r>
        <w:rPr>
          <w:rFonts w:ascii="Helvetica Neue" w:eastAsia="Helvetica Neue" w:hAnsi="Helvetica Neue" w:cs="Helvetica Neue"/>
          <w:color w:val="191919"/>
          <w:sz w:val="24"/>
          <w:szCs w:val="24"/>
          <w:u w:color="191919"/>
        </w:rPr>
        <w:tab/>
        <w:t xml:space="preserve">Prior to the Protestant Reformation in 1517, Europe had generally conceived of relations between rulers as being subordinated to the overarching authority of the Pope and the Catholic Church under the name of Christendom: </w:t>
      </w:r>
      <w:r>
        <w:rPr>
          <w:rFonts w:ascii="Helvetica Neue" w:hAnsi="Helvetica Neue"/>
          <w:sz w:val="24"/>
          <w:szCs w:val="24"/>
        </w:rPr>
        <w:t xml:space="preserve">the idea of Europe as a spiritually united political, economic, and social whole, with its underlying consequences for the relations between rulers. Christendom formed a “normative community” </w:t>
      </w:r>
      <w:r>
        <w:rPr>
          <w:rFonts w:ascii="Helvetica Neue" w:hAnsi="Helvetica Neue"/>
          <w:sz w:val="24"/>
          <w:szCs w:val="24"/>
        </w:rPr>
        <w:lastRenderedPageBreak/>
        <w:t>that spoke a common language (Latin), that confessed a common faith, and that recognized a single individual, the Bishop of Rome, as its supreme spiritual authority. Within Christendom, power relations were strictly hierarchical, with the Pope’s authority superior to all other forms of power.</w:t>
      </w:r>
      <w:r>
        <w:rPr>
          <w:rFonts w:ascii="Helvetica Neue" w:eastAsia="Helvetica Neue" w:hAnsi="Helvetica Neue" w:cs="Helvetica Neue"/>
          <w:sz w:val="24"/>
          <w:szCs w:val="24"/>
          <w:vertAlign w:val="superscript"/>
        </w:rPr>
        <w:footnoteReference w:id="9"/>
      </w:r>
      <w:r>
        <w:rPr>
          <w:rFonts w:ascii="Helvetica Neue" w:hAnsi="Helvetica Neue"/>
          <w:sz w:val="24"/>
          <w:szCs w:val="24"/>
        </w:rPr>
        <w:t xml:space="preserve"> Within individual kingdoms, this hierarchy extended to relationships between local kings and their subordinate nobles, and regulated the basis of their relationship. On the one hand, the subordinate lords owed kings fealty, paid the king taxes, and were in most cases required to perform a certain amount of military service per year. On the other, their kings had limited scope of action, for example their powers to unilaterally raise taxes and spend were </w:t>
      </w:r>
      <w:r w:rsidRPr="008A2841">
        <w:rPr>
          <w:rFonts w:ascii="Helvetica Neue" w:hAnsi="Helvetica Neue"/>
          <w:sz w:val="24"/>
          <w:szCs w:val="24"/>
        </w:rPr>
        <w:t>checked by noble estates which had to approve increased taxation</w:t>
      </w:r>
      <w:r>
        <w:rPr>
          <w:rFonts w:ascii="Helvetica Neue" w:hAnsi="Helvetica Neue"/>
          <w:sz w:val="24"/>
          <w:szCs w:val="24"/>
        </w:rPr>
        <w:t>. Individual polities were generally weak, but the fact that no single authority could monopolize control was likely encouraged the acceptance of a broader conception of Christendom as a unifying principal.</w:t>
      </w:r>
      <w:r>
        <w:rPr>
          <w:rFonts w:ascii="Helvetica Neue" w:eastAsia="Helvetica Neue" w:hAnsi="Helvetica Neue" w:cs="Helvetica Neue"/>
          <w:sz w:val="24"/>
          <w:szCs w:val="24"/>
          <w:vertAlign w:val="superscript"/>
        </w:rPr>
        <w:footnoteReference w:id="10"/>
      </w:r>
      <w:r>
        <w:rPr>
          <w:rFonts w:ascii="Helvetica Neue" w:hAnsi="Helvetica Neue"/>
          <w:sz w:val="24"/>
          <w:szCs w:val="24"/>
        </w:rPr>
        <w:t xml:space="preserve"> </w:t>
      </w: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color w:val="16191F"/>
          <w:sz w:val="24"/>
          <w:szCs w:val="24"/>
          <w:u w:color="16191F"/>
          <w:shd w:val="clear" w:color="auto" w:fill="FFFFFF"/>
        </w:rPr>
      </w:pPr>
      <w:r>
        <w:rPr>
          <w:rFonts w:ascii="Helvetica Neue" w:eastAsia="Helvetica Neue" w:hAnsi="Helvetica Neue" w:cs="Helvetica Neue"/>
          <w:sz w:val="24"/>
          <w:szCs w:val="24"/>
        </w:rPr>
        <w:tab/>
      </w:r>
      <w:r>
        <w:rPr>
          <w:rFonts w:ascii="Helvetica Neue" w:hAnsi="Helvetica Neue"/>
          <w:color w:val="16191F"/>
          <w:sz w:val="24"/>
          <w:szCs w:val="24"/>
          <w:u w:color="16191F"/>
          <w:shd w:val="clear" w:color="auto" w:fill="FFFFFF"/>
        </w:rPr>
        <w:t xml:space="preserve">The coming of the Protestant Reformation in 1517 divided Europe into competing Catholic and Protestant halves and in so doing destroyed any chance of reunifying Europe or recreating the idea of </w:t>
      </w:r>
      <w:r>
        <w:rPr>
          <w:rFonts w:ascii="Helvetica Neue" w:hAnsi="Helvetica Neue"/>
          <w:color w:val="16191F"/>
          <w:sz w:val="24"/>
          <w:szCs w:val="24"/>
          <w:u w:color="16191F"/>
          <w:shd w:val="clear" w:color="auto" w:fill="FFFFFF"/>
        </w:rPr>
        <w:lastRenderedPageBreak/>
        <w:t>Europe as a unified Christian space. This had profound consequences for the norms and practices that regulated relations between rulers, as it was at its heart a spiritual conception of power in which the “supra-territorial, cross-ethnic organizations of the Catholic Church” bound the system together.</w:t>
      </w:r>
      <w:r>
        <w:rPr>
          <w:rFonts w:ascii="Helvetica Neue" w:eastAsia="Helvetica Neue" w:hAnsi="Helvetica Neue" w:cs="Helvetica Neue"/>
          <w:color w:val="16191F"/>
          <w:sz w:val="24"/>
          <w:szCs w:val="24"/>
          <w:u w:color="16191F"/>
          <w:shd w:val="clear" w:color="auto" w:fill="FFFFFF"/>
          <w:vertAlign w:val="superscript"/>
        </w:rPr>
        <w:footnoteReference w:id="11"/>
      </w:r>
      <w:r>
        <w:rPr>
          <w:rFonts w:ascii="Helvetica Neue" w:hAnsi="Helvetica Neue"/>
          <w:color w:val="16191F"/>
          <w:sz w:val="24"/>
          <w:szCs w:val="24"/>
          <w:u w:color="16191F"/>
          <w:shd w:val="clear" w:color="auto" w:fill="FFFFFF"/>
        </w:rPr>
        <w:t xml:space="preserve"> </w:t>
      </w: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color w:val="16191F"/>
          <w:sz w:val="24"/>
          <w:szCs w:val="24"/>
          <w:u w:color="16191F"/>
          <w:shd w:val="clear" w:color="auto" w:fill="FFFFFF"/>
        </w:rPr>
      </w:pPr>
      <w:r>
        <w:rPr>
          <w:rFonts w:ascii="Helvetica Neue" w:eastAsia="Helvetica Neue" w:hAnsi="Helvetica Neue" w:cs="Helvetica Neue"/>
          <w:color w:val="16191F"/>
          <w:sz w:val="24"/>
          <w:szCs w:val="24"/>
          <w:u w:color="16191F"/>
          <w:shd w:val="clear" w:color="auto" w:fill="FFFFFF"/>
        </w:rPr>
        <w:tab/>
        <w:t>The conflicts that resulted from the collapse of Christendom and which culminated in the Thirty Years War (1618-1648) all challenged rulers to defend their claims to lordship in ways that went beyond traditional claims of religious legitimacy. Instead, the war challenged them to build professional armies, create stable and reliable mechanisms for funding those armies, and break the power of entrenched noble elites. In sum, it encouraged them to build effective states.</w:t>
      </w:r>
      <w:r>
        <w:rPr>
          <w:rFonts w:ascii="Helvetica Neue" w:eastAsia="Helvetica Neue" w:hAnsi="Helvetica Neue" w:cs="Helvetica Neue"/>
          <w:color w:val="16191F"/>
          <w:sz w:val="24"/>
          <w:szCs w:val="24"/>
          <w:u w:color="16191F"/>
          <w:shd w:val="clear" w:color="auto" w:fill="FFFFFF"/>
          <w:vertAlign w:val="superscript"/>
        </w:rPr>
        <w:footnoteReference w:id="12"/>
      </w:r>
      <w:r>
        <w:rPr>
          <w:rFonts w:ascii="Helvetica Neue" w:hAnsi="Helvetica Neue"/>
          <w:color w:val="16191F"/>
          <w:sz w:val="24"/>
          <w:szCs w:val="24"/>
          <w:u w:color="16191F"/>
          <w:shd w:val="clear" w:color="auto" w:fill="FFFFFF"/>
        </w:rPr>
        <w:t xml:space="preserve"> </w:t>
      </w: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color w:val="16191F"/>
          <w:sz w:val="24"/>
          <w:szCs w:val="24"/>
          <w:u w:color="16191F"/>
          <w:shd w:val="clear" w:color="auto" w:fill="FFFFFF"/>
        </w:rPr>
      </w:pPr>
      <w:r>
        <w:rPr>
          <w:rFonts w:ascii="Helvetica Neue" w:eastAsia="Helvetica Neue" w:hAnsi="Helvetica Neue" w:cs="Helvetica Neue"/>
          <w:color w:val="16191F"/>
          <w:sz w:val="24"/>
          <w:szCs w:val="24"/>
          <w:u w:color="16191F"/>
          <w:shd w:val="clear" w:color="auto" w:fill="FFFFFF"/>
        </w:rPr>
        <w:tab/>
        <w:t>States are political units with relatively fixed borders, governed through durable and impersonal institutions that exercise their authority in a regular and generally standardized fashion.</w:t>
      </w:r>
      <w:r>
        <w:rPr>
          <w:rFonts w:ascii="Helvetica Neue" w:eastAsia="Helvetica Neue" w:hAnsi="Helvetica Neue" w:cs="Helvetica Neue"/>
          <w:color w:val="16191F"/>
          <w:sz w:val="24"/>
          <w:szCs w:val="24"/>
          <w:u w:color="16191F"/>
          <w:shd w:val="clear" w:color="auto" w:fill="FFFFFF"/>
          <w:vertAlign w:val="superscript"/>
        </w:rPr>
        <w:footnoteReference w:id="13"/>
      </w:r>
      <w:r>
        <w:rPr>
          <w:rFonts w:ascii="Helvetica Neue" w:hAnsi="Helvetica Neue"/>
          <w:color w:val="16191F"/>
          <w:sz w:val="24"/>
          <w:szCs w:val="24"/>
          <w:u w:color="16191F"/>
          <w:shd w:val="clear" w:color="auto" w:fill="FFFFFF"/>
        </w:rPr>
        <w:t xml:space="preserve"> States draw borders to </w:t>
      </w:r>
      <w:r>
        <w:rPr>
          <w:rFonts w:ascii="Helvetica Neue" w:hAnsi="Helvetica Neue"/>
          <w:color w:val="16191F"/>
          <w:sz w:val="24"/>
          <w:szCs w:val="24"/>
          <w:u w:color="16191F"/>
          <w:shd w:val="clear" w:color="auto" w:fill="FFFFFF"/>
        </w:rPr>
        <w:lastRenderedPageBreak/>
        <w:t>delineate the territory they control and generally assert the exclusive right to use coercive force within these borders. They create standardized, professional armies with which they might assert this right and maintain their control over their borders. The process of state-making is the development of the state’s ability to assert its the monopoly of violence, the creation of a standing army, and the means with which they might pay for it all: a system of efficient tax collection. Perhaps most importantly in contrast to Christendom, a state’s claim to temporal authority stood above and outside the Catholic Church’s claim to hold spiritual and temporal authority.</w:t>
      </w:r>
      <w:r>
        <w:rPr>
          <w:rFonts w:ascii="Helvetica Neue" w:eastAsia="Helvetica Neue" w:hAnsi="Helvetica Neue" w:cs="Helvetica Neue"/>
          <w:color w:val="16191F"/>
          <w:sz w:val="24"/>
          <w:szCs w:val="24"/>
          <w:u w:color="16191F"/>
          <w:shd w:val="clear" w:color="auto" w:fill="FFFFFF"/>
          <w:vertAlign w:val="superscript"/>
        </w:rPr>
        <w:footnoteReference w:id="14"/>
      </w:r>
      <w:r>
        <w:rPr>
          <w:rFonts w:ascii="Helvetica Neue" w:eastAsia="Helvetica Neue" w:hAnsi="Helvetica Neue" w:cs="Helvetica Neue"/>
          <w:color w:val="16191F"/>
          <w:sz w:val="24"/>
          <w:szCs w:val="24"/>
          <w:u w:color="16191F"/>
          <w:shd w:val="clear" w:color="auto" w:fill="FFFFFF"/>
        </w:rPr>
        <w:tab/>
      </w:r>
      <w:r>
        <w:rPr>
          <w:rFonts w:ascii="Helvetica Neue" w:eastAsia="Helvetica Neue" w:hAnsi="Helvetica Neue" w:cs="Helvetica Neue"/>
          <w:color w:val="16191F"/>
          <w:sz w:val="24"/>
          <w:szCs w:val="24"/>
          <w:u w:color="16191F"/>
          <w:shd w:val="clear" w:color="auto" w:fill="FFFFFF"/>
        </w:rPr>
        <w:tab/>
      </w:r>
      <w:r>
        <w:rPr>
          <w:rFonts w:ascii="Helvetica Neue" w:eastAsia="Helvetica Neue" w:hAnsi="Helvetica Neue" w:cs="Helvetica Neue"/>
          <w:color w:val="16191F"/>
          <w:sz w:val="24"/>
          <w:szCs w:val="24"/>
          <w:u w:color="16191F"/>
          <w:shd w:val="clear" w:color="auto" w:fill="FFFFFF"/>
        </w:rPr>
        <w:tab/>
      </w:r>
      <w:r>
        <w:rPr>
          <w:rFonts w:ascii="Helvetica Neue" w:eastAsia="Helvetica Neue" w:hAnsi="Helvetica Neue" w:cs="Helvetica Neue"/>
          <w:color w:val="16191F"/>
          <w:sz w:val="24"/>
          <w:szCs w:val="24"/>
          <w:u w:color="16191F"/>
          <w:shd w:val="clear" w:color="auto" w:fill="FFFFFF"/>
        </w:rPr>
        <w:tab/>
      </w:r>
      <w:r>
        <w:rPr>
          <w:rFonts w:ascii="Helvetica Neue" w:eastAsia="Helvetica Neue" w:hAnsi="Helvetica Neue" w:cs="Helvetica Neue"/>
          <w:color w:val="16191F"/>
          <w:sz w:val="24"/>
          <w:szCs w:val="24"/>
          <w:u w:color="16191F"/>
          <w:shd w:val="clear" w:color="auto" w:fill="FFFFFF"/>
        </w:rPr>
        <w:tab/>
      </w: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color w:val="16191F"/>
          <w:sz w:val="24"/>
          <w:szCs w:val="24"/>
          <w:u w:color="16191F"/>
          <w:shd w:val="clear" w:color="auto" w:fill="FFFFFF"/>
        </w:rPr>
      </w:pPr>
      <w:r>
        <w:rPr>
          <w:rFonts w:ascii="Helvetica Neue" w:eastAsia="Helvetica Neue" w:hAnsi="Helvetica Neue" w:cs="Helvetica Neue"/>
          <w:color w:val="16191F"/>
          <w:sz w:val="24"/>
          <w:szCs w:val="24"/>
          <w:u w:color="16191F"/>
          <w:shd w:val="clear" w:color="auto" w:fill="FFFFFF"/>
        </w:rPr>
        <w:tab/>
        <w:t xml:space="preserve">In the case of Habsburg Austria, the process of state-making was haphazard and often seemed to depend on sheer luck alone. What is important for purpose of this chapter is </w:t>
      </w:r>
      <w:r w:rsidRPr="008A2841">
        <w:rPr>
          <w:rFonts w:ascii="Helvetica Neue" w:hAnsi="Helvetica Neue"/>
          <w:color w:val="16191F"/>
          <w:sz w:val="24"/>
          <w:szCs w:val="24"/>
          <w:u w:color="16191F"/>
          <w:shd w:val="clear" w:color="auto" w:fill="FFFFFF"/>
        </w:rPr>
        <w:t>t</w:t>
      </w:r>
      <w:r>
        <w:rPr>
          <w:rFonts w:ascii="Helvetica Neue" w:hAnsi="Helvetica Neue"/>
          <w:color w:val="16191F"/>
          <w:sz w:val="24"/>
          <w:szCs w:val="24"/>
          <w:u w:color="16191F"/>
          <w:shd w:val="clear" w:color="auto" w:fill="FFFFFF"/>
        </w:rPr>
        <w:t>o understand where they succeeded in building a state and how the Thirty Years War challenged them to do so.</w:t>
      </w: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color w:val="16191F"/>
          <w:sz w:val="24"/>
          <w:szCs w:val="24"/>
          <w:u w:color="16191F"/>
          <w:shd w:val="clear" w:color="auto" w:fill="FFFFFF"/>
        </w:rPr>
      </w:pPr>
      <w:r>
        <w:rPr>
          <w:rFonts w:ascii="Helvetica Neue" w:eastAsia="Helvetica Neue" w:hAnsi="Helvetica Neue" w:cs="Helvetica Neue"/>
          <w:color w:val="16191F"/>
          <w:sz w:val="24"/>
          <w:szCs w:val="24"/>
          <w:u w:color="16191F"/>
          <w:shd w:val="clear" w:color="auto" w:fill="FFFFFF"/>
        </w:rPr>
        <w:tab/>
        <w:t xml:space="preserve">The beginning of the Thirty Years War was a revolt by Protestant </w:t>
      </w:r>
      <w:r>
        <w:rPr>
          <w:rFonts w:ascii="Helvetica Neue" w:eastAsia="Helvetica Neue" w:hAnsi="Helvetica Neue" w:cs="Helvetica Neue"/>
          <w:color w:val="16191F"/>
          <w:sz w:val="24"/>
          <w:szCs w:val="24"/>
          <w:u w:color="16191F"/>
          <w:shd w:val="clear" w:color="auto" w:fill="FFFFFF"/>
        </w:rPr>
        <w:lastRenderedPageBreak/>
        <w:t>nobles who sought to defend their medieval rights and privileges against possible centralization by the Catholic Habsburgs. In offering the crown to a Protestant German speaking monarch, Christian V, they also asserted their right to act as veto players over any and all actions by the king, in effect rendering their new ruler unable to administer his new kingdom. Their actions left this newly independent kingdom unable to survive for long: there was no means for organizing an effective army nor any way to effectively raise revenue to pay for it. For these reasons, it should come as no surprise that Bohemia and Moravia were reconquered within a year of Christians coronation. The revolt and subsequent war were a challenge which could be overcome through state-making. In Habsburg Austria, the challenge posed to the right of Habsburg monarchs to rule was overcome through the creation of a professional standing army and a regular system of taxation that provided revenue to fund that army.</w:t>
      </w:r>
      <w:r>
        <w:rPr>
          <w:rFonts w:ascii="Helvetica Neue" w:eastAsia="Helvetica Neue" w:hAnsi="Helvetica Neue" w:cs="Helvetica Neue"/>
          <w:color w:val="16191F"/>
          <w:sz w:val="24"/>
          <w:szCs w:val="24"/>
          <w:u w:color="16191F"/>
          <w:shd w:val="clear" w:color="auto" w:fill="FFFFFF"/>
          <w:vertAlign w:val="superscript"/>
        </w:rPr>
        <w:footnoteReference w:id="15"/>
      </w:r>
      <w:r>
        <w:rPr>
          <w:rFonts w:ascii="Helvetica Neue" w:hAnsi="Helvetica Neue"/>
          <w:color w:val="16191F"/>
          <w:sz w:val="24"/>
          <w:szCs w:val="24"/>
          <w:u w:color="16191F"/>
          <w:shd w:val="clear" w:color="auto" w:fill="FFFFFF"/>
        </w:rPr>
        <w:t xml:space="preserve"> </w:t>
      </w: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color w:val="16191F"/>
          <w:sz w:val="24"/>
          <w:szCs w:val="24"/>
          <w:u w:color="16191F"/>
          <w:shd w:val="clear" w:color="auto" w:fill="FFFFFF"/>
        </w:rPr>
      </w:pPr>
      <w:r>
        <w:rPr>
          <w:rFonts w:ascii="Helvetica Neue" w:eastAsia="Helvetica Neue" w:hAnsi="Helvetica Neue" w:cs="Helvetica Neue"/>
          <w:color w:val="16191F"/>
          <w:sz w:val="24"/>
          <w:szCs w:val="24"/>
          <w:u w:color="16191F"/>
          <w:shd w:val="clear" w:color="auto" w:fill="FFFFFF"/>
        </w:rPr>
        <w:tab/>
        <w:t xml:space="preserve">This chapter begins with a discussion of the nature of Christendom and the development of sovereignty as an idea for organizing political life within Europe. It then </w:t>
      </w:r>
      <w:r w:rsidRPr="008A2841">
        <w:rPr>
          <w:rFonts w:ascii="Helvetica Neue" w:hAnsi="Helvetica Neue"/>
          <w:color w:val="16191F"/>
          <w:sz w:val="24"/>
          <w:szCs w:val="24"/>
          <w:u w:color="16191F"/>
          <w:shd w:val="clear" w:color="auto" w:fill="FFFFFF"/>
        </w:rPr>
        <w:t>considers</w:t>
      </w:r>
      <w:r>
        <w:rPr>
          <w:rFonts w:ascii="Helvetica Neue" w:hAnsi="Helvetica Neue"/>
          <w:color w:val="16191F"/>
          <w:sz w:val="24"/>
          <w:szCs w:val="24"/>
          <w:u w:color="16191F"/>
          <w:shd w:val="clear" w:color="auto" w:fill="FFFFFF"/>
        </w:rPr>
        <w:t xml:space="preserve"> the origins of the </w:t>
      </w:r>
      <w:r>
        <w:rPr>
          <w:rFonts w:ascii="Helvetica Neue" w:hAnsi="Helvetica Neue"/>
          <w:color w:val="16191F"/>
          <w:sz w:val="24"/>
          <w:szCs w:val="24"/>
          <w:u w:color="16191F"/>
          <w:shd w:val="clear" w:color="auto" w:fill="FFFFFF"/>
        </w:rPr>
        <w:lastRenderedPageBreak/>
        <w:t xml:space="preserve">Thirty Years War as a struggle for competing conceptions of political organization within Austria. Finally, it demonstrates how the Thirty Years War challenged </w:t>
      </w:r>
      <w:r w:rsidRPr="008A2841">
        <w:rPr>
          <w:rFonts w:ascii="Helvetica Neue" w:hAnsi="Helvetica Neue"/>
          <w:color w:val="16191F"/>
          <w:sz w:val="24"/>
          <w:szCs w:val="24"/>
          <w:u w:color="16191F"/>
          <w:shd w:val="clear" w:color="auto" w:fill="FFFFFF"/>
        </w:rPr>
        <w:t>the Habsburgs</w:t>
      </w:r>
      <w:r>
        <w:rPr>
          <w:rFonts w:ascii="Helvetica Neue" w:hAnsi="Helvetica Neue"/>
          <w:color w:val="16191F"/>
          <w:sz w:val="24"/>
          <w:szCs w:val="24"/>
          <w:u w:color="16191F"/>
          <w:shd w:val="clear" w:color="auto" w:fill="FFFFFF"/>
        </w:rPr>
        <w:t xml:space="preserve"> authority and encouraged the Habsburgs to engage in state-making in order to overcome the grave challenges the war posed to their authority. </w:t>
      </w: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color w:val="16191F"/>
          <w:u w:color="16191F"/>
          <w:shd w:val="clear" w:color="auto" w:fill="FFFFFF"/>
        </w:rPr>
      </w:pP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b/>
          <w:bCs/>
          <w:sz w:val="24"/>
          <w:szCs w:val="24"/>
        </w:rPr>
      </w:pPr>
      <w:r>
        <w:rPr>
          <w:rFonts w:ascii="Helvetica Neue" w:hAnsi="Helvetica Neue"/>
          <w:b/>
          <w:bCs/>
          <w:sz w:val="24"/>
          <w:szCs w:val="24"/>
        </w:rPr>
        <w:t>Christendom, Modernization, and State-Making</w:t>
      </w: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color w:val="16191F"/>
          <w:sz w:val="24"/>
          <w:szCs w:val="24"/>
          <w:u w:color="16191F"/>
          <w:shd w:val="clear" w:color="auto" w:fill="FFFFFF"/>
        </w:rPr>
      </w:pPr>
      <w:r w:rsidRPr="008A2841">
        <w:rPr>
          <w:rFonts w:ascii="Helvetica Neue" w:hAnsi="Helvetica Neue"/>
          <w:color w:val="16191F"/>
          <w:sz w:val="24"/>
          <w:szCs w:val="24"/>
          <w:u w:color="16191F"/>
          <w:shd w:val="clear" w:color="auto" w:fill="FFFFFF"/>
        </w:rPr>
        <w:t>To</w:t>
      </w:r>
      <w:r>
        <w:rPr>
          <w:rFonts w:ascii="Helvetica Neue" w:hAnsi="Helvetica Neue"/>
          <w:color w:val="16191F"/>
          <w:sz w:val="24"/>
          <w:szCs w:val="24"/>
          <w:u w:color="16191F"/>
          <w:shd w:val="clear" w:color="auto" w:fill="FFFFFF"/>
        </w:rPr>
        <w:t xml:space="preserve"> understand how state-making played out within Austria, our starting point must be some conception of the organization of political life at the beginning of the “modern” period: the idea of Christendom. But what was Christendom? Generally, it stood for the united community of (Western) Christians, held together by their common faith in the tenets of Christianity, as interpreted by the Catholic Church.</w:t>
      </w:r>
      <w:r>
        <w:rPr>
          <w:rFonts w:ascii="Helvetica Neue" w:eastAsia="Helvetica Neue" w:hAnsi="Helvetica Neue" w:cs="Helvetica Neue"/>
          <w:color w:val="16191F"/>
          <w:sz w:val="24"/>
          <w:szCs w:val="24"/>
          <w:u w:color="16191F"/>
          <w:shd w:val="clear" w:color="auto" w:fill="FFFFFF"/>
          <w:vertAlign w:val="superscript"/>
        </w:rPr>
        <w:footnoteReference w:id="16"/>
      </w:r>
      <w:r>
        <w:rPr>
          <w:rFonts w:ascii="Helvetica Neue" w:hAnsi="Helvetica Neue"/>
          <w:color w:val="16191F"/>
          <w:sz w:val="24"/>
          <w:szCs w:val="24"/>
          <w:u w:color="16191F"/>
          <w:shd w:val="clear" w:color="auto" w:fill="FFFFFF"/>
        </w:rPr>
        <w:t xml:space="preserve"> Christendom united the Scandinavia with Spain and Scotland with Sicily. In sum, it was the universal commonwealth of believers, under the authority of the Pope as the leader of the Church.</w:t>
      </w:r>
      <w:r>
        <w:rPr>
          <w:rFonts w:ascii="Helvetica Neue" w:eastAsia="Helvetica Neue" w:hAnsi="Helvetica Neue" w:cs="Helvetica Neue"/>
          <w:color w:val="16191F"/>
          <w:sz w:val="24"/>
          <w:szCs w:val="24"/>
          <w:u w:color="16191F"/>
          <w:shd w:val="clear" w:color="auto" w:fill="FFFFFF"/>
          <w:vertAlign w:val="superscript"/>
        </w:rPr>
        <w:footnoteReference w:id="17"/>
      </w:r>
      <w:r>
        <w:rPr>
          <w:rFonts w:ascii="Helvetica Neue" w:hAnsi="Helvetica Neue"/>
          <w:color w:val="16191F"/>
          <w:sz w:val="24"/>
          <w:szCs w:val="24"/>
          <w:u w:color="16191F"/>
          <w:shd w:val="clear" w:color="auto" w:fill="FFFFFF"/>
        </w:rPr>
        <w:t xml:space="preserve"> </w:t>
      </w: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color w:val="16191F"/>
          <w:sz w:val="24"/>
          <w:szCs w:val="24"/>
          <w:u w:color="16191F"/>
          <w:shd w:val="clear" w:color="auto" w:fill="FFFFFF"/>
        </w:rPr>
      </w:pPr>
      <w:r>
        <w:rPr>
          <w:rFonts w:ascii="Helvetica Neue" w:eastAsia="Helvetica Neue" w:hAnsi="Helvetica Neue" w:cs="Helvetica Neue"/>
          <w:color w:val="16191F"/>
          <w:sz w:val="24"/>
          <w:szCs w:val="24"/>
          <w:u w:color="16191F"/>
          <w:shd w:val="clear" w:color="auto" w:fill="FFFFFF"/>
        </w:rPr>
        <w:lastRenderedPageBreak/>
        <w:tab/>
        <w:t>The proselytization and integration of non-Christian tribes across Europe in the centuries following the collapse of the Western Roman Empire are primarily responsible for the development of Christendom as a particular political and ideological community. Proselytization led to the creation of a rural noble elite who could maintain a semblance of order within the newly converted spaces, and created a layer of new rulers who were subject to the authority of both their immediate superior, for example the Holy Roman Emperor, but also the Pope as the pinnacle of power within Christendom. This political structure put the Church at the center of social life and made Christianity the primary source of social identity.</w:t>
      </w:r>
      <w:r>
        <w:rPr>
          <w:rFonts w:ascii="Helvetica Neue" w:eastAsia="Helvetica Neue" w:hAnsi="Helvetica Neue" w:cs="Helvetica Neue"/>
          <w:color w:val="16191F"/>
          <w:sz w:val="24"/>
          <w:szCs w:val="24"/>
          <w:u w:color="16191F"/>
          <w:shd w:val="clear" w:color="auto" w:fill="FFFFFF"/>
          <w:vertAlign w:val="superscript"/>
        </w:rPr>
        <w:footnoteReference w:id="18"/>
      </w:r>
      <w:r>
        <w:rPr>
          <w:rFonts w:ascii="Helvetica Neue" w:hAnsi="Helvetica Neue"/>
          <w:color w:val="16191F"/>
          <w:sz w:val="24"/>
          <w:szCs w:val="24"/>
          <w:u w:color="16191F"/>
          <w:shd w:val="clear" w:color="auto" w:fill="FFFFFF"/>
        </w:rPr>
        <w:t xml:space="preserve"> In addition to its social role, the Church built itself into a political and economic juggernaut through a network of parishes, monasteries and their dependent lay personnel, and vast land holdings with their accompanying rents. One can view the significance of these holdings as attempts to maximize control and dominate the peasantry, or as an attempt to create order where none previously </w:t>
      </w:r>
      <w:r>
        <w:rPr>
          <w:rFonts w:ascii="Helvetica Neue" w:hAnsi="Helvetica Neue"/>
          <w:color w:val="16191F"/>
          <w:sz w:val="24"/>
          <w:szCs w:val="24"/>
          <w:u w:color="16191F"/>
          <w:shd w:val="clear" w:color="auto" w:fill="FFFFFF"/>
        </w:rPr>
        <w:lastRenderedPageBreak/>
        <w:t>existed.</w:t>
      </w:r>
      <w:r>
        <w:rPr>
          <w:rFonts w:ascii="Helvetica Neue" w:eastAsia="Helvetica Neue" w:hAnsi="Helvetica Neue" w:cs="Helvetica Neue"/>
          <w:color w:val="16191F"/>
          <w:sz w:val="24"/>
          <w:szCs w:val="24"/>
          <w:u w:color="16191F"/>
          <w:shd w:val="clear" w:color="auto" w:fill="FFFFFF"/>
          <w:vertAlign w:val="superscript"/>
        </w:rPr>
        <w:footnoteReference w:id="19"/>
      </w:r>
      <w:r>
        <w:rPr>
          <w:rFonts w:ascii="Helvetica Neue" w:hAnsi="Helvetica Neue"/>
          <w:color w:val="16191F"/>
          <w:sz w:val="24"/>
          <w:szCs w:val="24"/>
          <w:u w:color="16191F"/>
          <w:shd w:val="clear" w:color="auto" w:fill="FFFFFF"/>
        </w:rPr>
        <w:t xml:space="preserve"> In either case, that the Church exercised control to this degree and that its property and other temporal rights were respected, reinforced the existence of Christendom and the Church’s dominance thereof as a political, social, and economic fact. Nevertheless, no single authority, neither the Church </w:t>
      </w:r>
      <w:r w:rsidRPr="008A2841">
        <w:rPr>
          <w:rFonts w:ascii="Helvetica Neue" w:hAnsi="Helvetica Neue"/>
          <w:color w:val="16191F"/>
          <w:sz w:val="24"/>
          <w:szCs w:val="24"/>
          <w:u w:color="16191F"/>
          <w:shd w:val="clear" w:color="auto" w:fill="FFFFFF"/>
        </w:rPr>
        <w:t>n</w:t>
      </w:r>
      <w:r>
        <w:rPr>
          <w:rFonts w:ascii="Helvetica Neue" w:hAnsi="Helvetica Neue"/>
          <w:color w:val="16191F"/>
          <w:sz w:val="24"/>
          <w:szCs w:val="24"/>
          <w:u w:color="16191F"/>
          <w:shd w:val="clear" w:color="auto" w:fill="FFFFFF"/>
        </w:rPr>
        <w:t xml:space="preserve">or local rulers, were able to monopolize authority over an extended period, instead Christendom was diffused multiple sources of authority. </w:t>
      </w: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color w:val="16191F"/>
          <w:sz w:val="24"/>
          <w:szCs w:val="24"/>
          <w:u w:color="16191F"/>
          <w:shd w:val="clear" w:color="auto" w:fill="FFFFFF"/>
        </w:rPr>
      </w:pPr>
      <w:r>
        <w:rPr>
          <w:rFonts w:ascii="Helvetica Neue" w:eastAsia="Helvetica Neue" w:hAnsi="Helvetica Neue" w:cs="Helvetica Neue"/>
          <w:color w:val="16191F"/>
          <w:sz w:val="24"/>
          <w:szCs w:val="24"/>
          <w:u w:color="16191F"/>
          <w:shd w:val="clear" w:color="auto" w:fill="FFFFFF"/>
        </w:rPr>
        <w:tab/>
        <w:t>The Protestant Reformation was a fundamental challenge to the existence of this system, as Protestantism objected to the union of spiritual authority with temporal power. One of Martin Luther</w:t>
      </w:r>
      <w:r>
        <w:rPr>
          <w:rFonts w:ascii="Helvetica Neue" w:hAnsi="Helvetica Neue"/>
          <w:color w:val="16191F"/>
          <w:sz w:val="24"/>
          <w:szCs w:val="24"/>
          <w:u w:color="16191F"/>
          <w:shd w:val="clear" w:color="auto" w:fill="FFFFFF"/>
        </w:rPr>
        <w:t>’s primary objectives was to develop a system where the two spheres were fundamentally separate so as to prevent secular interference in religious practices.</w:t>
      </w:r>
      <w:r>
        <w:rPr>
          <w:rFonts w:ascii="Helvetica Neue" w:eastAsia="Helvetica Neue" w:hAnsi="Helvetica Neue" w:cs="Helvetica Neue"/>
          <w:color w:val="16191F"/>
          <w:sz w:val="24"/>
          <w:szCs w:val="24"/>
          <w:u w:color="16191F"/>
          <w:shd w:val="clear" w:color="auto" w:fill="FFFFFF"/>
          <w:vertAlign w:val="superscript"/>
        </w:rPr>
        <w:footnoteReference w:id="20"/>
      </w:r>
      <w:r>
        <w:rPr>
          <w:rFonts w:ascii="Helvetica Neue" w:hAnsi="Helvetica Neue"/>
          <w:color w:val="16191F"/>
          <w:sz w:val="24"/>
          <w:szCs w:val="24"/>
          <w:u w:color="16191F"/>
          <w:shd w:val="clear" w:color="auto" w:fill="FFFFFF"/>
        </w:rPr>
        <w:t xml:space="preserve"> The role of a church was of a free congregation or </w:t>
      </w:r>
      <w:r>
        <w:rPr>
          <w:rFonts w:ascii="Helvetica Neue" w:hAnsi="Helvetica Neue"/>
          <w:color w:val="16191F"/>
          <w:sz w:val="24"/>
          <w:szCs w:val="24"/>
          <w:u w:color="16191F"/>
          <w:shd w:val="clear" w:color="auto" w:fill="FFFFFF"/>
        </w:rPr>
        <w:lastRenderedPageBreak/>
        <w:t xml:space="preserve">community (German: </w:t>
      </w:r>
      <w:r>
        <w:rPr>
          <w:rFonts w:ascii="Helvetica Neue" w:hAnsi="Helvetica Neue"/>
          <w:i/>
          <w:iCs/>
          <w:color w:val="16191F"/>
          <w:sz w:val="24"/>
          <w:szCs w:val="24"/>
          <w:u w:color="16191F"/>
          <w:shd w:val="clear" w:color="auto" w:fill="FFFFFF"/>
        </w:rPr>
        <w:t>Gemeinde</w:t>
      </w:r>
      <w:r>
        <w:rPr>
          <w:rFonts w:ascii="Helvetica Neue" w:hAnsi="Helvetica Neue"/>
          <w:color w:val="16191F"/>
          <w:sz w:val="24"/>
          <w:szCs w:val="24"/>
          <w:u w:color="16191F"/>
          <w:shd w:val="clear" w:color="auto" w:fill="FFFFFF"/>
        </w:rPr>
        <w:t>) in which the faithful were prepared for salvation and protected from the temptations of the secular material world. The role of a ruler was to ensure order, by which he meant that property rights would be respected and social honor would be upheld. Therefore, truly faithful Christians could only subject themselves to the authority of rulers who respected these boundaries, no matter how fuzzy the boundary between the two became.</w:t>
      </w:r>
      <w:r>
        <w:rPr>
          <w:rFonts w:ascii="Helvetica Neue" w:eastAsia="Helvetica Neue" w:hAnsi="Helvetica Neue" w:cs="Helvetica Neue"/>
          <w:color w:val="16191F"/>
          <w:sz w:val="24"/>
          <w:szCs w:val="24"/>
          <w:u w:color="16191F"/>
          <w:shd w:val="clear" w:color="auto" w:fill="FFFFFF"/>
          <w:vertAlign w:val="superscript"/>
        </w:rPr>
        <w:footnoteReference w:id="21"/>
      </w:r>
    </w:p>
    <w:p w:rsidR="001D0A78" w:rsidRDefault="001D0A78" w:rsidP="00B272CD">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color w:val="16191F"/>
          <w:sz w:val="24"/>
          <w:szCs w:val="24"/>
          <w:u w:color="16191F"/>
          <w:shd w:val="clear" w:color="auto" w:fill="FFFFFF"/>
        </w:rPr>
      </w:pPr>
      <w:r>
        <w:rPr>
          <w:rFonts w:ascii="Helvetica Neue" w:eastAsia="Helvetica Neue" w:hAnsi="Helvetica Neue" w:cs="Helvetica Neue"/>
          <w:color w:val="16191F"/>
          <w:sz w:val="24"/>
          <w:szCs w:val="24"/>
          <w:u w:color="16191F"/>
          <w:shd w:val="clear" w:color="auto" w:fill="FFFFFF"/>
        </w:rPr>
        <w:tab/>
        <w:t xml:space="preserve">If Christendom provided a basis for relations between rulers on religious terms, the schism of western Christianity demanded that relations between rulers be recast on non-religious terms. A first step in this direction was taken in the 1555 Peace of Augsburg, which </w:t>
      </w:r>
      <w:r w:rsidRPr="008A2841">
        <w:rPr>
          <w:rFonts w:ascii="Helvetica Neue" w:hAnsi="Helvetica Neue"/>
          <w:color w:val="16191F"/>
          <w:sz w:val="24"/>
          <w:szCs w:val="24"/>
          <w:u w:color="16191F"/>
          <w:shd w:val="clear" w:color="auto" w:fill="FFFFFF"/>
        </w:rPr>
        <w:t>established</w:t>
      </w:r>
      <w:r>
        <w:rPr>
          <w:rFonts w:ascii="Helvetica Neue" w:hAnsi="Helvetica Neue"/>
          <w:color w:val="16191F"/>
          <w:sz w:val="24"/>
          <w:szCs w:val="24"/>
          <w:u w:color="16191F"/>
          <w:shd w:val="clear" w:color="auto" w:fill="FFFFFF"/>
        </w:rPr>
        <w:t xml:space="preserve"> the principal </w:t>
      </w:r>
      <w:r>
        <w:rPr>
          <w:rFonts w:ascii="Helvetica Neue" w:hAnsi="Helvetica Neue"/>
          <w:i/>
          <w:iCs/>
          <w:color w:val="16191F"/>
          <w:sz w:val="24"/>
          <w:szCs w:val="24"/>
          <w:u w:color="16191F"/>
          <w:shd w:val="clear" w:color="auto" w:fill="FFFFFF"/>
          <w:lang w:val="pt-PT"/>
        </w:rPr>
        <w:t>Cuius regio, eius religio</w:t>
      </w:r>
      <w:r>
        <w:rPr>
          <w:rFonts w:ascii="Helvetica Neue" w:hAnsi="Helvetica Neue"/>
          <w:color w:val="16191F"/>
          <w:sz w:val="24"/>
          <w:szCs w:val="24"/>
          <w:u w:color="16191F"/>
          <w:shd w:val="clear" w:color="auto" w:fill="FFFFFF"/>
        </w:rPr>
        <w:t xml:space="preserve"> (whose land, his religion) of a ruler to determine whether their land would be Protestant or Catholic. In effect, this established a precedent of non-intervention </w:t>
      </w:r>
      <w:r w:rsidRPr="008A2841">
        <w:rPr>
          <w:rFonts w:ascii="Helvetica Neue" w:hAnsi="Helvetica Neue"/>
          <w:color w:val="16191F"/>
          <w:sz w:val="24"/>
          <w:szCs w:val="24"/>
          <w:u w:color="16191F"/>
          <w:shd w:val="clear" w:color="auto" w:fill="FFFFFF"/>
        </w:rPr>
        <w:t xml:space="preserve">by </w:t>
      </w:r>
      <w:r w:rsidRPr="008A2841">
        <w:rPr>
          <w:rFonts w:ascii="Helvetica Neue" w:hAnsi="Helvetica Neue"/>
          <w:color w:val="16191F"/>
          <w:sz w:val="24"/>
          <w:szCs w:val="24"/>
          <w:u w:color="16191F"/>
          <w:shd w:val="clear" w:color="auto" w:fill="FFFFFF"/>
        </w:rPr>
        <w:lastRenderedPageBreak/>
        <w:t xml:space="preserve">outside actors </w:t>
      </w:r>
      <w:r>
        <w:rPr>
          <w:rFonts w:ascii="Helvetica Neue" w:hAnsi="Helvetica Neue"/>
          <w:color w:val="16191F"/>
          <w:sz w:val="24"/>
          <w:szCs w:val="24"/>
          <w:u w:color="16191F"/>
          <w:shd w:val="clear" w:color="auto" w:fill="FFFFFF"/>
        </w:rPr>
        <w:t>on the basis of religion.</w:t>
      </w:r>
      <w:r>
        <w:rPr>
          <w:rFonts w:ascii="Helvetica Neue" w:eastAsia="Helvetica Neue" w:hAnsi="Helvetica Neue" w:cs="Helvetica Neue"/>
          <w:color w:val="16191F"/>
          <w:sz w:val="24"/>
          <w:szCs w:val="24"/>
          <w:u w:color="16191F"/>
          <w:shd w:val="clear" w:color="auto" w:fill="FFFFFF"/>
          <w:vertAlign w:val="superscript"/>
        </w:rPr>
        <w:footnoteReference w:id="22"/>
      </w:r>
      <w:r>
        <w:rPr>
          <w:rFonts w:ascii="Helvetica Neue" w:hAnsi="Helvetica Neue"/>
          <w:color w:val="16191F"/>
          <w:sz w:val="24"/>
          <w:szCs w:val="24"/>
          <w:u w:color="16191F"/>
          <w:shd w:val="clear" w:color="auto" w:fill="FFFFFF"/>
        </w:rPr>
        <w:t xml:space="preserve"> From this point, we can see how this would evolve into a more general principal that a ruler is “master at home, and an equal to other such rulers abroad,” as James Sheehan defines sovereignty, and the decline of a religion as a motivating factor for war.</w:t>
      </w:r>
      <w:r>
        <w:rPr>
          <w:rFonts w:ascii="Helvetica Neue" w:eastAsia="Helvetica Neue" w:hAnsi="Helvetica Neue" w:cs="Helvetica Neue"/>
          <w:color w:val="16191F"/>
          <w:sz w:val="24"/>
          <w:szCs w:val="24"/>
          <w:u w:color="16191F"/>
          <w:shd w:val="clear" w:color="auto" w:fill="FFFFFF"/>
          <w:vertAlign w:val="superscript"/>
        </w:rPr>
        <w:footnoteReference w:id="23"/>
      </w:r>
      <w:r>
        <w:rPr>
          <w:rFonts w:ascii="Helvetica Neue" w:hAnsi="Helvetica Neue"/>
          <w:color w:val="16191F"/>
          <w:sz w:val="24"/>
          <w:szCs w:val="24"/>
          <w:u w:color="16191F"/>
          <w:shd w:val="clear" w:color="auto" w:fill="FFFFFF"/>
        </w:rPr>
        <w:t xml:space="preserve"> Religion could no longer make a “</w:t>
      </w:r>
      <w:r>
        <w:rPr>
          <w:rFonts w:ascii="Helvetica Neue" w:hAnsi="Helvetica Neue"/>
          <w:color w:val="16191F"/>
          <w:sz w:val="24"/>
          <w:szCs w:val="24"/>
          <w:u w:color="16191F"/>
          <w:shd w:val="clear" w:color="auto" w:fill="FFFFFF"/>
          <w:lang w:val="it-IT"/>
        </w:rPr>
        <w:t>cosmic</w:t>
      </w:r>
      <w:r>
        <w:rPr>
          <w:rFonts w:ascii="Helvetica Neue" w:hAnsi="Helvetica Neue"/>
          <w:color w:val="16191F"/>
          <w:sz w:val="24"/>
          <w:szCs w:val="24"/>
          <w:u w:color="16191F"/>
          <w:shd w:val="clear" w:color="auto" w:fill="FFFFFF"/>
        </w:rPr>
        <w:t xml:space="preserve">” claim, that a heresy in France or Bohemia was sufficient grounds to invade another ruler’s land, as it had, for example, during the Albigensian Crusade. And while it is not reasonable to claim that the Peace of Augsburg alone established the principal of sovereignty, it is reasonable to view it as the fundament of the broader notion of sovereignty as an ordering principal. </w:t>
      </w:r>
    </w:p>
    <w:p w:rsidR="001D0A78" w:rsidRDefault="001D0A78" w:rsidP="001D0A78">
      <w:pPr>
        <w:pStyle w:val="BodyA"/>
        <w:tabs>
          <w:tab w:val="left" w:pos="720"/>
          <w:tab w:val="left" w:pos="1440"/>
          <w:tab w:val="left" w:pos="2160"/>
          <w:tab w:val="left" w:pos="2880"/>
          <w:tab w:val="left" w:pos="3600"/>
          <w:tab w:val="left" w:pos="4320"/>
        </w:tabs>
        <w:rPr>
          <w:rFonts w:ascii="Helvetica Neue" w:eastAsia="Helvetica Neue" w:hAnsi="Helvetica Neue" w:cs="Helvetica Neue"/>
          <w:color w:val="16191F"/>
          <w:sz w:val="24"/>
          <w:szCs w:val="24"/>
          <w:u w:color="16191F"/>
          <w:shd w:val="clear" w:color="auto" w:fill="FFFFFF"/>
        </w:rPr>
      </w:pPr>
    </w:p>
    <w:p w:rsidR="001D0A78" w:rsidRDefault="001D0A78" w:rsidP="001D0A78">
      <w:pPr>
        <w:pStyle w:val="BodyA"/>
        <w:tabs>
          <w:tab w:val="left" w:pos="720"/>
          <w:tab w:val="left" w:pos="1440"/>
          <w:tab w:val="left" w:pos="2160"/>
          <w:tab w:val="left" w:pos="2880"/>
          <w:tab w:val="left" w:pos="3600"/>
          <w:tab w:val="left" w:pos="4320"/>
        </w:tabs>
        <w:rPr>
          <w:rFonts w:ascii="Helvetica Neue" w:eastAsia="Helvetica Neue" w:hAnsi="Helvetica Neue" w:cs="Helvetica Neue"/>
          <w:color w:val="16191F"/>
          <w:sz w:val="24"/>
          <w:szCs w:val="24"/>
          <w:u w:color="16191F"/>
          <w:shd w:val="clear" w:color="auto" w:fill="FFFFFF"/>
        </w:rPr>
      </w:pPr>
      <w:r>
        <w:rPr>
          <w:rFonts w:ascii="Helvetica Neue" w:eastAsia="Helvetica Neue" w:hAnsi="Helvetica Neue" w:cs="Helvetica Neue"/>
          <w:color w:val="16191F"/>
          <w:sz w:val="24"/>
          <w:szCs w:val="24"/>
          <w:u w:color="16191F"/>
          <w:shd w:val="clear" w:color="auto" w:fill="FFFFFF"/>
        </w:rPr>
        <w:tab/>
      </w:r>
      <w:r>
        <w:rPr>
          <w:rFonts w:ascii="Helvetica Neue" w:hAnsi="Helvetica Neue"/>
          <w:color w:val="16191F"/>
          <w:sz w:val="24"/>
          <w:szCs w:val="24"/>
          <w:u w:color="16191F"/>
          <w:shd w:val="clear" w:color="auto" w:fill="FFFFFF"/>
        </w:rPr>
        <w:t>James Sheehan defines sovereignty as making two distinct claims:</w:t>
      </w:r>
      <w:r>
        <w:rPr>
          <w:rFonts w:ascii="Helvetica Neue" w:eastAsia="Helvetica Neue" w:hAnsi="Helvetica Neue" w:cs="Helvetica Neue"/>
          <w:color w:val="16191F"/>
          <w:sz w:val="24"/>
          <w:szCs w:val="24"/>
          <w:u w:color="16191F"/>
          <w:shd w:val="clear" w:color="auto" w:fill="FFFFFF"/>
        </w:rPr>
        <w:br/>
      </w:r>
    </w:p>
    <w:p w:rsidR="001D0A78" w:rsidRDefault="001D0A78" w:rsidP="001D0A78">
      <w:pPr>
        <w:pStyle w:val="BodyA"/>
        <w:tabs>
          <w:tab w:val="left" w:pos="720"/>
          <w:tab w:val="left" w:pos="1440"/>
          <w:tab w:val="left" w:pos="2160"/>
          <w:tab w:val="left" w:pos="2880"/>
          <w:tab w:val="left" w:pos="3600"/>
          <w:tab w:val="left" w:pos="4320"/>
        </w:tabs>
        <w:rPr>
          <w:rFonts w:ascii="Helvetica Neue" w:eastAsia="Helvetica Neue" w:hAnsi="Helvetica Neue" w:cs="Helvetica Neue"/>
          <w:color w:val="16191F"/>
          <w:u w:color="16191F"/>
          <w:shd w:val="clear" w:color="auto" w:fill="FFFFFF"/>
        </w:rPr>
      </w:pPr>
      <w:r>
        <w:rPr>
          <w:rFonts w:ascii="Helvetica Neue" w:hAnsi="Helvetica Neue"/>
          <w:color w:val="16191F"/>
          <w:u w:color="16191F"/>
          <w:shd w:val="clear" w:color="auto" w:fill="FFFFFF"/>
        </w:rPr>
        <w:t>"Sovereignty assumes, ﬁrst of all, that political power is distinct from other organizations in the community—religious, familial, economic. Second, sovereignty asserts that this public authority is preeminent and autonomous, that is, superior to institutions within the community and independent from those outside. In theory, the sovereign can be no one’s vassal: at home, sovereigns are masters; abroad, they are the equals of other sovereigns.”</w:t>
      </w:r>
      <w:r>
        <w:rPr>
          <w:rFonts w:ascii="Helvetica Neue" w:eastAsia="Helvetica Neue" w:hAnsi="Helvetica Neue" w:cs="Helvetica Neue"/>
          <w:color w:val="16191F"/>
          <w:u w:color="16191F"/>
          <w:shd w:val="clear" w:color="auto" w:fill="FFFFFF"/>
          <w:vertAlign w:val="superscript"/>
        </w:rPr>
        <w:footnoteReference w:id="24"/>
      </w: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kern w:val="1"/>
          <w:sz w:val="24"/>
          <w:szCs w:val="24"/>
        </w:rPr>
      </w:pPr>
      <w:r>
        <w:rPr>
          <w:rFonts w:ascii="Helvetica Neue" w:eastAsia="Helvetica Neue" w:hAnsi="Helvetica Neue" w:cs="Helvetica Neue"/>
          <w:color w:val="16191F"/>
          <w:u w:color="16191F"/>
          <w:shd w:val="clear" w:color="auto" w:fill="FFFFFF"/>
        </w:rPr>
        <w:br/>
      </w:r>
      <w:r>
        <w:rPr>
          <w:rFonts w:ascii="Helvetica Neue" w:hAnsi="Helvetica Neue"/>
          <w:color w:val="16191F"/>
          <w:sz w:val="24"/>
          <w:szCs w:val="24"/>
          <w:u w:color="16191F"/>
          <w:shd w:val="clear" w:color="auto" w:fill="FFFFFF"/>
        </w:rPr>
        <w:lastRenderedPageBreak/>
        <w:t xml:space="preserve">Therefore, a sovereign state is one that exercises </w:t>
      </w:r>
      <w:r>
        <w:rPr>
          <w:rFonts w:ascii="Helvetica Neue" w:hAnsi="Helvetica Neue"/>
          <w:kern w:val="1"/>
          <w:sz w:val="24"/>
          <w:szCs w:val="24"/>
        </w:rPr>
        <w:t>what Max Weber famously described as a “monopoly of legitimate force” within its established and acknowledged borders.</w:t>
      </w:r>
      <w:r>
        <w:rPr>
          <w:rFonts w:ascii="Helvetica Neue" w:eastAsia="Helvetica Neue" w:hAnsi="Helvetica Neue" w:cs="Helvetica Neue"/>
          <w:kern w:val="1"/>
          <w:sz w:val="24"/>
          <w:szCs w:val="24"/>
          <w:vertAlign w:val="superscript"/>
        </w:rPr>
        <w:footnoteReference w:id="25"/>
      </w:r>
      <w:r>
        <w:rPr>
          <w:rFonts w:ascii="Helvetica Neue" w:hAnsi="Helvetica Neue"/>
          <w:kern w:val="1"/>
          <w:sz w:val="24"/>
          <w:szCs w:val="24"/>
        </w:rPr>
        <w:t xml:space="preserve"> But how does a state exercise this monopoly? Rulers sought to construct institutions that </w:t>
      </w:r>
      <w:r w:rsidRPr="008A2841">
        <w:rPr>
          <w:rFonts w:ascii="Helvetica Neue" w:hAnsi="Helvetica Neue"/>
          <w:kern w:val="1"/>
          <w:sz w:val="24"/>
          <w:szCs w:val="24"/>
        </w:rPr>
        <w:t>might</w:t>
      </w:r>
      <w:r>
        <w:rPr>
          <w:rFonts w:ascii="Helvetica Neue" w:hAnsi="Helvetica Neue"/>
          <w:kern w:val="1"/>
          <w:sz w:val="24"/>
          <w:szCs w:val="24"/>
        </w:rPr>
        <w:t xml:space="preserve"> ensure that their control, their monopoly of violence, reached every corner of their territory.</w:t>
      </w:r>
      <w:r>
        <w:rPr>
          <w:rFonts w:ascii="Helvetica Neue" w:eastAsia="Helvetica Neue" w:hAnsi="Helvetica Neue" w:cs="Helvetica Neue"/>
          <w:kern w:val="1"/>
          <w:sz w:val="24"/>
          <w:szCs w:val="24"/>
          <w:vertAlign w:val="superscript"/>
        </w:rPr>
        <w:footnoteReference w:id="26"/>
      </w:r>
      <w:r>
        <w:rPr>
          <w:rFonts w:ascii="Helvetica Neue" w:hAnsi="Helvetica Neue"/>
          <w:kern w:val="1"/>
          <w:sz w:val="24"/>
          <w:szCs w:val="24"/>
        </w:rPr>
        <w:t xml:space="preserve"> This is the idea of state-making in action.</w:t>
      </w: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color w:val="16191F"/>
          <w:sz w:val="24"/>
          <w:szCs w:val="24"/>
          <w:u w:color="16191F"/>
          <w:shd w:val="clear" w:color="auto" w:fill="FFFFFF"/>
        </w:rPr>
      </w:pPr>
      <w:r>
        <w:rPr>
          <w:rFonts w:ascii="Helvetica Neue" w:eastAsia="Helvetica Neue" w:hAnsi="Helvetica Neue" w:cs="Helvetica Neue"/>
          <w:color w:val="16191F"/>
          <w:sz w:val="24"/>
          <w:szCs w:val="24"/>
          <w:u w:color="16191F"/>
          <w:shd w:val="clear" w:color="auto" w:fill="FFFFFF"/>
        </w:rPr>
        <w:tab/>
        <w:t xml:space="preserve">The term </w:t>
      </w:r>
      <w:r>
        <w:rPr>
          <w:rFonts w:ascii="Helvetica Neue" w:hAnsi="Helvetica Neue"/>
          <w:color w:val="16191F"/>
          <w:sz w:val="24"/>
          <w:szCs w:val="24"/>
          <w:u w:color="16191F"/>
          <w:shd w:val="clear" w:color="auto" w:fill="FFFFFF"/>
        </w:rPr>
        <w:t xml:space="preserve">“state-making” first emerged as part of a broader scholarly dialogue within American social science in the years following World War II as scholars sought to find a universal and comparative basis for the development of states and state institutions. The goal was a theory that could not only explain development, but also one that could be operationalized to accelerate development in newly liberated or decolonized territories. More importantly for the policymakers who these theorists of modernization theory sought to influence (and obtain research grants from), this development process was meant to help create institutions and political practices that would draw these </w:t>
      </w:r>
      <w:r>
        <w:rPr>
          <w:rFonts w:ascii="Helvetica Neue" w:hAnsi="Helvetica Neue"/>
          <w:color w:val="16191F"/>
          <w:sz w:val="24"/>
          <w:szCs w:val="24"/>
          <w:u w:color="16191F"/>
          <w:shd w:val="clear" w:color="auto" w:fill="FFFFFF"/>
        </w:rPr>
        <w:lastRenderedPageBreak/>
        <w:t>countries in to the US sphere of influence during the Cold War.</w:t>
      </w:r>
      <w:r>
        <w:rPr>
          <w:rFonts w:ascii="Helvetica Neue" w:eastAsia="Helvetica Neue" w:hAnsi="Helvetica Neue" w:cs="Helvetica Neue"/>
          <w:color w:val="16191F"/>
          <w:sz w:val="24"/>
          <w:szCs w:val="24"/>
          <w:u w:color="16191F"/>
          <w:shd w:val="clear" w:color="auto" w:fill="FFFFFF"/>
          <w:vertAlign w:val="superscript"/>
        </w:rPr>
        <w:footnoteReference w:id="27"/>
      </w: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b/>
          <w:bCs/>
          <w:color w:val="16191F"/>
          <w:sz w:val="24"/>
          <w:szCs w:val="24"/>
          <w:u w:color="16191F"/>
          <w:shd w:val="clear" w:color="auto" w:fill="FFFFFF"/>
        </w:rPr>
      </w:pPr>
      <w:r>
        <w:rPr>
          <w:rFonts w:ascii="Helvetica Neue" w:eastAsia="Helvetica Neue" w:hAnsi="Helvetica Neue" w:cs="Helvetica Neue"/>
          <w:color w:val="16191F"/>
          <w:sz w:val="24"/>
          <w:szCs w:val="24"/>
          <w:u w:color="16191F"/>
          <w:shd w:val="clear" w:color="auto" w:fill="FFFFFF"/>
        </w:rPr>
        <w:tab/>
        <w:t>A state is a political unit that exists over an extended period, within defined, relatively permanent borders, and where a central authority can legitimately claim to hold a monopoly over the use of violence as a means of coercion. In an ideal-type state, the central ruler</w:t>
      </w:r>
      <w:r>
        <w:rPr>
          <w:rFonts w:ascii="Helvetica Neue" w:hAnsi="Helvetica Neue"/>
          <w:color w:val="16191F"/>
          <w:sz w:val="24"/>
          <w:szCs w:val="24"/>
          <w:u w:color="16191F"/>
          <w:shd w:val="clear" w:color="auto" w:fill="FFFFFF"/>
        </w:rPr>
        <w:t xml:space="preserve">’s authority is distinct from and superior to all other forms of power. State-making, therefore, involves the development of institutions with which the characteristics might be created and defended. A standing professional army is generally needed to defend the borders of the state and, possibly in conjunction with police forces, is needed to defend </w:t>
      </w:r>
      <w:r w:rsidRPr="008A2841">
        <w:rPr>
          <w:rFonts w:ascii="Helvetica Neue" w:hAnsi="Helvetica Neue"/>
          <w:color w:val="16191F"/>
          <w:sz w:val="24"/>
          <w:szCs w:val="24"/>
          <w:u w:color="16191F"/>
          <w:shd w:val="clear" w:color="auto" w:fill="FFFFFF"/>
        </w:rPr>
        <w:t>and</w:t>
      </w:r>
      <w:r>
        <w:rPr>
          <w:rFonts w:ascii="Helvetica Neue" w:hAnsi="Helvetica Neue"/>
          <w:color w:val="16191F"/>
          <w:sz w:val="24"/>
          <w:szCs w:val="24"/>
          <w:u w:color="16191F"/>
          <w:shd w:val="clear" w:color="auto" w:fill="FFFFFF"/>
        </w:rPr>
        <w:t xml:space="preserve"> assert the state</w:t>
      </w:r>
      <w:r w:rsidRPr="008A2841">
        <w:rPr>
          <w:rFonts w:ascii="Helvetica Neue" w:hAnsi="Helvetica Neue"/>
          <w:color w:val="16191F"/>
          <w:sz w:val="24"/>
          <w:szCs w:val="24"/>
          <w:u w:color="16191F"/>
          <w:shd w:val="clear" w:color="auto" w:fill="FFFFFF"/>
        </w:rPr>
        <w:t>’</w:t>
      </w:r>
      <w:r>
        <w:rPr>
          <w:rFonts w:ascii="Helvetica Neue" w:hAnsi="Helvetica Neue"/>
          <w:color w:val="16191F"/>
          <w:sz w:val="24"/>
          <w:szCs w:val="24"/>
          <w:u w:color="16191F"/>
          <w:shd w:val="clear" w:color="auto" w:fill="FFFFFF"/>
        </w:rPr>
        <w:t xml:space="preserve">s monopoly of violence, while impersonal and durable administrative institutions can reach the far corners of the state to carry out the directives of the sovereign. These state functions are supported by resource extraction mechanisms: systems of tax collection that go beyond tax farming and instead depend upon professional bureaucrats collecting regularized amounts of taxes. Finally, and perhaps most importantly to distinguish a sovereign state from other forms of power, the power of the sovereign is superior to other forms of authority. This is </w:t>
      </w:r>
      <w:r>
        <w:rPr>
          <w:rFonts w:ascii="Helvetica Neue" w:hAnsi="Helvetica Neue"/>
          <w:color w:val="16191F"/>
          <w:sz w:val="24"/>
          <w:szCs w:val="24"/>
          <w:u w:color="16191F"/>
          <w:shd w:val="clear" w:color="auto" w:fill="FFFFFF"/>
        </w:rPr>
        <w:lastRenderedPageBreak/>
        <w:t>a critical distinction, as it separates a sovereign state from a political unit operating within the framework of Christendom. In Christendom, there was no single superior authority, but instead a collection of diffuse authorities. An ideal type state is ostensibly superior to other forms of authority.</w:t>
      </w:r>
      <w:r>
        <w:rPr>
          <w:rFonts w:ascii="Helvetica Neue" w:eastAsia="Helvetica Neue" w:hAnsi="Helvetica Neue" w:cs="Helvetica Neue"/>
          <w:color w:val="16191F"/>
          <w:sz w:val="24"/>
          <w:szCs w:val="24"/>
          <w:u w:color="16191F"/>
          <w:shd w:val="clear" w:color="auto" w:fill="FFFFFF"/>
          <w:vertAlign w:val="superscript"/>
        </w:rPr>
        <w:footnoteReference w:id="28"/>
      </w:r>
      <w:r>
        <w:rPr>
          <w:rFonts w:ascii="Helvetica Neue" w:eastAsia="Helvetica Neue" w:hAnsi="Helvetica Neue" w:cs="Helvetica Neue"/>
          <w:color w:val="16191F"/>
          <w:sz w:val="24"/>
          <w:szCs w:val="24"/>
          <w:u w:color="16191F"/>
          <w:shd w:val="clear" w:color="auto" w:fill="FFFFFF"/>
        </w:rPr>
        <w:tab/>
      </w: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color w:val="16191F"/>
          <w:sz w:val="24"/>
          <w:szCs w:val="24"/>
          <w:u w:color="16191F"/>
          <w:shd w:val="clear" w:color="auto" w:fill="FFFFFF"/>
        </w:rPr>
      </w:pPr>
      <w:r>
        <w:rPr>
          <w:rFonts w:ascii="Helvetica Neue" w:eastAsia="Helvetica Neue" w:hAnsi="Helvetica Neue" w:cs="Helvetica Neue"/>
          <w:color w:val="16191F"/>
          <w:sz w:val="24"/>
          <w:szCs w:val="24"/>
          <w:u w:color="16191F"/>
          <w:shd w:val="clear" w:color="auto" w:fill="FFFFFF"/>
        </w:rPr>
        <w:tab/>
        <w:t xml:space="preserve">The question of whether a state is a state is not a binary one. Instead, theories of state-making assert that the process of becoming a state is dependent on the basis of the acquisition of state characteristics. The previous paragraph made reference to an </w:t>
      </w:r>
      <w:r>
        <w:rPr>
          <w:rFonts w:ascii="Helvetica Neue" w:hAnsi="Helvetica Neue"/>
          <w:color w:val="16191F"/>
          <w:sz w:val="24"/>
          <w:szCs w:val="24"/>
          <w:u w:color="16191F"/>
          <w:shd w:val="clear" w:color="auto" w:fill="FFFFFF"/>
        </w:rPr>
        <w:t>“ideal-type” state, but it seems unlikely that any particular state during the early modern period could claim absolutely to have achieved these characteristics.</w:t>
      </w: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color w:val="16191F"/>
          <w:sz w:val="24"/>
          <w:szCs w:val="24"/>
          <w:u w:color="16191F"/>
          <w:shd w:val="clear" w:color="auto" w:fill="FFFFFF"/>
        </w:rPr>
      </w:pPr>
      <w:r>
        <w:rPr>
          <w:rFonts w:ascii="Helvetica Neue" w:eastAsia="Helvetica Neue" w:hAnsi="Helvetica Neue" w:cs="Helvetica Neue"/>
          <w:color w:val="16191F"/>
          <w:sz w:val="24"/>
          <w:szCs w:val="24"/>
          <w:u w:color="16191F"/>
          <w:shd w:val="clear" w:color="auto" w:fill="FFFFFF"/>
        </w:rPr>
        <w:lastRenderedPageBreak/>
        <w:tab/>
        <w:t>State-making can occur as the result of numerous catalysts, in the example of Austria, the need to defend the sovereign ruler</w:t>
      </w:r>
      <w:r>
        <w:rPr>
          <w:rFonts w:ascii="Helvetica Neue" w:hAnsi="Helvetica Neue"/>
          <w:color w:val="16191F"/>
          <w:sz w:val="24"/>
          <w:szCs w:val="24"/>
          <w:u w:color="16191F"/>
          <w:shd w:val="clear" w:color="auto" w:fill="FFFFFF"/>
        </w:rPr>
        <w:t>’s claim to be the supreme authority in the lands he ruled. The Habsburg family’s Central European crowns were often attained as the result of strategic marriages or other patrimonial arrangements, and not through conquest or other coercive means. They generally had less incentive to develop a professional standing army and could rely on irregular militias made up of peasants fulfilling yearly military service obligations. Contrast this with the</w:t>
      </w:r>
      <w:r w:rsidRPr="008A2841">
        <w:rPr>
          <w:rFonts w:ascii="Helvetica Neue" w:hAnsi="Helvetica Neue"/>
          <w:color w:val="16191F"/>
          <w:sz w:val="24"/>
          <w:szCs w:val="24"/>
          <w:u w:color="16191F"/>
          <w:shd w:val="clear" w:color="auto" w:fill="FFFFFF"/>
        </w:rPr>
        <w:t xml:space="preserve"> later</w:t>
      </w:r>
      <w:r>
        <w:rPr>
          <w:rFonts w:ascii="Helvetica Neue" w:hAnsi="Helvetica Neue"/>
          <w:color w:val="16191F"/>
          <w:sz w:val="24"/>
          <w:szCs w:val="24"/>
          <w:u w:color="16191F"/>
          <w:shd w:val="clear" w:color="auto" w:fill="FFFFFF"/>
        </w:rPr>
        <w:t xml:space="preserve"> case of Prussia-Brandenburg, where dynastic survival was closely linked with the ability to fend off numerous aggressive neighbors with superior resource bases and more fertile soil. In the case of Austria, ad-hoc militias and feudal service obligations generally proved sufficient until the Thirty Years War.</w:t>
      </w:r>
      <w:r>
        <w:rPr>
          <w:rFonts w:ascii="Helvetica Neue" w:eastAsia="Helvetica Neue" w:hAnsi="Helvetica Neue" w:cs="Helvetica Neue"/>
          <w:color w:val="16191F"/>
          <w:sz w:val="24"/>
          <w:szCs w:val="24"/>
          <w:u w:color="16191F"/>
          <w:shd w:val="clear" w:color="auto" w:fill="FFFFFF"/>
          <w:vertAlign w:val="superscript"/>
        </w:rPr>
        <w:footnoteReference w:id="29"/>
      </w:r>
    </w:p>
    <w:p w:rsidR="001D0A78" w:rsidRDefault="001D0A78" w:rsidP="001D0A78">
      <w:pPr>
        <w:pStyle w:val="BodyA"/>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b/>
          <w:bCs/>
          <w:color w:val="16191F"/>
          <w:kern w:val="1"/>
          <w:sz w:val="24"/>
          <w:szCs w:val="24"/>
          <w:u w:color="16191F"/>
          <w:shd w:val="clear" w:color="auto" w:fill="FFFFFF"/>
        </w:rPr>
      </w:pPr>
    </w:p>
    <w:p w:rsidR="001D0A78" w:rsidRDefault="001D0A78" w:rsidP="001D0A78">
      <w:pPr>
        <w:pStyle w:val="Body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outlineLvl w:val="0"/>
        <w:rPr>
          <w:rFonts w:ascii="Helvetica Neue" w:eastAsia="Helvetica Neue" w:hAnsi="Helvetica Neue" w:cs="Helvetica Neue"/>
          <w:b/>
          <w:bCs/>
          <w:kern w:val="1"/>
          <w:sz w:val="24"/>
          <w:szCs w:val="24"/>
        </w:rPr>
      </w:pPr>
      <w:r>
        <w:rPr>
          <w:rFonts w:ascii="Helvetica Neue" w:hAnsi="Helvetica Neue"/>
          <w:b/>
          <w:bCs/>
          <w:kern w:val="1"/>
          <w:sz w:val="24"/>
          <w:szCs w:val="24"/>
        </w:rPr>
        <w:t>State-Making in War and Crisis</w:t>
      </w:r>
    </w:p>
    <w:p w:rsidR="001D0A78" w:rsidRDefault="001D0A78" w:rsidP="001D0A78">
      <w:pPr>
        <w:pStyle w:val="Body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Helvetica Neue" w:eastAsia="Helvetica Neue" w:hAnsi="Helvetica Neue" w:cs="Helvetica Neue"/>
          <w:kern w:val="1"/>
          <w:sz w:val="24"/>
          <w:szCs w:val="24"/>
        </w:rPr>
      </w:pPr>
      <w:r>
        <w:rPr>
          <w:rFonts w:ascii="Helvetica Neue" w:hAnsi="Helvetica Neue"/>
          <w:kern w:val="1"/>
          <w:sz w:val="24"/>
          <w:szCs w:val="24"/>
        </w:rPr>
        <w:t xml:space="preserve">How can we generally understand the meaning of the </w:t>
      </w:r>
      <w:r w:rsidRPr="008A2841">
        <w:rPr>
          <w:rFonts w:ascii="Helvetica Neue" w:hAnsi="Helvetica Neue"/>
          <w:kern w:val="1"/>
          <w:sz w:val="24"/>
          <w:szCs w:val="24"/>
        </w:rPr>
        <w:t>Thirty Years War</w:t>
      </w:r>
      <w:r>
        <w:rPr>
          <w:rFonts w:ascii="Helvetica Neue" w:hAnsi="Helvetica Neue"/>
          <w:kern w:val="1"/>
          <w:sz w:val="24"/>
          <w:szCs w:val="24"/>
        </w:rPr>
        <w:t xml:space="preserve"> and its importance for the state-making process? The war from 1618 to 1648 was neither an exclusively religious conflict, nor can it be masked </w:t>
      </w:r>
      <w:r>
        <w:rPr>
          <w:rFonts w:ascii="Helvetica Neue" w:hAnsi="Helvetica Neue"/>
          <w:kern w:val="1"/>
          <w:sz w:val="24"/>
          <w:szCs w:val="24"/>
        </w:rPr>
        <w:lastRenderedPageBreak/>
        <w:t>as a subsidiary of a larger “General Crisis” in which all aspects of human existence were threatened by a transformation in economic, environmental, political, and social practices.</w:t>
      </w:r>
      <w:r>
        <w:rPr>
          <w:rFonts w:ascii="Helvetica Neue" w:eastAsia="Helvetica Neue" w:hAnsi="Helvetica Neue" w:cs="Helvetica Neue"/>
          <w:kern w:val="1"/>
          <w:sz w:val="24"/>
          <w:szCs w:val="24"/>
          <w:vertAlign w:val="superscript"/>
        </w:rPr>
        <w:footnoteReference w:id="30"/>
      </w:r>
      <w:r>
        <w:rPr>
          <w:rFonts w:ascii="Helvetica Neue" w:hAnsi="Helvetica Neue"/>
          <w:kern w:val="1"/>
          <w:sz w:val="24"/>
          <w:szCs w:val="24"/>
        </w:rPr>
        <w:t xml:space="preserve"> Instead, the war was part of a broader conflict between conflicting views of the relationship between state and society and between states themselves. After the Reformation eliminated the foundation of the previous set of relationships, a new basis upon which order might be established became necessary. This new system of relationships between states required that that rulers be able to assert and defend their claims to sovereignty over the areas they ruled and maintain the means for doing so. To this end, we must recognize the Thirty Years War as a political and religious war that challenged rulers to respond in defense of their sovereign claims through the creation of institutions that allowed them to do so. This took on a special meaning for the Habsburg lands, as </w:t>
      </w:r>
      <w:r>
        <w:rPr>
          <w:rFonts w:ascii="Helvetica Neue" w:hAnsi="Helvetica Neue"/>
          <w:kern w:val="1"/>
          <w:sz w:val="24"/>
          <w:szCs w:val="24"/>
        </w:rPr>
        <w:lastRenderedPageBreak/>
        <w:t xml:space="preserve">what became the Thirty Years War was more than a conflict between the Catholic Habsburgs and Protestant Czech Nobles, but a war between two conceptions of political organization. The war helped make a proto-Austrian state, as it spurred the creation of military and fiscal institutions and practices that subverted medieval conceptions of state and society and created the means by which a ruler in Vienna would be able to assert their authority across vast distances and challenging terrain. </w:t>
      </w:r>
    </w:p>
    <w:p w:rsidR="001D0A78" w:rsidRDefault="001D0A78" w:rsidP="001D0A78">
      <w:pPr>
        <w:pStyle w:val="Body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Helvetica Neue" w:eastAsia="Helvetica Neue" w:hAnsi="Helvetica Neue" w:cs="Helvetica Neue"/>
          <w:kern w:val="1"/>
          <w:sz w:val="24"/>
          <w:szCs w:val="24"/>
        </w:rPr>
      </w:pPr>
      <w:r>
        <w:rPr>
          <w:rFonts w:ascii="Helvetica Neue" w:eastAsia="Helvetica Neue" w:hAnsi="Helvetica Neue" w:cs="Helvetica Neue"/>
          <w:kern w:val="1"/>
          <w:sz w:val="24"/>
          <w:szCs w:val="24"/>
        </w:rPr>
        <w:tab/>
        <w:t>Prior to 1618, rulers across Europe were bound by both normative traditions and practical institutional constraints that limited their ability to assert authority without the support of local lords and other members of a ruler</w:t>
      </w:r>
      <w:r>
        <w:rPr>
          <w:rFonts w:ascii="Helvetica Neue" w:hAnsi="Helvetica Neue"/>
          <w:kern w:val="1"/>
          <w:sz w:val="24"/>
          <w:szCs w:val="24"/>
        </w:rPr>
        <w:t>’s court, in a sense, these local lords constituted “veto-players” who were able to individually withhold their consent, thus denying the central ruler the use of the forces pledged to them (of whatever kind, a local peasant militia, knights or otherwise).</w:t>
      </w:r>
      <w:r>
        <w:rPr>
          <w:rFonts w:ascii="Helvetica Neue" w:eastAsia="Helvetica Neue" w:hAnsi="Helvetica Neue" w:cs="Helvetica Neue"/>
          <w:kern w:val="1"/>
          <w:sz w:val="24"/>
          <w:szCs w:val="24"/>
          <w:vertAlign w:val="superscript"/>
        </w:rPr>
        <w:footnoteReference w:id="31"/>
      </w:r>
      <w:r>
        <w:rPr>
          <w:rFonts w:ascii="Helvetica Neue" w:hAnsi="Helvetica Neue"/>
          <w:kern w:val="1"/>
          <w:sz w:val="24"/>
          <w:szCs w:val="24"/>
        </w:rPr>
        <w:t xml:space="preserve"> There were either limited or no extant mechanisms through which a central ruler could exercise an independent claim to sovereign power. </w:t>
      </w:r>
    </w:p>
    <w:p w:rsidR="001D0A78" w:rsidRDefault="001D0A78" w:rsidP="001D0A78">
      <w:pPr>
        <w:pStyle w:val="Body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Helvetica Neue" w:eastAsia="Helvetica Neue" w:hAnsi="Helvetica Neue" w:cs="Helvetica Neue"/>
          <w:kern w:val="1"/>
          <w:sz w:val="24"/>
          <w:szCs w:val="24"/>
        </w:rPr>
      </w:pPr>
      <w:r>
        <w:rPr>
          <w:rFonts w:ascii="Helvetica Neue" w:eastAsia="Helvetica Neue" w:hAnsi="Helvetica Neue" w:cs="Helvetica Neue"/>
          <w:kern w:val="1"/>
          <w:sz w:val="24"/>
          <w:szCs w:val="24"/>
        </w:rPr>
        <w:tab/>
        <w:t xml:space="preserve">In the century leading to the Thirty Years War, the Austrian Habsburgs came under enormous financial stress that strengthened the </w:t>
      </w:r>
      <w:r>
        <w:rPr>
          <w:rFonts w:ascii="Helvetica Neue" w:eastAsia="Helvetica Neue" w:hAnsi="Helvetica Neue" w:cs="Helvetica Neue"/>
          <w:kern w:val="1"/>
          <w:sz w:val="24"/>
          <w:szCs w:val="24"/>
        </w:rPr>
        <w:lastRenderedPageBreak/>
        <w:t>power of these local lords. In the east, the Habsburgs were challenged by the rapid expansion of Ottoman Turkish power which reached its peak with the 1529 Siege of Vienna and subsequent wars through 1606 that required expensive and largely ad hoc mercenary armies.</w:t>
      </w:r>
      <w:r>
        <w:rPr>
          <w:rFonts w:ascii="Helvetica Neue" w:eastAsia="Helvetica Neue" w:hAnsi="Helvetica Neue" w:cs="Helvetica Neue"/>
          <w:kern w:val="1"/>
          <w:sz w:val="24"/>
          <w:szCs w:val="24"/>
          <w:vertAlign w:val="superscript"/>
        </w:rPr>
        <w:footnoteReference w:id="32"/>
      </w:r>
      <w:r>
        <w:rPr>
          <w:rFonts w:ascii="Helvetica Neue" w:hAnsi="Helvetica Neue"/>
          <w:kern w:val="1"/>
          <w:sz w:val="24"/>
          <w:szCs w:val="24"/>
        </w:rPr>
        <w:t xml:space="preserve"> At the same time, tax collection by the Habsburg monarch was based largely on the irregular payment of limited fixed amounts, not a percentage of a given estates income. Rising agricultural prices meant that the incomes of these estates rose moderately, while the income of the Habsburg rulers in Vienna were strained by the expenses of the Turkish wars and inflation that ate away the purchasing power of the taxes they levied. The result was a heavily indebted Habsburg monarch in Vienna with no power to raise revenue.</w:t>
      </w:r>
      <w:r>
        <w:rPr>
          <w:rFonts w:ascii="Helvetica Neue" w:eastAsia="Helvetica Neue" w:hAnsi="Helvetica Neue" w:cs="Helvetica Neue"/>
          <w:kern w:val="1"/>
          <w:sz w:val="24"/>
          <w:szCs w:val="24"/>
          <w:vertAlign w:val="superscript"/>
        </w:rPr>
        <w:footnoteReference w:id="33"/>
      </w:r>
      <w:r>
        <w:rPr>
          <w:rFonts w:ascii="Helvetica Neue" w:hAnsi="Helvetica Neue"/>
          <w:kern w:val="1"/>
          <w:sz w:val="24"/>
          <w:szCs w:val="24"/>
        </w:rPr>
        <w:t xml:space="preserve"> Simultaneously, within the Habsburg lands, Protestant nobles grew increasingly frustrated, as Catholics were promoted to higher ranks of the nobility. Surprisingly, the reason for filling these positions with Catholics was not the fact that they were Catholic (though that constituted a secondary justification) but </w:t>
      </w:r>
      <w:r w:rsidRPr="008A2841">
        <w:rPr>
          <w:rFonts w:ascii="Helvetica Neue" w:hAnsi="Helvetica Neue"/>
          <w:kern w:val="1"/>
          <w:sz w:val="24"/>
          <w:szCs w:val="24"/>
        </w:rPr>
        <w:t xml:space="preserve">that </w:t>
      </w:r>
      <w:r>
        <w:rPr>
          <w:rFonts w:ascii="Helvetica Neue" w:hAnsi="Helvetica Neue"/>
          <w:kern w:val="1"/>
          <w:sz w:val="24"/>
          <w:szCs w:val="24"/>
        </w:rPr>
        <w:t xml:space="preserve">the </w:t>
      </w:r>
      <w:r>
        <w:rPr>
          <w:rFonts w:ascii="Helvetica Neue" w:hAnsi="Helvetica Neue"/>
          <w:kern w:val="1"/>
          <w:sz w:val="24"/>
          <w:szCs w:val="24"/>
        </w:rPr>
        <w:lastRenderedPageBreak/>
        <w:t>codification of Roman law and legal practices into a modernized civil and criminal law code in the Habsburg territories demanded experts in Roman law, most of whom were Catholic.</w:t>
      </w:r>
      <w:r>
        <w:rPr>
          <w:rFonts w:ascii="Helvetica Neue" w:eastAsia="Helvetica Neue" w:hAnsi="Helvetica Neue" w:cs="Helvetica Neue"/>
          <w:kern w:val="1"/>
          <w:sz w:val="24"/>
          <w:szCs w:val="24"/>
          <w:vertAlign w:val="superscript"/>
        </w:rPr>
        <w:footnoteReference w:id="34"/>
      </w:r>
      <w:r>
        <w:rPr>
          <w:rFonts w:ascii="Helvetica Neue" w:hAnsi="Helvetica Neue"/>
          <w:kern w:val="1"/>
          <w:sz w:val="24"/>
          <w:szCs w:val="24"/>
        </w:rPr>
        <w:t xml:space="preserve"> This resulted in the increasing polarization of nobles along confessional lines, but in response to a secular political problem. By the 1610s, Protestant nobles within the Habsburg lands sought to “internationalize” their frustration, attempting to involve other rulers in Habsburg domestic affairs</w:t>
      </w:r>
      <w:r w:rsidRPr="008A2841">
        <w:rPr>
          <w:rFonts w:ascii="Helvetica Neue" w:hAnsi="Helvetica Neue"/>
          <w:kern w:val="1"/>
          <w:sz w:val="24"/>
          <w:szCs w:val="24"/>
        </w:rPr>
        <w:t>, a fundamental threat to the sovereignty of the state</w:t>
      </w:r>
      <w:r>
        <w:rPr>
          <w:rFonts w:ascii="Helvetica Neue" w:hAnsi="Helvetica Neue"/>
          <w:kern w:val="1"/>
          <w:sz w:val="24"/>
          <w:szCs w:val="24"/>
        </w:rPr>
        <w:t>.</w:t>
      </w:r>
      <w:r>
        <w:rPr>
          <w:rFonts w:ascii="Helvetica Neue" w:eastAsia="Helvetica Neue" w:hAnsi="Helvetica Neue" w:cs="Helvetica Neue"/>
          <w:kern w:val="1"/>
          <w:sz w:val="24"/>
          <w:szCs w:val="24"/>
          <w:vertAlign w:val="superscript"/>
        </w:rPr>
        <w:footnoteReference w:id="35"/>
      </w:r>
      <w:r>
        <w:rPr>
          <w:rFonts w:ascii="Helvetica Neue" w:hAnsi="Helvetica Neue"/>
          <w:kern w:val="1"/>
          <w:sz w:val="24"/>
          <w:szCs w:val="24"/>
        </w:rPr>
        <w:t xml:space="preserve"> </w:t>
      </w:r>
    </w:p>
    <w:p w:rsidR="001D0A78" w:rsidRDefault="001D0A78" w:rsidP="001D0A78">
      <w:pPr>
        <w:pStyle w:val="Body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Helvetica Neue" w:eastAsia="Helvetica Neue" w:hAnsi="Helvetica Neue" w:cs="Helvetica Neue"/>
          <w:kern w:val="1"/>
          <w:sz w:val="24"/>
          <w:szCs w:val="24"/>
        </w:rPr>
      </w:pPr>
      <w:r>
        <w:rPr>
          <w:rFonts w:ascii="Helvetica Neue" w:eastAsia="Helvetica Neue" w:hAnsi="Helvetica Neue" w:cs="Helvetica Neue"/>
          <w:kern w:val="1"/>
          <w:sz w:val="24"/>
          <w:szCs w:val="24"/>
        </w:rPr>
        <w:tab/>
        <w:t>In this context, the so-called Defenestration of Prague represents the Protestant abandonment of legal means to secure medieval privileges against efforts by the Habsburg monarch to standardize the administration of the territories they govern against Protestant lords</w:t>
      </w:r>
      <w:r>
        <w:rPr>
          <w:rFonts w:ascii="Helvetica Neue" w:hAnsi="Helvetica Neue"/>
          <w:kern w:val="1"/>
          <w:sz w:val="24"/>
          <w:szCs w:val="24"/>
        </w:rPr>
        <w:t xml:space="preserve">’ efforts to ensure decentralized and weak administration in the interest of their own rural estates. For this reason, defeating Protestant nobles and consolidating state power give the Thirty Years War its special designation as a war for state-making and accordingly an especially </w:t>
      </w:r>
      <w:r>
        <w:rPr>
          <w:rFonts w:ascii="Helvetica Neue" w:hAnsi="Helvetica Neue"/>
          <w:kern w:val="1"/>
          <w:sz w:val="24"/>
          <w:szCs w:val="24"/>
        </w:rPr>
        <w:lastRenderedPageBreak/>
        <w:t>high degree of bellicosity: it was a war not between states, but between the idea of a state and a medieval conception of decentralized authority.</w:t>
      </w:r>
      <w:r>
        <w:rPr>
          <w:rFonts w:ascii="Helvetica Neue" w:eastAsia="Helvetica Neue" w:hAnsi="Helvetica Neue" w:cs="Helvetica Neue"/>
          <w:kern w:val="1"/>
          <w:sz w:val="24"/>
          <w:szCs w:val="24"/>
          <w:vertAlign w:val="superscript"/>
        </w:rPr>
        <w:footnoteReference w:id="36"/>
      </w:r>
      <w:r>
        <w:rPr>
          <w:rFonts w:ascii="Helvetica Neue" w:hAnsi="Helvetica Neue"/>
          <w:kern w:val="1"/>
          <w:sz w:val="24"/>
          <w:szCs w:val="24"/>
        </w:rPr>
        <w:t xml:space="preserve"> </w:t>
      </w:r>
    </w:p>
    <w:p w:rsidR="001D0A78" w:rsidRDefault="001D0A78" w:rsidP="001D0A78">
      <w:pPr>
        <w:pStyle w:val="Body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Helvetica Neue" w:eastAsia="Helvetica Neue" w:hAnsi="Helvetica Neue" w:cs="Helvetica Neue"/>
          <w:kern w:val="1"/>
          <w:sz w:val="24"/>
          <w:szCs w:val="24"/>
        </w:rPr>
      </w:pPr>
      <w:r>
        <w:rPr>
          <w:rFonts w:ascii="Helvetica Neue" w:eastAsia="Helvetica Neue" w:hAnsi="Helvetica Neue" w:cs="Helvetica Neue"/>
          <w:kern w:val="1"/>
          <w:sz w:val="24"/>
          <w:szCs w:val="24"/>
        </w:rPr>
        <w:tab/>
        <w:t>The 1618 Bohemian Protestant rebellion lead to the creation of a short-lived polity that demonstrated their failure to respond to the new world of centralizing state institutions. Their chosen ruler, Friedrich V of Rhein-Pfalz, was selected partially for his relationships with the other Protestant rulers within Europe and his promise to indulge the privileges they had lost under the Habsburgs.</w:t>
      </w:r>
      <w:r>
        <w:rPr>
          <w:rFonts w:ascii="Helvetica Neue" w:eastAsia="Helvetica Neue" w:hAnsi="Helvetica Neue" w:cs="Helvetica Neue"/>
          <w:kern w:val="1"/>
          <w:sz w:val="24"/>
          <w:szCs w:val="24"/>
          <w:vertAlign w:val="superscript"/>
        </w:rPr>
        <w:footnoteReference w:id="37"/>
      </w:r>
      <w:r>
        <w:rPr>
          <w:rFonts w:ascii="Helvetica Neue" w:hAnsi="Helvetica Neue"/>
          <w:kern w:val="1"/>
          <w:sz w:val="24"/>
          <w:szCs w:val="24"/>
        </w:rPr>
        <w:t xml:space="preserve"> Again, however, we see the clash of weak state institutions against medieval political practice: the Habsburgs were able to raise an army, collect taxes, and exercise force effectively. In contrast, the Bohemian estates made only limited financial contributions to the war effort, Friedrich</w:t>
      </w:r>
      <w:r w:rsidRPr="008A2841">
        <w:rPr>
          <w:rFonts w:ascii="Helvetica Neue" w:hAnsi="Helvetica Neue"/>
          <w:kern w:val="1"/>
          <w:sz w:val="24"/>
          <w:szCs w:val="24"/>
        </w:rPr>
        <w:t>’s</w:t>
      </w:r>
      <w:r>
        <w:rPr>
          <w:rFonts w:ascii="Helvetica Neue" w:hAnsi="Helvetica Neue"/>
          <w:kern w:val="1"/>
          <w:sz w:val="24"/>
          <w:szCs w:val="24"/>
        </w:rPr>
        <w:t xml:space="preserve"> financial resources were conspicuously strained, and his supposed international connections failed to bring any significant level of support from other Protestant </w:t>
      </w:r>
      <w:r>
        <w:rPr>
          <w:rFonts w:ascii="Helvetica Neue" w:hAnsi="Helvetica Neue"/>
          <w:kern w:val="1"/>
          <w:sz w:val="24"/>
          <w:szCs w:val="24"/>
        </w:rPr>
        <w:lastRenderedPageBreak/>
        <w:t>rulers.</w:t>
      </w:r>
      <w:r>
        <w:rPr>
          <w:rFonts w:ascii="Helvetica Neue" w:eastAsia="Helvetica Neue" w:hAnsi="Helvetica Neue" w:cs="Helvetica Neue"/>
          <w:kern w:val="1"/>
          <w:sz w:val="24"/>
          <w:szCs w:val="24"/>
          <w:vertAlign w:val="superscript"/>
        </w:rPr>
        <w:footnoteReference w:id="38"/>
      </w:r>
    </w:p>
    <w:p w:rsidR="001D0A78" w:rsidRDefault="001D0A78" w:rsidP="001D0A78">
      <w:pPr>
        <w:pStyle w:val="Body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Helvetica Neue" w:eastAsia="Helvetica Neue" w:hAnsi="Helvetica Neue" w:cs="Helvetica Neue"/>
          <w:kern w:val="1"/>
          <w:sz w:val="24"/>
          <w:szCs w:val="24"/>
        </w:rPr>
      </w:pPr>
      <w:r>
        <w:rPr>
          <w:rFonts w:ascii="Helvetica Neue" w:eastAsia="Helvetica Neue" w:hAnsi="Helvetica Neue" w:cs="Helvetica Neue"/>
          <w:kern w:val="1"/>
          <w:sz w:val="24"/>
          <w:szCs w:val="24"/>
        </w:rPr>
        <w:tab/>
        <w:t>There are legitimate reasons to argue, as Burkhardt does, that the Czechs were the modernizing state-makers, seeking to exercise almost proto-democratic control over an absolutist king, similar to Simon de Montfort</w:t>
      </w:r>
      <w:r>
        <w:rPr>
          <w:rFonts w:ascii="Helvetica Neue" w:hAnsi="Helvetica Neue"/>
          <w:kern w:val="1"/>
          <w:sz w:val="24"/>
          <w:szCs w:val="24"/>
        </w:rPr>
        <w:t>’</w:t>
      </w:r>
      <w:r>
        <w:rPr>
          <w:rFonts w:ascii="Helvetica Neue" w:hAnsi="Helvetica Neue"/>
          <w:kern w:val="1"/>
          <w:sz w:val="24"/>
          <w:szCs w:val="24"/>
          <w:lang w:val="pt-PT"/>
        </w:rPr>
        <w:t xml:space="preserve">s </w:t>
      </w:r>
      <w:r>
        <w:rPr>
          <w:rFonts w:ascii="Helvetica Neue" w:hAnsi="Helvetica Neue"/>
          <w:kern w:val="1"/>
          <w:sz w:val="24"/>
          <w:szCs w:val="24"/>
        </w:rPr>
        <w:t>assertion of noble rights in thirteenth-century England. In doing so, however Burkhardt fail</w:t>
      </w:r>
      <w:r w:rsidRPr="008A2841">
        <w:rPr>
          <w:rFonts w:ascii="Helvetica Neue" w:hAnsi="Helvetica Neue"/>
          <w:kern w:val="1"/>
          <w:sz w:val="24"/>
          <w:szCs w:val="24"/>
        </w:rPr>
        <w:t>s</w:t>
      </w:r>
      <w:r>
        <w:rPr>
          <w:rFonts w:ascii="Helvetica Neue" w:hAnsi="Helvetica Neue"/>
          <w:kern w:val="1"/>
          <w:sz w:val="24"/>
          <w:szCs w:val="24"/>
        </w:rPr>
        <w:t xml:space="preserve"> to recognize the fundamentally reactionary nature of the landed elites who sought to preserve a medieval order.</w:t>
      </w:r>
      <w:r>
        <w:rPr>
          <w:rFonts w:ascii="Helvetica Neue" w:eastAsia="Helvetica Neue" w:hAnsi="Helvetica Neue" w:cs="Helvetica Neue"/>
          <w:kern w:val="1"/>
          <w:sz w:val="24"/>
          <w:szCs w:val="24"/>
          <w:vertAlign w:val="superscript"/>
        </w:rPr>
        <w:footnoteReference w:id="39"/>
      </w:r>
    </w:p>
    <w:p w:rsidR="001D0A78" w:rsidRDefault="001D0A78" w:rsidP="001D0A78">
      <w:pPr>
        <w:pStyle w:val="Body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Helvetica Neue" w:eastAsia="Helvetica Neue" w:hAnsi="Helvetica Neue" w:cs="Helvetica Neue"/>
          <w:kern w:val="1"/>
          <w:sz w:val="24"/>
          <w:szCs w:val="24"/>
        </w:rPr>
      </w:pPr>
      <w:r>
        <w:rPr>
          <w:rFonts w:ascii="Helvetica Neue" w:eastAsia="Helvetica Neue" w:hAnsi="Helvetica Neue" w:cs="Helvetica Neue"/>
          <w:kern w:val="1"/>
          <w:sz w:val="24"/>
          <w:szCs w:val="24"/>
        </w:rPr>
        <w:tab/>
        <w:t xml:space="preserve">The key question remains: how did the Austrian Habsburg monarchy respond to the challenges posed by the Protestant revolt and the beginning of the Thirty Years War? And how does their response to these events constitute state-making? The organization of the Habsburg monarchy complicates any attempt to understand it as a unified whole, as it would never achieve the degree of centralization that a state like France did. Furthermore, the realms remained for the most part separate, they did not come close to forming a single body until the 1806 dissolution of the Holy Roman Empire and the creation of the </w:t>
      </w:r>
      <w:r>
        <w:rPr>
          <w:rFonts w:ascii="Helvetica Neue" w:eastAsia="Helvetica Neue" w:hAnsi="Helvetica Neue" w:cs="Helvetica Neue"/>
          <w:kern w:val="1"/>
          <w:sz w:val="24"/>
          <w:szCs w:val="24"/>
        </w:rPr>
        <w:lastRenderedPageBreak/>
        <w:t xml:space="preserve">quasi-unified Austrian Empire. However, none of this can change the fact that the Austrian response to the war of 1618-1648 constituted state-making in three significant ways: it broke the power of the entrenched noble estates, it created a relatively coherent military organization, and </w:t>
      </w:r>
      <w:r w:rsidRPr="008A2841">
        <w:rPr>
          <w:rFonts w:ascii="Helvetica Neue" w:hAnsi="Helvetica Neue"/>
          <w:kern w:val="1"/>
          <w:sz w:val="24"/>
          <w:szCs w:val="24"/>
        </w:rPr>
        <w:t>established</w:t>
      </w:r>
      <w:r>
        <w:rPr>
          <w:rFonts w:ascii="Helvetica Neue" w:hAnsi="Helvetica Neue"/>
          <w:kern w:val="1"/>
          <w:sz w:val="24"/>
          <w:szCs w:val="24"/>
        </w:rPr>
        <w:t xml:space="preserve"> a degree of fiscal organization not previously realized.</w:t>
      </w:r>
    </w:p>
    <w:p w:rsidR="001D0A78" w:rsidRDefault="001D0A78" w:rsidP="001D0A78">
      <w:pPr>
        <w:pStyle w:val="Body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Helvetica Neue" w:eastAsia="Helvetica Neue" w:hAnsi="Helvetica Neue" w:cs="Helvetica Neue"/>
          <w:kern w:val="1"/>
          <w:sz w:val="24"/>
          <w:szCs w:val="24"/>
        </w:rPr>
      </w:pPr>
      <w:r>
        <w:rPr>
          <w:rFonts w:ascii="Helvetica Neue" w:eastAsia="Helvetica Neue" w:hAnsi="Helvetica Neue" w:cs="Helvetica Neue"/>
          <w:kern w:val="1"/>
          <w:sz w:val="24"/>
          <w:szCs w:val="24"/>
        </w:rPr>
        <w:tab/>
        <w:t>The Protestant revolt did not result in the reassertion of their power, but instead helped break the power of the estates as a force within both Austria and Bohemia.</w:t>
      </w:r>
      <w:r>
        <w:rPr>
          <w:rFonts w:ascii="Helvetica Neue" w:eastAsia="Helvetica Neue" w:hAnsi="Helvetica Neue" w:cs="Helvetica Neue"/>
          <w:kern w:val="1"/>
          <w:sz w:val="24"/>
          <w:szCs w:val="24"/>
          <w:vertAlign w:val="superscript"/>
        </w:rPr>
        <w:footnoteReference w:id="40"/>
      </w:r>
      <w:r>
        <w:rPr>
          <w:rFonts w:ascii="Helvetica Neue" w:hAnsi="Helvetica Neue"/>
          <w:kern w:val="1"/>
          <w:sz w:val="24"/>
          <w:szCs w:val="24"/>
        </w:rPr>
        <w:t xml:space="preserve"> The Austrian and Bohemian territories maintained separate but</w:t>
      </w:r>
      <w:r w:rsidRPr="008A2841">
        <w:rPr>
          <w:rFonts w:ascii="Helvetica Neue" w:hAnsi="Helvetica Neue"/>
          <w:kern w:val="1"/>
          <w:sz w:val="24"/>
          <w:szCs w:val="24"/>
        </w:rPr>
        <w:t xml:space="preserve"> mostly</w:t>
      </w:r>
      <w:r>
        <w:rPr>
          <w:rFonts w:ascii="Helvetica Neue" w:hAnsi="Helvetica Neue"/>
          <w:kern w:val="1"/>
          <w:sz w:val="24"/>
          <w:szCs w:val="24"/>
        </w:rPr>
        <w:t xml:space="preserve"> equal systems of noble estates that exercised representative powers within their territory.</w:t>
      </w:r>
      <w:r>
        <w:rPr>
          <w:rFonts w:ascii="Helvetica Neue" w:eastAsia="Helvetica Neue" w:hAnsi="Helvetica Neue" w:cs="Helvetica Neue"/>
          <w:kern w:val="1"/>
          <w:sz w:val="24"/>
          <w:szCs w:val="24"/>
          <w:vertAlign w:val="superscript"/>
        </w:rPr>
        <w:footnoteReference w:id="41"/>
      </w:r>
      <w:r>
        <w:rPr>
          <w:rFonts w:ascii="Helvetica Neue" w:hAnsi="Helvetica Neue"/>
          <w:kern w:val="1"/>
          <w:sz w:val="24"/>
          <w:szCs w:val="24"/>
        </w:rPr>
        <w:t xml:space="preserve"> The rebellion that began in Prague destroyed the relative equality between the Protestant dominated estates (Bohemia and Upper Austria) and Catholic Lower Austria. The reason for this was the abandonment of a relationship built upon trust and adherence to expected norms of behavior on the part of the Bohemians and Upper Austrians. Once the initial rebellion within Bohemia had been quelled in the 1620s, Habsburg territories continued </w:t>
      </w:r>
      <w:r>
        <w:rPr>
          <w:rFonts w:ascii="Helvetica Neue" w:hAnsi="Helvetica Neue"/>
          <w:kern w:val="1"/>
          <w:sz w:val="24"/>
          <w:szCs w:val="24"/>
        </w:rPr>
        <w:lastRenderedPageBreak/>
        <w:t>to be ruled separately, nor were their fundamental political rights withdrawn in favor of a baroque absolutism. However, turnover within the ranks of the nobility, for example because of emigration to Protestant kingdoms, resulted in estates that were overwhelmingly Catholic. However, the important roles held by the estates, for example as the mediators of relations between monarch and peasants, were largely maintained.</w:t>
      </w:r>
      <w:r>
        <w:rPr>
          <w:rFonts w:ascii="Helvetica Neue" w:eastAsia="Helvetica Neue" w:hAnsi="Helvetica Neue" w:cs="Helvetica Neue"/>
          <w:kern w:val="1"/>
          <w:sz w:val="24"/>
          <w:szCs w:val="24"/>
          <w:vertAlign w:val="superscript"/>
        </w:rPr>
        <w:footnoteReference w:id="42"/>
      </w:r>
      <w:r>
        <w:rPr>
          <w:rFonts w:ascii="Helvetica Neue" w:hAnsi="Helvetica Neue"/>
          <w:kern w:val="1"/>
          <w:sz w:val="24"/>
          <w:szCs w:val="24"/>
        </w:rPr>
        <w:t xml:space="preserve"> Where other rulers, for example his immediate predecessor, might have sought to engage in the complete reordering of state-society relations, Ferdinand II refused to abandon longstanding legal and social practices. Ferdinand did not, for example, invoke his rights under the 1555 Peace of Augsburg to force the conversion of his Protestant subjects to Catholicism.</w:t>
      </w:r>
      <w:r>
        <w:rPr>
          <w:rFonts w:ascii="Helvetica Neue" w:eastAsia="Helvetica Neue" w:hAnsi="Helvetica Neue" w:cs="Helvetica Neue"/>
          <w:kern w:val="1"/>
          <w:sz w:val="24"/>
          <w:szCs w:val="24"/>
          <w:vertAlign w:val="superscript"/>
        </w:rPr>
        <w:footnoteReference w:id="43"/>
      </w:r>
      <w:r>
        <w:rPr>
          <w:rFonts w:ascii="Helvetica Neue" w:hAnsi="Helvetica Neue"/>
          <w:kern w:val="1"/>
          <w:sz w:val="24"/>
          <w:szCs w:val="24"/>
        </w:rPr>
        <w:t xml:space="preserve"> Centralization and consolidation were achieved, the emperor had considerably more power to influence the actions of the estates, but in such a fashion that broadly respected the entrenched rights that Protestant nobles had feared losing in 1618.</w:t>
      </w:r>
      <w:r>
        <w:rPr>
          <w:rFonts w:ascii="Helvetica Neue" w:eastAsia="Helvetica Neue" w:hAnsi="Helvetica Neue" w:cs="Helvetica Neue"/>
          <w:kern w:val="1"/>
          <w:sz w:val="24"/>
          <w:szCs w:val="24"/>
          <w:vertAlign w:val="superscript"/>
        </w:rPr>
        <w:footnoteReference w:id="44"/>
      </w:r>
      <w:r>
        <w:rPr>
          <w:rFonts w:ascii="Helvetica Neue" w:hAnsi="Helvetica Neue"/>
          <w:kern w:val="1"/>
          <w:sz w:val="24"/>
          <w:szCs w:val="24"/>
        </w:rPr>
        <w:t xml:space="preserve"> </w:t>
      </w:r>
      <w:r>
        <w:rPr>
          <w:rFonts w:ascii="Helvetica Neue" w:hAnsi="Helvetica Neue"/>
          <w:kern w:val="1"/>
          <w:sz w:val="24"/>
          <w:szCs w:val="24"/>
        </w:rPr>
        <w:lastRenderedPageBreak/>
        <w:t xml:space="preserve">Altogether, this resulted in a significantly more coordinated polity that spanned the Habsburg realms. </w:t>
      </w:r>
    </w:p>
    <w:p w:rsidR="001D0A78" w:rsidRDefault="001D0A78" w:rsidP="001D0A78">
      <w:pPr>
        <w:pStyle w:val="Body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Helvetica Neue" w:eastAsia="Helvetica Neue" w:hAnsi="Helvetica Neue" w:cs="Helvetica Neue"/>
          <w:kern w:val="1"/>
          <w:sz w:val="24"/>
          <w:szCs w:val="24"/>
        </w:rPr>
      </w:pPr>
      <w:r>
        <w:rPr>
          <w:rFonts w:ascii="Helvetica Neue" w:eastAsia="Helvetica Neue" w:hAnsi="Helvetica Neue" w:cs="Helvetica Neue"/>
          <w:kern w:val="1"/>
          <w:sz w:val="24"/>
          <w:szCs w:val="24"/>
        </w:rPr>
        <w:tab/>
      </w:r>
      <w:r w:rsidRPr="008A2841">
        <w:rPr>
          <w:rFonts w:ascii="Helvetica Neue" w:hAnsi="Helvetica Neue"/>
          <w:kern w:val="1"/>
          <w:sz w:val="24"/>
          <w:szCs w:val="24"/>
        </w:rPr>
        <w:t>I have</w:t>
      </w:r>
      <w:r>
        <w:rPr>
          <w:rFonts w:ascii="Helvetica Neue" w:hAnsi="Helvetica Neue"/>
          <w:kern w:val="1"/>
          <w:sz w:val="24"/>
          <w:szCs w:val="24"/>
        </w:rPr>
        <w:t xml:space="preserve"> repeatedly argued that the keystone of state-making and sovereignty is the ability of a ruler to exercise a monopoly of violence within their realms. In addition to the possibility of localized rebellions as in Bohemia in 1618, the Habsburgs had dealt with multiple protracted Turkish wars from the 1520s to 1606, each one requiring the raising of a new army. This system primarily functioned through the estates of the constituent Habsburg territories, which were responsible for raising these armies and contributing to their upkeep.</w:t>
      </w:r>
      <w:r>
        <w:rPr>
          <w:rFonts w:ascii="Helvetica Neue" w:eastAsia="Helvetica Neue" w:hAnsi="Helvetica Neue" w:cs="Helvetica Neue"/>
          <w:kern w:val="1"/>
          <w:sz w:val="24"/>
          <w:szCs w:val="24"/>
          <w:vertAlign w:val="superscript"/>
        </w:rPr>
        <w:footnoteReference w:id="45"/>
      </w:r>
      <w:r>
        <w:rPr>
          <w:rFonts w:ascii="Helvetica Neue" w:hAnsi="Helvetica Neue"/>
          <w:kern w:val="1"/>
          <w:sz w:val="24"/>
          <w:szCs w:val="24"/>
        </w:rPr>
        <w:t xml:space="preserve"> As the Czech and Upper Austrian estates were in revolt, this presented a serious problem. In addition to a military crisis, the Habsburgs had exhausted their financial resources and lacked the means through which they could raise additional resources.</w:t>
      </w:r>
      <w:r>
        <w:rPr>
          <w:rFonts w:ascii="Helvetica Neue" w:eastAsia="Helvetica Neue" w:hAnsi="Helvetica Neue" w:cs="Helvetica Neue"/>
          <w:kern w:val="1"/>
          <w:sz w:val="24"/>
          <w:szCs w:val="24"/>
          <w:vertAlign w:val="superscript"/>
        </w:rPr>
        <w:footnoteReference w:id="46"/>
      </w:r>
      <w:r>
        <w:rPr>
          <w:rFonts w:ascii="Helvetica Neue" w:hAnsi="Helvetica Neue"/>
          <w:kern w:val="1"/>
          <w:sz w:val="24"/>
          <w:szCs w:val="24"/>
        </w:rPr>
        <w:t xml:space="preserve"> </w:t>
      </w:r>
    </w:p>
    <w:p w:rsidR="001D0A78" w:rsidRDefault="001D0A78" w:rsidP="001D0A78">
      <w:pPr>
        <w:pStyle w:val="Body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Helvetica Neue" w:eastAsia="Helvetica Neue" w:hAnsi="Helvetica Neue" w:cs="Helvetica Neue"/>
          <w:kern w:val="1"/>
          <w:sz w:val="24"/>
          <w:szCs w:val="24"/>
        </w:rPr>
      </w:pPr>
      <w:r>
        <w:rPr>
          <w:rFonts w:ascii="Helvetica Neue" w:eastAsia="Helvetica Neue" w:hAnsi="Helvetica Neue" w:cs="Helvetica Neue"/>
          <w:kern w:val="1"/>
          <w:sz w:val="24"/>
          <w:szCs w:val="24"/>
        </w:rPr>
        <w:tab/>
        <w:t xml:space="preserve">The initial response to the uprising in Prague assumed that the existing system of military and financial organization through the </w:t>
      </w:r>
      <w:r>
        <w:rPr>
          <w:rFonts w:ascii="Helvetica Neue" w:eastAsia="Helvetica Neue" w:hAnsi="Helvetica Neue" w:cs="Helvetica Neue"/>
          <w:kern w:val="1"/>
          <w:sz w:val="24"/>
          <w:szCs w:val="24"/>
        </w:rPr>
        <w:lastRenderedPageBreak/>
        <w:t>territorial estates would be restored at a later date. Interim solutions to both the military and fiscal crises were found in an army raised by Habsburg allied Bavaria and generous subsidies by the wealthier Spanish Habsburgs to pay for mercenaries.</w:t>
      </w:r>
      <w:r>
        <w:rPr>
          <w:rFonts w:ascii="Helvetica Neue" w:eastAsia="Helvetica Neue" w:hAnsi="Helvetica Neue" w:cs="Helvetica Neue"/>
          <w:kern w:val="1"/>
          <w:sz w:val="24"/>
          <w:szCs w:val="24"/>
          <w:vertAlign w:val="superscript"/>
        </w:rPr>
        <w:footnoteReference w:id="47"/>
      </w:r>
      <w:r>
        <w:rPr>
          <w:rFonts w:ascii="Helvetica Neue" w:hAnsi="Helvetica Neue"/>
          <w:kern w:val="1"/>
          <w:sz w:val="24"/>
          <w:szCs w:val="24"/>
        </w:rPr>
        <w:t xml:space="preserve"> Even after the defeat of the remaining Bohemian Protestant military opposition in 1623, little serious consideration appears to have been given to the possibility of further conflict.</w:t>
      </w:r>
      <w:r>
        <w:rPr>
          <w:rFonts w:ascii="Helvetica Neue" w:eastAsia="Helvetica Neue" w:hAnsi="Helvetica Neue" w:cs="Helvetica Neue"/>
          <w:kern w:val="1"/>
          <w:sz w:val="24"/>
          <w:szCs w:val="24"/>
          <w:vertAlign w:val="superscript"/>
        </w:rPr>
        <w:footnoteReference w:id="48"/>
      </w:r>
      <w:r>
        <w:rPr>
          <w:rFonts w:ascii="Helvetica Neue" w:hAnsi="Helvetica Neue"/>
          <w:kern w:val="1"/>
          <w:sz w:val="24"/>
          <w:szCs w:val="24"/>
        </w:rPr>
        <w:t xml:space="preserve"> The entrance of a new Danish army to oppose the Habsburgs in 1625 again revealed the need for new thinking, as the Habsburgs again found themselves without the means to raise an army and to engage in another battle.</w:t>
      </w:r>
    </w:p>
    <w:p w:rsidR="001D0A78" w:rsidRDefault="001D0A78" w:rsidP="001D0A78">
      <w:pPr>
        <w:pStyle w:val="Body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Helvetica Neue" w:eastAsia="Helvetica Neue" w:hAnsi="Helvetica Neue" w:cs="Helvetica Neue"/>
          <w:kern w:val="1"/>
          <w:sz w:val="24"/>
          <w:szCs w:val="24"/>
        </w:rPr>
      </w:pPr>
      <w:r>
        <w:rPr>
          <w:rFonts w:ascii="Helvetica Neue" w:eastAsia="Helvetica Neue" w:hAnsi="Helvetica Neue" w:cs="Helvetica Neue"/>
          <w:kern w:val="1"/>
          <w:sz w:val="24"/>
          <w:szCs w:val="24"/>
        </w:rPr>
        <w:tab/>
        <w:t>Lacking the means to finance an army, the Habsburg Emperor Ferdinand empowered to the wealthy and enterprising</w:t>
      </w:r>
      <w:r w:rsidRPr="008A2841">
        <w:rPr>
          <w:rFonts w:ascii="Helvetica Neue" w:hAnsi="Helvetica Neue"/>
          <w:kern w:val="1"/>
          <w:sz w:val="24"/>
          <w:szCs w:val="24"/>
        </w:rPr>
        <w:t xml:space="preserve"> Catholic</w:t>
      </w:r>
      <w:r>
        <w:rPr>
          <w:rFonts w:ascii="Helvetica Neue" w:hAnsi="Helvetica Neue"/>
          <w:kern w:val="1"/>
          <w:sz w:val="24"/>
          <w:szCs w:val="24"/>
        </w:rPr>
        <w:t xml:space="preserve"> Bohemian nobleman Albrecht von Wallenstein to construct and direct an army on his behalf. Over the course of two years, Wallenstein was able to raise funds to pay and equip some 100,000 soldiers, through the use of private financing mechanisms he developed, the sale of confiscated </w:t>
      </w:r>
      <w:r>
        <w:rPr>
          <w:rFonts w:ascii="Helvetica Neue" w:hAnsi="Helvetica Neue"/>
          <w:kern w:val="1"/>
          <w:sz w:val="24"/>
          <w:szCs w:val="24"/>
        </w:rPr>
        <w:lastRenderedPageBreak/>
        <w:t>lands, and forced contributions from the towns they occupied.</w:t>
      </w:r>
      <w:r>
        <w:rPr>
          <w:rFonts w:ascii="Helvetica Neue" w:eastAsia="Helvetica Neue" w:hAnsi="Helvetica Neue" w:cs="Helvetica Neue"/>
          <w:kern w:val="1"/>
          <w:sz w:val="24"/>
          <w:szCs w:val="24"/>
          <w:vertAlign w:val="superscript"/>
        </w:rPr>
        <w:footnoteReference w:id="49"/>
      </w:r>
      <w:r>
        <w:rPr>
          <w:rFonts w:ascii="Helvetica Neue" w:hAnsi="Helvetica Neue"/>
          <w:kern w:val="1"/>
          <w:sz w:val="24"/>
          <w:szCs w:val="24"/>
        </w:rPr>
        <w:t xml:space="preserve"> Furthermore, Wallenstein began to pioneer methods for mass producing uniforms, equipment, and other provisions, innovations that could not be matched by other contemporary forces.</w:t>
      </w:r>
      <w:r>
        <w:rPr>
          <w:rFonts w:ascii="Helvetica Neue" w:eastAsia="Helvetica Neue" w:hAnsi="Helvetica Neue" w:cs="Helvetica Neue"/>
          <w:kern w:val="1"/>
          <w:sz w:val="24"/>
          <w:szCs w:val="24"/>
          <w:vertAlign w:val="superscript"/>
        </w:rPr>
        <w:footnoteReference w:id="50"/>
      </w:r>
      <w:r>
        <w:rPr>
          <w:rFonts w:ascii="Helvetica Neue" w:hAnsi="Helvetica Neue"/>
          <w:kern w:val="1"/>
          <w:sz w:val="24"/>
          <w:szCs w:val="24"/>
        </w:rPr>
        <w:t xml:space="preserve"> By 1633-1634, he began to ignore orders given to him by Ferdinand and his deputies, commanding a military machine that potentially threatened </w:t>
      </w:r>
      <w:r w:rsidRPr="008A2841">
        <w:rPr>
          <w:rFonts w:ascii="Helvetica Neue" w:hAnsi="Helvetica Neue"/>
          <w:kern w:val="1"/>
          <w:sz w:val="24"/>
          <w:szCs w:val="24"/>
        </w:rPr>
        <w:t>its</w:t>
      </w:r>
      <w:r>
        <w:rPr>
          <w:rFonts w:ascii="Helvetica Neue" w:hAnsi="Helvetica Neue"/>
          <w:kern w:val="1"/>
          <w:sz w:val="24"/>
          <w:szCs w:val="24"/>
        </w:rPr>
        <w:t xml:space="preserve"> ostensible masters. For this reason, Wallenstein was assassinated, but only after the loyalty of the army to the Emperor was ascertained.</w:t>
      </w:r>
      <w:r>
        <w:rPr>
          <w:rFonts w:ascii="Helvetica Neue" w:eastAsia="Helvetica Neue" w:hAnsi="Helvetica Neue" w:cs="Helvetica Neue"/>
          <w:kern w:val="1"/>
          <w:sz w:val="24"/>
          <w:szCs w:val="24"/>
          <w:vertAlign w:val="superscript"/>
        </w:rPr>
        <w:footnoteReference w:id="51"/>
      </w:r>
      <w:r>
        <w:rPr>
          <w:rFonts w:ascii="Helvetica Neue" w:hAnsi="Helvetica Neue"/>
          <w:kern w:val="1"/>
          <w:sz w:val="24"/>
          <w:szCs w:val="24"/>
        </w:rPr>
        <w:t xml:space="preserve"> The result was a relatively stable, well equipped, and effectively disciplined military force, under the direct control of a state sovereign for the first time in Europe.</w:t>
      </w:r>
      <w:r>
        <w:rPr>
          <w:rFonts w:ascii="Helvetica Neue" w:eastAsia="Helvetica Neue" w:hAnsi="Helvetica Neue" w:cs="Helvetica Neue"/>
          <w:kern w:val="1"/>
          <w:sz w:val="24"/>
          <w:szCs w:val="24"/>
          <w:vertAlign w:val="superscript"/>
        </w:rPr>
        <w:footnoteReference w:id="52"/>
      </w:r>
      <w:r>
        <w:rPr>
          <w:rFonts w:ascii="Helvetica Neue" w:hAnsi="Helvetica Neue"/>
          <w:kern w:val="1"/>
          <w:sz w:val="24"/>
          <w:szCs w:val="24"/>
        </w:rPr>
        <w:t xml:space="preserve"> </w:t>
      </w:r>
    </w:p>
    <w:p w:rsidR="001D0A78" w:rsidRDefault="001D0A78" w:rsidP="001D0A78">
      <w:pPr>
        <w:pStyle w:val="Body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Helvetica Neue" w:eastAsia="Helvetica Neue" w:hAnsi="Helvetica Neue" w:cs="Helvetica Neue"/>
          <w:sz w:val="24"/>
          <w:szCs w:val="24"/>
          <w:shd w:val="clear" w:color="auto" w:fill="FFFFFF"/>
        </w:rPr>
      </w:pPr>
      <w:r>
        <w:rPr>
          <w:rFonts w:ascii="Helvetica Neue" w:eastAsia="Helvetica Neue" w:hAnsi="Helvetica Neue" w:cs="Helvetica Neue"/>
          <w:kern w:val="1"/>
          <w:sz w:val="24"/>
          <w:szCs w:val="24"/>
        </w:rPr>
        <w:tab/>
      </w:r>
      <w:r>
        <w:rPr>
          <w:rFonts w:ascii="Helvetica Neue" w:hAnsi="Helvetica Neue"/>
          <w:kern w:val="1"/>
          <w:sz w:val="24"/>
          <w:szCs w:val="24"/>
        </w:rPr>
        <w:t xml:space="preserve">Nevertheless, the need to support this new military establishment was still lacking. Initially, the estates of the realms were directed to coordinate the supply and pay of the troops garrisoned within their territory, which quickly proved to be haphazard and inefficient. A second </w:t>
      </w:r>
      <w:r>
        <w:rPr>
          <w:rFonts w:ascii="Helvetica Neue" w:hAnsi="Helvetica Neue"/>
          <w:kern w:val="1"/>
          <w:sz w:val="24"/>
          <w:szCs w:val="24"/>
        </w:rPr>
        <w:lastRenderedPageBreak/>
        <w:t>attempt was made with the creation of a permanent obligation on the estates to provide an ill-defined level of financial and material support to the army.</w:t>
      </w:r>
      <w:r>
        <w:rPr>
          <w:rFonts w:ascii="Helvetica Neue" w:eastAsia="Helvetica Neue" w:hAnsi="Helvetica Neue" w:cs="Helvetica Neue"/>
          <w:kern w:val="1"/>
          <w:sz w:val="24"/>
          <w:szCs w:val="24"/>
          <w:vertAlign w:val="superscript"/>
        </w:rPr>
        <w:footnoteReference w:id="53"/>
      </w:r>
      <w:r>
        <w:rPr>
          <w:rFonts w:ascii="Helvetica Neue" w:hAnsi="Helvetica Neue"/>
          <w:kern w:val="1"/>
          <w:sz w:val="24"/>
          <w:szCs w:val="24"/>
        </w:rPr>
        <w:t xml:space="preserve"> Ultimately, however, a solution was only found with the introduction of a formal military tax (“</w:t>
      </w:r>
      <w:r>
        <w:rPr>
          <w:rFonts w:ascii="Helvetica Neue" w:hAnsi="Helvetica Neue"/>
          <w:i/>
          <w:iCs/>
          <w:kern w:val="1"/>
          <w:sz w:val="24"/>
          <w:szCs w:val="24"/>
          <w:lang w:val="fr-FR"/>
        </w:rPr>
        <w:t>kontribution</w:t>
      </w:r>
      <w:r>
        <w:rPr>
          <w:rFonts w:ascii="Helvetica Neue" w:hAnsi="Helvetica Neue"/>
          <w:kern w:val="1"/>
          <w:sz w:val="24"/>
          <w:szCs w:val="24"/>
        </w:rPr>
        <w:t xml:space="preserve">”) which was paid yearly to a newly created imperial office charged with the organization, management, and supply of the army, the </w:t>
      </w:r>
      <w:r>
        <w:rPr>
          <w:rFonts w:ascii="Helvetica Neue" w:hAnsi="Helvetica Neue"/>
          <w:i/>
          <w:iCs/>
          <w:sz w:val="24"/>
          <w:szCs w:val="24"/>
          <w:shd w:val="clear" w:color="auto" w:fill="FFFFFF"/>
        </w:rPr>
        <w:t>Generalkriegskommissariat</w:t>
      </w:r>
      <w:r>
        <w:rPr>
          <w:rFonts w:ascii="Helvetica Neue" w:hAnsi="Helvetica Neue"/>
          <w:sz w:val="24"/>
          <w:szCs w:val="24"/>
          <w:shd w:val="clear" w:color="auto" w:fill="FFFFFF"/>
        </w:rPr>
        <w:t>.</w:t>
      </w:r>
      <w:r>
        <w:rPr>
          <w:rFonts w:ascii="Helvetica Neue" w:eastAsia="Helvetica Neue" w:hAnsi="Helvetica Neue" w:cs="Helvetica Neue"/>
          <w:sz w:val="24"/>
          <w:szCs w:val="24"/>
          <w:shd w:val="clear" w:color="auto" w:fill="FFFFFF"/>
          <w:vertAlign w:val="superscript"/>
        </w:rPr>
        <w:footnoteReference w:id="54"/>
      </w:r>
      <w:r>
        <w:rPr>
          <w:rFonts w:ascii="Helvetica Neue" w:hAnsi="Helvetica Neue"/>
          <w:sz w:val="24"/>
          <w:szCs w:val="24"/>
          <w:shd w:val="clear" w:color="auto" w:fill="FFFFFF"/>
        </w:rPr>
        <w:t xml:space="preserve"> </w:t>
      </w:r>
    </w:p>
    <w:p w:rsidR="001D0A78" w:rsidRDefault="001D0A78" w:rsidP="001D0A78">
      <w:pPr>
        <w:pStyle w:val="Body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pPr>
      <w:r>
        <w:rPr>
          <w:rFonts w:ascii="Helvetica Neue" w:eastAsia="Helvetica Neue" w:hAnsi="Helvetica Neue" w:cs="Helvetica Neue"/>
          <w:sz w:val="24"/>
          <w:szCs w:val="24"/>
          <w:shd w:val="clear" w:color="auto" w:fill="FFFFFF"/>
        </w:rPr>
        <w:tab/>
        <w:t>A ruler</w:t>
      </w:r>
      <w:r>
        <w:rPr>
          <w:rFonts w:ascii="Helvetica Neue" w:hAnsi="Helvetica Neue"/>
          <w:sz w:val="24"/>
          <w:szCs w:val="24"/>
          <w:shd w:val="clear" w:color="auto" w:fill="FFFFFF"/>
        </w:rPr>
        <w:t xml:space="preserve">’s need to enforce their monopoly of violence, to assert their claim to authority over the territory they claim as their own, led Habsburg monarchs in the seventeenth-century to reconsider the organization and use of their power. Faced with rebellion and near defeat, they asserted power in ways that were previously unthinkable, reorganizing the constitution of their lands and reducing the power of nobles, imposing standardized taxes on the regions to pay for an army, building an institution that could assert a ruler’s authority directly. In sum, the creation of a military and financial establishment that would endure in some form until 1918, forged in the midst of crisis and near </w:t>
      </w:r>
      <w:r w:rsidRPr="008A2841">
        <w:rPr>
          <w:rFonts w:ascii="Helvetica Neue" w:hAnsi="Helvetica Neue"/>
          <w:sz w:val="24"/>
          <w:szCs w:val="24"/>
          <w:shd w:val="clear" w:color="auto" w:fill="FFFFFF"/>
        </w:rPr>
        <w:t>defeat</w:t>
      </w:r>
      <w:r>
        <w:rPr>
          <w:rFonts w:ascii="Helvetica Neue" w:hAnsi="Helvetica Neue"/>
          <w:sz w:val="24"/>
          <w:szCs w:val="24"/>
          <w:shd w:val="clear" w:color="auto" w:fill="FFFFFF"/>
        </w:rPr>
        <w:t>.</w:t>
      </w:r>
      <w:r>
        <w:rPr>
          <w:rFonts w:ascii="Arial Unicode MS" w:hAnsi="Arial Unicode MS"/>
          <w:sz w:val="24"/>
          <w:szCs w:val="24"/>
          <w:shd w:val="clear" w:color="auto" w:fill="FFFFFF"/>
        </w:rPr>
        <w:br w:type="page"/>
      </w:r>
    </w:p>
    <w:p w:rsidR="001D0A78" w:rsidRDefault="001D0A78" w:rsidP="001D0A78">
      <w:pPr>
        <w:pStyle w:val="BodyB"/>
        <w:tabs>
          <w:tab w:val="left" w:pos="720"/>
          <w:tab w:val="left" w:pos="1440"/>
          <w:tab w:val="left" w:pos="2160"/>
          <w:tab w:val="left" w:pos="2880"/>
          <w:tab w:val="left" w:pos="3600"/>
          <w:tab w:val="left" w:pos="4320"/>
        </w:tabs>
        <w:spacing w:line="276" w:lineRule="auto"/>
        <w:rPr>
          <w:rFonts w:ascii="Helvetica Neue" w:eastAsia="Helvetica Neue" w:hAnsi="Helvetica Neue" w:cs="Helvetica Neue"/>
          <w:b/>
          <w:bCs/>
        </w:rPr>
      </w:pPr>
      <w:r>
        <w:rPr>
          <w:rFonts w:ascii="Helvetica Neue" w:hAnsi="Helvetica Neue"/>
          <w:b/>
          <w:bCs/>
        </w:rPr>
        <w:lastRenderedPageBreak/>
        <w:t>Chapter 3</w:t>
      </w:r>
    </w:p>
    <w:p w:rsidR="001D0A78" w:rsidRDefault="001D0A78" w:rsidP="001D0A78">
      <w:pPr>
        <w:pStyle w:val="BodyB"/>
        <w:tabs>
          <w:tab w:val="left" w:pos="720"/>
          <w:tab w:val="left" w:pos="1440"/>
          <w:tab w:val="left" w:pos="2160"/>
          <w:tab w:val="left" w:pos="2880"/>
          <w:tab w:val="left" w:pos="3600"/>
          <w:tab w:val="left" w:pos="4320"/>
        </w:tabs>
        <w:spacing w:line="276" w:lineRule="auto"/>
        <w:rPr>
          <w:rFonts w:ascii="Helvetica Neue" w:eastAsia="Helvetica Neue" w:hAnsi="Helvetica Neue" w:cs="Helvetica Neue"/>
          <w:b/>
          <w:bCs/>
        </w:rPr>
      </w:pPr>
      <w:r w:rsidRPr="008A2841">
        <w:rPr>
          <w:rFonts w:ascii="Helvetica Neue" w:hAnsi="Helvetica Neue"/>
          <w:b/>
          <w:bCs/>
        </w:rPr>
        <w:t>State-Breakdown</w:t>
      </w:r>
      <w:r>
        <w:rPr>
          <w:rFonts w:ascii="Helvetica Neue" w:hAnsi="Helvetica Neue"/>
          <w:b/>
          <w:bCs/>
        </w:rPr>
        <w:t xml:space="preserve"> in Late Habsburg Austria-Hungary, 1867 to 1914</w:t>
      </w:r>
    </w:p>
    <w:p w:rsidR="001D0A78" w:rsidRDefault="001D0A78" w:rsidP="001D0A78">
      <w:pPr>
        <w:pStyle w:val="BodyB"/>
        <w:tabs>
          <w:tab w:val="left" w:pos="720"/>
          <w:tab w:val="left" w:pos="1440"/>
          <w:tab w:val="left" w:pos="2160"/>
          <w:tab w:val="left" w:pos="2880"/>
          <w:tab w:val="left" w:pos="3600"/>
          <w:tab w:val="left" w:pos="4320"/>
        </w:tabs>
        <w:spacing w:line="276" w:lineRule="auto"/>
        <w:rPr>
          <w:rFonts w:ascii="Helvetica Neue" w:eastAsia="Helvetica Neue" w:hAnsi="Helvetica Neue" w:cs="Helvetica Neue"/>
          <w:sz w:val="20"/>
          <w:szCs w:val="20"/>
          <w:lang w:val="de-DE"/>
        </w:rPr>
      </w:pPr>
      <w:r w:rsidRPr="00FE00AA">
        <w:rPr>
          <w:rFonts w:ascii="Helvetica Neue" w:eastAsia="Helvetica Neue" w:hAnsi="Helvetica Neue" w:cs="Helvetica Neue"/>
          <w:sz w:val="20"/>
          <w:szCs w:val="20"/>
          <w:lang w:val="de-AT"/>
        </w:rPr>
        <w:br/>
      </w:r>
      <w:r>
        <w:rPr>
          <w:rFonts w:ascii="Helvetica Neue" w:eastAsia="Helvetica Neue" w:hAnsi="Helvetica Neue" w:cs="Helvetica Neue"/>
          <w:sz w:val="20"/>
          <w:szCs w:val="20"/>
          <w:lang w:val="de-DE"/>
        </w:rPr>
        <w:t>„</w:t>
      </w:r>
      <w:r>
        <w:rPr>
          <w:rFonts w:ascii="Helvetica Neue" w:hAnsi="Helvetica Neue"/>
          <w:sz w:val="20"/>
          <w:szCs w:val="20"/>
          <w:lang w:val="de-DE"/>
        </w:rPr>
        <w:t>Kaiser Franz Josef ist die stärkste Bindung, die heute alle Nationen hier zusammenhält, und an ihn wendet sich das ganze Begeisterungsbedürfnis all dieser Völker, wendet sich statt an die Nation an eine Person und verwandelt sie in ihre Sache.“</w:t>
      </w:r>
      <w:r>
        <w:rPr>
          <w:rFonts w:ascii="Helvetica Neue" w:eastAsia="Helvetica Neue" w:hAnsi="Helvetica Neue" w:cs="Helvetica Neue"/>
          <w:sz w:val="20"/>
          <w:szCs w:val="20"/>
          <w:vertAlign w:val="superscript"/>
          <w:lang w:val="de-DE"/>
        </w:rPr>
        <w:footnoteReference w:id="55"/>
      </w:r>
      <w:r>
        <w:rPr>
          <w:rFonts w:ascii="Helvetica Neue" w:hAnsi="Helvetica Neue"/>
          <w:sz w:val="20"/>
          <w:szCs w:val="20"/>
          <w:lang w:val="de-DE"/>
        </w:rPr>
        <w:t xml:space="preserve"> </w:t>
      </w:r>
    </w:p>
    <w:p w:rsidR="001D0A78" w:rsidRDefault="001D0A78" w:rsidP="001D0A78">
      <w:pPr>
        <w:pStyle w:val="BodyB"/>
        <w:tabs>
          <w:tab w:val="left" w:pos="720"/>
          <w:tab w:val="left" w:pos="1440"/>
          <w:tab w:val="left" w:pos="2160"/>
          <w:tab w:val="left" w:pos="2880"/>
          <w:tab w:val="left" w:pos="3600"/>
          <w:tab w:val="left" w:pos="4320"/>
        </w:tabs>
        <w:spacing w:line="276" w:lineRule="auto"/>
        <w:rPr>
          <w:rFonts w:ascii="Helvetica Neue" w:eastAsia="Helvetica Neue" w:hAnsi="Helvetica Neue" w:cs="Helvetica Neue"/>
          <w:sz w:val="20"/>
          <w:szCs w:val="20"/>
        </w:rPr>
      </w:pPr>
      <w:r>
        <w:rPr>
          <w:rFonts w:ascii="Helvetica Neue" w:hAnsi="Helvetica Neue"/>
          <w:sz w:val="20"/>
          <w:szCs w:val="20"/>
        </w:rPr>
        <w:t>Stefan Zweig, „Das Land ohne Patriotismus“ [The Country without Patriotism]</w:t>
      </w:r>
    </w:p>
    <w:p w:rsidR="001D0A78" w:rsidRDefault="001D0A78" w:rsidP="001D0A78">
      <w:pPr>
        <w:pStyle w:val="BodyB"/>
        <w:spacing w:line="480" w:lineRule="auto"/>
        <w:rPr>
          <w:rFonts w:ascii="Helvetica Neue" w:eastAsia="Helvetica Neue" w:hAnsi="Helvetica Neue" w:cs="Helvetica Neue"/>
        </w:rPr>
      </w:pP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p>
    <w:p w:rsidR="001D0A78" w:rsidRDefault="001D0A78" w:rsidP="001D0A78">
      <w:pPr>
        <w:pStyle w:val="BodyB"/>
        <w:tabs>
          <w:tab w:val="left" w:pos="720"/>
          <w:tab w:val="left" w:pos="1440"/>
          <w:tab w:val="left" w:pos="2160"/>
          <w:tab w:val="left" w:pos="2880"/>
          <w:tab w:val="left" w:pos="3600"/>
          <w:tab w:val="left" w:pos="4320"/>
        </w:tabs>
        <w:spacing w:line="480" w:lineRule="auto"/>
        <w:rPr>
          <w:rFonts w:ascii="Helvetica Neue" w:eastAsia="Helvetica Neue" w:hAnsi="Helvetica Neue" w:cs="Helvetica Neue"/>
          <w:color w:val="16191F"/>
          <w:u w:color="16191F"/>
          <w:shd w:val="clear" w:color="auto" w:fill="FFFFFF"/>
        </w:rPr>
      </w:pPr>
      <w:r>
        <w:rPr>
          <w:rFonts w:ascii="Helvetica Neue" w:hAnsi="Helvetica Neue"/>
          <w:b/>
          <w:bCs/>
        </w:rPr>
        <w:t>The Body Without a Soul</w:t>
      </w:r>
      <w:r>
        <w:rPr>
          <w:rFonts w:ascii="Helvetica Neue" w:eastAsia="Helvetica Neue" w:hAnsi="Helvetica Neue" w:cs="Helvetica Neue"/>
        </w:rPr>
        <w:br/>
      </w:r>
      <w:r>
        <w:rPr>
          <w:rFonts w:ascii="Helvetica Neue" w:hAnsi="Helvetica Neue"/>
        </w:rPr>
        <w:t>In 1909, the Austrian writer Stefan Zweig described</w:t>
      </w:r>
      <w:r w:rsidRPr="008A2841">
        <w:rPr>
          <w:rFonts w:ascii="Helvetica Neue" w:hAnsi="Helvetica Neue"/>
        </w:rPr>
        <w:t xml:space="preserve"> Habsburg</w:t>
      </w:r>
      <w:r>
        <w:rPr>
          <w:rFonts w:ascii="Helvetica Neue" w:hAnsi="Helvetica Neue"/>
        </w:rPr>
        <w:t xml:space="preserve"> Austria as a country in which the individual parts all worked, but failed to work together. The heart beat, the lungs breathed, the muscles of the legs moved the body slowly forward. But that uniting principle—</w:t>
      </w:r>
      <w:r>
        <w:rPr>
          <w:rFonts w:ascii="Helvetica Neue" w:hAnsi="Helvetica Neue"/>
          <w:lang w:val="fr-FR"/>
        </w:rPr>
        <w:t>a soul</w:t>
      </w:r>
      <w:r>
        <w:rPr>
          <w:rFonts w:ascii="Helvetica Neue" w:hAnsi="Helvetica Neue"/>
        </w:rPr>
        <w:t>—could not be found. The only thing that could hold the country together</w:t>
      </w:r>
      <w:r w:rsidRPr="008A2841">
        <w:rPr>
          <w:rFonts w:ascii="Helvetica Neue" w:hAnsi="Helvetica Neue"/>
        </w:rPr>
        <w:t>, according to Zweig,</w:t>
      </w:r>
      <w:r>
        <w:rPr>
          <w:rFonts w:ascii="Helvetica Neue" w:hAnsi="Helvetica Neue"/>
        </w:rPr>
        <w:t xml:space="preserve"> was the elderly heart of Emperor Franz Josef, who embodied the whole of the Austro-Hungarian state.</w:t>
      </w:r>
      <w:r>
        <w:rPr>
          <w:rFonts w:ascii="Helvetica Neue" w:eastAsia="Helvetica Neue" w:hAnsi="Helvetica Neue" w:cs="Helvetica Neue"/>
          <w:vertAlign w:val="superscript"/>
        </w:rPr>
        <w:footnoteReference w:id="56"/>
      </w:r>
      <w:r>
        <w:rPr>
          <w:rFonts w:ascii="Helvetica Neue" w:hAnsi="Helvetica Neue"/>
        </w:rPr>
        <w:t xml:space="preserve"> Imperial</w:t>
      </w:r>
      <w:r>
        <w:rPr>
          <w:rFonts w:ascii="Helvetica Neue" w:hAnsi="Helvetica Neue"/>
          <w:color w:val="16191F"/>
          <w:u w:color="16191F"/>
          <w:shd w:val="clear" w:color="auto" w:fill="FFFFFF"/>
        </w:rPr>
        <w:t xml:space="preserve"> bureaucrats, with their military style ranks and uniforms, tied the state together, just as they tied bundles of documents with gold and black strings, the colors that symbolized the thousand year old Monarchy.</w:t>
      </w:r>
      <w:r>
        <w:rPr>
          <w:rFonts w:ascii="Helvetica Neue" w:eastAsia="Helvetica Neue" w:hAnsi="Helvetica Neue" w:cs="Helvetica Neue"/>
          <w:color w:val="16191F"/>
          <w:u w:color="16191F"/>
          <w:shd w:val="clear" w:color="auto" w:fill="FFFFFF"/>
          <w:vertAlign w:val="superscript"/>
        </w:rPr>
        <w:footnoteReference w:id="57"/>
      </w:r>
      <w:r>
        <w:rPr>
          <w:rFonts w:ascii="Helvetica Neue" w:hAnsi="Helvetica Neue"/>
          <w:color w:val="16191F"/>
          <w:u w:color="16191F"/>
          <w:shd w:val="clear" w:color="auto" w:fill="FFFFFF"/>
        </w:rPr>
        <w:t xml:space="preserve"> </w:t>
      </w:r>
      <w:r>
        <w:rPr>
          <w:rFonts w:ascii="Helvetica Neue" w:hAnsi="Helvetica Neue"/>
          <w:color w:val="16191F"/>
          <w:u w:color="16191F"/>
          <w:shd w:val="clear" w:color="auto" w:fill="FFFFFF"/>
        </w:rPr>
        <w:lastRenderedPageBreak/>
        <w:t xml:space="preserve">The coming years would serve to demonstrate just how frayed these strings had become, as Austria-Hungary collapsed under the weight of the First World War. </w:t>
      </w:r>
    </w:p>
    <w:p w:rsidR="001D0A78" w:rsidRDefault="001D0A78" w:rsidP="001D0A78">
      <w:pPr>
        <w:pStyle w:val="BodyB"/>
        <w:tabs>
          <w:tab w:val="left" w:pos="720"/>
          <w:tab w:val="left" w:pos="1440"/>
          <w:tab w:val="left" w:pos="2160"/>
          <w:tab w:val="left" w:pos="2880"/>
          <w:tab w:val="left" w:pos="3600"/>
          <w:tab w:val="left" w:pos="4320"/>
        </w:tabs>
        <w:spacing w:line="480" w:lineRule="auto"/>
        <w:ind w:firstLine="360"/>
        <w:rPr>
          <w:rFonts w:ascii="Helvetica Neue" w:eastAsia="Helvetica Neue" w:hAnsi="Helvetica Neue" w:cs="Helvetica Neue"/>
          <w:color w:val="16191F"/>
          <w:u w:color="16191F"/>
          <w:shd w:val="clear" w:color="auto" w:fill="FFFFFF"/>
        </w:rPr>
      </w:pPr>
      <w:r>
        <w:rPr>
          <w:rFonts w:ascii="Helvetica Neue" w:hAnsi="Helvetica Neue"/>
          <w:color w:val="16191F"/>
          <w:u w:color="16191F"/>
          <w:shd w:val="clear" w:color="auto" w:fill="FFFFFF"/>
        </w:rPr>
        <w:t xml:space="preserve">The previous chapter discussed the ways in which the Habsburg monarchy had begun to construct institutions that allowed it to effectively exercise control throughout its territory in Central Europe. Faced with defeat in the Thirty Years War, Habsburg Monarchs were forced to respond in innovative ways that reshaped the relationship between the political regime they embodied and the society over which it governed. During the Thirty Years War, the Habsburgs had engaged in state-making: they had a relatively effective standing army and had created fiscal mechanisms with which to help pay for it, and they used that army and those institutions to fight their opponents to a stalemate in a destructive war of attrition. The decision to maintain that army (albeit at a reduced strength) after the war meant that the sovereign ruler possessed somewhat independent means through which to assert their right to rule. </w:t>
      </w:r>
    </w:p>
    <w:p w:rsidR="001D0A78" w:rsidRDefault="001D0A78" w:rsidP="001D0A78">
      <w:pPr>
        <w:pStyle w:val="BodyB"/>
        <w:tabs>
          <w:tab w:val="left" w:pos="720"/>
          <w:tab w:val="left" w:pos="1440"/>
          <w:tab w:val="left" w:pos="2160"/>
          <w:tab w:val="left" w:pos="2880"/>
          <w:tab w:val="left" w:pos="3600"/>
          <w:tab w:val="left" w:pos="4320"/>
        </w:tabs>
        <w:spacing w:line="480" w:lineRule="auto"/>
        <w:ind w:firstLine="360"/>
        <w:rPr>
          <w:rFonts w:ascii="Helvetica Neue" w:eastAsia="Helvetica Neue" w:hAnsi="Helvetica Neue" w:cs="Helvetica Neue"/>
          <w:color w:val="16191F"/>
          <w:u w:color="16191F"/>
          <w:shd w:val="clear" w:color="auto" w:fill="FFFFFF"/>
        </w:rPr>
      </w:pPr>
      <w:r>
        <w:rPr>
          <w:rFonts w:ascii="Helvetica Neue" w:hAnsi="Helvetica Neue"/>
          <w:color w:val="16191F"/>
          <w:u w:color="16191F"/>
          <w:shd w:val="clear" w:color="auto" w:fill="FFFFFF"/>
        </w:rPr>
        <w:t xml:space="preserve">As has been previously noted, state-making generally is the process of developing the institutions and mechanisms that allow a state to maintain its territorial integrity, assert the monopoly of violence, and </w:t>
      </w:r>
      <w:r>
        <w:rPr>
          <w:rFonts w:ascii="Helvetica Neue" w:hAnsi="Helvetica Neue"/>
          <w:color w:val="16191F"/>
          <w:u w:color="16191F"/>
          <w:shd w:val="clear" w:color="auto" w:fill="FFFFFF"/>
        </w:rPr>
        <w:lastRenderedPageBreak/>
        <w:t>extract the resources that enable it to do so. The nineteenth century saw the rise of “</w:t>
      </w:r>
      <w:r w:rsidRPr="008A2841">
        <w:rPr>
          <w:rFonts w:ascii="Helvetica Neue" w:hAnsi="Helvetica Neue"/>
          <w:color w:val="16191F"/>
          <w:u w:color="16191F"/>
          <w:shd w:val="clear" w:color="auto" w:fill="FFFFFF"/>
        </w:rPr>
        <w:t>m</w:t>
      </w:r>
      <w:r>
        <w:rPr>
          <w:rFonts w:ascii="Helvetica Neue" w:hAnsi="Helvetica Neue"/>
          <w:color w:val="16191F"/>
          <w:u w:color="16191F"/>
          <w:shd w:val="clear" w:color="auto" w:fill="FFFFFF"/>
        </w:rPr>
        <w:t xml:space="preserve">odern” states that met those criteria and in addition featured streamlined legal codes, like the Napoleonic Code of 1804 or the </w:t>
      </w:r>
      <w:r>
        <w:rPr>
          <w:rFonts w:ascii="Helvetica Neue" w:hAnsi="Helvetica Neue"/>
          <w:i/>
          <w:iCs/>
          <w:color w:val="16191F"/>
          <w:u w:color="16191F"/>
          <w:shd w:val="clear" w:color="auto" w:fill="FFFFFF"/>
        </w:rPr>
        <w:t xml:space="preserve">Allgemeines bürgerliches Gesetzbuch </w:t>
      </w:r>
      <w:r>
        <w:rPr>
          <w:rFonts w:ascii="Helvetica Neue" w:hAnsi="Helvetica Neue"/>
          <w:color w:val="16191F"/>
          <w:u w:color="16191F"/>
          <w:shd w:val="clear" w:color="auto" w:fill="FFFFFF"/>
        </w:rPr>
        <w:t>(General Civil Code) of 1811.</w:t>
      </w:r>
      <w:r>
        <w:rPr>
          <w:rFonts w:ascii="Helvetica Neue" w:eastAsia="Helvetica Neue" w:hAnsi="Helvetica Neue" w:cs="Helvetica Neue"/>
          <w:color w:val="16191F"/>
          <w:u w:color="16191F"/>
          <w:shd w:val="clear" w:color="auto" w:fill="FFFFFF"/>
          <w:vertAlign w:val="superscript"/>
        </w:rPr>
        <w:footnoteReference w:id="58"/>
      </w:r>
      <w:r>
        <w:rPr>
          <w:rFonts w:ascii="Helvetica Neue" w:hAnsi="Helvetica Neue"/>
          <w:color w:val="16191F"/>
          <w:u w:color="16191F"/>
          <w:shd w:val="clear" w:color="auto" w:fill="FFFFFF"/>
        </w:rPr>
        <w:t xml:space="preserve"> They also featured high degrees of centralization and relatively developed industrial economies. Habsburg Austria broadly met these criteria, but the Austro-Hungarian Empire did not.</w:t>
      </w:r>
      <w:r>
        <w:rPr>
          <w:rFonts w:ascii="Helvetica Neue" w:eastAsia="Helvetica Neue" w:hAnsi="Helvetica Neue" w:cs="Helvetica Neue"/>
          <w:color w:val="16191F"/>
          <w:u w:color="16191F"/>
          <w:shd w:val="clear" w:color="auto" w:fill="FFFFFF"/>
          <w:vertAlign w:val="superscript"/>
        </w:rPr>
        <w:footnoteReference w:id="59"/>
      </w:r>
      <w:r>
        <w:rPr>
          <w:rFonts w:ascii="Helvetica Neue" w:hAnsi="Helvetica Neue"/>
          <w:color w:val="16191F"/>
          <w:u w:color="16191F"/>
          <w:shd w:val="clear" w:color="auto" w:fill="FFFFFF"/>
        </w:rPr>
        <w:t xml:space="preserve"> </w:t>
      </w:r>
    </w:p>
    <w:p w:rsidR="001D0A78" w:rsidRDefault="001D0A78" w:rsidP="001D0A78">
      <w:pPr>
        <w:pStyle w:val="BodyB"/>
        <w:tabs>
          <w:tab w:val="left" w:pos="720"/>
          <w:tab w:val="left" w:pos="1440"/>
          <w:tab w:val="left" w:pos="2160"/>
          <w:tab w:val="left" w:pos="2880"/>
          <w:tab w:val="left" w:pos="3600"/>
          <w:tab w:val="left" w:pos="4320"/>
        </w:tabs>
        <w:spacing w:line="480" w:lineRule="auto"/>
        <w:ind w:firstLine="360"/>
        <w:rPr>
          <w:rFonts w:ascii="Helvetica Neue" w:eastAsia="Helvetica Neue" w:hAnsi="Helvetica Neue" w:cs="Helvetica Neue"/>
          <w:color w:val="16191F"/>
          <w:u w:color="16191F"/>
          <w:shd w:val="clear" w:color="auto" w:fill="FFFFFF"/>
        </w:rPr>
      </w:pPr>
      <w:r>
        <w:rPr>
          <w:rFonts w:ascii="Helvetica Neue" w:hAnsi="Helvetica Neue"/>
          <w:color w:val="16191F"/>
          <w:u w:color="16191F"/>
          <w:shd w:val="clear" w:color="auto" w:fill="FFFFFF"/>
        </w:rPr>
        <w:t xml:space="preserve">This chapter begins with the results of the 1867 </w:t>
      </w:r>
      <w:r>
        <w:rPr>
          <w:rFonts w:ascii="Helvetica Neue" w:hAnsi="Helvetica Neue"/>
          <w:i/>
          <w:iCs/>
          <w:color w:val="16191F"/>
          <w:u w:color="16191F"/>
          <w:shd w:val="clear" w:color="auto" w:fill="FFFFFF"/>
        </w:rPr>
        <w:t>Ausgleich</w:t>
      </w:r>
      <w:r>
        <w:rPr>
          <w:rFonts w:ascii="Helvetica Neue" w:hAnsi="Helvetica Neue"/>
          <w:color w:val="16191F"/>
          <w:u w:color="16191F"/>
          <w:shd w:val="clear" w:color="auto" w:fill="FFFFFF"/>
        </w:rPr>
        <w:t xml:space="preserve"> constitution that formally divided the Empire into two halves at a moment of considerable weakness. After the devastating Habsburg Austrian defeat in 1866 at the Battle of Königgrätz, Emperor Franz Josef sought to bind the empire together, lest the Hungarians seek independence or to replace him with another monarch.</w:t>
      </w:r>
      <w:r>
        <w:rPr>
          <w:rFonts w:ascii="Helvetica Neue" w:eastAsia="Helvetica Neue" w:hAnsi="Helvetica Neue" w:cs="Helvetica Neue"/>
          <w:color w:val="16191F"/>
          <w:u w:color="16191F"/>
          <w:shd w:val="clear" w:color="auto" w:fill="FFFFFF"/>
          <w:vertAlign w:val="superscript"/>
        </w:rPr>
        <w:footnoteReference w:id="60"/>
      </w:r>
      <w:r>
        <w:rPr>
          <w:rFonts w:ascii="Helvetica Neue" w:hAnsi="Helvetica Neue"/>
          <w:color w:val="16191F"/>
          <w:u w:color="16191F"/>
          <w:shd w:val="clear" w:color="auto" w:fill="FFFFFF"/>
        </w:rPr>
        <w:t xml:space="preserve"> With an incredibly weak negotiating position resulting from the Austrian defeat at </w:t>
      </w:r>
      <w:r>
        <w:rPr>
          <w:rFonts w:ascii="Helvetica Neue" w:hAnsi="Helvetica Neue"/>
          <w:color w:val="16191F"/>
          <w:u w:color="16191F"/>
          <w:shd w:val="clear" w:color="auto" w:fill="FFFFFF"/>
        </w:rPr>
        <w:lastRenderedPageBreak/>
        <w:t>Königgrätz, he lacked the ability to create the centralizing, modern state that might have overcome the domestic, economic, and international challenges that the Empire faced in 1867.</w:t>
      </w:r>
      <w:r w:rsidRPr="008A2841">
        <w:rPr>
          <w:rFonts w:ascii="Helvetica Neue" w:hAnsi="Helvetica Neue"/>
          <w:color w:val="16191F"/>
          <w:u w:color="16191F"/>
          <w:shd w:val="clear" w:color="auto" w:fill="FFFFFF"/>
        </w:rPr>
        <w:t xml:space="preserve"> </w:t>
      </w:r>
      <w:r>
        <w:rPr>
          <w:rFonts w:ascii="Helvetica Neue" w:hAnsi="Helvetica Neue"/>
          <w:color w:val="16191F"/>
          <w:u w:color="16191F"/>
          <w:shd w:val="clear" w:color="auto" w:fill="FFFFFF"/>
        </w:rPr>
        <w:t>Instead, the bifurcated and confederal nature of the Austro-Hungarian state resulted in decentralized and fractious polities, policies that hindered industrialization and development, and an ever worsening position within the European concert</w:t>
      </w:r>
      <w:r w:rsidRPr="008A2841">
        <w:rPr>
          <w:rFonts w:ascii="Helvetica Neue" w:hAnsi="Helvetica Neue"/>
          <w:color w:val="16191F"/>
          <w:u w:color="16191F"/>
          <w:shd w:val="clear" w:color="auto" w:fill="FFFFFF"/>
        </w:rPr>
        <w:t xml:space="preserve"> which altogether</w:t>
      </w:r>
      <w:r>
        <w:rPr>
          <w:rFonts w:ascii="Helvetica Neue" w:hAnsi="Helvetica Neue"/>
          <w:color w:val="16191F"/>
          <w:u w:color="16191F"/>
          <w:shd w:val="clear" w:color="auto" w:fill="FFFFFF"/>
        </w:rPr>
        <w:t xml:space="preserve"> prevented state-making and instead resulted in state-breakdown. </w:t>
      </w:r>
    </w:p>
    <w:p w:rsidR="001D0A78" w:rsidRDefault="001D0A78" w:rsidP="001D0A78">
      <w:pPr>
        <w:pStyle w:val="BodyB"/>
        <w:tabs>
          <w:tab w:val="left" w:pos="720"/>
          <w:tab w:val="left" w:pos="1440"/>
          <w:tab w:val="left" w:pos="2160"/>
          <w:tab w:val="left" w:pos="2880"/>
          <w:tab w:val="left" w:pos="3600"/>
          <w:tab w:val="left" w:pos="4320"/>
        </w:tabs>
        <w:spacing w:line="480" w:lineRule="auto"/>
        <w:ind w:firstLine="360"/>
        <w:rPr>
          <w:rFonts w:ascii="Helvetica Neue" w:eastAsia="Helvetica Neue" w:hAnsi="Helvetica Neue" w:cs="Helvetica Neue"/>
          <w:color w:val="16191F"/>
          <w:u w:color="16191F"/>
          <w:shd w:val="clear" w:color="auto" w:fill="FFFFFF"/>
        </w:rPr>
      </w:pPr>
      <w:r>
        <w:rPr>
          <w:rFonts w:ascii="Helvetica Neue" w:hAnsi="Helvetica Neue"/>
          <w:color w:val="16191F"/>
          <w:u w:color="16191F"/>
          <w:shd w:val="clear" w:color="auto" w:fill="FFFFFF"/>
        </w:rPr>
        <w:t>State-making in Habsburg Austria was a response to crises, in the previous chapter, the Thirty Years War being the best example. In the period between 1648 and 1867, that continued to be the case. The efforts of the “Enlightened Absolutists” in the intervening two centuries did not alter this pattern. Maria Theresia’s near defeat in the Wars of the 1740s was the event that spurred both her own and her son’s efforts at the creation of a truly unified and cohesive Habsburg Austrian state.</w:t>
      </w:r>
      <w:r>
        <w:rPr>
          <w:rFonts w:ascii="Helvetica Neue" w:eastAsia="Helvetica Neue" w:hAnsi="Helvetica Neue" w:cs="Helvetica Neue"/>
          <w:color w:val="16191F"/>
          <w:u w:color="16191F"/>
          <w:shd w:val="clear" w:color="auto" w:fill="FFFFFF"/>
          <w:vertAlign w:val="superscript"/>
        </w:rPr>
        <w:footnoteReference w:id="61"/>
      </w:r>
      <w:r>
        <w:rPr>
          <w:rFonts w:ascii="Helvetica Neue" w:hAnsi="Helvetica Neue"/>
          <w:color w:val="16191F"/>
          <w:u w:color="16191F"/>
          <w:shd w:val="clear" w:color="auto" w:fill="FFFFFF"/>
        </w:rPr>
        <w:t xml:space="preserve"> It is impossible to know with certainty, but perhaps not unreasonable to </w:t>
      </w:r>
      <w:r>
        <w:rPr>
          <w:rFonts w:ascii="Helvetica Neue" w:hAnsi="Helvetica Neue"/>
          <w:color w:val="16191F"/>
          <w:u w:color="16191F"/>
          <w:shd w:val="clear" w:color="auto" w:fill="FFFFFF"/>
        </w:rPr>
        <w:lastRenderedPageBreak/>
        <w:t>imagine that Habsburg Austria might have vanished without that and other near-death experiences to drive state-making forward.</w:t>
      </w:r>
      <w:r>
        <w:rPr>
          <w:rFonts w:ascii="Helvetica Neue" w:eastAsia="Helvetica Neue" w:hAnsi="Helvetica Neue" w:cs="Helvetica Neue"/>
          <w:color w:val="16191F"/>
          <w:u w:color="16191F"/>
          <w:shd w:val="clear" w:color="auto" w:fill="FFFFFF"/>
          <w:vertAlign w:val="superscript"/>
        </w:rPr>
        <w:footnoteReference w:id="62"/>
      </w:r>
      <w:r>
        <w:rPr>
          <w:rFonts w:ascii="Helvetica Neue" w:hAnsi="Helvetica Neue"/>
          <w:color w:val="16191F"/>
          <w:u w:color="16191F"/>
          <w:shd w:val="clear" w:color="auto" w:fill="FFFFFF"/>
        </w:rPr>
        <w:t xml:space="preserve"> </w:t>
      </w:r>
    </w:p>
    <w:p w:rsidR="001D0A78" w:rsidRDefault="001D0A78" w:rsidP="001D0A78">
      <w:pPr>
        <w:pStyle w:val="BodyB"/>
        <w:tabs>
          <w:tab w:val="left" w:pos="720"/>
          <w:tab w:val="left" w:pos="1440"/>
          <w:tab w:val="left" w:pos="2160"/>
          <w:tab w:val="left" w:pos="2880"/>
          <w:tab w:val="left" w:pos="3600"/>
          <w:tab w:val="left" w:pos="4320"/>
        </w:tabs>
        <w:spacing w:line="480" w:lineRule="auto"/>
        <w:ind w:firstLine="360"/>
        <w:rPr>
          <w:rFonts w:ascii="Helvetica Neue" w:eastAsia="Helvetica Neue" w:hAnsi="Helvetica Neue" w:cs="Helvetica Neue"/>
          <w:color w:val="16191F"/>
          <w:u w:color="16191F"/>
          <w:shd w:val="clear" w:color="auto" w:fill="FFFFFF"/>
        </w:rPr>
      </w:pPr>
      <w:r>
        <w:rPr>
          <w:rFonts w:ascii="Helvetica Neue" w:hAnsi="Helvetica Neue"/>
          <w:color w:val="16191F"/>
          <w:u w:color="16191F"/>
          <w:shd w:val="clear" w:color="auto" w:fill="FFFFFF"/>
        </w:rPr>
        <w:t xml:space="preserve">What makes the case of 1867-1914 different from previous cases where crises inspired state-making was that the logic of Austro-Hungarian governance had become fixed on the idea of holding the empire together at all costs, not building a stronger state in order to more effectively exercise state power. Imagine for a minute the position of the Austro-Hungarian Emperor in 1867: he had lost any claim to leadership within the German nation after the Battle of Königgrätz, as Hohenzollern Prussia established itself as the preeminent German power. Only seven years previously at the Battle of </w:t>
      </w:r>
      <w:r>
        <w:rPr>
          <w:rFonts w:ascii="Helvetica Neue" w:hAnsi="Helvetica Neue"/>
          <w:color w:val="16191F"/>
          <w:u w:color="16191F"/>
          <w:shd w:val="clear" w:color="auto" w:fill="FFFFFF"/>
          <w:lang w:val="it-IT"/>
        </w:rPr>
        <w:t>Solferino</w:t>
      </w:r>
      <w:r>
        <w:rPr>
          <w:rFonts w:ascii="Helvetica Neue" w:hAnsi="Helvetica Neue"/>
          <w:color w:val="16191F"/>
          <w:u w:color="16191F"/>
          <w:shd w:val="clear" w:color="auto" w:fill="FFFFFF"/>
        </w:rPr>
        <w:t xml:space="preserve">, he himself in command of his own army, he oversaw a defeat which lost the considerable wealth and prestige of Milan and Austrian Lombardy. These defeats were considered to have been severe blows to the prestige of the Habsburg Monarchy itself (“zur Ehre Meines Hauses,” “for the honor of my Imperial House”) and no doubt to Franz Josef </w:t>
      </w:r>
      <w:r>
        <w:rPr>
          <w:rFonts w:ascii="Helvetica Neue" w:hAnsi="Helvetica Neue"/>
          <w:color w:val="16191F"/>
          <w:u w:color="16191F"/>
          <w:shd w:val="clear" w:color="auto" w:fill="FFFFFF"/>
        </w:rPr>
        <w:lastRenderedPageBreak/>
        <w:t>personally.</w:t>
      </w:r>
      <w:r>
        <w:rPr>
          <w:rFonts w:ascii="Helvetica Neue" w:eastAsia="Helvetica Neue" w:hAnsi="Helvetica Neue" w:cs="Helvetica Neue"/>
          <w:color w:val="16191F"/>
          <w:u w:color="16191F"/>
          <w:shd w:val="clear" w:color="auto" w:fill="FFFFFF"/>
          <w:vertAlign w:val="superscript"/>
        </w:rPr>
        <w:footnoteReference w:id="63"/>
      </w:r>
      <w:r>
        <w:rPr>
          <w:rFonts w:ascii="Helvetica Neue" w:hAnsi="Helvetica Neue"/>
          <w:color w:val="16191F"/>
          <w:u w:color="16191F"/>
          <w:shd w:val="clear" w:color="auto" w:fill="FFFFFF"/>
        </w:rPr>
        <w:t xml:space="preserve"> Given these circumstances, choosing a painful and ultimately disadvantageous political compromise with Hungary in order to hold the remaining kingdoms of Habsburg Central Europe together over the short to medium term appears reasonable. As the state-making in Austria was contingent on a monarch using crisis to drive the process forward, the warped political logic of post-1867 Austria prevented this from happening.</w:t>
      </w:r>
    </w:p>
    <w:p w:rsidR="001D0A78" w:rsidRDefault="001D0A78" w:rsidP="001D0A78">
      <w:pPr>
        <w:pStyle w:val="BodyB"/>
        <w:tabs>
          <w:tab w:val="left" w:pos="720"/>
          <w:tab w:val="left" w:pos="1440"/>
          <w:tab w:val="left" w:pos="2160"/>
          <w:tab w:val="left" w:pos="2880"/>
          <w:tab w:val="left" w:pos="3600"/>
          <w:tab w:val="left" w:pos="4320"/>
        </w:tabs>
        <w:spacing w:line="480" w:lineRule="auto"/>
        <w:ind w:firstLine="360"/>
        <w:rPr>
          <w:rFonts w:ascii="Helvetica Neue" w:eastAsia="Helvetica Neue" w:hAnsi="Helvetica Neue" w:cs="Helvetica Neue"/>
          <w:color w:val="16191F"/>
          <w:u w:color="16191F"/>
          <w:shd w:val="clear" w:color="auto" w:fill="FFFFFF"/>
        </w:rPr>
      </w:pPr>
    </w:p>
    <w:p w:rsidR="001D0A78" w:rsidRDefault="001D0A78" w:rsidP="001D0A78">
      <w:pPr>
        <w:pStyle w:val="BodyB"/>
        <w:tabs>
          <w:tab w:val="left" w:pos="720"/>
          <w:tab w:val="left" w:pos="1440"/>
          <w:tab w:val="left" w:pos="2160"/>
          <w:tab w:val="left" w:pos="2880"/>
          <w:tab w:val="left" w:pos="3600"/>
          <w:tab w:val="left" w:pos="4320"/>
        </w:tabs>
        <w:spacing w:line="480" w:lineRule="auto"/>
        <w:ind w:firstLine="360"/>
        <w:rPr>
          <w:rFonts w:ascii="Helvetica Neue" w:eastAsia="Helvetica Neue" w:hAnsi="Helvetica Neue" w:cs="Helvetica Neue"/>
          <w:color w:val="16191F"/>
          <w:u w:color="16191F"/>
          <w:shd w:val="clear" w:color="auto" w:fill="FFFFFF"/>
        </w:rPr>
      </w:pPr>
    </w:p>
    <w:p w:rsidR="001D0A78" w:rsidRDefault="001D0A78" w:rsidP="001D0A78">
      <w:pPr>
        <w:pStyle w:val="BodyB"/>
        <w:tabs>
          <w:tab w:val="left" w:pos="720"/>
          <w:tab w:val="left" w:pos="1440"/>
          <w:tab w:val="left" w:pos="2160"/>
          <w:tab w:val="left" w:pos="2880"/>
          <w:tab w:val="left" w:pos="3600"/>
          <w:tab w:val="left" w:pos="4320"/>
        </w:tabs>
        <w:spacing w:line="480" w:lineRule="auto"/>
        <w:ind w:firstLine="360"/>
        <w:rPr>
          <w:rFonts w:ascii="Helvetica Neue" w:eastAsia="Helvetica Neue" w:hAnsi="Helvetica Neue" w:cs="Helvetica Neue"/>
          <w:color w:val="16191F"/>
          <w:u w:color="16191F"/>
          <w:shd w:val="clear" w:color="auto" w:fill="FFFFFF"/>
        </w:rPr>
      </w:pP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rPr>
          <w:rFonts w:ascii="Helvetica Neue" w:eastAsia="Helvetica Neue" w:hAnsi="Helvetica Neue" w:cs="Helvetica Neue"/>
        </w:rPr>
      </w:pPr>
      <w:r>
        <w:rPr>
          <w:rFonts w:ascii="Helvetica Neue" w:hAnsi="Helvetica Neue"/>
          <w:b/>
          <w:bCs/>
        </w:rPr>
        <w:t>The Ausgleich and Political Dysfunction</w:t>
      </w: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Pr>
          <w:rFonts w:ascii="Helvetica Neue" w:hAnsi="Helvetica Neue"/>
        </w:rPr>
        <w:t xml:space="preserve">During his 1890s tour through Europe, Mark Twain spent a year in Vienna, improving his German and circulating within the higher ranks of Viennese society. Thanks to his social connections, Twain obtained a coveted ticket to the Reichsrat public gallery, from which he observed </w:t>
      </w:r>
      <w:r>
        <w:rPr>
          <w:rFonts w:ascii="Helvetica Neue" w:hAnsi="Helvetica Neue"/>
        </w:rPr>
        <w:lastRenderedPageBreak/>
        <w:t>the twelve-hour filibuster speech of German liberal Otto Lecher.</w:t>
      </w:r>
      <w:r>
        <w:rPr>
          <w:rFonts w:ascii="Helvetica Neue" w:eastAsia="Helvetica Neue" w:hAnsi="Helvetica Neue" w:cs="Helvetica Neue"/>
          <w:vertAlign w:val="superscript"/>
        </w:rPr>
        <w:footnoteReference w:id="64"/>
      </w:r>
      <w:r>
        <w:rPr>
          <w:rFonts w:ascii="Helvetica Neue" w:hAnsi="Helvetica Neue"/>
        </w:rPr>
        <w:t xml:space="preserve"> Lecher’s opposition to a bill allowing for Czech to be used by Czech speakers in the course of conducting government business encapsulated Austria-Hungary’s domestic political crisis. What should have been a relatively simple and uncontroversial reform became incredibly polarizing and a cause for riots across the German speaking Austrian territories, resulting in the use of the army and the suspension of </w:t>
      </w:r>
      <w:r w:rsidRPr="008A2841">
        <w:rPr>
          <w:rFonts w:ascii="Helvetica Neue" w:hAnsi="Helvetica Neue"/>
        </w:rPr>
        <w:t>“</w:t>
      </w:r>
      <w:r>
        <w:rPr>
          <w:rFonts w:ascii="Helvetica Neue" w:hAnsi="Helvetica Neue"/>
        </w:rPr>
        <w:t>normal</w:t>
      </w:r>
      <w:r w:rsidRPr="008A2841">
        <w:rPr>
          <w:rFonts w:ascii="Helvetica Neue" w:hAnsi="Helvetica Neue"/>
        </w:rPr>
        <w:t>”</w:t>
      </w:r>
      <w:r>
        <w:rPr>
          <w:rFonts w:ascii="Helvetica Neue" w:hAnsi="Helvetica Neue"/>
        </w:rPr>
        <w:t xml:space="preserve"> political life until 1907. The problem was not only the absence of a common national idea, it was that the bifurcated structure of domestic politics exacerbated this absence by magnitudes, especially when combined with evermore polarized political elites who sought to outflank their opponents through ever more extreme positions. In the Hungarian half, these problems were frustrated by the additional goal of asserting Magyar ethnic superiority.</w:t>
      </w: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Pr>
          <w:rFonts w:ascii="Helvetica Neue" w:hAnsi="Helvetica Neue"/>
        </w:rPr>
        <w:t xml:space="preserve">It is hard to imagine a less happy or functional institutional arrangement than Austria-Hungary’s in 1867. From his ascent to the throne in the midst of revolution in 1848, Emperor Franz Josef had </w:t>
      </w:r>
      <w:r>
        <w:rPr>
          <w:rFonts w:ascii="Helvetica Neue" w:hAnsi="Helvetica Neue"/>
        </w:rPr>
        <w:lastRenderedPageBreak/>
        <w:t>promulgated a series of constitutions aimed less at reforming and streamlining the functioning of the state and more at ensuring the stability and continuity of quasi-absolutist government. At the same time, Austria engaged in a renewed struggle over the future of the German speaking lands as a whole, seeking to maintain the equilibrium that had existed since 1815, in opposition to the Prussian drive for hegemony over the non-Austrian lands.</w:t>
      </w:r>
      <w:r>
        <w:rPr>
          <w:rFonts w:ascii="Helvetica Neue" w:eastAsia="Helvetica Neue" w:hAnsi="Helvetica Neue" w:cs="Helvetica Neue"/>
          <w:vertAlign w:val="superscript"/>
        </w:rPr>
        <w:footnoteReference w:id="65"/>
      </w:r>
      <w:r>
        <w:rPr>
          <w:rFonts w:ascii="Helvetica Neue" w:hAnsi="Helvetica Neue"/>
        </w:rPr>
        <w:t xml:space="preserve"> However, Austria’s crippling defeat during the</w:t>
      </w:r>
      <w:r w:rsidRPr="008A2841">
        <w:rPr>
          <w:rFonts w:ascii="Helvetica Neue" w:hAnsi="Helvetica Neue"/>
        </w:rPr>
        <w:t xml:space="preserve"> 1866 </w:t>
      </w:r>
      <w:r>
        <w:rPr>
          <w:rFonts w:ascii="Helvetica Neue" w:hAnsi="Helvetica Neue"/>
        </w:rPr>
        <w:t>Battle of Königgrätz effectively settled this question, as it revealed the deficiencies of Austro-Hungarian power.</w:t>
      </w:r>
      <w:r>
        <w:rPr>
          <w:rFonts w:ascii="Helvetica Neue" w:eastAsia="Helvetica Neue" w:hAnsi="Helvetica Neue" w:cs="Helvetica Neue"/>
          <w:vertAlign w:val="superscript"/>
        </w:rPr>
        <w:footnoteReference w:id="66"/>
      </w:r>
      <w:r>
        <w:rPr>
          <w:rFonts w:ascii="Helvetica Neue" w:hAnsi="Helvetica Neue"/>
        </w:rPr>
        <w:t xml:space="preserve"> When confronted with superior force, the Habsburg Army did not stand to fight, but crumbled, hardly a cause to rally Hungarian peasants or Czech factory workers around.</w:t>
      </w:r>
      <w:r>
        <w:rPr>
          <w:rFonts w:ascii="Helvetica Neue" w:eastAsia="Helvetica Neue" w:hAnsi="Helvetica Neue" w:cs="Helvetica Neue"/>
          <w:vertAlign w:val="superscript"/>
        </w:rPr>
        <w:footnoteReference w:id="67"/>
      </w: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Pr>
          <w:rFonts w:ascii="Helvetica Neue" w:hAnsi="Helvetica Neue"/>
        </w:rPr>
        <w:t xml:space="preserve">Having lost both the small German states that were historical Habsburg allies and centuries of Habsburg claims to authority as leaders of the German nation, Franz Josef was forced to agree to whatever his Hungarian nobles demanded, in order that they not </w:t>
      </w:r>
      <w:r>
        <w:rPr>
          <w:rFonts w:ascii="Helvetica Neue" w:hAnsi="Helvetica Neue"/>
        </w:rPr>
        <w:lastRenderedPageBreak/>
        <w:t>fracture the entire Empire.</w:t>
      </w:r>
      <w:r>
        <w:rPr>
          <w:rFonts w:ascii="Helvetica Neue" w:eastAsia="Helvetica Neue" w:hAnsi="Helvetica Neue" w:cs="Helvetica Neue"/>
          <w:vertAlign w:val="superscript"/>
        </w:rPr>
        <w:footnoteReference w:id="68"/>
      </w:r>
      <w:r>
        <w:rPr>
          <w:rFonts w:ascii="Helvetica Neue" w:hAnsi="Helvetica Neue"/>
        </w:rPr>
        <w:t xml:space="preserve"> What they received in the 1867 </w:t>
      </w:r>
      <w:r>
        <w:rPr>
          <w:rFonts w:ascii="Helvetica Neue" w:hAnsi="Helvetica Neue"/>
          <w:i/>
          <w:iCs/>
        </w:rPr>
        <w:t xml:space="preserve">Ausgleich </w:t>
      </w:r>
      <w:r>
        <w:rPr>
          <w:rFonts w:ascii="Helvetica Neue" w:hAnsi="Helvetica Neue"/>
        </w:rPr>
        <w:t xml:space="preserve">(Compromise) Constitution was exactly that. Gone was any pretension to a unified state, but instead two states in a kind of loose confederation with a common ruler and shared ministries for common finances, foreign affairs, and war. </w:t>
      </w:r>
      <w:r w:rsidRPr="008A2841">
        <w:rPr>
          <w:rFonts w:ascii="Helvetica Neue" w:hAnsi="Helvetica Neue"/>
        </w:rPr>
        <w:t>Both halves of the monarchy</w:t>
      </w:r>
      <w:r>
        <w:rPr>
          <w:rFonts w:ascii="Helvetica Neue" w:hAnsi="Helvetica Neue"/>
        </w:rPr>
        <w:t xml:space="preserve"> paid into a common budget, the </w:t>
      </w:r>
      <w:r>
        <w:rPr>
          <w:rFonts w:ascii="Helvetica Neue" w:hAnsi="Helvetica Neue"/>
          <w:i/>
          <w:iCs/>
          <w:lang w:val="it-IT"/>
        </w:rPr>
        <w:t>Quota</w:t>
      </w:r>
      <w:r>
        <w:rPr>
          <w:rFonts w:ascii="Helvetica Neue" w:hAnsi="Helvetica Neue"/>
        </w:rPr>
        <w:t xml:space="preserve">, but wildly disproportionately in Hungary’s favor. State debts that were accumulated to the benefit of both Austria and Hungary under the prior system were made more or less the exclusive burden of Austrian finances. </w:t>
      </w: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Pr>
          <w:rFonts w:ascii="Helvetica Neue" w:hAnsi="Helvetica Neue"/>
        </w:rPr>
        <w:t xml:space="preserve">The political logic of the post-1867 Austro-Hungarian order prevented the creation of effective political institutions that could effectively manage the problems the state faced, for fear of instability that could break the fragile whole. Instead of building itself up, as unified Prussian Germany succeeded in doing after 1871, it was cleaved into </w:t>
      </w:r>
      <w:r>
        <w:rPr>
          <w:rFonts w:ascii="Helvetica Neue" w:hAnsi="Helvetica Neue"/>
        </w:rPr>
        <w:lastRenderedPageBreak/>
        <w:t>two unequal halves. Austria, ruled from Vienna, was able to build domestic institutions that could encourage a high degree of political and economic development, though inequality between the national groups was a constant source of tension.</w:t>
      </w:r>
      <w:r>
        <w:rPr>
          <w:rFonts w:ascii="Helvetica Neue" w:eastAsia="Helvetica Neue" w:hAnsi="Helvetica Neue" w:cs="Helvetica Neue"/>
          <w:vertAlign w:val="superscript"/>
        </w:rPr>
        <w:footnoteReference w:id="69"/>
      </w:r>
      <w:r>
        <w:rPr>
          <w:rFonts w:ascii="Helvetica Neue" w:hAnsi="Helvetica Neue"/>
        </w:rPr>
        <w:t xml:space="preserve"> The Hungarian half was ruled by elites obsessed with “Magyarization,” constant assertion of the proclaimed legal, political, and cultural superiority of Hungarian as the </w:t>
      </w:r>
      <w:r>
        <w:rPr>
          <w:rFonts w:ascii="Helvetica Neue" w:hAnsi="Helvetica Neue"/>
          <w:i/>
          <w:iCs/>
          <w:lang w:val="it-IT"/>
        </w:rPr>
        <w:t>lingua franca</w:t>
      </w:r>
      <w:r>
        <w:rPr>
          <w:rFonts w:ascii="Helvetica Neue" w:hAnsi="Helvetica Neue"/>
        </w:rPr>
        <w:t xml:space="preserve"> within their borders, to the detriment of the half of their population that did not consider themselves Hungarian. Magyarization discouraged the teaching of non-Hungarian languages in schools, as reflected in the literacy rate. In 1910, Hungary reported that around twenty-eight percent of the population was illiterate, compared to sixteen percent in the Austrian half. In another multiethnic state, Belgium, only thirteen percent were illiterate.</w:t>
      </w:r>
      <w:r>
        <w:rPr>
          <w:rFonts w:ascii="Helvetica Neue" w:eastAsia="Helvetica Neue" w:hAnsi="Helvetica Neue" w:cs="Helvetica Neue"/>
          <w:vertAlign w:val="superscript"/>
        </w:rPr>
        <w:footnoteReference w:id="70"/>
      </w:r>
      <w:r>
        <w:rPr>
          <w:rFonts w:ascii="Helvetica Neue" w:hAnsi="Helvetica Neue"/>
        </w:rPr>
        <w:t xml:space="preserve"> Domestic political </w:t>
      </w:r>
      <w:r>
        <w:rPr>
          <w:rFonts w:ascii="Helvetica Neue" w:hAnsi="Helvetica Neue"/>
        </w:rPr>
        <w:lastRenderedPageBreak/>
        <w:t>development occurred in Hungary, though not nearly as deeply as in the Austrian portion, partially due to Magyarization’s obsessive drive for uniformity.</w:t>
      </w:r>
      <w:r>
        <w:rPr>
          <w:rFonts w:ascii="Helvetica Neue" w:eastAsia="Helvetica Neue" w:hAnsi="Helvetica Neue" w:cs="Helvetica Neue"/>
          <w:vertAlign w:val="superscript"/>
        </w:rPr>
        <w:footnoteReference w:id="71"/>
      </w: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Pr>
          <w:rFonts w:ascii="Helvetica Neue" w:hAnsi="Helvetica Neue"/>
        </w:rPr>
        <w:t>Those institutions</w:t>
      </w:r>
      <w:r w:rsidRPr="008A2841">
        <w:rPr>
          <w:rFonts w:ascii="Helvetica Neue" w:hAnsi="Helvetica Neue"/>
        </w:rPr>
        <w:t xml:space="preserve"> within Habsburg Austria</w:t>
      </w:r>
      <w:r>
        <w:rPr>
          <w:rFonts w:ascii="Helvetica Neue" w:hAnsi="Helvetica Neue"/>
        </w:rPr>
        <w:t xml:space="preserve"> that could have provided effective domestic governance were</w:t>
      </w:r>
      <w:r w:rsidRPr="008A2841">
        <w:rPr>
          <w:rFonts w:ascii="Helvetica Neue" w:hAnsi="Helvetica Neue"/>
        </w:rPr>
        <w:t xml:space="preserve"> also</w:t>
      </w:r>
      <w:r>
        <w:rPr>
          <w:rFonts w:ascii="Helvetica Neue" w:hAnsi="Helvetica Neue"/>
        </w:rPr>
        <w:t xml:space="preserve"> divided along ethnic, religious, and political lines. The scenes that Mark Twain famously described in “</w:t>
      </w:r>
      <w:r>
        <w:rPr>
          <w:rFonts w:ascii="Helvetica Neue" w:hAnsi="Helvetica Neue"/>
          <w:lang w:val="nl-NL"/>
        </w:rPr>
        <w:t>Stirring Times in Austria</w:t>
      </w:r>
      <w:r>
        <w:rPr>
          <w:rFonts w:ascii="Helvetica Neue" w:hAnsi="Helvetica Neue"/>
        </w:rPr>
        <w:t>” were caused by only a small minority of German anti-Clerical Liberals from Bohemia.</w:t>
      </w:r>
      <w:r>
        <w:rPr>
          <w:rFonts w:ascii="Helvetica Neue" w:eastAsia="Helvetica Neue" w:hAnsi="Helvetica Neue" w:cs="Helvetica Neue"/>
          <w:vertAlign w:val="superscript"/>
        </w:rPr>
        <w:footnoteReference w:id="72"/>
      </w:r>
      <w:r>
        <w:rPr>
          <w:rFonts w:ascii="Helvetica Neue" w:hAnsi="Helvetica Neue"/>
        </w:rPr>
        <w:t xml:space="preserve"> The 1875 </w:t>
      </w:r>
      <w:r>
        <w:rPr>
          <w:rFonts w:ascii="Helvetica Neue" w:hAnsi="Helvetica Neue"/>
          <w:i/>
          <w:iCs/>
        </w:rPr>
        <w:t>Reichsrat</w:t>
      </w:r>
      <w:r>
        <w:rPr>
          <w:rFonts w:ascii="Helvetica Neue" w:hAnsi="Helvetica Neue"/>
        </w:rPr>
        <w:t xml:space="preserve"> standing orders allowed a small minority of lawmakers to hold proceedings hostage with only a few votes. Of the 425 members of the </w:t>
      </w:r>
      <w:r>
        <w:rPr>
          <w:rFonts w:ascii="Helvetica Neue" w:hAnsi="Helvetica Neue"/>
          <w:i/>
          <w:iCs/>
        </w:rPr>
        <w:t>Abgeordnetenhaus</w:t>
      </w:r>
      <w:r>
        <w:rPr>
          <w:rFonts w:ascii="Helvetica Neue" w:hAnsi="Helvetica Neue"/>
        </w:rPr>
        <w:t>, only fifty were required to demand a roll-call vote on almost any matter that could last hours, only twenty for an emergency debate.</w:t>
      </w:r>
      <w:r>
        <w:rPr>
          <w:rFonts w:ascii="Helvetica Neue" w:eastAsia="Helvetica Neue" w:hAnsi="Helvetica Neue" w:cs="Helvetica Neue"/>
          <w:vertAlign w:val="superscript"/>
        </w:rPr>
        <w:footnoteReference w:id="73"/>
      </w:r>
      <w:r>
        <w:rPr>
          <w:rFonts w:ascii="Helvetica Neue" w:hAnsi="Helvetica Neue"/>
        </w:rPr>
        <w:t xml:space="preserve"> It was all too easy to block further proceedings for days, entangling parliament in a procedural morass. Minority parties within particular ethic groups sought to outflank their majorities by exacerbating ethnic conflict and blocking, as in the case of Otto Lecher, </w:t>
      </w:r>
      <w:r>
        <w:rPr>
          <w:rFonts w:ascii="Helvetica Neue" w:hAnsi="Helvetica Neue"/>
        </w:rPr>
        <w:lastRenderedPageBreak/>
        <w:t>compromise legislation that promised to improve the relative equality between ethnic groups.</w:t>
      </w:r>
      <w:r>
        <w:rPr>
          <w:rFonts w:ascii="Helvetica Neue" w:eastAsia="Helvetica Neue" w:hAnsi="Helvetica Neue" w:cs="Helvetica Neue"/>
          <w:vertAlign w:val="superscript"/>
        </w:rPr>
        <w:footnoteReference w:id="74"/>
      </w:r>
      <w:r>
        <w:rPr>
          <w:rFonts w:ascii="Helvetica Neue" w:hAnsi="Helvetica Neue"/>
        </w:rPr>
        <w:t xml:space="preserve"> </w:t>
      </w: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Pr>
          <w:rFonts w:ascii="Helvetica Neue" w:hAnsi="Helvetica Neue"/>
        </w:rPr>
        <w:t xml:space="preserve">The appalling position of Jews in Austro-Hungarian political life served to provide </w:t>
      </w:r>
      <w:r w:rsidRPr="008A2841">
        <w:rPr>
          <w:rFonts w:ascii="Helvetica Neue" w:hAnsi="Helvetica Neue"/>
        </w:rPr>
        <w:t xml:space="preserve">a kind of </w:t>
      </w:r>
      <w:r>
        <w:rPr>
          <w:rFonts w:ascii="Helvetica Neue" w:hAnsi="Helvetica Neue"/>
        </w:rPr>
        <w:t>cohesion to the political system. Their “function” as an “other” allowed non-Jews to portray them as something to be guarded against and compete on the basis of making the strongest appeals to antisemitism. Even where Jews were marginally accepted as leaders of the Socialist Party, their acceptance was contingent on hiding their Jewishness.</w:t>
      </w:r>
      <w:r>
        <w:rPr>
          <w:rFonts w:ascii="Helvetica Neue" w:eastAsia="Helvetica Neue" w:hAnsi="Helvetica Neue" w:cs="Helvetica Neue"/>
          <w:vertAlign w:val="superscript"/>
        </w:rPr>
        <w:footnoteReference w:id="75"/>
      </w:r>
      <w:r>
        <w:rPr>
          <w:rFonts w:ascii="Helvetica Neue" w:hAnsi="Helvetica Neue"/>
        </w:rPr>
        <w:t xml:space="preserve"> Efforts at “integration” into the German-Catholic social world were exemplified by the character of Dr. Goldenthal in </w:t>
      </w:r>
      <w:r>
        <w:rPr>
          <w:rFonts w:ascii="Helvetica Neue" w:hAnsi="Helvetica Neue"/>
          <w:i/>
          <w:iCs/>
        </w:rPr>
        <w:t>Dr. Bernhardi</w:t>
      </w:r>
      <w:r>
        <w:rPr>
          <w:rFonts w:ascii="Helvetica Neue" w:hAnsi="Helvetica Neue"/>
        </w:rPr>
        <w:t xml:space="preserve">: </w:t>
      </w:r>
      <w:r w:rsidRPr="008A2841">
        <w:rPr>
          <w:rFonts w:ascii="Helvetica Neue" w:hAnsi="Helvetica Neue"/>
        </w:rPr>
        <w:t xml:space="preserve">despite </w:t>
      </w:r>
      <w:r>
        <w:rPr>
          <w:rFonts w:ascii="Helvetica Neue" w:hAnsi="Helvetica Neue"/>
        </w:rPr>
        <w:t>conversion to Christianity, choosing to have your children educated at Jesuit schools, etc. converted Jews could never pass the impossible tests of the German nationalist anti-</w:t>
      </w:r>
      <w:r>
        <w:rPr>
          <w:rFonts w:ascii="Helvetica Neue" w:hAnsi="Helvetica Neue"/>
        </w:rPr>
        <w:lastRenderedPageBreak/>
        <w:t>Semites.</w:t>
      </w:r>
      <w:r>
        <w:rPr>
          <w:rFonts w:ascii="Helvetica Neue" w:eastAsia="Helvetica Neue" w:hAnsi="Helvetica Neue" w:cs="Helvetica Neue"/>
          <w:vertAlign w:val="superscript"/>
        </w:rPr>
        <w:footnoteReference w:id="76"/>
      </w:r>
      <w:r w:rsidRPr="008A2841">
        <w:rPr>
          <w:rFonts w:ascii="Helvetica Neue" w:hAnsi="Helvetica Neue"/>
        </w:rPr>
        <w:t xml:space="preserve"> Austrian Jews would always remain damned to second or third class status.</w:t>
      </w: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Pr>
          <w:rFonts w:ascii="Helvetica Neue" w:hAnsi="Helvetica Neue"/>
        </w:rPr>
        <w:t>Finally, efforts to reform the bureaucracy, for example the aforementioned Czech language reform, were constantly blocked by Lecher and others. Where it was possible for governments to carry reforms through, those reforms were only possible in conjunction with “pork-barrel” politics: the significant infrastructure investments of Prime Minister Ernest von Koerber’s 1902 “</w:t>
      </w:r>
      <w:r>
        <w:rPr>
          <w:rFonts w:ascii="Helvetica Neue" w:hAnsi="Helvetica Neue"/>
          <w:lang w:val="nl-NL"/>
        </w:rPr>
        <w:t>Koerber Plan</w:t>
      </w:r>
      <w:r>
        <w:rPr>
          <w:rFonts w:ascii="Helvetica Neue" w:hAnsi="Helvetica Neue"/>
        </w:rPr>
        <w:t>” were tied to future votes on administrative and constitutional reform.</w:t>
      </w:r>
      <w:r>
        <w:rPr>
          <w:rFonts w:ascii="Helvetica Neue" w:eastAsia="Helvetica Neue" w:hAnsi="Helvetica Neue" w:cs="Helvetica Neue"/>
          <w:vertAlign w:val="superscript"/>
        </w:rPr>
        <w:footnoteReference w:id="77"/>
      </w:r>
      <w:r>
        <w:rPr>
          <w:rFonts w:ascii="Helvetica Neue" w:hAnsi="Helvetica Neue"/>
        </w:rPr>
        <w:t xml:space="preserve"> </w:t>
      </w:r>
      <w:bookmarkStart w:id="2" w:name="Domestic_Political_Crisis"/>
      <w:r>
        <w:rPr>
          <w:rFonts w:ascii="Helvetica Neue" w:hAnsi="Helvetica Neue"/>
        </w:rPr>
        <w:t>It</w:t>
      </w:r>
      <w:bookmarkEnd w:id="2"/>
      <w:r>
        <w:rPr>
          <w:rFonts w:ascii="Helvetica Neue" w:hAnsi="Helvetica Neue"/>
        </w:rPr>
        <w:t xml:space="preserve"> should come as no surprise that the infrastructure projects passed easily, the political reforms not at all. </w:t>
      </w:r>
      <w:r>
        <w:rPr>
          <w:rFonts w:ascii="Helvetica Neue" w:hAnsi="Helvetica Neue"/>
        </w:rPr>
        <w:tab/>
      </w:r>
      <w:r>
        <w:rPr>
          <w:rFonts w:ascii="Helvetica Neue" w:hAnsi="Helvetica Neue"/>
        </w:rPr>
        <w:tab/>
      </w:r>
      <w:r>
        <w:rPr>
          <w:rFonts w:ascii="Helvetica Neue" w:hAnsi="Helvetica Neue"/>
        </w:rPr>
        <w:tab/>
      </w:r>
      <w:r>
        <w:rPr>
          <w:rFonts w:ascii="Helvetica Neue" w:hAnsi="Helvetica Neue"/>
        </w:rPr>
        <w:tab/>
      </w:r>
      <w:r>
        <w:rPr>
          <w:rFonts w:ascii="Helvetica Neue" w:hAnsi="Helvetica Neue"/>
        </w:rPr>
        <w:tab/>
      </w: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Pr>
          <w:rFonts w:ascii="Helvetica Neue" w:hAnsi="Helvetica Neue"/>
        </w:rPr>
        <w:t xml:space="preserve">In sum, Austria-Hungary’s bifurcated structure made internal governance difficult under the most ideal of circumstances. Religious, ethnic, and ideological cleavages divided the public, while extremist minorities sought to outflank their opponents, worsening polarization among political elites and the public. In the Austrian half of the empire, </w:t>
      </w:r>
      <w:r>
        <w:rPr>
          <w:rFonts w:ascii="Helvetica Neue" w:hAnsi="Helvetica Neue"/>
        </w:rPr>
        <w:lastRenderedPageBreak/>
        <w:t xml:space="preserve">domestic institutions were weak, resistant to reform, and often deadlocked by ethnic conflict. In Hungary, domestic institutions had the additional challenge of being subverted to the larger goal of asserting Magyar ethnic and cultural superiority, which hindered economic and political development, and inflamed ethnic division. </w:t>
      </w: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b/>
          <w:bCs/>
        </w:rPr>
      </w:pPr>
      <w:r w:rsidRPr="008A2841">
        <w:rPr>
          <w:rFonts w:ascii="Helvetica Neue" w:hAnsi="Helvetica Neue"/>
          <w:b/>
          <w:bCs/>
        </w:rPr>
        <w:t>The Politics of Development and the Politics of Backwardness</w:t>
      </w: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Pr>
          <w:rFonts w:ascii="Helvetica Neue" w:hAnsi="Helvetica Neue"/>
        </w:rPr>
        <w:t xml:space="preserve">In the previous section, I set out to explain how the domestic structure of the post-1867 Austro-Hungarian state contributed to the regime’s inability to build effective state institutions. Austria-Hungary’s </w:t>
      </w:r>
      <w:r w:rsidRPr="008A2841">
        <w:rPr>
          <w:rFonts w:ascii="Helvetica Neue" w:hAnsi="Helvetica Neue"/>
        </w:rPr>
        <w:t xml:space="preserve">weak </w:t>
      </w:r>
      <w:r>
        <w:rPr>
          <w:rFonts w:ascii="Helvetica Neue" w:hAnsi="Helvetica Neue"/>
        </w:rPr>
        <w:t xml:space="preserve">internal structure also had significant economic effects, as it prevented a coordinated approach to industrialization and deep economic integration. Instead, the Austro-Hungarian economic relationship was one sided to the benefit of Hungarian landowners, who were more concerned with maintaining their social status than in achieving broad based economic development. In the Austrian half alone, industrialization did occur, though the Austrian lands never completely closed the gap with Prussian Germany or the rest of Western </w:t>
      </w:r>
      <w:r>
        <w:rPr>
          <w:rFonts w:ascii="Helvetica Neue" w:hAnsi="Helvetica Neue"/>
        </w:rPr>
        <w:lastRenderedPageBreak/>
        <w:t xml:space="preserve">Europe. Just as with the examples of domestic political life, however, the tale of industrialization and economic development in Austria-Hungary is the tale of two different economies. One developing industrial economy that could compete on the European stage, and one that instead remained backward as the result of intentional policy choices. </w:t>
      </w: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Pr>
          <w:rFonts w:ascii="Helvetica Neue" w:hAnsi="Helvetica Neue"/>
        </w:rPr>
        <w:t xml:space="preserve">Theories of industrialization are tightly linked to theories of modernization and state-making, perhaps none more so than Alexander Gerschenkron’s 1962 book </w:t>
      </w:r>
      <w:r>
        <w:rPr>
          <w:rFonts w:ascii="Helvetica Neue" w:hAnsi="Helvetica Neue"/>
          <w:i/>
          <w:iCs/>
        </w:rPr>
        <w:t>Economic Backwardness in Historical Perspective</w:t>
      </w:r>
      <w:r>
        <w:rPr>
          <w:rFonts w:ascii="Helvetica Neue" w:hAnsi="Helvetica Neue"/>
        </w:rPr>
        <w:t>.</w:t>
      </w:r>
      <w:r>
        <w:rPr>
          <w:rFonts w:ascii="Helvetica Neue" w:eastAsia="Helvetica Neue" w:hAnsi="Helvetica Neue" w:cs="Helvetica Neue"/>
          <w:vertAlign w:val="superscript"/>
        </w:rPr>
        <w:footnoteReference w:id="78"/>
      </w:r>
      <w:r>
        <w:rPr>
          <w:rFonts w:ascii="Helvetica Neue" w:hAnsi="Helvetica Neue"/>
        </w:rPr>
        <w:t xml:space="preserve"> Gerschenkron sought to explain how industrialization worked across Europe during the nineteenth century, accounting for a wide variety of cases and political contexts. Gerschenkron’s argument turned on the idea of an economic “spurt,” a sudden burst of significant and extended economic growth. The longer a country waited to industrialize and the more backward it was, the more significant this spurt would be as evermore advanced technologies are introduced into </w:t>
      </w:r>
      <w:r>
        <w:rPr>
          <w:rFonts w:ascii="Helvetica Neue" w:hAnsi="Helvetica Neue"/>
        </w:rPr>
        <w:lastRenderedPageBreak/>
        <w:t>a backward economy.</w:t>
      </w:r>
      <w:r>
        <w:rPr>
          <w:rFonts w:ascii="Helvetica Neue" w:eastAsia="Helvetica Neue" w:hAnsi="Helvetica Neue" w:cs="Helvetica Neue"/>
          <w:vertAlign w:val="superscript"/>
        </w:rPr>
        <w:footnoteReference w:id="79"/>
      </w:r>
      <w:r w:rsidRPr="008A2841">
        <w:rPr>
          <w:rFonts w:ascii="Helvetica Neue" w:hAnsi="Helvetica Neue"/>
        </w:rPr>
        <w:t xml:space="preserve"> </w:t>
      </w:r>
      <w:r>
        <w:rPr>
          <w:rFonts w:ascii="Helvetica Neue" w:hAnsi="Helvetica Neue"/>
        </w:rPr>
        <w:t>Similarly, the later industrialization began, the more likely it was to require state direction or intervention. Finally, the abolition of serfdom, for example in Austria (1781), Hungary (1848), and Russia (1861), along with more efficient and less labor-intensive agricultural practices provided a potential industrial workforce.</w:t>
      </w:r>
      <w:r>
        <w:rPr>
          <w:rFonts w:ascii="Helvetica Neue" w:eastAsia="Helvetica Neue" w:hAnsi="Helvetica Neue" w:cs="Helvetica Neue"/>
          <w:vertAlign w:val="superscript"/>
        </w:rPr>
        <w:footnoteReference w:id="80"/>
      </w:r>
      <w:r>
        <w:rPr>
          <w:rFonts w:ascii="Helvetica Neue" w:hAnsi="Helvetica Neue"/>
        </w:rPr>
        <w:t xml:space="preserve"> </w:t>
      </w: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Pr>
          <w:rFonts w:ascii="Helvetica Neue" w:hAnsi="Helvetica Neue"/>
        </w:rPr>
        <w:t>The long gap between the abolition of serfdom in the Austrian half of the monarchy and the Hungarian half speaks volumes about the different economic and political contexts in which Austro-Hungarian industrialization took place. The first signs of industrialization in Austria begin to emerge as early as the 1820s.</w:t>
      </w:r>
      <w:r>
        <w:rPr>
          <w:rFonts w:ascii="Helvetica Neue" w:eastAsia="Helvetica Neue" w:hAnsi="Helvetica Neue" w:cs="Helvetica Neue"/>
          <w:vertAlign w:val="superscript"/>
        </w:rPr>
        <w:footnoteReference w:id="81"/>
      </w:r>
      <w:r>
        <w:rPr>
          <w:rFonts w:ascii="Helvetica Neue" w:hAnsi="Helvetica Neue"/>
        </w:rPr>
        <w:t xml:space="preserve"> From 1830 to 1913, total industrial production increased an average of between 2.8% and 3% per year.</w:t>
      </w:r>
      <w:r>
        <w:rPr>
          <w:rFonts w:ascii="Helvetica Neue" w:eastAsia="Helvetica Neue" w:hAnsi="Helvetica Neue" w:cs="Helvetica Neue"/>
          <w:vertAlign w:val="superscript"/>
        </w:rPr>
        <w:footnoteReference w:id="82"/>
      </w:r>
      <w:r>
        <w:rPr>
          <w:rFonts w:ascii="Helvetica Neue" w:hAnsi="Helvetica Neue"/>
        </w:rPr>
        <w:t xml:space="preserve"> Gerschenkron is right to point out that a spurt could have been beneficial to the overall economic development of the Austrian half of the empire, and could have helped close the widening gap with the </w:t>
      </w:r>
      <w:r>
        <w:rPr>
          <w:rFonts w:ascii="Helvetica Neue" w:hAnsi="Helvetica Neue"/>
        </w:rPr>
        <w:lastRenderedPageBreak/>
        <w:t>unified German Empire that emerged in the later nineteenth century.</w:t>
      </w:r>
      <w:r>
        <w:rPr>
          <w:rFonts w:ascii="Helvetica Neue" w:eastAsia="Helvetica Neue" w:hAnsi="Helvetica Neue" w:cs="Helvetica Neue"/>
          <w:vertAlign w:val="superscript"/>
        </w:rPr>
        <w:footnoteReference w:id="83"/>
      </w:r>
      <w:r>
        <w:rPr>
          <w:rFonts w:ascii="Helvetica Neue" w:hAnsi="Helvetica Neue"/>
        </w:rPr>
        <w:t xml:space="preserve"> However, industrialization had long been underway</w:t>
      </w:r>
      <w:r w:rsidRPr="008A2841">
        <w:rPr>
          <w:rFonts w:ascii="Helvetica Neue" w:hAnsi="Helvetica Neue"/>
        </w:rPr>
        <w:t>.</w:t>
      </w: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Pr>
          <w:rFonts w:ascii="Helvetica Neue" w:hAnsi="Helvetica Neue"/>
        </w:rPr>
        <w:t>Austrian industrialization was stunted by Hungarian demands for tariffs that would protect Hungarian agricultural production (and Hungarian landowners) from external competition. This had a number of important effects, all of which hampered industrialization. First, the Austrian domestic market was held captive to Hungarian landowners, and the Viennese working class paid more for food than the working classes of London or Hamburg.</w:t>
      </w:r>
      <w:r>
        <w:rPr>
          <w:rFonts w:ascii="Helvetica Neue" w:eastAsia="Helvetica Neue" w:hAnsi="Helvetica Neue" w:cs="Helvetica Neue"/>
          <w:vertAlign w:val="superscript"/>
        </w:rPr>
        <w:footnoteReference w:id="84"/>
      </w:r>
      <w:r>
        <w:rPr>
          <w:rFonts w:ascii="Helvetica Neue" w:hAnsi="Helvetica Neue"/>
        </w:rPr>
        <w:t xml:space="preserve"> Second, retaliatory tariffs from key trading partners, for example the agricultural exporters of the Balkans, closed those markets to Austrian high value-added industrial and </w:t>
      </w:r>
      <w:r>
        <w:rPr>
          <w:rFonts w:ascii="Helvetica Neue" w:hAnsi="Helvetica Neue"/>
        </w:rPr>
        <w:lastRenderedPageBreak/>
        <w:t>consumer goods.</w:t>
      </w:r>
      <w:r>
        <w:rPr>
          <w:rFonts w:ascii="Helvetica Neue" w:eastAsia="Helvetica Neue" w:hAnsi="Helvetica Neue" w:cs="Helvetica Neue"/>
          <w:vertAlign w:val="superscript"/>
        </w:rPr>
        <w:footnoteReference w:id="85"/>
      </w:r>
      <w:r>
        <w:rPr>
          <w:rFonts w:ascii="Helvetica Neue" w:hAnsi="Helvetica Neue"/>
        </w:rPr>
        <w:t xml:space="preserve"> A case in point: in 1884, 44% of Romania’s total imports came from Austria-Hungary, while only 15% came from Germany. In 1894, this figure stood at 27% for Austria-Hungary and 28% for Germany. In 1910, 24% and 34% for Germany.</w:t>
      </w:r>
      <w:r>
        <w:rPr>
          <w:rFonts w:ascii="Helvetica Neue" w:eastAsia="Helvetica Neue" w:hAnsi="Helvetica Neue" w:cs="Helvetica Neue"/>
          <w:vertAlign w:val="superscript"/>
        </w:rPr>
        <w:footnoteReference w:id="86"/>
      </w:r>
      <w:r>
        <w:rPr>
          <w:rFonts w:ascii="Helvetica Neue" w:hAnsi="Helvetica Neue"/>
        </w:rPr>
        <w:t xml:space="preserve"> In terms of the value of goods traded in Europe, Austria had fallen from 4</w:t>
      </w:r>
      <w:r>
        <w:rPr>
          <w:rFonts w:ascii="Helvetica Neue" w:hAnsi="Helvetica Neue"/>
          <w:vertAlign w:val="superscript"/>
        </w:rPr>
        <w:t>th</w:t>
      </w:r>
      <w:r>
        <w:rPr>
          <w:rFonts w:ascii="Helvetica Neue" w:hAnsi="Helvetica Neue"/>
        </w:rPr>
        <w:t xml:space="preserve"> to a distant 6</w:t>
      </w:r>
      <w:r>
        <w:rPr>
          <w:rFonts w:ascii="Helvetica Neue" w:hAnsi="Helvetica Neue"/>
          <w:vertAlign w:val="superscript"/>
        </w:rPr>
        <w:t>th</w:t>
      </w:r>
      <w:r>
        <w:rPr>
          <w:rFonts w:ascii="Helvetica Neue" w:hAnsi="Helvetica Neue"/>
        </w:rPr>
        <w:t xml:space="preserve">, </w:t>
      </w:r>
      <w:r w:rsidRPr="008A2841">
        <w:rPr>
          <w:rFonts w:ascii="Helvetica Neue" w:hAnsi="Helvetica Neue"/>
        </w:rPr>
        <w:t>ahead of only</w:t>
      </w:r>
      <w:r>
        <w:rPr>
          <w:rFonts w:ascii="Helvetica Neue" w:hAnsi="Helvetica Neue"/>
        </w:rPr>
        <w:t xml:space="preserve"> Italy.</w:t>
      </w:r>
      <w:r>
        <w:rPr>
          <w:rFonts w:ascii="Helvetica Neue" w:eastAsia="Helvetica Neue" w:hAnsi="Helvetica Neue" w:cs="Helvetica Neue"/>
          <w:vertAlign w:val="superscript"/>
        </w:rPr>
        <w:footnoteReference w:id="87"/>
      </w:r>
      <w:r>
        <w:rPr>
          <w:rFonts w:ascii="Helvetica Neue" w:hAnsi="Helvetica Neue"/>
        </w:rPr>
        <w:t xml:space="preserve"> From 1884 to 1913, Austrian goods made up an average of 82.9% of the value of all Austro-Hungarian exports, which demonstrates the continued gulf between Austrian and Hungarian industrial production.</w:t>
      </w:r>
      <w:r>
        <w:rPr>
          <w:rFonts w:ascii="Helvetica Neue" w:eastAsia="Helvetica Neue" w:hAnsi="Helvetica Neue" w:cs="Helvetica Neue"/>
          <w:vertAlign w:val="superscript"/>
        </w:rPr>
        <w:footnoteReference w:id="88"/>
      </w:r>
      <w:r>
        <w:rPr>
          <w:rFonts w:ascii="Helvetica Neue" w:hAnsi="Helvetica Neue"/>
        </w:rPr>
        <w:t xml:space="preserve"> Finally, by closing the large Austrian market to the agricultural exports of key Balkan states, Austria unnecessarily antagonized those newly independent Balkan states, who began to </w:t>
      </w:r>
      <w:r>
        <w:rPr>
          <w:rFonts w:ascii="Helvetica Neue" w:hAnsi="Helvetica Neue"/>
        </w:rPr>
        <w:lastRenderedPageBreak/>
        <w:t>deepen their ties with France, Russia, and Germany, losing the considerable political leverage it previously commanded.</w:t>
      </w:r>
      <w:r>
        <w:rPr>
          <w:rFonts w:ascii="Helvetica Neue" w:eastAsia="Helvetica Neue" w:hAnsi="Helvetica Neue" w:cs="Helvetica Neue"/>
          <w:vertAlign w:val="superscript"/>
        </w:rPr>
        <w:footnoteReference w:id="89"/>
      </w:r>
      <w:r>
        <w:rPr>
          <w:rFonts w:ascii="Helvetica Neue" w:hAnsi="Helvetica Neue"/>
        </w:rPr>
        <w:t xml:space="preserve"> </w:t>
      </w: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Pr>
          <w:rFonts w:ascii="Helvetica Neue" w:hAnsi="Helvetica Neue"/>
        </w:rPr>
        <w:t xml:space="preserve">If Hungary proved a net-negative for overall economic development and industrialization in Austria, the opposite was true in Hungary itself: it benefited enormously from holding the Austrian agricultural market captive, but also from unrestrained flows of capital from Austrian banks at favorable rates. As serfdom </w:t>
      </w:r>
      <w:r w:rsidRPr="008A2841">
        <w:rPr>
          <w:rFonts w:ascii="Helvetica Neue" w:hAnsi="Helvetica Neue"/>
        </w:rPr>
        <w:t>was</w:t>
      </w:r>
      <w:r>
        <w:rPr>
          <w:rFonts w:ascii="Helvetica Neue" w:hAnsi="Helvetica Neue"/>
        </w:rPr>
        <w:t xml:space="preserve"> eliminated</w:t>
      </w:r>
      <w:r w:rsidRPr="008A2841">
        <w:rPr>
          <w:rFonts w:ascii="Helvetica Neue" w:hAnsi="Helvetica Neue"/>
        </w:rPr>
        <w:t xml:space="preserve"> only</w:t>
      </w:r>
      <w:r>
        <w:rPr>
          <w:rFonts w:ascii="Helvetica Neue" w:hAnsi="Helvetica Neue"/>
        </w:rPr>
        <w:t xml:space="preserve"> in 1848, grudging improvements in agricultural techniques and increased mechanization would eventually create a large pool of potential industrial workers, though the productivity and output gains of mechanization would be realized only slowly.</w:t>
      </w:r>
      <w:r>
        <w:rPr>
          <w:rFonts w:ascii="Helvetica Neue" w:eastAsia="Helvetica Neue" w:hAnsi="Helvetica Neue" w:cs="Helvetica Neue"/>
          <w:vertAlign w:val="superscript"/>
        </w:rPr>
        <w:footnoteReference w:id="90"/>
      </w:r>
      <w:r>
        <w:rPr>
          <w:rFonts w:ascii="Helvetica Neue" w:hAnsi="Helvetica Neue"/>
        </w:rPr>
        <w:t xml:space="preserve"> Where industrialization did succeed and where Hungary enjoyed a comparative advantage vis-a-vis Austria was in food processing: the introduction of steam powered flour mills would establish food processing as a key Hungarian industry for decades to come.</w:t>
      </w:r>
      <w:r>
        <w:rPr>
          <w:rFonts w:ascii="Helvetica Neue" w:eastAsia="Helvetica Neue" w:hAnsi="Helvetica Neue" w:cs="Helvetica Neue"/>
          <w:vertAlign w:val="superscript"/>
        </w:rPr>
        <w:footnoteReference w:id="91"/>
      </w:r>
      <w:r>
        <w:rPr>
          <w:rFonts w:ascii="Helvetica Neue" w:hAnsi="Helvetica Neue"/>
        </w:rPr>
        <w:t xml:space="preserve"> </w:t>
      </w: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Pr>
          <w:rFonts w:ascii="Helvetica Neue" w:hAnsi="Helvetica Neue"/>
          <w:lang w:val="sv-SE"/>
        </w:rPr>
        <w:lastRenderedPageBreak/>
        <w:t>Hungary</w:t>
      </w:r>
      <w:r>
        <w:rPr>
          <w:rFonts w:ascii="Helvetica Neue" w:hAnsi="Helvetica Neue"/>
        </w:rPr>
        <w:t xml:space="preserve">’s demand for ever higher agricultural tariffs in the years following the 1867 </w:t>
      </w:r>
      <w:r>
        <w:rPr>
          <w:rFonts w:ascii="Helvetica Neue" w:hAnsi="Helvetica Neue"/>
          <w:i/>
          <w:iCs/>
        </w:rPr>
        <w:t>Ausgleich</w:t>
      </w:r>
      <w:r>
        <w:rPr>
          <w:rFonts w:ascii="Helvetica Neue" w:hAnsi="Helvetica Neue"/>
        </w:rPr>
        <w:t xml:space="preserve"> reflects both the limited nature of Hungarian industry and the damage these tariffs did to total Austro-Hungarian economic growth. Prior to the introduction of the most punishing tariffs 1880, the average profit margin for a flour mill in Budapest was 26.2%, with an export volume (to Austria and outside the monarchy) of around 250,000 tons, with approximately 110,000 tons entering the European market.</w:t>
      </w:r>
      <w:r>
        <w:rPr>
          <w:rFonts w:ascii="Helvetica Neue" w:eastAsia="Helvetica Neue" w:hAnsi="Helvetica Neue" w:cs="Helvetica Neue"/>
          <w:vertAlign w:val="superscript"/>
        </w:rPr>
        <w:footnoteReference w:id="92"/>
      </w:r>
      <w:r>
        <w:rPr>
          <w:rFonts w:ascii="Helvetica Neue" w:hAnsi="Helvetica Neue"/>
        </w:rPr>
        <w:t xml:space="preserve"> In 1896, profits were still a healthy 7-10% and export volume had risen to 718,900 tons per year, but exports outside the monarchy increased only 8,800 tons, while 600,100 tons were exported to Austria, a growth rate of 413.5% and 8%, respectively.</w:t>
      </w:r>
      <w:r>
        <w:rPr>
          <w:rFonts w:ascii="Helvetica Neue" w:eastAsia="Helvetica Neue" w:hAnsi="Helvetica Neue" w:cs="Helvetica Neue"/>
          <w:vertAlign w:val="superscript"/>
        </w:rPr>
        <w:footnoteReference w:id="93"/>
      </w:r>
      <w:r>
        <w:rPr>
          <w:rFonts w:ascii="Helvetica Neue" w:hAnsi="Helvetica Neue"/>
        </w:rPr>
        <w:t xml:space="preserve"> By 1913, Hungarian exported 779,300 tons of flour to Austria and only 34,000 tons to the rest of Europe. At the same time, the average price of wheat in Austria was on average, considerably higher than in other major European cities. In 1880, the price of around 12kg of wheat flour in London was 24.5 Austrian Kronen (k) and in Vienna, k</w:t>
      </w:r>
      <w:r>
        <w:rPr>
          <w:rFonts w:ascii="Helvetica Neue" w:hAnsi="Helvetica Neue"/>
          <w:lang w:val="it-IT"/>
        </w:rPr>
        <w:t xml:space="preserve">26.8. In 1892, </w:t>
      </w:r>
      <w:r>
        <w:rPr>
          <w:rFonts w:ascii="Helvetica Neue" w:hAnsi="Helvetica Neue"/>
        </w:rPr>
        <w:t>k16.8 and k19.4 in London and Vienna, respectively. And in 1899, k</w:t>
      </w:r>
      <w:r>
        <w:rPr>
          <w:rFonts w:ascii="Helvetica Neue" w:hAnsi="Helvetica Neue"/>
          <w:lang w:val="it-IT"/>
        </w:rPr>
        <w:t xml:space="preserve">14.5 in London while Austrians paid </w:t>
      </w:r>
      <w:r>
        <w:rPr>
          <w:rFonts w:ascii="Helvetica Neue" w:hAnsi="Helvetica Neue"/>
        </w:rPr>
        <w:t>k20.1.</w:t>
      </w:r>
      <w:r>
        <w:rPr>
          <w:rFonts w:ascii="Helvetica Neue" w:eastAsia="Helvetica Neue" w:hAnsi="Helvetica Neue" w:cs="Helvetica Neue"/>
          <w:vertAlign w:val="superscript"/>
        </w:rPr>
        <w:footnoteReference w:id="94"/>
      </w:r>
      <w:r>
        <w:rPr>
          <w:rFonts w:ascii="Helvetica Neue" w:hAnsi="Helvetica Neue"/>
        </w:rPr>
        <w:t xml:space="preserve"> Austrian agricultural prices were on average much higher than the rest of Europe, held captive to Hungarian demands for ever higher agricultural tariffs.</w:t>
      </w:r>
      <w:r>
        <w:rPr>
          <w:rFonts w:ascii="Helvetica Neue" w:eastAsia="Helvetica Neue" w:hAnsi="Helvetica Neue" w:cs="Helvetica Neue"/>
          <w:vertAlign w:val="superscript"/>
        </w:rPr>
        <w:footnoteReference w:id="95"/>
      </w: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Pr>
          <w:rFonts w:ascii="Helvetica Neue" w:hAnsi="Helvetica Neue"/>
        </w:rPr>
        <w:t>In sum, the Austro-Hungarian economy was a tale of two separate economies. The Austrian economy began industrializing shortly after the Battle of Waterlo</w:t>
      </w:r>
      <w:r w:rsidRPr="008A2841">
        <w:rPr>
          <w:rFonts w:ascii="Helvetica Neue" w:hAnsi="Helvetica Neue"/>
        </w:rPr>
        <w:t>o</w:t>
      </w:r>
      <w:r>
        <w:rPr>
          <w:rFonts w:ascii="Helvetica Neue" w:hAnsi="Helvetica Neue"/>
        </w:rPr>
        <w:t xml:space="preserve">, as landless peasants, </w:t>
      </w:r>
      <w:r w:rsidRPr="008A2841">
        <w:rPr>
          <w:rFonts w:ascii="Helvetica Neue" w:hAnsi="Helvetica Neue"/>
        </w:rPr>
        <w:t xml:space="preserve">long </w:t>
      </w:r>
      <w:r>
        <w:rPr>
          <w:rFonts w:ascii="Helvetica Neue" w:hAnsi="Helvetica Neue"/>
        </w:rPr>
        <w:t>freed from the obligations of serfdom and</w:t>
      </w:r>
      <w:r w:rsidRPr="008A2841">
        <w:rPr>
          <w:rFonts w:ascii="Helvetica Neue" w:hAnsi="Helvetica Neue"/>
        </w:rPr>
        <w:t xml:space="preserve"> military conscription</w:t>
      </w:r>
      <w:r>
        <w:rPr>
          <w:rFonts w:ascii="Helvetica Neue" w:hAnsi="Helvetica Neue"/>
        </w:rPr>
        <w:t xml:space="preserve"> </w:t>
      </w:r>
      <w:r w:rsidRPr="008A2841">
        <w:rPr>
          <w:rFonts w:ascii="Helvetica Neue" w:hAnsi="Helvetica Neue"/>
        </w:rPr>
        <w:t>migrated</w:t>
      </w:r>
      <w:r>
        <w:rPr>
          <w:rFonts w:ascii="Helvetica Neue" w:hAnsi="Helvetica Neue"/>
        </w:rPr>
        <w:t xml:space="preserve"> at ever higher rates to urban centers, </w:t>
      </w:r>
      <w:r w:rsidRPr="008A2841">
        <w:rPr>
          <w:rFonts w:ascii="Helvetica Neue" w:hAnsi="Helvetica Neue"/>
        </w:rPr>
        <w:t>creating</w:t>
      </w:r>
      <w:r>
        <w:rPr>
          <w:rFonts w:ascii="Helvetica Neue" w:hAnsi="Helvetica Neue"/>
        </w:rPr>
        <w:t xml:space="preserve"> a pool of potential labor. Hungary, however, maintained traditional serf-peasant obligations through the first half of the nineteenth-century and was held captive by a powerful alliance of landed gentry and conservative politicians who sought to defend their positions and economic power through high tariffs and rents.</w:t>
      </w:r>
      <w:r>
        <w:rPr>
          <w:rFonts w:ascii="Helvetica Neue" w:eastAsia="Helvetica Neue" w:hAnsi="Helvetica Neue" w:cs="Helvetica Neue"/>
          <w:vertAlign w:val="superscript"/>
        </w:rPr>
        <w:footnoteReference w:id="96"/>
      </w:r>
      <w:r>
        <w:rPr>
          <w:rFonts w:ascii="Helvetica Neue" w:hAnsi="Helvetica Neue"/>
        </w:rPr>
        <w:t xml:space="preserve"> Only when the benefits of industrialization were plainly apparent and, as Gerschenkron suggests, the relative backwardness to Austria became so pronounced, did they engage in grudging state-led efforts to industrialize in the late 1890s and early 1900s.</w:t>
      </w:r>
      <w:r>
        <w:rPr>
          <w:rFonts w:ascii="Helvetica Neue" w:eastAsia="Helvetica Neue" w:hAnsi="Helvetica Neue" w:cs="Helvetica Neue"/>
          <w:vertAlign w:val="superscript"/>
        </w:rPr>
        <w:footnoteReference w:id="97"/>
      </w:r>
      <w:r>
        <w:rPr>
          <w:rFonts w:ascii="Helvetica Neue" w:hAnsi="Helvetica Neue"/>
        </w:rPr>
        <w:t xml:space="preserve"> </w:t>
      </w: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Pr>
          <w:rFonts w:ascii="Helvetica Neue" w:hAnsi="Helvetica Neue"/>
        </w:rPr>
        <w:t>The history of Austro-Hungarian economic policy and the development of Austro-Hungarian state institutions demonstrate the divergent paths each half of the monarchy took. In the first case, efforts to reform the state, create an effective administrative infrastructure, and end serfdom all succeeded in the Austrian half. In the Hungarian half, the drive for reforms and administrative reforms that that had proven themselves so successful in the Austrian half were fiercely resisted, as was the implementation of the 1781 decree ending serfdom.</w:t>
      </w:r>
      <w:r>
        <w:rPr>
          <w:rFonts w:ascii="Helvetica Neue" w:eastAsia="Helvetica Neue" w:hAnsi="Helvetica Neue" w:cs="Helvetica Neue"/>
          <w:vertAlign w:val="superscript"/>
        </w:rPr>
        <w:footnoteReference w:id="98"/>
      </w:r>
      <w:r>
        <w:rPr>
          <w:rFonts w:ascii="Helvetica Neue" w:hAnsi="Helvetica Neue"/>
        </w:rPr>
        <w:t xml:space="preserve"> In Hungary, the elimination of serfdom only followed after the military occupation of Kingdom by Austrian forces in 1849.</w:t>
      </w:r>
      <w:r>
        <w:rPr>
          <w:rFonts w:ascii="Helvetica Neue" w:eastAsia="Helvetica Neue" w:hAnsi="Helvetica Neue" w:cs="Helvetica Neue"/>
          <w:vertAlign w:val="superscript"/>
        </w:rPr>
        <w:footnoteReference w:id="99"/>
      </w:r>
      <w:r>
        <w:rPr>
          <w:rFonts w:ascii="Helvetica Neue" w:hAnsi="Helvetica Neue"/>
        </w:rPr>
        <w:t xml:space="preserve"> Underdevelopment, in Hungary at least, was an active choice made by Hungarian elites.</w:t>
      </w:r>
      <w:r>
        <w:rPr>
          <w:rFonts w:ascii="Helvetica Neue" w:eastAsia="Helvetica Neue" w:hAnsi="Helvetica Neue" w:cs="Helvetica Neue"/>
          <w:vertAlign w:val="superscript"/>
        </w:rPr>
        <w:footnoteReference w:id="100"/>
      </w:r>
      <w:r>
        <w:rPr>
          <w:rFonts w:ascii="Helvetica Neue" w:hAnsi="Helvetica Neue"/>
        </w:rPr>
        <w:t xml:space="preserve"> It was Hungarian elites who pursued a policy of Magyarization, who declined to embrace widespread </w:t>
      </w:r>
      <w:r w:rsidRPr="008A2841">
        <w:rPr>
          <w:rFonts w:ascii="Helvetica Neue" w:hAnsi="Helvetica Neue"/>
        </w:rPr>
        <w:t xml:space="preserve">basic </w:t>
      </w:r>
      <w:r>
        <w:rPr>
          <w:rFonts w:ascii="Helvetica Neue" w:hAnsi="Helvetica Neue"/>
        </w:rPr>
        <w:t>education, and who repudiated Austrian bank investments in infrastructure that could have created “spurt” conditions sooner, rather than much later.</w:t>
      </w:r>
      <w:r>
        <w:rPr>
          <w:rFonts w:ascii="Helvetica Neue" w:eastAsia="Helvetica Neue" w:hAnsi="Helvetica Neue" w:cs="Helvetica Neue"/>
          <w:vertAlign w:val="superscript"/>
        </w:rPr>
        <w:footnoteReference w:id="101"/>
      </w: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bookmarkStart w:id="3" w:name="Economic_Backwardness"/>
      <w:r>
        <w:rPr>
          <w:rFonts w:ascii="Helvetica Neue" w:hAnsi="Helvetica Neue"/>
        </w:rPr>
        <w:t>From</w:t>
      </w:r>
      <w:bookmarkEnd w:id="3"/>
      <w:r>
        <w:rPr>
          <w:rFonts w:ascii="Helvetica Neue" w:hAnsi="Helvetica Neue"/>
        </w:rPr>
        <w:t xml:space="preserve"> a purely economic perspective, the Austro-Hungarian Union left Austria worse off. For Austria, basic staples cost more while their ability to export their high value-added products was hindered by the retaliatory tariffs against those tariffs demanded by Hungarian agricultural interests. Had those tariffs not existed, competition for agricultural commodities could have lowered the prices paid by the developing industrial working class, boosted overall Austrian exports, and maintained positive relations with the Balkan states who turned against Austria after the tariffs came into effect.</w:t>
      </w:r>
    </w:p>
    <w:p w:rsidR="001D0A78" w:rsidRDefault="001D0A78" w:rsidP="001D0A78">
      <w:pPr>
        <w:pStyle w:val="BodyB"/>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p>
    <w:p w:rsidR="001D0A78" w:rsidRDefault="001D0A78" w:rsidP="001D0A78">
      <w:pPr>
        <w:pStyle w:val="BodyC"/>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b/>
          <w:bCs/>
        </w:rPr>
      </w:pPr>
      <w:r w:rsidRPr="008A2841">
        <w:rPr>
          <w:rFonts w:ascii="Helvetica Neue" w:hAnsi="Helvetica Neue"/>
          <w:b/>
          <w:bCs/>
        </w:rPr>
        <w:t>International Crisis and the Decision for War in 1914</w:t>
      </w:r>
    </w:p>
    <w:p w:rsidR="001D0A78" w:rsidRDefault="001D0A78" w:rsidP="001D0A78">
      <w:pPr>
        <w:pStyle w:val="BodyC"/>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b/>
          <w:bCs/>
        </w:rPr>
      </w:pPr>
      <w:r>
        <w:rPr>
          <w:rFonts w:ascii="Helvetica Neue" w:hAnsi="Helvetica Neue"/>
        </w:rPr>
        <w:t xml:space="preserve">On 28 July 1914 the Austro-Hungarian newspaper of record, the </w:t>
      </w:r>
      <w:r w:rsidRPr="008A2841">
        <w:rPr>
          <w:rFonts w:ascii="Helvetica Neue" w:hAnsi="Helvetica Neue"/>
          <w:i/>
          <w:iCs/>
        </w:rPr>
        <w:t>Wiener Zeitung</w:t>
      </w:r>
      <w:r>
        <w:rPr>
          <w:rFonts w:ascii="Helvetica Neue" w:hAnsi="Helvetica Neue"/>
        </w:rPr>
        <w:t>, published a declaration entitled “To My Peoples!,” detailing Emperor Franz Josef’s decision to declare war on Serbia. Austria-Hungary arrived at this point not only as the result of its declining international prestige, but as a result of its failures to build a cohesive state that could administer and unify the “peoples” ruled by Franz Josef. Furthermore, because of this state’s domestic challenges and bifurcated governance, efforts to build influence and political relationships through strong bilateral trade, especially in the Balkans, was often hampered by domestic challenges, especially internal conflicts over trade policy. When Franz Josef and his advisors made the positive decision to launch a war, it was as much an attempt to resolve internal challenges as it was to address Austria-Hungary’s precipitous decline as a great power or a response to the assassination of Archduke Ferdinand.</w:t>
      </w:r>
    </w:p>
    <w:p w:rsidR="001D0A78" w:rsidRDefault="001D0A78" w:rsidP="001D0A78">
      <w:pPr>
        <w:pStyle w:val="BodyC"/>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sidRPr="008A2841">
        <w:rPr>
          <w:rFonts w:ascii="Helvetica Neue" w:hAnsi="Helvetica Neue"/>
        </w:rPr>
        <w:t>The two previous sections in this chapter outlined Austria-Hungary’s domestic and economic challenges in the years before the First World War. This section integrates the findings of those previous sections with the historical analysis of the international challenges of the same period.</w:t>
      </w:r>
      <w:r w:rsidRPr="008A2841">
        <w:rPr>
          <w:rFonts w:ascii="Helvetica Neue" w:hAnsi="Helvetica Neue"/>
          <w:b/>
          <w:bCs/>
        </w:rPr>
        <w:t xml:space="preserve"> </w:t>
      </w:r>
      <w:r>
        <w:rPr>
          <w:rFonts w:ascii="Helvetica Neue" w:hAnsi="Helvetica Neue"/>
        </w:rPr>
        <w:t>Taken together</w:t>
      </w:r>
      <w:r w:rsidRPr="008A2841">
        <w:rPr>
          <w:rFonts w:ascii="Helvetica Neue" w:hAnsi="Helvetica Neue"/>
        </w:rPr>
        <w:t xml:space="preserve">, these challenges would prove overwhelming. </w:t>
      </w:r>
      <w:r>
        <w:rPr>
          <w:rFonts w:ascii="Helvetica Neue" w:hAnsi="Helvetica Neue"/>
        </w:rPr>
        <w:t>Austria-Hungary failed to engage in cohesive state-making after 1867 because the logic of the bifurcated constitutional system</w:t>
      </w:r>
      <w:r w:rsidRPr="008A2841">
        <w:rPr>
          <w:rFonts w:ascii="Helvetica Neue" w:hAnsi="Helvetica Neue"/>
        </w:rPr>
        <w:t xml:space="preserve"> made it more difficult—though not impossible—to solve the monarchy’s problems through centralization and cohesive state-making. </w:t>
      </w:r>
      <w:r>
        <w:rPr>
          <w:rFonts w:ascii="Helvetica Neue" w:hAnsi="Helvetica Neue"/>
        </w:rPr>
        <w:t>With the particular interests of a tiny elite driving economic policy, the implementation of policies that could have promoted economic development across the whole of the empire were continuously blocked. Social challenges like illiteracy remained more widespread than in other comparable states, which no doubt also inhibited economic development and overall economic growth.</w:t>
      </w:r>
      <w:r>
        <w:rPr>
          <w:rFonts w:ascii="Helvetica Neue" w:eastAsia="Helvetica Neue" w:hAnsi="Helvetica Neue" w:cs="Helvetica Neue"/>
          <w:vertAlign w:val="superscript"/>
        </w:rPr>
        <w:footnoteReference w:id="102"/>
      </w:r>
      <w:r>
        <w:rPr>
          <w:rFonts w:ascii="Helvetica Neue" w:hAnsi="Helvetica Neue"/>
        </w:rPr>
        <w:t xml:space="preserve"> Taken with the effect of Magyarization policies that for a large part of the empire proved antagonistic and which actively promoted division and ethnic tension, there was little chance for the kind of state-making that would allow the Austro-Hungarian state to manage these challenges.</w:t>
      </w:r>
      <w:r>
        <w:rPr>
          <w:rFonts w:ascii="Helvetica Neue" w:eastAsia="Helvetica Neue" w:hAnsi="Helvetica Neue" w:cs="Helvetica Neue"/>
          <w:vertAlign w:val="superscript"/>
        </w:rPr>
        <w:footnoteReference w:id="103"/>
      </w:r>
    </w:p>
    <w:p w:rsidR="001D0A78" w:rsidRDefault="001D0A78" w:rsidP="001D0A78">
      <w:pPr>
        <w:pStyle w:val="BodyC"/>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Pr>
          <w:rFonts w:ascii="Helvetica Neue" w:hAnsi="Helvetica Neue"/>
        </w:rPr>
        <w:t>The economic effects of this disunity were considerable and directly linked to Austria-Hungary’s worsening international position. Instead of seeking to compete on the European market on the basis of price and quality or modernizing their cultivation methods and equipment, Hungarian landowners used their political power to erect both tariffs and non-tariff barriers to protect their domestic markets.</w:t>
      </w:r>
      <w:r>
        <w:rPr>
          <w:rFonts w:ascii="Helvetica Neue" w:eastAsia="Helvetica Neue" w:hAnsi="Helvetica Neue" w:cs="Helvetica Neue"/>
          <w:vertAlign w:val="superscript"/>
        </w:rPr>
        <w:footnoteReference w:id="104"/>
      </w:r>
      <w:r>
        <w:rPr>
          <w:rFonts w:ascii="Helvetica Neue" w:hAnsi="Helvetica Neue"/>
        </w:rPr>
        <w:t xml:space="preserve"> Punishingly high tariffs effectively blocked grain imports from the Balkan states, severely damaging political and economic relations. For Hungarian producers, it made no difference if their grain and refined products (e.g. flour) went to Serbia or Salzburg. But for Austrian industrial equipment or textile manufacturers, it made a significant difference, as they were shut out of important markets and lost considerable market share even where they still had access.</w:t>
      </w:r>
      <w:r>
        <w:rPr>
          <w:rFonts w:ascii="Helvetica Neue" w:eastAsia="Helvetica Neue" w:hAnsi="Helvetica Neue" w:cs="Helvetica Neue"/>
          <w:vertAlign w:val="superscript"/>
        </w:rPr>
        <w:footnoteReference w:id="105"/>
      </w:r>
      <w:r>
        <w:rPr>
          <w:rFonts w:ascii="Helvetica Neue" w:hAnsi="Helvetica Neue"/>
        </w:rPr>
        <w:t xml:space="preserve"> </w:t>
      </w:r>
    </w:p>
    <w:p w:rsidR="001D0A78" w:rsidRDefault="001D0A78" w:rsidP="001D0A78">
      <w:pPr>
        <w:pStyle w:val="BodyC"/>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Pr>
          <w:rFonts w:ascii="Helvetica Neue" w:hAnsi="Helvetica Neue"/>
        </w:rPr>
        <w:t xml:space="preserve">Losing market share and denying market access to Balkan producers in the Austro-Hungarian domestic market meant that they also lost political influence with the same. In the case of Serbia, the trade war that raged from 1906 to 1911 coincided with the crisis over the Austro-Hungarian decision to formally annex Bosnia in 1907/1908. Never mind the fact that the annexation was long </w:t>
      </w:r>
      <w:r w:rsidRPr="001C70A1">
        <w:rPr>
          <w:rFonts w:ascii="Helvetica Neue" w:hAnsi="Helvetica Neue"/>
        </w:rPr>
        <w:t>foreseen by the other European great power statesmen and that Bosnia’s protectorate status made it a province of Austria-Hungary in all but name</w:t>
      </w:r>
      <w:r>
        <w:rPr>
          <w:rFonts w:ascii="Helvetica Neue" w:hAnsi="Helvetica Neue"/>
          <w:lang w:val="fr-FR"/>
        </w:rPr>
        <w:t>.</w:t>
      </w:r>
      <w:r>
        <w:rPr>
          <w:rFonts w:ascii="Helvetica Neue" w:eastAsia="Helvetica Neue" w:hAnsi="Helvetica Neue" w:cs="Helvetica Neue"/>
          <w:vertAlign w:val="superscript"/>
        </w:rPr>
        <w:footnoteReference w:id="106"/>
      </w:r>
      <w:r>
        <w:rPr>
          <w:rFonts w:ascii="Helvetica Neue" w:hAnsi="Helvetica Neue"/>
        </w:rPr>
        <w:t xml:space="preserve"> The strained relationship between Austria-Hungary and Serbia due to the trade war taken together with Austria’s decision to formally annex Bosnia provided Russia the perfect opportunity to encourage South Slav nationalism throughout the Balkans and within the South Slav territories of Austria-Hungary itself.</w:t>
      </w:r>
      <w:r>
        <w:rPr>
          <w:rFonts w:ascii="Helvetica Neue" w:eastAsia="Helvetica Neue" w:hAnsi="Helvetica Neue" w:cs="Helvetica Neue"/>
          <w:vertAlign w:val="superscript"/>
        </w:rPr>
        <w:footnoteReference w:id="107"/>
      </w:r>
      <w:r>
        <w:rPr>
          <w:rFonts w:ascii="Helvetica Neue" w:hAnsi="Helvetica Neue"/>
        </w:rPr>
        <w:t xml:space="preserve"> </w:t>
      </w:r>
    </w:p>
    <w:p w:rsidR="001D0A78" w:rsidRDefault="001D0A78" w:rsidP="001D0A78">
      <w:pPr>
        <w:pStyle w:val="BodyC"/>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Pr>
          <w:rFonts w:ascii="Helvetica Neue" w:hAnsi="Helvetica Neue"/>
        </w:rPr>
        <w:t>The significant domestic and economic challenges described above were only compounded by the changing norms of relations between European states in European (for lack of a better word, “Continental”) affairs and the introduction of an “</w:t>
      </w:r>
      <w:r w:rsidRPr="008A2841">
        <w:rPr>
          <w:rFonts w:ascii="Helvetica Neue" w:hAnsi="Helvetica Neue"/>
        </w:rPr>
        <w:t>imperialist ethos</w:t>
      </w:r>
      <w:r>
        <w:rPr>
          <w:rFonts w:ascii="Helvetica Neue" w:hAnsi="Helvetica Neue"/>
        </w:rPr>
        <w:t>” which supplanted the post-1815</w:t>
      </w:r>
      <w:r w:rsidRPr="008A2841">
        <w:rPr>
          <w:rFonts w:ascii="Helvetica Neue" w:hAnsi="Helvetica Neue"/>
        </w:rPr>
        <w:t xml:space="preserve"> Congress of Vienna</w:t>
      </w:r>
      <w:r>
        <w:rPr>
          <w:rFonts w:ascii="Helvetica Neue" w:hAnsi="Helvetica Neue"/>
        </w:rPr>
        <w:t xml:space="preserve"> equilibrium. Outside of the European continent, the “imperial scramble” was the search for territories to conquer, regardless of their economic or social value to the colonizing nation, in order that other European powers be prevented from obtaining whatever sliver of land they had won.</w:t>
      </w:r>
      <w:r>
        <w:rPr>
          <w:rFonts w:ascii="Helvetica Neue" w:eastAsia="Helvetica Neue" w:hAnsi="Helvetica Neue" w:cs="Helvetica Neue"/>
          <w:vertAlign w:val="superscript"/>
        </w:rPr>
        <w:footnoteReference w:id="108"/>
      </w:r>
      <w:r>
        <w:rPr>
          <w:rFonts w:ascii="Helvetica Neue" w:hAnsi="Helvetica Neue"/>
        </w:rPr>
        <w:t xml:space="preserve"> Within Europe, this attitude encouraged some powers to seek advantage at all costs, no matter what damage it might cause to the overall equilibrium of power within the continent.</w:t>
      </w:r>
      <w:r>
        <w:rPr>
          <w:rFonts w:ascii="Helvetica Neue" w:eastAsia="Helvetica Neue" w:hAnsi="Helvetica Neue" w:cs="Helvetica Neue"/>
          <w:vertAlign w:val="superscript"/>
        </w:rPr>
        <w:footnoteReference w:id="109"/>
      </w:r>
      <w:r>
        <w:rPr>
          <w:rFonts w:ascii="Helvetica Neue" w:hAnsi="Helvetica Neue"/>
        </w:rPr>
        <w:t xml:space="preserve"> Russian efforts to inflame ethnic tensions in the Balkans during and after Austria’s formal annexation of Bosnia—despite their earlier acknowledgement and support of the de facto legality of the annexation—are indicative of this imperialist attitude.</w:t>
      </w:r>
      <w:r>
        <w:rPr>
          <w:rFonts w:ascii="Helvetica Neue" w:eastAsia="Helvetica Neue" w:hAnsi="Helvetica Neue" w:cs="Helvetica Neue"/>
          <w:vertAlign w:val="superscript"/>
        </w:rPr>
        <w:footnoteReference w:id="110"/>
      </w:r>
      <w:r>
        <w:rPr>
          <w:rFonts w:ascii="Helvetica Neue" w:hAnsi="Helvetica Neue"/>
        </w:rPr>
        <w:t xml:space="preserve"> </w:t>
      </w:r>
    </w:p>
    <w:p w:rsidR="001D0A78" w:rsidRDefault="001D0A78" w:rsidP="001D0A78">
      <w:pPr>
        <w:pStyle w:val="BodyC"/>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Pr>
          <w:rFonts w:ascii="Helvetica Neue" w:hAnsi="Helvetica Neue"/>
        </w:rPr>
        <w:t>Austria-Hungary was uniquely unprepared to act as an imperial power within Europe or without, as it held no colonies and did not participate in the “scramble for Africa.” Instead of trying to use imperialist tactics in the Balkans as the Russians had done, they sought to reestablish the trade relationships that had previously tied the Balkans to the Habsburg state to great effect. To this end, Austro-Hungarian banks extended cheap credit and manufacture</w:t>
      </w:r>
      <w:r w:rsidRPr="008A2841">
        <w:rPr>
          <w:rFonts w:ascii="Helvetica Neue" w:hAnsi="Helvetica Neue"/>
        </w:rPr>
        <w:t>r</w:t>
      </w:r>
      <w:r>
        <w:rPr>
          <w:rFonts w:ascii="Helvetica Neue" w:hAnsi="Helvetica Neue"/>
        </w:rPr>
        <w:t>s were incentivized to lower their prices for Balkan markets.</w:t>
      </w:r>
      <w:r>
        <w:rPr>
          <w:rFonts w:ascii="Helvetica Neue" w:eastAsia="Helvetica Neue" w:hAnsi="Helvetica Neue" w:cs="Helvetica Neue"/>
          <w:vertAlign w:val="superscript"/>
        </w:rPr>
        <w:footnoteReference w:id="111"/>
      </w:r>
      <w:r>
        <w:rPr>
          <w:rFonts w:ascii="Helvetica Neue" w:hAnsi="Helvetica Neue"/>
        </w:rPr>
        <w:t xml:space="preserve"> However, these policies ultimately had little effect, partially because Balkan importers had long since established deep trading relationships with other nations on equally</w:t>
      </w:r>
      <w:r w:rsidRPr="008A2841">
        <w:rPr>
          <w:rFonts w:ascii="Helvetica Neue" w:hAnsi="Helvetica Neue"/>
        </w:rPr>
        <w:t xml:space="preserve"> or more</w:t>
      </w:r>
      <w:r>
        <w:rPr>
          <w:rFonts w:ascii="Helvetica Neue" w:hAnsi="Helvetica Neue"/>
        </w:rPr>
        <w:t xml:space="preserve"> favorable terms, partially because Austro-Hungarian agricultural import tariffs remained high, and partially because of Austria’s support of the Ottoman Empire during the First Balkan War in the interests of European stability and equilibrium.</w:t>
      </w:r>
      <w:r>
        <w:rPr>
          <w:rFonts w:ascii="Helvetica Neue" w:eastAsia="Helvetica Neue" w:hAnsi="Helvetica Neue" w:cs="Helvetica Neue"/>
          <w:vertAlign w:val="superscript"/>
        </w:rPr>
        <w:footnoteReference w:id="112"/>
      </w:r>
      <w:r>
        <w:rPr>
          <w:rFonts w:ascii="Helvetica Neue" w:hAnsi="Helvetica Neue"/>
        </w:rPr>
        <w:t xml:space="preserve"> </w:t>
      </w:r>
    </w:p>
    <w:p w:rsidR="001D0A78" w:rsidRDefault="001D0A78" w:rsidP="001D0A78">
      <w:pPr>
        <w:pStyle w:val="BodyC"/>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Pr>
          <w:rFonts w:ascii="Helvetica Neue" w:hAnsi="Helvetica Neue"/>
        </w:rPr>
        <w:t>In Chapter II, the analysis of the process of state-making primarily hinged on the creation of an effective and professional military force that was capable of exerting a monopoly of violent force across the territories claimed by the Habsburg Emperor. This chapter has attempted to demonstrate how post-1815 European state-making also involves the creation of a domestic political system that can effectively administer the state and a competitive industrializing economy. Unfortunately for Austria-Hungary, neither of these two elements can be said to have existed in their ideal form. And their absence makes the “</w:t>
      </w:r>
      <w:r>
        <w:rPr>
          <w:rFonts w:ascii="Helvetica Neue" w:hAnsi="Helvetica Neue"/>
          <w:lang w:val="it-IT"/>
        </w:rPr>
        <w:t>classical</w:t>
      </w:r>
      <w:r>
        <w:rPr>
          <w:rFonts w:ascii="Helvetica Neue" w:hAnsi="Helvetica Neue"/>
        </w:rPr>
        <w:t xml:space="preserve">” element of state-making, an effective army, almost possible to achieve, at least on paper. In both qualitative and quantitative measures, the Austro-Hungarian Army was poorly equipped and unable to meet the challenges that a general war would bring. As the administration of the army was a matter of joint concern, it was just another pressure point </w:t>
      </w:r>
      <w:r w:rsidRPr="008A2841">
        <w:rPr>
          <w:rFonts w:ascii="Helvetica Neue" w:hAnsi="Helvetica Neue"/>
        </w:rPr>
        <w:t>through which</w:t>
      </w:r>
      <w:r>
        <w:rPr>
          <w:rFonts w:ascii="Helvetica Neue" w:hAnsi="Helvetica Neue"/>
        </w:rPr>
        <w:t xml:space="preserve"> the Hungarian government could demand concessions from the Emperor and from the Austrian government. Only the Bosnian crisis of 1908 and the Balkan Wars of 1912-1913 would convince the Hungarians of the urgent need for reform and improvement and even then, total military expenditure was still considerably lower than the nearest similar sized power. At the same time, the Balkan powers who had been spurned economically and politically had begun to invest considerably more than in previous years.</w:t>
      </w:r>
      <w:r>
        <w:rPr>
          <w:rFonts w:ascii="Helvetica Neue" w:eastAsia="Helvetica Neue" w:hAnsi="Helvetica Neue" w:cs="Helvetica Neue"/>
          <w:vertAlign w:val="superscript"/>
        </w:rPr>
        <w:footnoteReference w:id="113"/>
      </w:r>
      <w:r>
        <w:rPr>
          <w:rFonts w:ascii="Helvetica Neue" w:hAnsi="Helvetica Neue"/>
        </w:rPr>
        <w:t xml:space="preserve"> The lack of investment puts this problem very plain: at the end of 1910, Austria-Hungary had a population of 51,306,620 and expended £21,060,797 on defense. At the same time, Metropolitan France had a population of 39,601,509 and expended £34,574,847. Put another way, Austria-Hungary spent £0.41 per person and France spent more than double with £0.87.</w:t>
      </w:r>
      <w:r>
        <w:rPr>
          <w:rFonts w:ascii="Helvetica Neue" w:eastAsia="Helvetica Neue" w:hAnsi="Helvetica Neue" w:cs="Helvetica Neue"/>
          <w:vertAlign w:val="superscript"/>
        </w:rPr>
        <w:footnoteReference w:id="114"/>
      </w:r>
      <w:r>
        <w:rPr>
          <w:rFonts w:ascii="Helvetica Neue" w:hAnsi="Helvetica Neue"/>
        </w:rPr>
        <w:t xml:space="preserve"> </w:t>
      </w:r>
    </w:p>
    <w:p w:rsidR="001D0A78" w:rsidRDefault="001D0A78" w:rsidP="001D0A78">
      <w:pPr>
        <w:pStyle w:val="BodyC"/>
        <w:tabs>
          <w:tab w:val="left" w:pos="360"/>
          <w:tab w:val="left" w:pos="720"/>
          <w:tab w:val="left" w:pos="1080"/>
          <w:tab w:val="left" w:pos="1440"/>
          <w:tab w:val="left" w:pos="1800"/>
          <w:tab w:val="left" w:pos="2160"/>
          <w:tab w:val="left" w:pos="2880"/>
          <w:tab w:val="left" w:pos="3600"/>
          <w:tab w:val="left" w:pos="4320"/>
        </w:tabs>
        <w:spacing w:line="480" w:lineRule="auto"/>
        <w:ind w:firstLine="360"/>
      </w:pPr>
      <w:bookmarkStart w:id="4" w:name="International_Breakdown"/>
      <w:r>
        <w:rPr>
          <w:rFonts w:ascii="Helvetica Neue" w:hAnsi="Helvetica Neue"/>
        </w:rPr>
        <w:t>The</w:t>
      </w:r>
      <w:bookmarkEnd w:id="4"/>
      <w:r>
        <w:rPr>
          <w:rFonts w:ascii="Helvetica Neue" w:hAnsi="Helvetica Neue"/>
        </w:rPr>
        <w:t xml:space="preserve"> combination of a dysfunctional administrative state, relatively weak economy, and under equipped, poorly trained military left Austria-Hungary in a weak and worsening position in 1914. On top of these challenges, Austria-Hungary faced a worsening international environment, driven by the “new imperialism,” in which it was unable to compete. Making the decision for war in 1914, with the earnest and not totally unreasonable hope that it will remain a local conflict, does not seem to be a wholly unreasonable decision. It might even have been a consideration in the minds of some decision makers that war could have provided the catalyst for state-making, just as was the case in 1618. </w:t>
      </w:r>
      <w:r>
        <w:rPr>
          <w:rFonts w:ascii="Arial Unicode MS" w:hAnsi="Arial Unicode MS"/>
        </w:rPr>
        <w:br w:type="page"/>
      </w:r>
    </w:p>
    <w:p w:rsidR="001D0A78" w:rsidRPr="008A2841" w:rsidRDefault="001D0A78" w:rsidP="001D0A78">
      <w:pPr>
        <w:pStyle w:val="BodyB"/>
        <w:tabs>
          <w:tab w:val="left" w:pos="720"/>
          <w:tab w:val="left" w:pos="1440"/>
          <w:tab w:val="left" w:pos="2160"/>
          <w:tab w:val="left" w:pos="2880"/>
          <w:tab w:val="left" w:pos="3600"/>
          <w:tab w:val="left" w:pos="4320"/>
        </w:tabs>
        <w:spacing w:line="264" w:lineRule="auto"/>
        <w:rPr>
          <w:rFonts w:ascii="Helvetica Neue" w:eastAsia="Helvetica Neue" w:hAnsi="Helvetica Neue" w:cs="Helvetica Neue"/>
          <w:b/>
          <w:bCs/>
          <w:lang w:val="de-AT"/>
        </w:rPr>
      </w:pPr>
      <w:r w:rsidRPr="008A2841">
        <w:rPr>
          <w:rFonts w:ascii="Helvetica Neue" w:hAnsi="Helvetica Neue"/>
          <w:b/>
          <w:bCs/>
          <w:lang w:val="de-AT"/>
        </w:rPr>
        <w:t>Chapter</w:t>
      </w:r>
      <w:r>
        <w:rPr>
          <w:rFonts w:ascii="Helvetica Neue" w:hAnsi="Helvetica Neue"/>
          <w:b/>
          <w:bCs/>
          <w:lang w:val="de-DE"/>
        </w:rPr>
        <w:t xml:space="preserve"> 4</w:t>
      </w:r>
    </w:p>
    <w:p w:rsidR="001D0A78" w:rsidRPr="008A2841" w:rsidRDefault="001D0A78" w:rsidP="001D0A78">
      <w:pPr>
        <w:pStyle w:val="BodyB"/>
        <w:tabs>
          <w:tab w:val="left" w:pos="720"/>
          <w:tab w:val="left" w:pos="1440"/>
          <w:tab w:val="left" w:pos="2160"/>
          <w:tab w:val="left" w:pos="2880"/>
          <w:tab w:val="left" w:pos="3600"/>
          <w:tab w:val="left" w:pos="4320"/>
        </w:tabs>
        <w:spacing w:line="264" w:lineRule="auto"/>
        <w:rPr>
          <w:rFonts w:ascii="Helvetica Neue" w:eastAsia="Helvetica Neue" w:hAnsi="Helvetica Neue" w:cs="Helvetica Neue"/>
          <w:b/>
          <w:bCs/>
          <w:lang w:val="de-AT"/>
        </w:rPr>
      </w:pPr>
      <w:r>
        <w:rPr>
          <w:rFonts w:ascii="Helvetica Neue" w:hAnsi="Helvetica Neue"/>
          <w:b/>
          <w:bCs/>
          <w:lang w:val="de-DE"/>
        </w:rPr>
        <w:t>Conclusion: Das Kaiserliche und Königliche</w:t>
      </w:r>
      <w:r w:rsidR="00731234">
        <w:rPr>
          <w:rFonts w:ascii="Helvetica Neue" w:hAnsi="Helvetica Neue"/>
          <w:b/>
          <w:bCs/>
          <w:lang w:val="de-DE"/>
        </w:rPr>
        <w:t xml:space="preserve"> Ministerium für Administrative</w:t>
      </w:r>
      <w:r>
        <w:rPr>
          <w:rFonts w:ascii="Helvetica Neue" w:hAnsi="Helvetica Neue"/>
          <w:b/>
          <w:bCs/>
          <w:lang w:val="de-DE"/>
        </w:rPr>
        <w:t xml:space="preserve"> Angelegenheiten</w:t>
      </w:r>
    </w:p>
    <w:p w:rsidR="001D0A78" w:rsidRDefault="001D0A78" w:rsidP="001D0A78">
      <w:pPr>
        <w:pStyle w:val="BodyB"/>
        <w:tabs>
          <w:tab w:val="left" w:pos="720"/>
          <w:tab w:val="left" w:pos="1440"/>
          <w:tab w:val="left" w:pos="2160"/>
          <w:tab w:val="left" w:pos="2880"/>
          <w:tab w:val="left" w:pos="3600"/>
          <w:tab w:val="left" w:pos="4320"/>
        </w:tabs>
        <w:spacing w:line="264" w:lineRule="auto"/>
        <w:rPr>
          <w:rFonts w:ascii="Helvetica Neue" w:eastAsia="Helvetica Neue" w:hAnsi="Helvetica Neue" w:cs="Helvetica Neue"/>
          <w:b/>
          <w:bCs/>
          <w:lang w:val="de-DE"/>
        </w:rPr>
      </w:pPr>
    </w:p>
    <w:p w:rsidR="001D0A78" w:rsidRDefault="001D0A78" w:rsidP="001D0A78">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264" w:lineRule="auto"/>
        <w:rPr>
          <w:sz w:val="20"/>
          <w:szCs w:val="20"/>
        </w:rPr>
      </w:pPr>
      <w:r>
        <w:rPr>
          <w:sz w:val="20"/>
          <w:szCs w:val="20"/>
        </w:rPr>
        <w:t>All in all, how many remarkable things might be said about that vanished Kakania! For instance, it was kaiserlich-k</w:t>
      </w:r>
      <w:r>
        <w:rPr>
          <w:sz w:val="20"/>
          <w:szCs w:val="20"/>
          <w:lang w:val="sv-SE"/>
        </w:rPr>
        <w:t>ö</w:t>
      </w:r>
      <w:r w:rsidRPr="008A2841">
        <w:rPr>
          <w:sz w:val="20"/>
          <w:szCs w:val="20"/>
        </w:rPr>
        <w:t>niglich (Imperial-Royal) and it was kaiserlich und k</w:t>
      </w:r>
      <w:r>
        <w:rPr>
          <w:sz w:val="20"/>
          <w:szCs w:val="20"/>
          <w:lang w:val="sv-SE"/>
        </w:rPr>
        <w:t>ö</w:t>
      </w:r>
      <w:r>
        <w:rPr>
          <w:sz w:val="20"/>
          <w:szCs w:val="20"/>
        </w:rPr>
        <w:t>niglich (Imperial and Royal); one of the two abbreviations, k.k. or k.u.k., applied to every thing and person, but esoteric lore was nevertheless required in order to be sure of distinguishing which institutions and persons were to be referred to as k.k. and which as k.u.k. On paper it called itself the Austro-Hungarian Monarchy; in speaking, however, one referred to it as Austria, that is to say, it was known by a name that it had, as a State, solemnly renounced by oath, while preserving it in all matters of sentiment, as a sign that feelings are just as important as constitutional law and that regulations are not the really serious thing in life.</w:t>
      </w:r>
    </w:p>
    <w:p w:rsidR="001D0A78" w:rsidRPr="008A2841" w:rsidRDefault="001D0A78" w:rsidP="001D0A78">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264" w:lineRule="auto"/>
        <w:rPr>
          <w:i/>
          <w:iCs/>
          <w:sz w:val="20"/>
          <w:szCs w:val="20"/>
          <w:lang w:val="de-AT"/>
        </w:rPr>
      </w:pPr>
      <w:r w:rsidRPr="008A2841">
        <w:rPr>
          <w:sz w:val="20"/>
          <w:szCs w:val="20"/>
          <w:lang w:val="de-AT"/>
        </w:rPr>
        <w:t xml:space="preserve">--Robert Musil, </w:t>
      </w:r>
      <w:r>
        <w:rPr>
          <w:i/>
          <w:iCs/>
          <w:sz w:val="20"/>
          <w:szCs w:val="20"/>
          <w:lang w:val="de-DE"/>
        </w:rPr>
        <w:t>Der Mann ohne Eigenschaften [The Man Without Qualities]</w:t>
      </w:r>
      <w:r>
        <w:rPr>
          <w:i/>
          <w:iCs/>
          <w:sz w:val="20"/>
          <w:szCs w:val="20"/>
          <w:vertAlign w:val="superscript"/>
        </w:rPr>
        <w:footnoteReference w:id="115"/>
      </w:r>
    </w:p>
    <w:p w:rsidR="001D0A78" w:rsidRPr="008A2841" w:rsidRDefault="001D0A78" w:rsidP="001D0A78">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264" w:lineRule="auto"/>
        <w:rPr>
          <w:i/>
          <w:iCs/>
          <w:sz w:val="20"/>
          <w:szCs w:val="20"/>
          <w:lang w:val="de-AT"/>
        </w:rPr>
      </w:pPr>
    </w:p>
    <w:p w:rsidR="001D0A78" w:rsidRDefault="001D0A78" w:rsidP="001D0A78">
      <w:pPr>
        <w:pStyle w:val="BodyC"/>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Pr>
          <w:rFonts w:ascii="Helvetica Neue" w:hAnsi="Helvetica Neue"/>
          <w:lang w:val="de-DE"/>
        </w:rPr>
        <w:t xml:space="preserve"> </w:t>
      </w:r>
      <w:r w:rsidRPr="008A2841">
        <w:rPr>
          <w:rFonts w:ascii="Helvetica Neue" w:hAnsi="Helvetica Neue"/>
        </w:rPr>
        <w:t>In 1618, the Habsburg Monarchy found itself in an existential crisis. Long a collection of territories held together by the patrimonial rights of the Habsburg family, Protestant Czech nobles began to rebel for fear of losing their medieval privileges to check the power of the monarch. The Holy Roman Empire, the loose confederation of German speaking territories which the Habsburgs had dominated since 1440, found itself on the verge of dissolution over the issue of religion. This crisis would continue for the next thirty years in the form of a brutal, grinding slog of a war.</w:t>
      </w:r>
    </w:p>
    <w:p w:rsidR="001D0A78" w:rsidRDefault="001D0A78" w:rsidP="001D0A78">
      <w:pPr>
        <w:pStyle w:val="BodyC"/>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sidRPr="008A2841">
        <w:rPr>
          <w:rFonts w:ascii="Helvetica Neue" w:hAnsi="Helvetica Neue"/>
        </w:rPr>
        <w:t xml:space="preserve">The outbreak of this war would result in the creation of a professional army that was, for the first time, directly accountable to the emperor whose territory it ostensibly represented. This army wore uniforms that were standardized and mass produced, and it was mostly financed through a tax system that was more efficient than any of its contemporary Continental peers. And while historians may debate the outcome of the Thirty Years War and its meaning for the Habsburg Monarchy, these innovations ensured its survival after its close brush with extinction in 1618. The Habsburg Monarchy had engaged in the process of state-making: the creation of institutions and financial mechanisms to ensure the sovereignty of the territory they ruled. </w:t>
      </w:r>
    </w:p>
    <w:p w:rsidR="001D0A78" w:rsidRDefault="001D0A78" w:rsidP="001D0A78">
      <w:pPr>
        <w:pStyle w:val="BodyC"/>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sidRPr="008A2841">
        <w:rPr>
          <w:rFonts w:ascii="Helvetica Neue" w:hAnsi="Helvetica Neue"/>
        </w:rPr>
        <w:t xml:space="preserve">However, the development of Habsburg Austria after 1648 did not ultimately result in a state that was able to strengthen and unite itself, as it did in the seventeenth century. By 1867, after multiple devastating military defeats, the Habsburg Monarchy found itself in a precarious position. Attempting to create a unified monarchy, Emperor Franz Josef was forced to agree to the bifurcation of his lands into a western Austrian half and an eastern Hungarian half. Domestic political challenges, for example the lack of a common national language and the use and recognition of minority languages, served only to polarize both the Austrian parliament and society generally. The two halves had different economic policy needs: the Austrian half had an export economy with high value added industrial products, and the Hungarian half had an agrarian economy dominated by large landowners. Punishing tariffs, introduced to protect Hungarian agriculture, cut Austrian exports off from key markets, as retaliatory tariffs </w:t>
      </w:r>
      <w:r w:rsidRPr="00DA7786">
        <w:rPr>
          <w:rFonts w:ascii="Helvetica Neue" w:eastAsia="Helvetica Neue" w:hAnsi="Helvetica Neue" w:cs="Helvetica Neue"/>
          <w:noProof/>
        </w:rPr>
        <w:drawing>
          <wp:anchor distT="0" distB="0" distL="114300" distR="114300" simplePos="0" relativeHeight="251662336" behindDoc="0" locked="0" layoutInCell="1" allowOverlap="1" wp14:anchorId="3E683D6A" wp14:editId="4008E0B4">
            <wp:simplePos x="0" y="0"/>
            <wp:positionH relativeFrom="margin">
              <wp:align>center</wp:align>
            </wp:positionH>
            <wp:positionV relativeFrom="paragraph">
              <wp:posOffset>739775</wp:posOffset>
            </wp:positionV>
            <wp:extent cx="5120640" cy="2394585"/>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120640" cy="2394585"/>
                    </a:xfrm>
                    <a:prstGeom prst="rect">
                      <a:avLst/>
                    </a:prstGeom>
                  </pic:spPr>
                </pic:pic>
              </a:graphicData>
            </a:graphic>
            <wp14:sizeRelH relativeFrom="page">
              <wp14:pctWidth>0</wp14:pctWidth>
            </wp14:sizeRelH>
            <wp14:sizeRelV relativeFrom="page">
              <wp14:pctHeight>0</wp14:pctHeight>
            </wp14:sizeRelV>
          </wp:anchor>
        </w:drawing>
      </w:r>
      <w:r w:rsidRPr="00DA7786">
        <w:rPr>
          <w:rFonts w:ascii="Helvetica Neue" w:eastAsia="Helvetica Neue" w:hAnsi="Helvetica Neue" w:cs="Helvetica Neue"/>
          <w:noProof/>
        </w:rPr>
        <w:t>were</w:t>
      </w:r>
      <w:r w:rsidRPr="008A2841">
        <w:rPr>
          <w:rFonts w:ascii="Helvetica Neue" w:hAnsi="Helvetica Neue"/>
        </w:rPr>
        <w:t xml:space="preserve"> erected in response. </w:t>
      </w:r>
    </w:p>
    <w:p w:rsidR="001D0A78" w:rsidRDefault="001D0A78" w:rsidP="001D0A78">
      <w:pPr>
        <w:pStyle w:val="BodyC"/>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hAnsi="Helvetica Neue"/>
        </w:rPr>
      </w:pPr>
    </w:p>
    <w:p w:rsidR="001D0A78" w:rsidRDefault="001D0A78" w:rsidP="001D0A78">
      <w:pPr>
        <w:pStyle w:val="BodyC"/>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sidRPr="008A2841">
        <w:rPr>
          <w:rFonts w:ascii="Helvetica Neue" w:hAnsi="Helvetica Neue"/>
        </w:rPr>
        <w:t xml:space="preserve">In both periods, domestic and international magnified the effects of the other. Protestant nobles who feared the loss of their privileges turned to other Protestants outside of Habsburg Austria for assistance. Eventually another German monarch, the Protestant Friedrich V, served as King of Bohemia until it was successfully reclaimed by the Habsburgs in 1620. During the second period, the agricultural tariffs demanded by Hungarian landlords cut Austria-Hungary off from key Balkan allies, many of whom subsequently allied themselves politically and militarily against Austria-Hungary. </w:t>
      </w:r>
    </w:p>
    <w:p w:rsidR="001D0A78" w:rsidRDefault="001D0A78" w:rsidP="001D0A78">
      <w:pPr>
        <w:pStyle w:val="BodyC"/>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sidRPr="008A2841">
        <w:rPr>
          <w:rFonts w:ascii="Helvetica Neue" w:hAnsi="Helvetica Neue"/>
        </w:rPr>
        <w:t xml:space="preserve">These periods both feature the transformation of the rules governing the international system. In the first case, the Protestant Reformation resulted in the end of an international system that was united by a single religion, Catholicism, and its replacement with the notion of sovereignty, which demanded the creation of state institutions that could defend a ruler’s claim to </w:t>
      </w:r>
      <w:r>
        <w:rPr>
          <w:rFonts w:ascii="Helvetica Neue" w:hAnsi="Helvetica Neue"/>
        </w:rPr>
        <w:t>sovereignty</w:t>
      </w:r>
      <w:r w:rsidRPr="008A2841">
        <w:rPr>
          <w:rFonts w:ascii="Helvetica Neue" w:hAnsi="Helvetica Neue"/>
        </w:rPr>
        <w:t>. S</w:t>
      </w:r>
      <w:r>
        <w:rPr>
          <w:rFonts w:ascii="Helvetica Neue" w:hAnsi="Helvetica Neue"/>
        </w:rPr>
        <w:t>overeignty</w:t>
      </w:r>
      <w:r w:rsidRPr="008A2841">
        <w:rPr>
          <w:rFonts w:ascii="Helvetica Neue" w:hAnsi="Helvetica Neue"/>
        </w:rPr>
        <w:t xml:space="preserve"> is the principal that a ruler or government is the “master at home and an equal abroad.” It demanded that a sovereign hold the exclusive claim to the use of violence as a means for coercion within that territory. As discussed in chapter 2, the Czech Protestant revolt was an example of a challenge to the sovereign authority of the Habsburg Monarchy. In the waning years of Habsburg Austria-Hungary, European continental affairs was driven by the “new imperialism” which encouraged European states to conquer territory simply to prevent other states from doing the same. Embracing this philosophy in 1907-1908, Austria-Hungary annexed its Bosnian protectorate, setting off an international crisis. </w:t>
      </w:r>
    </w:p>
    <w:p w:rsidR="001D0A78" w:rsidRDefault="001D0A78" w:rsidP="001D0A78">
      <w:pPr>
        <w:pStyle w:val="BodyC"/>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Helvetica Neue" w:eastAsia="Helvetica Neue" w:hAnsi="Helvetica Neue" w:cs="Helvetica Neue"/>
        </w:rPr>
      </w:pPr>
      <w:r w:rsidRPr="008A2841">
        <w:rPr>
          <w:rFonts w:ascii="Helvetica Neue" w:hAnsi="Helvetica Neue"/>
        </w:rPr>
        <w:t xml:space="preserve">What distinguishes the two periods from one another is their outcome: in the first instance, the Habsburgs are able to engage in the process of state-making, creating an army and creating taxes with which to pay for it. In the second case, however, they were prevented from state-making as a result of a combination of international and domestic factors that had gradually narrowed their scope of action and weakened the cohesion of their state. The assassination of Archduke Ferdinand in 1914 was not simply the latest in a series of international political defeats, but a challenge to the Habsburg Monarchy’s sovereignty and the viability of the Austro-Hungarian state. A challenge, of course, that it would not overcome, and a tragedy for the fifty-two million Austro-Hungarians who suffered the hardship and death of World War I. </w:t>
      </w:r>
    </w:p>
    <w:p w:rsidR="001D0A78" w:rsidRDefault="001D0A78" w:rsidP="001D0A78">
      <w:pPr>
        <w:pStyle w:val="BodyC"/>
        <w:tabs>
          <w:tab w:val="left" w:pos="360"/>
          <w:tab w:val="left" w:pos="720"/>
          <w:tab w:val="left" w:pos="1080"/>
          <w:tab w:val="left" w:pos="1440"/>
          <w:tab w:val="left" w:pos="1800"/>
          <w:tab w:val="left" w:pos="2160"/>
          <w:tab w:val="left" w:pos="2880"/>
          <w:tab w:val="left" w:pos="3600"/>
          <w:tab w:val="left" w:pos="4320"/>
        </w:tabs>
        <w:spacing w:line="480" w:lineRule="auto"/>
        <w:ind w:firstLine="360"/>
      </w:pPr>
      <w:r>
        <w:rPr>
          <w:rFonts w:ascii="Arial Unicode MS" w:hAnsi="Arial Unicode MS"/>
          <w:shd w:val="clear" w:color="auto" w:fill="FFFFFF"/>
        </w:rPr>
        <w:br w:type="page"/>
      </w:r>
    </w:p>
    <w:p w:rsidR="001D0A78" w:rsidRDefault="001D0A78" w:rsidP="001D0A78">
      <w:pPr>
        <w:pStyle w:val="BodyB"/>
        <w:spacing w:line="480" w:lineRule="auto"/>
        <w:rPr>
          <w:rFonts w:ascii="Helvetica Neue" w:eastAsia="Helvetica Neue" w:hAnsi="Helvetica Neue" w:cs="Helvetica Neue"/>
          <w:b/>
          <w:bCs/>
          <w:lang w:val="fr-FR"/>
        </w:rPr>
      </w:pPr>
      <w:r>
        <w:rPr>
          <w:rFonts w:ascii="Helvetica Neue" w:hAnsi="Helvetica Neue"/>
          <w:b/>
          <w:bCs/>
          <w:shd w:val="clear" w:color="auto" w:fill="FFFFFF"/>
          <w:lang w:val="fr-FR"/>
        </w:rPr>
        <w:t>Bibliography</w:t>
      </w: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Acemoglu, Daron, and James A. Robinson. "Economic Backwardness in Political Perspective." </w:t>
      </w:r>
      <w:r>
        <w:rPr>
          <w:rFonts w:ascii="Helvetica Neue" w:hAnsi="Helvetica Neue"/>
          <w:i/>
          <w:iCs/>
        </w:rPr>
        <w:t xml:space="preserve">American Political Science Review </w:t>
      </w:r>
      <w:r>
        <w:rPr>
          <w:rFonts w:ascii="Helvetica Neue" w:hAnsi="Helvetica Neue"/>
        </w:rPr>
        <w:t>100, no. 1 (2006): 115-131.</w:t>
      </w:r>
    </w:p>
    <w:p w:rsidR="001D0A78" w:rsidRDefault="001D0A78" w:rsidP="001D0A78">
      <w:pPr>
        <w:pStyle w:val="EndNoteBibliography"/>
        <w:ind w:left="720" w:hanging="720"/>
        <w:rPr>
          <w:rFonts w:ascii="Helvetica Neue" w:eastAsia="Helvetica Neue" w:hAnsi="Helvetica Neue" w:cs="Helvetica Neue"/>
        </w:rPr>
      </w:pPr>
    </w:p>
    <w:p w:rsidR="001D0A78" w:rsidRPr="001D0A78" w:rsidRDefault="001D0A78" w:rsidP="001D0A78">
      <w:pPr>
        <w:pStyle w:val="EndNoteBibliography"/>
        <w:ind w:left="720" w:hanging="720"/>
        <w:rPr>
          <w:rFonts w:ascii="Helvetica Neue" w:eastAsia="Helvetica Neue" w:hAnsi="Helvetica Neue" w:cs="Helvetica Neue"/>
          <w:lang w:val="de-AT"/>
        </w:rPr>
      </w:pPr>
      <w:r>
        <w:rPr>
          <w:rFonts w:ascii="Helvetica Neue" w:hAnsi="Helvetica Neue"/>
        </w:rPr>
        <w:t>Acemoglu, Daron, and James A. Robinson.</w:t>
      </w:r>
      <w:r w:rsidRPr="008A2841">
        <w:rPr>
          <w:rFonts w:ascii="Helvetica Neue" w:hAnsi="Helvetica Neue"/>
        </w:rPr>
        <w:t xml:space="preserve"> </w:t>
      </w:r>
      <w:r>
        <w:rPr>
          <w:rFonts w:ascii="Helvetica Neue" w:hAnsi="Helvetica Neue"/>
          <w:i/>
          <w:iCs/>
        </w:rPr>
        <w:t>Why Nations Fail: The Origins of Power, Prosperity, and Poverty</w:t>
      </w:r>
      <w:r w:rsidRPr="008A2841">
        <w:rPr>
          <w:rFonts w:ascii="Helvetica Neue" w:hAnsi="Helvetica Neue"/>
        </w:rPr>
        <w:t xml:space="preserve">. </w:t>
      </w:r>
      <w:r w:rsidRPr="001D0A78">
        <w:rPr>
          <w:rFonts w:ascii="Helvetica Neue" w:hAnsi="Helvetica Neue"/>
          <w:lang w:val="de-AT"/>
        </w:rPr>
        <w:t>New York: Crown Business, 2012.</w:t>
      </w:r>
    </w:p>
    <w:p w:rsidR="001D0A78" w:rsidRPr="001D0A78" w:rsidRDefault="001D0A78" w:rsidP="001D0A78">
      <w:pPr>
        <w:pStyle w:val="EndNoteBibliography"/>
        <w:ind w:left="720" w:hanging="720"/>
        <w:rPr>
          <w:rFonts w:ascii="Helvetica Neue" w:eastAsia="Helvetica Neue" w:hAnsi="Helvetica Neue" w:cs="Helvetica Neue"/>
          <w:lang w:val="de-AT"/>
        </w:rPr>
      </w:pPr>
    </w:p>
    <w:p w:rsidR="001D0A78" w:rsidRPr="008A2841" w:rsidRDefault="001D0A78" w:rsidP="001D0A78">
      <w:pPr>
        <w:pStyle w:val="EndNoteBibliography"/>
        <w:ind w:left="720" w:hanging="720"/>
        <w:rPr>
          <w:rFonts w:ascii="Helvetica Neue" w:eastAsia="Helvetica Neue" w:hAnsi="Helvetica Neue" w:cs="Helvetica Neue"/>
          <w:lang w:val="de-AT"/>
        </w:rPr>
      </w:pPr>
      <w:r w:rsidRPr="008A2841">
        <w:rPr>
          <w:rFonts w:ascii="Helvetica Neue" w:hAnsi="Helvetica Neue"/>
          <w:i/>
          <w:iCs/>
          <w:lang w:val="de-AT"/>
        </w:rPr>
        <w:t>Allgemeines bürgerliches Gesetzbuch für die gesamten Deutschen Erbländer der Oesterreichischen Monarchie</w:t>
      </w:r>
      <w:r w:rsidRPr="008A2841">
        <w:rPr>
          <w:rFonts w:ascii="Helvetica Neue" w:hAnsi="Helvetica Neue"/>
          <w:lang w:val="de-AT"/>
        </w:rPr>
        <w:t>. Vienna: Kaiserliche und königliche Hof- und Staatsdruckerei, 1814.</w:t>
      </w:r>
    </w:p>
    <w:p w:rsidR="001D0A78" w:rsidRPr="008A2841" w:rsidRDefault="001D0A78" w:rsidP="001D0A78">
      <w:pPr>
        <w:pStyle w:val="EndNoteBibliography"/>
        <w:ind w:left="720" w:hanging="720"/>
        <w:rPr>
          <w:rFonts w:ascii="Helvetica Neue" w:eastAsia="Helvetica Neue" w:hAnsi="Helvetica Neue" w:cs="Helvetica Neue"/>
          <w:lang w:val="de-AT"/>
        </w:rPr>
      </w:pPr>
    </w:p>
    <w:p w:rsidR="001D0A78" w:rsidRPr="001D0A78" w:rsidRDefault="001D0A78" w:rsidP="001D0A78">
      <w:pPr>
        <w:pStyle w:val="EndNoteBibliography"/>
        <w:ind w:left="720" w:hanging="720"/>
        <w:rPr>
          <w:rFonts w:ascii="Helvetica Neue" w:eastAsia="Helvetica Neue" w:hAnsi="Helvetica Neue" w:cs="Helvetica Neue"/>
        </w:rPr>
      </w:pPr>
      <w:r w:rsidRPr="008A2841">
        <w:rPr>
          <w:rFonts w:ascii="Helvetica Neue" w:hAnsi="Helvetica Neue"/>
          <w:lang w:val="de-AT"/>
        </w:rPr>
        <w:t xml:space="preserve">Autorenkollektiv. "A. E. I. O. U." In </w:t>
      </w:r>
      <w:r w:rsidRPr="008A2841">
        <w:rPr>
          <w:rFonts w:ascii="Helvetica Neue" w:hAnsi="Helvetica Neue"/>
          <w:i/>
          <w:iCs/>
          <w:lang w:val="de-AT"/>
        </w:rPr>
        <w:t>Meyers Konversationslexikon</w:t>
      </w:r>
      <w:r w:rsidRPr="008A2841">
        <w:rPr>
          <w:rFonts w:ascii="Helvetica Neue" w:hAnsi="Helvetica Neue"/>
          <w:lang w:val="de-AT"/>
        </w:rPr>
        <w:t xml:space="preserve">. </w:t>
      </w:r>
      <w:r w:rsidRPr="001D0A78">
        <w:rPr>
          <w:rFonts w:ascii="Helvetica Neue" w:hAnsi="Helvetica Neue"/>
        </w:rPr>
        <w:t>Vienna: Verlag des Bibliographischen Instituts, 1885.</w:t>
      </w:r>
    </w:p>
    <w:p w:rsidR="001D0A78" w:rsidRP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Berend, Iván T. </w:t>
      </w:r>
      <w:r>
        <w:rPr>
          <w:rFonts w:ascii="Helvetica Neue" w:hAnsi="Helvetica Neue"/>
          <w:i/>
          <w:iCs/>
        </w:rPr>
        <w:t>An Economic History of Twentieth-Century Europe</w:t>
      </w:r>
      <w:r>
        <w:rPr>
          <w:rFonts w:ascii="Helvetica Neue" w:hAnsi="Helvetica Neue"/>
        </w:rPr>
        <w:t>. New York: Cambridge University Press, 2006.</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w:t>
      </w:r>
      <w:r w:rsidRPr="008A2841">
        <w:rPr>
          <w:rFonts w:ascii="Helvetica Neue" w:hAnsi="Helvetica Neue"/>
        </w:rPr>
        <w:t xml:space="preserve"> </w:t>
      </w:r>
      <w:r>
        <w:rPr>
          <w:rFonts w:ascii="Helvetica Neue" w:hAnsi="Helvetica Neue"/>
          <w:i/>
          <w:iCs/>
        </w:rPr>
        <w:t>History Derailed: Central and Eastern Europe in the Long Nineteenth Century</w:t>
      </w:r>
      <w:r w:rsidRPr="008A2841">
        <w:rPr>
          <w:rFonts w:ascii="Helvetica Neue" w:hAnsi="Helvetica Neue"/>
        </w:rPr>
        <w:t>. Berkeley: University of California Press, 2003.</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Berend, Iván T., and György Ránki. </w:t>
      </w:r>
      <w:r>
        <w:rPr>
          <w:rFonts w:ascii="Helvetica Neue" w:hAnsi="Helvetica Neue"/>
          <w:i/>
          <w:iCs/>
        </w:rPr>
        <w:t>Economic Development in East-Central Europe in the 19th and 20th Centuries</w:t>
      </w:r>
      <w:r>
        <w:rPr>
          <w:rFonts w:ascii="Helvetica Neue" w:hAnsi="Helvetica Neue"/>
        </w:rPr>
        <w:t>. New York: Cambridge University Press, 1974.</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Bireley, Robert. </w:t>
      </w:r>
      <w:r>
        <w:rPr>
          <w:rFonts w:ascii="Helvetica Neue" w:hAnsi="Helvetica Neue"/>
          <w:i/>
          <w:iCs/>
        </w:rPr>
        <w:t>Ferdinand II, Counter-Reformation Emperor, 1578-1637</w:t>
      </w:r>
      <w:r>
        <w:rPr>
          <w:rFonts w:ascii="Helvetica Neue" w:hAnsi="Helvetica Neue"/>
        </w:rPr>
        <w:t>. New York: Cambridge University Press, 2014.</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hAnsi="Helvetica Neue"/>
          <w:lang w:val="de-AT"/>
        </w:rPr>
      </w:pPr>
      <w:r>
        <w:rPr>
          <w:rFonts w:ascii="Helvetica Neue" w:hAnsi="Helvetica Neue"/>
        </w:rPr>
        <w:t xml:space="preserve">Bull, Hedley. </w:t>
      </w:r>
      <w:r>
        <w:rPr>
          <w:rFonts w:ascii="Helvetica Neue" w:hAnsi="Helvetica Neue"/>
          <w:i/>
          <w:iCs/>
        </w:rPr>
        <w:t>The Anarchical Society: A Study of Order in World Politics</w:t>
      </w:r>
      <w:r>
        <w:rPr>
          <w:rFonts w:ascii="Helvetica Neue" w:hAnsi="Helvetica Neue"/>
        </w:rPr>
        <w:t xml:space="preserve">. </w:t>
      </w:r>
      <w:r w:rsidRPr="008A2841">
        <w:rPr>
          <w:rFonts w:ascii="Helvetica Neue" w:hAnsi="Helvetica Neue"/>
          <w:lang w:val="de-AT"/>
        </w:rPr>
        <w:t>3rd ed. New York: Palgrave, 2002.</w:t>
      </w:r>
    </w:p>
    <w:p w:rsidR="001D0A78" w:rsidRDefault="001D0A78" w:rsidP="001D0A78">
      <w:pPr>
        <w:pStyle w:val="EndNoteBibliography"/>
        <w:ind w:left="720" w:hanging="720"/>
        <w:rPr>
          <w:rFonts w:ascii="Helvetica Neue" w:hAnsi="Helvetica Neue"/>
          <w:lang w:val="de-AT"/>
        </w:rPr>
      </w:pPr>
    </w:p>
    <w:p w:rsidR="001D0A78" w:rsidRDefault="001D0A78" w:rsidP="001D0A78">
      <w:pPr>
        <w:pStyle w:val="EndNoteBibliography"/>
        <w:ind w:left="720" w:hanging="720"/>
        <w:rPr>
          <w:rFonts w:ascii="Helvetica Neue" w:hAnsi="Helvetica Neue"/>
          <w:lang w:val="de-AT"/>
        </w:rPr>
      </w:pPr>
    </w:p>
    <w:p w:rsidR="001D0A78" w:rsidRDefault="001D0A78" w:rsidP="001D0A78">
      <w:pPr>
        <w:pStyle w:val="EndNoteBibliography"/>
        <w:ind w:left="720" w:hanging="720"/>
        <w:rPr>
          <w:rFonts w:ascii="Helvetica Neue" w:hAnsi="Helvetica Neue"/>
          <w:lang w:val="de-AT"/>
        </w:rPr>
      </w:pPr>
    </w:p>
    <w:p w:rsidR="001D0A78" w:rsidRPr="008A2841" w:rsidRDefault="001D0A78" w:rsidP="001D0A78">
      <w:pPr>
        <w:pStyle w:val="EndNoteBibliography"/>
        <w:ind w:left="720" w:hanging="720"/>
        <w:rPr>
          <w:rFonts w:ascii="Helvetica Neue" w:eastAsia="Helvetica Neue" w:hAnsi="Helvetica Neue" w:cs="Helvetica Neue"/>
          <w:lang w:val="de-AT"/>
        </w:rPr>
      </w:pPr>
    </w:p>
    <w:p w:rsidR="001D0A78" w:rsidRPr="008A2841" w:rsidRDefault="001D0A78" w:rsidP="001D0A78">
      <w:pPr>
        <w:pStyle w:val="EndNoteBibliography"/>
        <w:ind w:left="720" w:hanging="720"/>
        <w:rPr>
          <w:rFonts w:ascii="Helvetica Neue" w:eastAsia="Helvetica Neue" w:hAnsi="Helvetica Neue" w:cs="Helvetica Neue"/>
          <w:lang w:val="de-AT"/>
        </w:rPr>
      </w:pPr>
    </w:p>
    <w:p w:rsidR="001D0A78" w:rsidRPr="008C0543" w:rsidRDefault="001D0A78" w:rsidP="001D0A78">
      <w:pPr>
        <w:pStyle w:val="EndNoteBibliography"/>
        <w:ind w:left="720" w:hanging="720"/>
        <w:rPr>
          <w:rFonts w:ascii="Helvetica Neue" w:eastAsia="Helvetica Neue" w:hAnsi="Helvetica Neue" w:cs="Helvetica Neue"/>
        </w:rPr>
      </w:pPr>
      <w:r w:rsidRPr="008A2841">
        <w:rPr>
          <w:rFonts w:ascii="Helvetica Neue" w:hAnsi="Helvetica Neue"/>
          <w:lang w:val="de-AT"/>
        </w:rPr>
        <w:t xml:space="preserve">Burkhardt, Johannes. "Die Friedlosigkeit der frühen Neuzeit: Grundlegung einer Theorie der Bellizität." </w:t>
      </w:r>
      <w:r w:rsidRPr="008C0543">
        <w:rPr>
          <w:rFonts w:ascii="Helvetica Neue" w:hAnsi="Helvetica Neue"/>
          <w:i/>
          <w:iCs/>
        </w:rPr>
        <w:t xml:space="preserve">Zeitscrhift für Historische Forschung </w:t>
      </w:r>
      <w:r w:rsidRPr="008C0543">
        <w:rPr>
          <w:rFonts w:ascii="Helvetica Neue" w:hAnsi="Helvetica Neue"/>
        </w:rPr>
        <w:t>24, no. 4 (1997): 509-574.</w:t>
      </w:r>
    </w:p>
    <w:p w:rsidR="001D0A78" w:rsidRPr="008C0543"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 "The Thirty Years’ War." In </w:t>
      </w:r>
      <w:r>
        <w:rPr>
          <w:rFonts w:ascii="Helvetica Neue" w:hAnsi="Helvetica Neue"/>
          <w:i/>
          <w:iCs/>
        </w:rPr>
        <w:t>A Companion to the Reformation World</w:t>
      </w:r>
      <w:r>
        <w:rPr>
          <w:rFonts w:ascii="Helvetica Neue" w:hAnsi="Helvetica Neue"/>
        </w:rPr>
        <w:t>, edited by R. Po-Chia Hsia, 272-290. Malden, MA: Blackwell Publishing, 2008.</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Cohen, Gary. "Nationalist Politics and the Dynamics of State and Civil Society in the Habsburg Monarchy, 1867-1914." </w:t>
      </w:r>
      <w:r>
        <w:rPr>
          <w:rFonts w:ascii="Helvetica Neue" w:hAnsi="Helvetica Neue"/>
          <w:i/>
          <w:iCs/>
        </w:rPr>
        <w:t xml:space="preserve">Central European History </w:t>
      </w:r>
      <w:r>
        <w:rPr>
          <w:rFonts w:ascii="Helvetica Neue" w:hAnsi="Helvetica Neue"/>
        </w:rPr>
        <w:t>40, no. 2 (2007): 241-278.</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Cohen, Youssef, Brian R. Brown, and A. F. K. Organski. "The Paradoxical Nature of State Making: The Violent Creation of Order." </w:t>
      </w:r>
      <w:r>
        <w:rPr>
          <w:rFonts w:ascii="Helvetica Neue" w:hAnsi="Helvetica Neue"/>
          <w:i/>
          <w:iCs/>
        </w:rPr>
        <w:t xml:space="preserve">The American Political Science Review </w:t>
      </w:r>
      <w:r>
        <w:rPr>
          <w:rFonts w:ascii="Helvetica Neue" w:hAnsi="Helvetica Neue"/>
        </w:rPr>
        <w:t>75, no. 4 (1981): 901-910.</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Cole, Laurence. </w:t>
      </w:r>
      <w:r>
        <w:rPr>
          <w:rFonts w:ascii="Helvetica Neue" w:hAnsi="Helvetica Neue"/>
          <w:i/>
          <w:iCs/>
        </w:rPr>
        <w:t>Military Culture and Popular Patriotism in Late Imperial Austria</w:t>
      </w:r>
      <w:r>
        <w:rPr>
          <w:rFonts w:ascii="Helvetica Neue" w:hAnsi="Helvetica Neue"/>
        </w:rPr>
        <w:t>. New York: Oxford University Press, 2014.</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de Vries, Jan. "The Economic Crisis of the Seventeenth Century after Fifty Years." </w:t>
      </w:r>
      <w:r>
        <w:rPr>
          <w:rFonts w:ascii="Helvetica Neue" w:hAnsi="Helvetica Neue"/>
          <w:i/>
          <w:iCs/>
        </w:rPr>
        <w:t xml:space="preserve">Journal of Interdisciplinary History, </w:t>
      </w:r>
      <w:r>
        <w:rPr>
          <w:rFonts w:ascii="Helvetica Neue" w:hAnsi="Helvetica Neue"/>
        </w:rPr>
        <w:t>40, no. 2 (2009): 151-194.</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Deak, John. </w:t>
      </w:r>
      <w:r>
        <w:rPr>
          <w:rFonts w:ascii="Helvetica Neue" w:hAnsi="Helvetica Neue"/>
          <w:i/>
          <w:iCs/>
        </w:rPr>
        <w:t>Forging a Multinational State: State Making in Imperial Austria from the Enlightenment to the First World War</w:t>
      </w:r>
      <w:r>
        <w:rPr>
          <w:rFonts w:ascii="Helvetica Neue" w:hAnsi="Helvetica Neue"/>
        </w:rPr>
        <w:t>. Stanford: Stanford University Press, 2015.</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Drelichman, Mauricio, and Hans-Joachim Voth. </w:t>
      </w:r>
      <w:r>
        <w:rPr>
          <w:rFonts w:ascii="Helvetica Neue" w:hAnsi="Helvetica Neue"/>
          <w:i/>
          <w:iCs/>
        </w:rPr>
        <w:t>Lending to the Borrower from Hell: Debt, Taxes, and Default in the Age of Philip II</w:t>
      </w:r>
      <w:r>
        <w:rPr>
          <w:rFonts w:ascii="Helvetica Neue" w:hAnsi="Helvetica Neue"/>
        </w:rPr>
        <w:t>. Princeton: Princeton University Press, 2014.</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Eddie, Scott M. "Economic Policy and Economic Development in Austria–Hungary, 1867–1913." In </w:t>
      </w:r>
      <w:r>
        <w:rPr>
          <w:rFonts w:ascii="Helvetica Neue" w:hAnsi="Helvetica Neue"/>
          <w:i/>
          <w:iCs/>
        </w:rPr>
        <w:t>The Cambridge Economic History of Europe from the Decline of the Roman Empire, Volume 8: The Industrial Economies: The Development of Economic and Social Policies</w:t>
      </w:r>
      <w:r>
        <w:rPr>
          <w:rFonts w:ascii="Helvetica Neue" w:hAnsi="Helvetica Neue"/>
        </w:rPr>
        <w:t>, edited by Peter Mathias and Sidney Pollard, 814-886. New York: Cambridge University Press, 1989.</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Ertman, Thomas. </w:t>
      </w:r>
      <w:r>
        <w:rPr>
          <w:rFonts w:ascii="Helvetica Neue" w:hAnsi="Helvetica Neue"/>
          <w:i/>
          <w:iCs/>
        </w:rPr>
        <w:t>Birth of the Leviathan: Building States and Regimes in Medieval and Early Modern Europe</w:t>
      </w:r>
      <w:r>
        <w:rPr>
          <w:rFonts w:ascii="Helvetica Neue" w:hAnsi="Helvetica Neue"/>
        </w:rPr>
        <w:t>. New York: Cambridge University Press, 1997.</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Evans, Ifor L. "Economic Aspects of Dualism in Austria-Hungary." </w:t>
      </w:r>
      <w:r>
        <w:rPr>
          <w:rFonts w:ascii="Helvetica Neue" w:hAnsi="Helvetica Neue"/>
          <w:i/>
          <w:iCs/>
        </w:rPr>
        <w:t xml:space="preserve">The Slavonic and East European Review </w:t>
      </w:r>
      <w:r>
        <w:rPr>
          <w:rFonts w:ascii="Helvetica Neue" w:hAnsi="Helvetica Neue"/>
        </w:rPr>
        <w:t>6, no. 18 (1928): 529-542.</w:t>
      </w:r>
    </w:p>
    <w:p w:rsidR="001D0A78" w:rsidRDefault="001D0A78" w:rsidP="001D0A78">
      <w:pPr>
        <w:pStyle w:val="EndNoteBibliography"/>
        <w:ind w:left="720" w:hanging="720"/>
        <w:rPr>
          <w:rFonts w:ascii="Helvetica Neue" w:eastAsia="Helvetica Neue" w:hAnsi="Helvetica Neue" w:cs="Helvetica Neue"/>
        </w:rPr>
      </w:pPr>
    </w:p>
    <w:p w:rsidR="001D0A78" w:rsidRPr="008A2841" w:rsidRDefault="001D0A78" w:rsidP="001D0A78">
      <w:pPr>
        <w:pStyle w:val="EndNoteBibliography"/>
        <w:ind w:left="720" w:hanging="720"/>
        <w:rPr>
          <w:rFonts w:ascii="Helvetica Neue" w:eastAsia="Helvetica Neue" w:hAnsi="Helvetica Neue" w:cs="Helvetica Neue"/>
          <w:lang w:val="de-AT"/>
        </w:rPr>
      </w:pPr>
      <w:r>
        <w:rPr>
          <w:rFonts w:ascii="Helvetica Neue" w:hAnsi="Helvetica Neue"/>
        </w:rPr>
        <w:t xml:space="preserve">Franz Josef I, and Karl Stürgkh. </w:t>
      </w:r>
      <w:r w:rsidRPr="008C0543">
        <w:rPr>
          <w:rFonts w:ascii="Helvetica Neue" w:hAnsi="Helvetica Neue"/>
          <w:lang w:val="de-AT"/>
        </w:rPr>
        <w:t xml:space="preserve">"An Meine Völker!" </w:t>
      </w:r>
      <w:r w:rsidRPr="008A2841">
        <w:rPr>
          <w:rFonts w:ascii="Helvetica Neue" w:hAnsi="Helvetica Neue"/>
          <w:i/>
          <w:iCs/>
          <w:lang w:val="de-AT"/>
        </w:rPr>
        <w:t>Wiener Zeitung</w:t>
      </w:r>
      <w:r w:rsidRPr="008A2841">
        <w:rPr>
          <w:rFonts w:ascii="Helvetica Neue" w:hAnsi="Helvetica Neue"/>
          <w:lang w:val="de-AT"/>
        </w:rPr>
        <w:t>, 29 July 1914, p. 1.</w:t>
      </w:r>
    </w:p>
    <w:p w:rsidR="001D0A78" w:rsidRPr="008A2841" w:rsidRDefault="001D0A78" w:rsidP="001D0A78">
      <w:pPr>
        <w:pStyle w:val="EndNoteBibliography"/>
        <w:ind w:left="720" w:hanging="720"/>
        <w:rPr>
          <w:rFonts w:ascii="Helvetica Neue" w:eastAsia="Helvetica Neue" w:hAnsi="Helvetica Neue" w:cs="Helvetica Neue"/>
          <w:lang w:val="de-AT"/>
        </w:rPr>
      </w:pPr>
    </w:p>
    <w:p w:rsidR="001D0A78" w:rsidRDefault="001D0A78" w:rsidP="001D0A78">
      <w:pPr>
        <w:pStyle w:val="EndNoteBibliography"/>
        <w:ind w:left="720" w:hanging="720"/>
        <w:rPr>
          <w:rFonts w:ascii="Helvetica Neue" w:eastAsia="Helvetica Neue" w:hAnsi="Helvetica Neue" w:cs="Helvetica Neue"/>
        </w:rPr>
      </w:pPr>
      <w:r w:rsidRPr="008C0543">
        <w:rPr>
          <w:rFonts w:ascii="Helvetica Neue" w:hAnsi="Helvetica Neue"/>
        </w:rPr>
        <w:t xml:space="preserve">Fukuyama, Francis. </w:t>
      </w:r>
      <w:r>
        <w:rPr>
          <w:rFonts w:ascii="Helvetica Neue" w:hAnsi="Helvetica Neue"/>
          <w:i/>
          <w:iCs/>
        </w:rPr>
        <w:t>The Origins of Political Order: From Prehuman Times to the French Revolution</w:t>
      </w:r>
      <w:r>
        <w:rPr>
          <w:rFonts w:ascii="Helvetica Neue" w:hAnsi="Helvetica Neue"/>
        </w:rPr>
        <w:t>. London: Profile Books, 2012.</w:t>
      </w: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Gerschenkron, Alexander. </w:t>
      </w:r>
      <w:r>
        <w:rPr>
          <w:rFonts w:ascii="Helvetica Neue" w:hAnsi="Helvetica Neue"/>
          <w:i/>
          <w:iCs/>
        </w:rPr>
        <w:t>Economic Backwardness in Historical Perspective</w:t>
      </w:r>
      <w:r>
        <w:rPr>
          <w:rFonts w:ascii="Helvetica Neue" w:hAnsi="Helvetica Neue"/>
        </w:rPr>
        <w:t>. Cambridge: Harvard University Press, 1962.</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 </w:t>
      </w:r>
      <w:r>
        <w:rPr>
          <w:rFonts w:ascii="Helvetica Neue" w:hAnsi="Helvetica Neue"/>
          <w:i/>
          <w:iCs/>
        </w:rPr>
        <w:t>An Economic Spurt that Failed: Four Lectures in Austrian History</w:t>
      </w:r>
      <w:r>
        <w:rPr>
          <w:rFonts w:ascii="Helvetica Neue" w:hAnsi="Helvetica Neue"/>
        </w:rPr>
        <w:t>. Princeton: Princeton University Press, 1977.</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Gilman, Nils. </w:t>
      </w:r>
      <w:r>
        <w:rPr>
          <w:rFonts w:ascii="Helvetica Neue" w:hAnsi="Helvetica Neue"/>
          <w:i/>
          <w:iCs/>
        </w:rPr>
        <w:t>Mandarins of the Future: Modernization Theory in Cold War America</w:t>
      </w:r>
      <w:r>
        <w:rPr>
          <w:rFonts w:ascii="Helvetica Neue" w:hAnsi="Helvetica Neue"/>
        </w:rPr>
        <w:t>. Baltimore: Johns Hopkins University Press, 2004.</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Godsey, William D. </w:t>
      </w:r>
      <w:r>
        <w:rPr>
          <w:rFonts w:ascii="Helvetica Neue" w:hAnsi="Helvetica Neue"/>
          <w:i/>
          <w:iCs/>
        </w:rPr>
        <w:t>The Sinews of Habsburg Power: Lower Austria in a Fiscal-Military State 1650-1820</w:t>
      </w:r>
      <w:r>
        <w:rPr>
          <w:rFonts w:ascii="Helvetica Neue" w:hAnsi="Helvetica Neue"/>
        </w:rPr>
        <w:t>. New York: Oxford University Press, 2018.</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Greengrass, Mark. </w:t>
      </w:r>
      <w:r>
        <w:rPr>
          <w:rFonts w:ascii="Helvetica Neue" w:hAnsi="Helvetica Neue"/>
          <w:i/>
          <w:iCs/>
        </w:rPr>
        <w:t>Christendom Destroyed: Europe 1517-1648</w:t>
      </w:r>
      <w:r>
        <w:rPr>
          <w:rFonts w:ascii="Helvetica Neue" w:hAnsi="Helvetica Neue"/>
        </w:rPr>
        <w:t>. London: Penguin, 2014.</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Hall, Richard C. </w:t>
      </w:r>
      <w:r>
        <w:rPr>
          <w:rFonts w:ascii="Helvetica Neue" w:hAnsi="Helvetica Neue"/>
          <w:i/>
          <w:iCs/>
        </w:rPr>
        <w:t>The Balkan Wars 1912-1913</w:t>
      </w:r>
      <w:r>
        <w:rPr>
          <w:rFonts w:ascii="Helvetica Neue" w:hAnsi="Helvetica Neue"/>
        </w:rPr>
        <w:t>. New York: Routledge, 2000.</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Herrmann, David G. </w:t>
      </w:r>
      <w:r>
        <w:rPr>
          <w:rFonts w:ascii="Helvetica Neue" w:hAnsi="Helvetica Neue"/>
          <w:i/>
          <w:iCs/>
        </w:rPr>
        <w:t>The Arming of Europe and the Making of the First World War</w:t>
      </w:r>
      <w:r>
        <w:rPr>
          <w:rFonts w:ascii="Helvetica Neue" w:hAnsi="Helvetica Neue"/>
        </w:rPr>
        <w:t>. Princeton: Princeton University Press, 1997.</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Höbelt, Lothar. "Parliamentary Politics in a Multinational Setting: Late Imperial Austria." UMN Center for Austrian Studies, Working Paper 92-96, 1992.</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Hochedlinger, Michael. </w:t>
      </w:r>
      <w:r>
        <w:rPr>
          <w:rFonts w:ascii="Helvetica Neue" w:hAnsi="Helvetica Neue"/>
          <w:i/>
          <w:iCs/>
        </w:rPr>
        <w:t>Austria's Wars of Emergence: War, State and Society in the Habsburg Monarchy, 1683-1797</w:t>
      </w:r>
      <w:r>
        <w:rPr>
          <w:rFonts w:ascii="Helvetica Neue" w:hAnsi="Helvetica Neue"/>
        </w:rPr>
        <w:t>. New York: Longman, 2003.</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 "The Habsburg Monarchy: From 'Military-Fiscal State' to 'Militarization’." In </w:t>
      </w:r>
      <w:r>
        <w:rPr>
          <w:rFonts w:ascii="Helvetica Neue" w:hAnsi="Helvetica Neue"/>
          <w:i/>
          <w:iCs/>
        </w:rPr>
        <w:t>The Fiscal-Military State in Eighteenth-Century Europe: Essays in Honour of P.G.M. Dickson</w:t>
      </w:r>
      <w:r>
        <w:rPr>
          <w:rFonts w:ascii="Helvetica Neue" w:hAnsi="Helvetica Neue"/>
        </w:rPr>
        <w:t>, edited by Christopher Storrs, 55-94. Burlington, Vermont: Ashgate, 2009.</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Hough, Jerry F., and Robin Grier. </w:t>
      </w:r>
      <w:r>
        <w:rPr>
          <w:rFonts w:ascii="Helvetica Neue" w:hAnsi="Helvetica Neue"/>
          <w:i/>
          <w:iCs/>
        </w:rPr>
        <w:t>The Long Process of Development: Building Markets and States in Pre-industrial England, Spain and their Colonies</w:t>
      </w:r>
      <w:r>
        <w:rPr>
          <w:rFonts w:ascii="Helvetica Neue" w:hAnsi="Helvetica Neue"/>
        </w:rPr>
        <w:t>. New York: Cambridge University Press, 2015.</w:t>
      </w:r>
    </w:p>
    <w:p w:rsidR="001D0A78" w:rsidRDefault="001D0A78" w:rsidP="001D0A78">
      <w:pPr>
        <w:pStyle w:val="EndNoteBibliography"/>
        <w:rPr>
          <w:rFonts w:ascii="Helvetica Neue" w:hAnsi="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Janos, Andrew C. "The Decline of Oligarchy: Bureaucratic and Mass Politics in the Age of Dualism (1867-1918)." In </w:t>
      </w:r>
      <w:r>
        <w:rPr>
          <w:rFonts w:ascii="Helvetica Neue" w:hAnsi="Helvetica Neue"/>
          <w:i/>
          <w:iCs/>
        </w:rPr>
        <w:t>Revolution in Perspective: Essays on the Hungarian Soviet Republic of 1919</w:t>
      </w:r>
      <w:r>
        <w:rPr>
          <w:rFonts w:ascii="Helvetica Neue" w:hAnsi="Helvetica Neue"/>
        </w:rPr>
        <w:t>, edited by Andrew C. Janos and William B. Slottman. Berkeley: University of California Press, 1972.</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 "The Politics of Backwardness in Continental Europe, 1780-1945." </w:t>
      </w:r>
      <w:r>
        <w:rPr>
          <w:rFonts w:ascii="Helvetica Neue" w:hAnsi="Helvetica Neue"/>
          <w:i/>
          <w:iCs/>
        </w:rPr>
        <w:t xml:space="preserve">World Politics </w:t>
      </w:r>
      <w:r>
        <w:rPr>
          <w:rFonts w:ascii="Helvetica Neue" w:hAnsi="Helvetica Neue"/>
        </w:rPr>
        <w:t>41, no. 3 (1989): 325-358.</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 </w:t>
      </w:r>
      <w:r>
        <w:rPr>
          <w:rFonts w:ascii="Helvetica Neue" w:hAnsi="Helvetica Neue"/>
          <w:i/>
          <w:iCs/>
        </w:rPr>
        <w:t>The Politics of Backwardness in Hungary</w:t>
      </w:r>
      <w:r>
        <w:rPr>
          <w:rFonts w:ascii="Helvetica Neue" w:hAnsi="Helvetica Neue"/>
        </w:rPr>
        <w:t>. Princeton: Princeton University Press, 1982.</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sidRPr="008A2841">
        <w:rPr>
          <w:rFonts w:ascii="Helvetica Neue" w:hAnsi="Helvetica Neue"/>
          <w:lang w:val="de-AT"/>
        </w:rPr>
        <w:t xml:space="preserve">Kaiserlich-Königliche </w:t>
      </w:r>
      <w:r w:rsidRPr="00D43AE9">
        <w:rPr>
          <w:rFonts w:ascii="Helvetica Neue" w:hAnsi="Helvetica Neue"/>
          <w:lang w:val="de-AT"/>
        </w:rPr>
        <w:t xml:space="preserve">Statistische </w:t>
      </w:r>
      <w:r w:rsidRPr="008A2841">
        <w:rPr>
          <w:rFonts w:ascii="Helvetica Neue" w:hAnsi="Helvetica Neue"/>
          <w:lang w:val="de-AT"/>
        </w:rPr>
        <w:t xml:space="preserve">Zentralkomission. "Die Ergebnisse der Volkszählung vom 31. </w:t>
      </w:r>
      <w:r>
        <w:rPr>
          <w:rFonts w:ascii="Helvetica Neue" w:hAnsi="Helvetica Neue"/>
        </w:rPr>
        <w:t xml:space="preserve">Dezember 1910." </w:t>
      </w:r>
      <w:r>
        <w:rPr>
          <w:rFonts w:ascii="Helvetica Neue" w:hAnsi="Helvetica Neue"/>
          <w:i/>
          <w:iCs/>
        </w:rPr>
        <w:t xml:space="preserve">Österreichische Statistik </w:t>
      </w:r>
      <w:r>
        <w:rPr>
          <w:rFonts w:ascii="Helvetica Neue" w:hAnsi="Helvetica Neue"/>
        </w:rPr>
        <w:t>1, no. 1 (1912).</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Kaplan, Benjamin J. </w:t>
      </w:r>
      <w:r>
        <w:rPr>
          <w:rFonts w:ascii="Helvetica Neue" w:hAnsi="Helvetica Neue"/>
          <w:i/>
          <w:iCs/>
        </w:rPr>
        <w:t>Divided by Faith: Religious Conflict and the Practice of Toleration in Early Modern Europe</w:t>
      </w:r>
      <w:r>
        <w:rPr>
          <w:rFonts w:ascii="Helvetica Neue" w:hAnsi="Helvetica Neue"/>
        </w:rPr>
        <w:t>. Cambridge, MA: Harvard University Press, 2010.</w:t>
      </w:r>
    </w:p>
    <w:p w:rsidR="001D0A78" w:rsidRDefault="001D0A78" w:rsidP="001D0A78">
      <w:pPr>
        <w:pStyle w:val="Default"/>
        <w:ind w:left="720" w:hanging="720"/>
        <w:rPr>
          <w:sz w:val="24"/>
          <w:szCs w:val="24"/>
        </w:rPr>
      </w:pPr>
    </w:p>
    <w:p w:rsidR="001D0A78" w:rsidRDefault="001D0A78" w:rsidP="001D0A78">
      <w:pPr>
        <w:pStyle w:val="Default"/>
        <w:ind w:left="720" w:hanging="720"/>
        <w:rPr>
          <w:sz w:val="24"/>
          <w:szCs w:val="24"/>
        </w:rPr>
      </w:pPr>
      <w:r>
        <w:rPr>
          <w:sz w:val="24"/>
          <w:szCs w:val="24"/>
          <w:lang w:val="da-DK"/>
        </w:rPr>
        <w:t>Kierkegaard, Sø</w:t>
      </w:r>
      <w:r>
        <w:rPr>
          <w:sz w:val="24"/>
          <w:szCs w:val="24"/>
        </w:rPr>
        <w:t xml:space="preserve">ren. </w:t>
      </w:r>
      <w:r>
        <w:rPr>
          <w:i/>
          <w:iCs/>
          <w:sz w:val="24"/>
          <w:szCs w:val="24"/>
        </w:rPr>
        <w:t>Practice in Christianity</w:t>
      </w:r>
      <w:r>
        <w:rPr>
          <w:sz w:val="24"/>
          <w:szCs w:val="24"/>
        </w:rPr>
        <w:t>. Translated by Howard V. Hong and Edna H. Hong. Kierkegaard’s Writings, vol. 20. Princeton: Princeton University Press, 1991.</w:t>
      </w:r>
    </w:p>
    <w:p w:rsidR="001D0A78" w:rsidRDefault="001D0A78" w:rsidP="001D0A78">
      <w:pPr>
        <w:pStyle w:val="Default"/>
        <w:ind w:left="720" w:hanging="720"/>
        <w:rPr>
          <w:sz w:val="24"/>
          <w:szCs w:val="24"/>
        </w:rPr>
      </w:pPr>
    </w:p>
    <w:p w:rsidR="001D0A78" w:rsidRDefault="001D0A78" w:rsidP="001D0A78">
      <w:pPr>
        <w:pStyle w:val="Default"/>
        <w:ind w:left="720" w:hanging="720"/>
        <w:rPr>
          <w:sz w:val="24"/>
          <w:szCs w:val="24"/>
        </w:rPr>
      </w:pPr>
    </w:p>
    <w:p w:rsidR="001D0A78" w:rsidRDefault="001D0A78" w:rsidP="001D0A78">
      <w:pPr>
        <w:pStyle w:val="Default"/>
        <w:ind w:left="720" w:hanging="720"/>
        <w:rPr>
          <w:sz w:val="24"/>
          <w:szCs w:val="24"/>
        </w:rPr>
      </w:pPr>
    </w:p>
    <w:p w:rsidR="001D0A78" w:rsidRDefault="001D0A78" w:rsidP="001D0A78">
      <w:pPr>
        <w:pStyle w:val="Default"/>
        <w:ind w:left="720" w:hanging="720"/>
        <w:rPr>
          <w:sz w:val="24"/>
          <w:szCs w:val="24"/>
        </w:rPr>
      </w:pPr>
    </w:p>
    <w:p w:rsidR="001D0A78" w:rsidRDefault="001D0A78" w:rsidP="001D0A78">
      <w:pPr>
        <w:pStyle w:val="Default"/>
        <w:ind w:left="720" w:hanging="720"/>
        <w:rPr>
          <w:sz w:val="24"/>
          <w:szCs w:val="24"/>
        </w:rPr>
      </w:pPr>
      <w:r w:rsidRPr="008A2841">
        <w:rPr>
          <w:sz w:val="24"/>
          <w:szCs w:val="24"/>
        </w:rPr>
        <w:t xml:space="preserve">Kierig, Anna Eleanor. “The Search for an Austrian Nation, 1918-1938.” </w:t>
      </w:r>
    </w:p>
    <w:p w:rsidR="001D0A78" w:rsidRDefault="001D0A78" w:rsidP="001D0A78">
      <w:pPr>
        <w:pStyle w:val="Default"/>
        <w:ind w:left="720" w:hanging="720"/>
        <w:rPr>
          <w:sz w:val="24"/>
          <w:szCs w:val="24"/>
        </w:rPr>
      </w:pPr>
      <w:r w:rsidRPr="008A2841">
        <w:rPr>
          <w:sz w:val="24"/>
          <w:szCs w:val="24"/>
        </w:rPr>
        <w:tab/>
        <w:t>Paper presented at the Washington University in St. Louis History Graduate Student Conference, St. Louis, 31 March and 1 April 2017.</w:t>
      </w:r>
    </w:p>
    <w:p w:rsidR="001D0A78" w:rsidRDefault="001D0A78" w:rsidP="001D0A78">
      <w:pPr>
        <w:pStyle w:val="Default"/>
        <w:ind w:left="720" w:hanging="720"/>
        <w:rPr>
          <w:sz w:val="24"/>
          <w:szCs w:val="24"/>
        </w:rPr>
      </w:pPr>
    </w:p>
    <w:p w:rsidR="001D0A78" w:rsidRDefault="001D0A78" w:rsidP="001D0A78">
      <w:pPr>
        <w:pStyle w:val="EndNoteBibliography"/>
        <w:ind w:left="720" w:hanging="720"/>
        <w:rPr>
          <w:rFonts w:ascii="Helvetica Neue" w:eastAsia="Helvetica Neue" w:hAnsi="Helvetica Neue" w:cs="Helvetica Neue"/>
        </w:rPr>
      </w:pPr>
      <w:r w:rsidRPr="008A2841">
        <w:rPr>
          <w:rFonts w:ascii="Helvetica Neue" w:hAnsi="Helvetica Neue"/>
          <w:lang w:val="de-AT"/>
        </w:rPr>
        <w:t xml:space="preserve">Klein-Bruckschwaiger, Franz. "150 Jahre österreichisches ABGB." </w:t>
      </w:r>
      <w:r>
        <w:rPr>
          <w:rFonts w:ascii="Helvetica Neue" w:hAnsi="Helvetica Neue"/>
          <w:i/>
          <w:iCs/>
        </w:rPr>
        <w:t xml:space="preserve">JuristenZeitung </w:t>
      </w:r>
      <w:r>
        <w:rPr>
          <w:rFonts w:ascii="Helvetica Neue" w:hAnsi="Helvetica Neue"/>
        </w:rPr>
        <w:t>18, no. 23/24 (1960): 739-742.</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Kohn, Hans. "The Viability of the Habsburg Monarchy." </w:t>
      </w:r>
      <w:r>
        <w:rPr>
          <w:rFonts w:ascii="Helvetica Neue" w:hAnsi="Helvetica Neue"/>
          <w:i/>
          <w:iCs/>
        </w:rPr>
        <w:t xml:space="preserve">Slavic Review </w:t>
      </w:r>
      <w:r>
        <w:rPr>
          <w:rFonts w:ascii="Helvetica Neue" w:hAnsi="Helvetica Neue"/>
        </w:rPr>
        <w:t>22, no. 1 (1963): 37-42.</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Komlos, John. </w:t>
      </w:r>
      <w:r>
        <w:rPr>
          <w:rFonts w:ascii="Helvetica Neue" w:hAnsi="Helvetica Neue"/>
          <w:i/>
          <w:iCs/>
        </w:rPr>
        <w:t>The Habsburg Monarchy as a Customs Union: Economic Development in Austria-Hungary in the Nineteenth Century</w:t>
      </w:r>
      <w:r>
        <w:rPr>
          <w:rFonts w:ascii="Helvetica Neue" w:hAnsi="Helvetica Neue"/>
        </w:rPr>
        <w:t>. Princeton: Princeton University Press, 1983.</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sidRPr="008A2841">
        <w:rPr>
          <w:rFonts w:ascii="Helvetica Neue" w:hAnsi="Helvetica Neue"/>
        </w:rPr>
        <w:t xml:space="preserve">———. </w:t>
      </w:r>
      <w:r w:rsidRPr="008A2841">
        <w:rPr>
          <w:rFonts w:ascii="Helvetica Neue" w:hAnsi="Helvetica Neue"/>
          <w:i/>
          <w:iCs/>
        </w:rPr>
        <w:t>Economic Development in the Habsburg Monarchy</w:t>
      </w:r>
      <w:r w:rsidRPr="008A2841">
        <w:rPr>
          <w:rFonts w:ascii="Helvetica Neue" w:hAnsi="Helvetica Neue"/>
        </w:rPr>
        <w:t xml:space="preserve">. Boulder: Eastern European Monographs, 1983. </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Kornish, Suzanne G. "Constitutional Aspects of the Struggle between Germans and Czechs in the Austro-Hungarian Monarchy." </w:t>
      </w:r>
      <w:r>
        <w:rPr>
          <w:rFonts w:ascii="Helvetica Neue" w:hAnsi="Helvetica Neue"/>
          <w:i/>
          <w:iCs/>
        </w:rPr>
        <w:t xml:space="preserve">The Journal of Modern History </w:t>
      </w:r>
      <w:r>
        <w:rPr>
          <w:rFonts w:ascii="Helvetica Neue" w:hAnsi="Helvetica Neue"/>
        </w:rPr>
        <w:t>27, no. 3 (1955): 231-261.</w:t>
      </w:r>
    </w:p>
    <w:p w:rsidR="001D0A78" w:rsidRDefault="001D0A78" w:rsidP="001D0A78">
      <w:pPr>
        <w:pStyle w:val="EndNoteBibliography"/>
        <w:ind w:left="720" w:hanging="720"/>
        <w:rPr>
          <w:rFonts w:ascii="Helvetica Neue" w:eastAsia="Helvetica Neue" w:hAnsi="Helvetica Neue" w:cs="Helvetica Neue"/>
        </w:rPr>
      </w:pPr>
    </w:p>
    <w:p w:rsidR="001D0A78" w:rsidRPr="008A2841" w:rsidRDefault="001D0A78" w:rsidP="001D0A78">
      <w:pPr>
        <w:pStyle w:val="EndNoteBibliography"/>
        <w:ind w:left="720" w:hanging="720"/>
        <w:rPr>
          <w:rFonts w:ascii="Helvetica Neue" w:eastAsia="Helvetica Neue" w:hAnsi="Helvetica Neue" w:cs="Helvetica Neue"/>
          <w:lang w:val="de-AT"/>
        </w:rPr>
      </w:pPr>
      <w:r>
        <w:rPr>
          <w:rFonts w:ascii="Helvetica Neue" w:hAnsi="Helvetica Neue"/>
        </w:rPr>
        <w:t xml:space="preserve">Kraehe, Enno E. "Austria and the Problem of Reform in the German Confederation, 1851-1863." </w:t>
      </w:r>
      <w:r w:rsidRPr="008A2841">
        <w:rPr>
          <w:rFonts w:ascii="Helvetica Neue" w:hAnsi="Helvetica Neue"/>
          <w:i/>
          <w:iCs/>
          <w:lang w:val="de-AT"/>
        </w:rPr>
        <w:t xml:space="preserve">The American Historical Review </w:t>
      </w:r>
      <w:r w:rsidRPr="008A2841">
        <w:rPr>
          <w:rFonts w:ascii="Helvetica Neue" w:hAnsi="Helvetica Neue"/>
          <w:lang w:val="de-AT"/>
        </w:rPr>
        <w:t>56, no. 2 (1951): 276-294.</w:t>
      </w:r>
    </w:p>
    <w:p w:rsidR="001D0A78" w:rsidRPr="008A2841" w:rsidRDefault="001D0A78" w:rsidP="001D0A78">
      <w:pPr>
        <w:pStyle w:val="EndNoteBibliography"/>
        <w:ind w:left="720" w:hanging="720"/>
        <w:rPr>
          <w:rFonts w:ascii="Helvetica Neue" w:eastAsia="Helvetica Neue" w:hAnsi="Helvetica Neue" w:cs="Helvetica Neue"/>
          <w:lang w:val="de-AT"/>
        </w:rPr>
      </w:pPr>
    </w:p>
    <w:p w:rsidR="001D0A78" w:rsidRDefault="001D0A78" w:rsidP="001D0A78">
      <w:pPr>
        <w:pStyle w:val="EndNoteBibliography"/>
        <w:ind w:left="720" w:hanging="720"/>
        <w:rPr>
          <w:rFonts w:ascii="Helvetica Neue" w:eastAsia="Helvetica Neue" w:hAnsi="Helvetica Neue" w:cs="Helvetica Neue"/>
        </w:rPr>
      </w:pPr>
      <w:r w:rsidRPr="008A2841">
        <w:rPr>
          <w:rFonts w:ascii="Helvetica Neue" w:hAnsi="Helvetica Neue"/>
          <w:lang w:val="de-AT"/>
        </w:rPr>
        <w:t xml:space="preserve">Kühne, Roland. </w:t>
      </w:r>
      <w:r w:rsidRPr="008A2841">
        <w:rPr>
          <w:rFonts w:ascii="Helvetica Neue" w:hAnsi="Helvetica Neue"/>
          <w:i/>
          <w:iCs/>
          <w:lang w:val="de-AT"/>
        </w:rPr>
        <w:t>Die Geschichte des ungarischen Getreidehandels und die Getreidepreisbildung in Oesterreich-Ungarn</w:t>
      </w:r>
      <w:r w:rsidRPr="008A2841">
        <w:rPr>
          <w:rFonts w:ascii="Helvetica Neue" w:hAnsi="Helvetica Neue"/>
          <w:lang w:val="de-AT"/>
        </w:rPr>
        <w:t xml:space="preserve">. </w:t>
      </w:r>
      <w:r>
        <w:rPr>
          <w:rFonts w:ascii="Helvetica Neue" w:hAnsi="Helvetica Neue"/>
        </w:rPr>
        <w:t>Magyaróvár: Druckerei des Mosonvármegye, 1910.</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sidRPr="008A2841">
        <w:rPr>
          <w:rFonts w:ascii="Helvetica Neue" w:hAnsi="Helvetica Neue"/>
        </w:rPr>
        <w:t xml:space="preserve">Kumar, Krishan. </w:t>
      </w:r>
      <w:r>
        <w:rPr>
          <w:rFonts w:ascii="Helvetica Neue" w:hAnsi="Helvetica Neue"/>
          <w:i/>
          <w:iCs/>
        </w:rPr>
        <w:t>Visions of Empire</w:t>
      </w:r>
      <w:r w:rsidRPr="008A2841">
        <w:rPr>
          <w:rFonts w:ascii="Helvetica Neue" w:hAnsi="Helvetica Neue"/>
          <w:i/>
          <w:iCs/>
        </w:rPr>
        <w:t>:</w:t>
      </w:r>
      <w:r>
        <w:rPr>
          <w:rFonts w:ascii="Helvetica Neue" w:hAnsi="Helvetica Neue"/>
          <w:i/>
          <w:iCs/>
        </w:rPr>
        <w:t xml:space="preserve"> How Five Imperial Regimes Shaped the World</w:t>
      </w:r>
      <w:r w:rsidRPr="008A2841">
        <w:rPr>
          <w:rFonts w:ascii="Helvetica Neue" w:hAnsi="Helvetica Neue"/>
        </w:rPr>
        <w:t>. Princeton: Princeton University Press, 2017.</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Lederer, Max. "Mark Twain in Vienna." </w:t>
      </w:r>
      <w:r>
        <w:rPr>
          <w:rFonts w:ascii="Helvetica Neue" w:hAnsi="Helvetica Neue"/>
          <w:i/>
          <w:iCs/>
        </w:rPr>
        <w:t xml:space="preserve">Mark Twain Quarterly </w:t>
      </w:r>
      <w:r>
        <w:rPr>
          <w:rFonts w:ascii="Helvetica Neue" w:hAnsi="Helvetica Neue"/>
        </w:rPr>
        <w:t>7, no. 1 (1945): 1-12.</w:t>
      </w:r>
    </w:p>
    <w:p w:rsidR="001D0A78" w:rsidRDefault="001D0A78" w:rsidP="001D0A78">
      <w:pPr>
        <w:pStyle w:val="EndNoteBibliography"/>
        <w:ind w:left="720" w:hanging="720"/>
        <w:rPr>
          <w:rFonts w:ascii="Helvetica Neue" w:eastAsia="Helvetica Neue" w:hAnsi="Helvetica Neue" w:cs="Helvetica Neue"/>
        </w:rPr>
      </w:pPr>
    </w:p>
    <w:p w:rsidR="001D0A78" w:rsidRPr="008A2841" w:rsidRDefault="001D0A78" w:rsidP="001D0A78">
      <w:pPr>
        <w:pStyle w:val="EndNoteBibliography"/>
        <w:ind w:left="720" w:hanging="720"/>
        <w:rPr>
          <w:rFonts w:ascii="Helvetica Neue" w:eastAsia="Helvetica Neue" w:hAnsi="Helvetica Neue" w:cs="Helvetica Neue"/>
          <w:lang w:val="de-AT"/>
        </w:rPr>
      </w:pPr>
      <w:r>
        <w:rPr>
          <w:rFonts w:ascii="Helvetica Neue" w:hAnsi="Helvetica Neue"/>
        </w:rPr>
        <w:t xml:space="preserve">Lindström, Fredrik. "Ernest von Koerber and the Austrian State Idea: A Reinterpretation of the Koerber Plan (1900–1904)." </w:t>
      </w:r>
      <w:r w:rsidRPr="008A2841">
        <w:rPr>
          <w:rFonts w:ascii="Helvetica Neue" w:hAnsi="Helvetica Neue"/>
          <w:i/>
          <w:iCs/>
          <w:lang w:val="de-AT"/>
        </w:rPr>
        <w:t xml:space="preserve">Austrian History Yearbook </w:t>
      </w:r>
      <w:r w:rsidRPr="008A2841">
        <w:rPr>
          <w:rFonts w:ascii="Helvetica Neue" w:hAnsi="Helvetica Neue"/>
          <w:lang w:val="de-AT"/>
        </w:rPr>
        <w:t>35 (2004): 143-184.</w:t>
      </w:r>
    </w:p>
    <w:p w:rsidR="001D0A78" w:rsidRPr="008A2841" w:rsidRDefault="001D0A78" w:rsidP="001D0A78">
      <w:pPr>
        <w:pStyle w:val="EndNoteBibliography"/>
        <w:ind w:left="720" w:hanging="720"/>
        <w:rPr>
          <w:rFonts w:ascii="Helvetica Neue" w:eastAsia="Helvetica Neue" w:hAnsi="Helvetica Neue" w:cs="Helvetica Neue"/>
          <w:lang w:val="de-AT"/>
        </w:rPr>
      </w:pPr>
    </w:p>
    <w:p w:rsidR="001D0A78" w:rsidRPr="008A2841" w:rsidRDefault="001D0A78" w:rsidP="001D0A78">
      <w:pPr>
        <w:pStyle w:val="EndNoteBibliography"/>
        <w:ind w:left="720" w:hanging="720"/>
        <w:rPr>
          <w:rFonts w:ascii="Helvetica Neue" w:eastAsia="Helvetica Neue" w:hAnsi="Helvetica Neue" w:cs="Helvetica Neue"/>
          <w:lang w:val="de-AT"/>
        </w:rPr>
      </w:pPr>
      <w:r w:rsidRPr="008A2841">
        <w:rPr>
          <w:rFonts w:ascii="Helvetica Neue" w:hAnsi="Helvetica Neue"/>
          <w:lang w:val="de-AT"/>
        </w:rPr>
        <w:t xml:space="preserve">Luther, Martin. "Von weltlicher Obrigkeit, wie weit man ihr Gehorsam schuldig sei." In </w:t>
      </w:r>
      <w:r w:rsidRPr="008A2841">
        <w:rPr>
          <w:rFonts w:ascii="Helvetica Neue" w:hAnsi="Helvetica Neue"/>
          <w:i/>
          <w:iCs/>
          <w:lang w:val="de-AT"/>
        </w:rPr>
        <w:t>Dr Martin Luthers Werke</w:t>
      </w:r>
      <w:r w:rsidRPr="008A2841">
        <w:rPr>
          <w:rFonts w:ascii="Helvetica Neue" w:hAnsi="Helvetica Neue"/>
          <w:lang w:val="de-AT"/>
        </w:rPr>
        <w:t>,</w:t>
      </w:r>
      <w:r>
        <w:rPr>
          <w:rFonts w:ascii="Helvetica Neue" w:hAnsi="Helvetica Neue"/>
          <w:lang w:val="de-DE"/>
        </w:rPr>
        <w:t xml:space="preserve"> Weimarer Ausgabe</w:t>
      </w:r>
      <w:r w:rsidRPr="008A2841">
        <w:rPr>
          <w:rFonts w:ascii="Helvetica Neue" w:hAnsi="Helvetica Neue"/>
          <w:lang w:val="de-AT"/>
        </w:rPr>
        <w:t xml:space="preserve"> Volume 11, 229-281. Weimar: </w:t>
      </w:r>
      <w:r>
        <w:rPr>
          <w:rFonts w:ascii="Helvetica Neue" w:hAnsi="Helvetica Neue"/>
          <w:lang w:val="de-DE"/>
        </w:rPr>
        <w:t xml:space="preserve">Hermann </w:t>
      </w:r>
      <w:r w:rsidRPr="008A2841">
        <w:rPr>
          <w:rFonts w:ascii="Helvetica Neue" w:hAnsi="Helvetica Neue"/>
          <w:lang w:val="de-AT"/>
        </w:rPr>
        <w:t>Böhlau</w:t>
      </w:r>
      <w:r>
        <w:rPr>
          <w:rFonts w:ascii="Helvetica Neue" w:hAnsi="Helvetica Neue"/>
          <w:lang w:val="de-DE"/>
        </w:rPr>
        <w:t>s Nachfolger</w:t>
      </w:r>
      <w:r w:rsidRPr="008A2841">
        <w:rPr>
          <w:rFonts w:ascii="Helvetica Neue" w:hAnsi="Helvetica Neue"/>
          <w:lang w:val="de-AT"/>
        </w:rPr>
        <w:t>, 1900.</w:t>
      </w:r>
    </w:p>
    <w:p w:rsidR="001D0A78" w:rsidRPr="008A2841" w:rsidRDefault="001D0A78" w:rsidP="001D0A78">
      <w:pPr>
        <w:pStyle w:val="EndNoteBibliography"/>
        <w:ind w:left="720" w:hanging="720"/>
        <w:rPr>
          <w:rFonts w:ascii="Helvetica Neue" w:eastAsia="Helvetica Neue" w:hAnsi="Helvetica Neue" w:cs="Helvetica Neue"/>
          <w:lang w:val="de-AT"/>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MacHardy, Karin J. "The Rise of Absolutism and Noble Rebellion in Early Modern Habsburg Austria, 1570 to 1620." </w:t>
      </w:r>
      <w:r>
        <w:rPr>
          <w:rFonts w:ascii="Helvetica Neue" w:hAnsi="Helvetica Neue"/>
          <w:i/>
          <w:iCs/>
        </w:rPr>
        <w:t xml:space="preserve">Comparative Studies in Society and History </w:t>
      </w:r>
      <w:r>
        <w:rPr>
          <w:rFonts w:ascii="Helvetica Neue" w:hAnsi="Helvetica Neue"/>
        </w:rPr>
        <w:t>34, no. 3 (1992): 407-438.</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Mann, Michael. </w:t>
      </w:r>
      <w:r>
        <w:rPr>
          <w:rFonts w:ascii="Helvetica Neue" w:hAnsi="Helvetica Neue"/>
          <w:i/>
          <w:iCs/>
        </w:rPr>
        <w:t>The Sources of Social Power: A History of Power from the Beginning to A.D. 1760</w:t>
      </w:r>
      <w:r>
        <w:rPr>
          <w:rFonts w:ascii="Helvetica Neue" w:hAnsi="Helvetica Neue"/>
        </w:rPr>
        <w:t>. New York: Cambridge University Press, 1986.</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 </w:t>
      </w:r>
      <w:r>
        <w:rPr>
          <w:rFonts w:ascii="Helvetica Neue" w:hAnsi="Helvetica Neue"/>
          <w:i/>
          <w:iCs/>
        </w:rPr>
        <w:t>The Sources of Social Power: Global Empires and Revolutions, 1890-1945</w:t>
      </w:r>
      <w:r>
        <w:rPr>
          <w:rFonts w:ascii="Helvetica Neue" w:hAnsi="Helvetica Neue"/>
        </w:rPr>
        <w:t>. New York: Cambridge University Press, 2012.</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Mears, John A. "The Thirty Years' War, the “General Crisis,” and the Origins of a Standing Professional Army in the Habsburg Monarchy." </w:t>
      </w:r>
      <w:r>
        <w:rPr>
          <w:rFonts w:ascii="Helvetica Neue" w:hAnsi="Helvetica Neue"/>
          <w:i/>
          <w:iCs/>
        </w:rPr>
        <w:t xml:space="preserve">Central European History </w:t>
      </w:r>
      <w:r>
        <w:rPr>
          <w:rFonts w:ascii="Helvetica Neue" w:hAnsi="Helvetica Neue"/>
        </w:rPr>
        <w:t>21, no. 2 (1988): 122-141.</w:t>
      </w:r>
    </w:p>
    <w:p w:rsidR="001D0A78" w:rsidRDefault="001D0A78" w:rsidP="001D0A78">
      <w:pPr>
        <w:pStyle w:val="EndNoteBibliography"/>
        <w:ind w:left="720" w:hanging="720"/>
        <w:rPr>
          <w:rFonts w:ascii="Helvetica Neue" w:eastAsia="Helvetica Neue" w:hAnsi="Helvetica Neue" w:cs="Helvetica Neue"/>
        </w:rPr>
      </w:pPr>
    </w:p>
    <w:p w:rsidR="001D0A78" w:rsidRPr="008A2841" w:rsidRDefault="001D0A78" w:rsidP="001D0A78">
      <w:pPr>
        <w:pStyle w:val="EndNoteBibliography"/>
        <w:ind w:left="720" w:hanging="720"/>
        <w:rPr>
          <w:rFonts w:ascii="Helvetica Neue" w:eastAsia="Helvetica Neue" w:hAnsi="Helvetica Neue" w:cs="Helvetica Neue"/>
          <w:lang w:val="de-AT"/>
        </w:rPr>
      </w:pPr>
      <w:r>
        <w:rPr>
          <w:rFonts w:ascii="Helvetica Neue" w:hAnsi="Helvetica Neue"/>
        </w:rPr>
        <w:t xml:space="preserve">Mortimer, Geoff. </w:t>
      </w:r>
      <w:r>
        <w:rPr>
          <w:rFonts w:ascii="Helvetica Neue" w:hAnsi="Helvetica Neue"/>
          <w:i/>
          <w:iCs/>
        </w:rPr>
        <w:t>Wallenstein: The Enigma of the Thirty Years War</w:t>
      </w:r>
      <w:r>
        <w:rPr>
          <w:rFonts w:ascii="Helvetica Neue" w:hAnsi="Helvetica Neue"/>
        </w:rPr>
        <w:t xml:space="preserve">. </w:t>
      </w:r>
      <w:r w:rsidRPr="008A2841">
        <w:rPr>
          <w:rFonts w:ascii="Helvetica Neue" w:hAnsi="Helvetica Neue"/>
          <w:lang w:val="de-AT"/>
        </w:rPr>
        <w:t>New York: Palgrave, 2010.</w:t>
      </w:r>
    </w:p>
    <w:p w:rsidR="001D0A78" w:rsidRPr="008A2841" w:rsidRDefault="001D0A78" w:rsidP="001D0A78">
      <w:pPr>
        <w:pStyle w:val="EndNoteBibliography"/>
        <w:ind w:left="720" w:hanging="720"/>
        <w:rPr>
          <w:rFonts w:ascii="Helvetica Neue" w:eastAsia="Helvetica Neue" w:hAnsi="Helvetica Neue" w:cs="Helvetica Neue"/>
          <w:lang w:val="de-AT"/>
        </w:rPr>
      </w:pPr>
    </w:p>
    <w:p w:rsidR="001D0A78" w:rsidRDefault="001D0A78" w:rsidP="001D0A78">
      <w:pPr>
        <w:pStyle w:val="EndNoteBibliography"/>
        <w:ind w:left="720" w:hanging="720"/>
        <w:rPr>
          <w:rFonts w:ascii="Helvetica Neue" w:hAnsi="Helvetica Neue"/>
          <w:lang w:val="de-DE"/>
        </w:rPr>
      </w:pPr>
      <w:r w:rsidRPr="008A2841">
        <w:rPr>
          <w:rFonts w:ascii="Helvetica Neue" w:hAnsi="Helvetica Neue"/>
          <w:lang w:val="de-AT"/>
        </w:rPr>
        <w:t xml:space="preserve">Musil, Robert. </w:t>
      </w:r>
      <w:r w:rsidRPr="008A2841">
        <w:rPr>
          <w:rFonts w:ascii="Helvetica Neue" w:hAnsi="Helvetica Neue"/>
          <w:i/>
          <w:iCs/>
          <w:lang w:val="de-AT"/>
        </w:rPr>
        <w:t>Der Mann ohne Eigenschaften</w:t>
      </w:r>
      <w:r w:rsidRPr="008A2841">
        <w:rPr>
          <w:rFonts w:ascii="Helvetica Neue" w:hAnsi="Helvetica Neue"/>
          <w:lang w:val="de-AT"/>
        </w:rPr>
        <w:t>. Hamburg: Rowohlt Verlag, 1952.</w:t>
      </w:r>
      <w:r>
        <w:rPr>
          <w:rFonts w:ascii="Helvetica Neue" w:hAnsi="Helvetica Neue"/>
          <w:lang w:val="de-DE"/>
        </w:rPr>
        <w:t xml:space="preserve"> </w:t>
      </w:r>
    </w:p>
    <w:p w:rsidR="001D0A78" w:rsidRPr="008A2841" w:rsidRDefault="001D0A78" w:rsidP="001D0A78">
      <w:pPr>
        <w:pStyle w:val="EndNoteBibliography"/>
        <w:ind w:left="720" w:hanging="720"/>
        <w:rPr>
          <w:rFonts w:ascii="Helvetica Neue" w:eastAsia="Helvetica Neue" w:hAnsi="Helvetica Neue" w:cs="Helvetica Neue"/>
          <w:lang w:val="de-AT"/>
        </w:rPr>
      </w:pPr>
    </w:p>
    <w:p w:rsidR="001D0A78" w:rsidRDefault="001D0A78" w:rsidP="001D0A78">
      <w:pPr>
        <w:pStyle w:val="EndNoteBibliography"/>
        <w:ind w:left="720" w:hanging="720"/>
        <w:rPr>
          <w:rFonts w:ascii="Helvetica Neue" w:eastAsia="Helvetica Neue" w:hAnsi="Helvetica Neue" w:cs="Helvetica Neue"/>
        </w:rPr>
      </w:pPr>
      <w:r w:rsidRPr="008A2841">
        <w:rPr>
          <w:rFonts w:ascii="Helvetica Neue" w:hAnsi="Helvetica Neue"/>
        </w:rPr>
        <w:t>Nexon, Daniel H.</w:t>
      </w:r>
      <w:r w:rsidRPr="008A2841">
        <w:rPr>
          <w:rFonts w:ascii="Helvetica Neue" w:hAnsi="Helvetica Neue"/>
          <w:i/>
          <w:iCs/>
        </w:rPr>
        <w:t xml:space="preserve"> </w:t>
      </w:r>
      <w:r>
        <w:rPr>
          <w:rFonts w:ascii="Helvetica Neue" w:hAnsi="Helvetica Neue"/>
          <w:i/>
          <w:iCs/>
        </w:rPr>
        <w:t>The Struggle for Power in Early Modern Europe</w:t>
      </w:r>
      <w:r w:rsidRPr="008A2841">
        <w:rPr>
          <w:rFonts w:ascii="Helvetica Neue" w:hAnsi="Helvetica Neue"/>
        </w:rPr>
        <w:t xml:space="preserve">. Princeton: Princeton University Press, 2009. </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O’Malley, John W. </w:t>
      </w:r>
      <w:r>
        <w:rPr>
          <w:rFonts w:ascii="Helvetica Neue" w:hAnsi="Helvetica Neue"/>
          <w:i/>
          <w:iCs/>
        </w:rPr>
        <w:t>A History of the Popes: From Peter to the Present</w:t>
      </w:r>
      <w:r>
        <w:rPr>
          <w:rFonts w:ascii="Helvetica Neue" w:hAnsi="Helvetica Neue"/>
        </w:rPr>
        <w:t>. Lanham, MD: Rowman and Littlefield, 2009.</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Pauley, Bruce F. </w:t>
      </w:r>
      <w:r>
        <w:rPr>
          <w:rFonts w:ascii="Helvetica Neue" w:hAnsi="Helvetica Neue"/>
          <w:i/>
          <w:iCs/>
        </w:rPr>
        <w:t>From Prejudice to Persecution: A History of Austrian Anti-Semitism</w:t>
      </w:r>
      <w:r>
        <w:rPr>
          <w:rFonts w:ascii="Helvetica Neue" w:hAnsi="Helvetica Neue"/>
        </w:rPr>
        <w:t>. Chapel Hill: University of North Carolina Press, 1992.</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Pelinka, Anton. "Anti-Semitism and Ethno-Nationalism as Determining Factors for Austria's Political Culture at the Fin de Siècle." In </w:t>
      </w:r>
      <w:r>
        <w:rPr>
          <w:rFonts w:ascii="Helvetica Neue" w:hAnsi="Helvetica Neue"/>
          <w:i/>
          <w:iCs/>
        </w:rPr>
        <w:t>Liberalism, Anti-Semitism, and Democracy: Essays in Honor of Peter Pulzer</w:t>
      </w:r>
      <w:r>
        <w:rPr>
          <w:rFonts w:ascii="Helvetica Neue" w:hAnsi="Helvetica Neue"/>
        </w:rPr>
        <w:t>, edited by Henning Tewes and Jonathan Wright, 63-75. New York: Oxford University Press, 2001.</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Preshlenova, Roumyana. "Austro-Hungarian Trade and the Economic Development of Southeastern Europe Before World War I." In </w:t>
      </w:r>
      <w:r>
        <w:rPr>
          <w:rFonts w:ascii="Helvetica Neue" w:hAnsi="Helvetica Neue"/>
          <w:i/>
          <w:iCs/>
        </w:rPr>
        <w:t>Economic Transformations in East and Central Europe: Legacies from the Past and Policies for the Future</w:t>
      </w:r>
      <w:r>
        <w:rPr>
          <w:rFonts w:ascii="Helvetica Neue" w:hAnsi="Helvetica Neue"/>
        </w:rPr>
        <w:t>, edited by David F. Good, 231-260. New York: Routledge, 1994.</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Rauchensteiner, Manfried. </w:t>
      </w:r>
      <w:r>
        <w:rPr>
          <w:rFonts w:ascii="Helvetica Neue" w:hAnsi="Helvetica Neue"/>
          <w:i/>
          <w:iCs/>
        </w:rPr>
        <w:t>The First World War and the End of the Habsburg Monarchy, 1914-1918</w:t>
      </w:r>
      <w:r>
        <w:rPr>
          <w:rFonts w:ascii="Helvetica Neue" w:hAnsi="Helvetica Neue"/>
        </w:rPr>
        <w:t>. Translated by Alex J. Kay and Anna Güttel-Bellerts. Vienna: Böhlau, 2014.</w:t>
      </w:r>
    </w:p>
    <w:p w:rsidR="001D0A78" w:rsidRDefault="001D0A78" w:rsidP="001D0A78">
      <w:pPr>
        <w:pStyle w:val="EndNoteBibliography"/>
        <w:ind w:left="720" w:hanging="720"/>
        <w:rPr>
          <w:rFonts w:ascii="Helvetica Neue" w:eastAsia="Helvetica Neue" w:hAnsi="Helvetica Neue" w:cs="Helvetica Neue"/>
        </w:rPr>
      </w:pPr>
    </w:p>
    <w:p w:rsidR="001D0A78" w:rsidRPr="008A2841" w:rsidRDefault="001D0A78" w:rsidP="001D0A78">
      <w:pPr>
        <w:pStyle w:val="EndNoteBibliography"/>
        <w:ind w:left="720" w:hanging="720"/>
        <w:rPr>
          <w:rFonts w:ascii="Helvetica Neue" w:eastAsia="Helvetica Neue" w:hAnsi="Helvetica Neue" w:cs="Helvetica Neue"/>
          <w:lang w:val="de-AT"/>
        </w:rPr>
      </w:pPr>
      <w:r>
        <w:rPr>
          <w:rFonts w:ascii="Helvetica Neue" w:hAnsi="Helvetica Neue"/>
        </w:rPr>
        <w:t xml:space="preserve">Rokkan, Stein. "Dimensions of State Formation and Nation-Building: A Possible Paradigm for Research on Variations Within Europe." In </w:t>
      </w:r>
      <w:r>
        <w:rPr>
          <w:rFonts w:ascii="Helvetica Neue" w:hAnsi="Helvetica Neue"/>
          <w:i/>
          <w:iCs/>
        </w:rPr>
        <w:t>The Formation of National States in Western Europe</w:t>
      </w:r>
      <w:r>
        <w:rPr>
          <w:rFonts w:ascii="Helvetica Neue" w:hAnsi="Helvetica Neue"/>
        </w:rPr>
        <w:t xml:space="preserve">, edited by Charles Tilly, 562-600. </w:t>
      </w:r>
      <w:r w:rsidRPr="008A2841">
        <w:rPr>
          <w:rFonts w:ascii="Helvetica Neue" w:hAnsi="Helvetica Neue"/>
          <w:lang w:val="de-AT"/>
        </w:rPr>
        <w:t>Princeton: Pinceton University Press, 1975.</w:t>
      </w:r>
    </w:p>
    <w:p w:rsidR="001D0A78" w:rsidRPr="008A2841" w:rsidRDefault="001D0A78" w:rsidP="001D0A78">
      <w:pPr>
        <w:pStyle w:val="EndNoteBibliography"/>
        <w:ind w:left="720" w:hanging="720"/>
        <w:rPr>
          <w:rFonts w:ascii="Helvetica Neue" w:eastAsia="Helvetica Neue" w:hAnsi="Helvetica Neue" w:cs="Helvetica Neue"/>
          <w:lang w:val="de-AT"/>
        </w:rPr>
      </w:pPr>
    </w:p>
    <w:p w:rsidR="001D0A78" w:rsidRPr="008A2841" w:rsidRDefault="001D0A78" w:rsidP="001D0A78">
      <w:pPr>
        <w:pStyle w:val="EndNoteBibliography"/>
        <w:ind w:left="720" w:hanging="720"/>
        <w:rPr>
          <w:rFonts w:ascii="Helvetica Neue" w:eastAsia="Helvetica Neue" w:hAnsi="Helvetica Neue" w:cs="Helvetica Neue"/>
          <w:lang w:val="de-AT"/>
        </w:rPr>
      </w:pPr>
      <w:r w:rsidRPr="008A2841">
        <w:rPr>
          <w:rFonts w:ascii="Helvetica Neue" w:hAnsi="Helvetica Neue"/>
          <w:lang w:val="de-AT"/>
        </w:rPr>
        <w:t xml:space="preserve">Rom, Adalbert. "Der Bildungsgrad der Bevölkerung Österreichs und seine Entwicklung seit 1880, mit besonderer Berücksichtigung d. Sudeten- u. Karpathenländer." </w:t>
      </w:r>
      <w:r w:rsidRPr="008A2841">
        <w:rPr>
          <w:rFonts w:ascii="Helvetica Neue" w:hAnsi="Helvetica Neue"/>
          <w:i/>
          <w:iCs/>
          <w:lang w:val="de-AT"/>
        </w:rPr>
        <w:t xml:space="preserve">Statistische Monatsschrift </w:t>
      </w:r>
      <w:r w:rsidRPr="008A2841">
        <w:rPr>
          <w:rFonts w:ascii="Helvetica Neue" w:hAnsi="Helvetica Neue"/>
          <w:lang w:val="de-AT"/>
        </w:rPr>
        <w:t>40 [N</w:t>
      </w:r>
      <w:r>
        <w:rPr>
          <w:rFonts w:ascii="Helvetica Neue" w:hAnsi="Helvetica Neue"/>
          <w:lang w:val="de-DE"/>
        </w:rPr>
        <w:t xml:space="preserve">eue </w:t>
      </w:r>
      <w:r w:rsidRPr="008A2841">
        <w:rPr>
          <w:rFonts w:ascii="Helvetica Neue" w:hAnsi="Helvetica Neue"/>
          <w:lang w:val="de-AT"/>
        </w:rPr>
        <w:t>F</w:t>
      </w:r>
      <w:r>
        <w:rPr>
          <w:rFonts w:ascii="Helvetica Neue" w:hAnsi="Helvetica Neue"/>
          <w:lang w:val="de-DE"/>
        </w:rPr>
        <w:t>olge</w:t>
      </w:r>
      <w:r w:rsidRPr="008A2841">
        <w:rPr>
          <w:rFonts w:ascii="Helvetica Neue" w:hAnsi="Helvetica Neue"/>
          <w:lang w:val="de-AT"/>
        </w:rPr>
        <w:t xml:space="preserve"> 19] (1914): 589–642.</w:t>
      </w:r>
    </w:p>
    <w:p w:rsidR="001D0A78" w:rsidRPr="008A2841" w:rsidRDefault="001D0A78" w:rsidP="001D0A78">
      <w:pPr>
        <w:pStyle w:val="EndNoteBibliography"/>
        <w:ind w:left="720" w:hanging="720"/>
        <w:rPr>
          <w:rFonts w:ascii="Helvetica Neue" w:eastAsia="Helvetica Neue" w:hAnsi="Helvetica Neue" w:cs="Helvetica Neue"/>
          <w:lang w:val="de-AT"/>
        </w:rPr>
      </w:pPr>
    </w:p>
    <w:p w:rsidR="001D0A78" w:rsidRDefault="001D0A78" w:rsidP="001D0A78">
      <w:pPr>
        <w:pStyle w:val="EndNoteBibliography"/>
        <w:ind w:left="720" w:hanging="720"/>
        <w:rPr>
          <w:rFonts w:ascii="Helvetica Neue" w:hAnsi="Helvetica Neue"/>
        </w:rPr>
      </w:pPr>
      <w:r w:rsidRPr="008A2841">
        <w:rPr>
          <w:rFonts w:ascii="Helvetica Neue" w:hAnsi="Helvetica Neue"/>
          <w:lang w:val="de-AT"/>
        </w:rPr>
        <w:t xml:space="preserve">Schnitzler, Arthur. </w:t>
      </w:r>
      <w:r w:rsidRPr="008A2841">
        <w:rPr>
          <w:rFonts w:ascii="Helvetica Neue" w:hAnsi="Helvetica Neue"/>
          <w:i/>
          <w:iCs/>
          <w:lang w:val="de-AT"/>
        </w:rPr>
        <w:t>Professor Bernhardi: Komödie in fünf Akten</w:t>
      </w:r>
      <w:r w:rsidRPr="008A2841">
        <w:rPr>
          <w:rFonts w:ascii="Helvetica Neue" w:hAnsi="Helvetica Neue"/>
          <w:lang w:val="de-AT"/>
        </w:rPr>
        <w:t xml:space="preserve">. </w:t>
      </w:r>
      <w:r>
        <w:rPr>
          <w:rFonts w:ascii="Helvetica Neue" w:hAnsi="Helvetica Neue"/>
        </w:rPr>
        <w:t>Stuttgart: Philipp Reclam jun., 2005.</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Schroeder, Paul W. "The Life and Death of a Long Peace, 1763-1914." In </w:t>
      </w:r>
      <w:r>
        <w:rPr>
          <w:rFonts w:ascii="Helvetica Neue" w:hAnsi="Helvetica Neue"/>
          <w:i/>
          <w:iCs/>
        </w:rPr>
        <w:t>The Waning of Major War: Theories and Debates</w:t>
      </w:r>
      <w:r>
        <w:rPr>
          <w:rFonts w:ascii="Helvetica Neue" w:hAnsi="Helvetica Neue"/>
        </w:rPr>
        <w:t>, edited by Raimo Väyrynen, 33-63. New York: Routledge, 2006.</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 "Review of The Making of a New Europe: R. W. Seton-Watson and the Last Years of Austria-Hungary." </w:t>
      </w:r>
      <w:r>
        <w:rPr>
          <w:rFonts w:ascii="Helvetica Neue" w:hAnsi="Helvetica Neue"/>
          <w:i/>
          <w:iCs/>
        </w:rPr>
        <w:t xml:space="preserve">The Journal of Modern History </w:t>
      </w:r>
      <w:r>
        <w:rPr>
          <w:rFonts w:ascii="Helvetica Neue" w:hAnsi="Helvetica Neue"/>
        </w:rPr>
        <w:t>53, no. 4 (1981): 756-758.</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 "Stealing Horses to Great Applause: Austria-Hungary’s Decision in 1914 in Systemic Perspective." In </w:t>
      </w:r>
      <w:r>
        <w:rPr>
          <w:rFonts w:ascii="Helvetica Neue" w:hAnsi="Helvetica Neue"/>
          <w:i/>
          <w:iCs/>
        </w:rPr>
        <w:t>An Improbable War?: The Outbreak of World War I and European Political Culture before 1914</w:t>
      </w:r>
      <w:r>
        <w:rPr>
          <w:rFonts w:ascii="Helvetica Neue" w:hAnsi="Helvetica Neue"/>
        </w:rPr>
        <w:t>, edited by Holger Afflerbach and David Stevenson, 17-42. New York: Berghahn Books, 2007.</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Schwarz, Henry Fredrick. </w:t>
      </w:r>
      <w:r>
        <w:rPr>
          <w:rFonts w:ascii="Helvetica Neue" w:hAnsi="Helvetica Neue"/>
          <w:i/>
          <w:iCs/>
        </w:rPr>
        <w:t>The Imperial Privy Council in the Seventeenth Century</w:t>
      </w:r>
      <w:r>
        <w:rPr>
          <w:rFonts w:ascii="Helvetica Neue" w:hAnsi="Helvetica Neue"/>
        </w:rPr>
        <w:t>. Cambridge: Harvard University Press, 1942.</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Scott, H. M. </w:t>
      </w:r>
      <w:r>
        <w:rPr>
          <w:rFonts w:ascii="Helvetica Neue" w:hAnsi="Helvetica Neue"/>
          <w:i/>
          <w:iCs/>
        </w:rPr>
        <w:t>The Birth of a Great Power System, 1740-1815</w:t>
      </w:r>
      <w:r>
        <w:rPr>
          <w:rFonts w:ascii="Helvetica Neue" w:hAnsi="Helvetica Neue"/>
        </w:rPr>
        <w:t>. 2nd ed. New York: Routledge, 2013.</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Seton-Watson, Christopher, and Hugh Seton-Watson. </w:t>
      </w:r>
      <w:r>
        <w:rPr>
          <w:rFonts w:ascii="Helvetica Neue" w:hAnsi="Helvetica Neue"/>
          <w:i/>
          <w:iCs/>
        </w:rPr>
        <w:t>The Making of a New Europe: R.W. Seton-Watson and the Last Years of Austria-Hungary</w:t>
      </w:r>
      <w:r>
        <w:rPr>
          <w:rFonts w:ascii="Helvetica Neue" w:hAnsi="Helvetica Neue"/>
        </w:rPr>
        <w:t>. Seattle: University of Washington Press, 1981.</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Seton-Watson, R. W. "The Austro-Hungarian Ausgleich of 1867." </w:t>
      </w:r>
      <w:r>
        <w:rPr>
          <w:rFonts w:ascii="Helvetica Neue" w:hAnsi="Helvetica Neue"/>
          <w:i/>
          <w:iCs/>
        </w:rPr>
        <w:t xml:space="preserve">The Slavonic and East European Review </w:t>
      </w:r>
      <w:r>
        <w:rPr>
          <w:rFonts w:ascii="Helvetica Neue" w:hAnsi="Helvetica Neue"/>
        </w:rPr>
        <w:t>19, no. 53 (1939): 123-140.</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Sheehan, James J. "The Problem of Sovereignty in European History." </w:t>
      </w:r>
      <w:r>
        <w:rPr>
          <w:rFonts w:ascii="Helvetica Neue" w:hAnsi="Helvetica Neue"/>
          <w:i/>
          <w:iCs/>
        </w:rPr>
        <w:t xml:space="preserve">The American Historical Review </w:t>
      </w:r>
      <w:r>
        <w:rPr>
          <w:rFonts w:ascii="Helvetica Neue" w:hAnsi="Helvetica Neue"/>
        </w:rPr>
        <w:t>111, no. 1 (2006): 1-15.</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Sherman, Charles Phineas. </w:t>
      </w:r>
      <w:r>
        <w:rPr>
          <w:rFonts w:ascii="Helvetica Neue" w:hAnsi="Helvetica Neue"/>
          <w:i/>
          <w:iCs/>
        </w:rPr>
        <w:t>Roman Law in the Modern World</w:t>
      </w:r>
      <w:r>
        <w:rPr>
          <w:rFonts w:ascii="Helvetica Neue" w:hAnsi="Helvetica Neue"/>
        </w:rPr>
        <w:t>. Vol. 1, New Haven: New Haven Law Book Company, 1922.</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Sked, Alan. </w:t>
      </w:r>
      <w:r>
        <w:rPr>
          <w:rFonts w:ascii="Helvetica Neue" w:hAnsi="Helvetica Neue"/>
          <w:i/>
          <w:iCs/>
        </w:rPr>
        <w:t>The Decline and Fall of the Habsburg Empire, 1815-1918</w:t>
      </w:r>
      <w:r>
        <w:rPr>
          <w:rFonts w:ascii="Helvetica Neue" w:hAnsi="Helvetica Neue"/>
        </w:rPr>
        <w:t>. 2nd ed. New York: Longman, 2001.</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Steensgaard, Niels. "The Seventeenth-Century Crisis." In </w:t>
      </w:r>
      <w:r>
        <w:rPr>
          <w:rFonts w:ascii="Helvetica Neue" w:hAnsi="Helvetica Neue"/>
          <w:i/>
          <w:iCs/>
        </w:rPr>
        <w:t>The General Crisis of the Seventeenth Century</w:t>
      </w:r>
      <w:r>
        <w:rPr>
          <w:rFonts w:ascii="Helvetica Neue" w:hAnsi="Helvetica Neue"/>
        </w:rPr>
        <w:t>, edited by Geoffrey Parker and Lesley M. Smith, 32-56. Second ed. New York: Routledge, 1997.</w:t>
      </w:r>
    </w:p>
    <w:p w:rsidR="001D0A78" w:rsidRDefault="001D0A78" w:rsidP="001D0A78">
      <w:pPr>
        <w:pStyle w:val="EndNoteBibliography"/>
        <w:ind w:left="720" w:hanging="720"/>
        <w:rPr>
          <w:rFonts w:ascii="Helvetica Neue" w:hAnsi="Helvetica Neue"/>
        </w:rPr>
      </w:pPr>
      <w:r>
        <w:rPr>
          <w:rFonts w:ascii="Helvetica Neue" w:hAnsi="Helvetica Neue"/>
        </w:rPr>
        <w:t xml:space="preserve">Strayer, Joseph. </w:t>
      </w:r>
      <w:r>
        <w:rPr>
          <w:rFonts w:ascii="Helvetica Neue" w:hAnsi="Helvetica Neue"/>
          <w:i/>
          <w:iCs/>
        </w:rPr>
        <w:t>On the Medieval Origins of the Modern State</w:t>
      </w:r>
      <w:r>
        <w:rPr>
          <w:rFonts w:ascii="Helvetica Neue" w:hAnsi="Helvetica Neue"/>
        </w:rPr>
        <w:t>. Princeton: Princeton University Press, 1970.</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Tallett, Frank. </w:t>
      </w:r>
      <w:r>
        <w:rPr>
          <w:rFonts w:ascii="Helvetica Neue" w:hAnsi="Helvetica Neue"/>
          <w:i/>
          <w:iCs/>
        </w:rPr>
        <w:t>War and Society in Early Modern Europe, 1495-1715</w:t>
      </w:r>
      <w:r>
        <w:rPr>
          <w:rFonts w:ascii="Helvetica Neue" w:hAnsi="Helvetica Neue"/>
        </w:rPr>
        <w:t>. New York: Routledge, 1992.</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Tilly, Charles, ed. </w:t>
      </w:r>
      <w:r>
        <w:rPr>
          <w:rFonts w:ascii="Helvetica Neue" w:hAnsi="Helvetica Neue"/>
          <w:i/>
          <w:iCs/>
        </w:rPr>
        <w:t>The Formation of National States in Western Europe</w:t>
      </w:r>
      <w:r>
        <w:rPr>
          <w:rFonts w:ascii="Helvetica Neue" w:hAnsi="Helvetica Neue"/>
        </w:rPr>
        <w:t xml:space="preserve"> Princeton: Princeton University Press, 1975.</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 "Reflections on the History of European State-Making." In </w:t>
      </w:r>
      <w:r>
        <w:rPr>
          <w:rFonts w:ascii="Helvetica Neue" w:hAnsi="Helvetica Neue"/>
          <w:i/>
          <w:iCs/>
        </w:rPr>
        <w:t>The Formation of National States in Western Europe</w:t>
      </w:r>
      <w:r>
        <w:rPr>
          <w:rFonts w:ascii="Helvetica Neue" w:hAnsi="Helvetica Neue"/>
        </w:rPr>
        <w:t>, edited by Charles Tilly, 3-83. Princeton: Princeton University Press, 1975.</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 "War Making and State Making as Organized Crime." In </w:t>
      </w:r>
      <w:r>
        <w:rPr>
          <w:rFonts w:ascii="Helvetica Neue" w:hAnsi="Helvetica Neue"/>
          <w:i/>
          <w:iCs/>
        </w:rPr>
        <w:t>Bringing the State Back In</w:t>
      </w:r>
      <w:r>
        <w:rPr>
          <w:rFonts w:ascii="Helvetica Neue" w:hAnsi="Helvetica Neue"/>
        </w:rPr>
        <w:t>, edited by Peter Evans, Dietrich Rueschemeyer and Theda Skocpol, 169-191. New York: Cambridge University Press, 1985.</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Twain, Mark. "Stirring Times in Austria." In </w:t>
      </w:r>
      <w:r>
        <w:rPr>
          <w:rFonts w:ascii="Helvetica Neue" w:hAnsi="Helvetica Neue"/>
          <w:i/>
          <w:iCs/>
        </w:rPr>
        <w:t>In Defense of Harriet Shelley and Other Essays</w:t>
      </w:r>
      <w:r>
        <w:rPr>
          <w:rFonts w:ascii="Helvetica Neue" w:hAnsi="Helvetica Neue"/>
        </w:rPr>
        <w:t>, 197-243. New York: Harper and Brothers, 1918 [1898].</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von Philippovich, Eugen. "Austrian-Hungarian Trade-Policy and the New German Tariff." </w:t>
      </w:r>
      <w:r>
        <w:rPr>
          <w:rFonts w:ascii="Helvetica Neue" w:hAnsi="Helvetica Neue"/>
          <w:i/>
          <w:iCs/>
        </w:rPr>
        <w:t xml:space="preserve">The Economic Journal </w:t>
      </w:r>
      <w:r>
        <w:rPr>
          <w:rFonts w:ascii="Helvetica Neue" w:hAnsi="Helvetica Neue"/>
        </w:rPr>
        <w:t>12, no. 46 (1902): 177-181.</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Walsham, Alexandra. "Migrations of the Holy: Explaining Religious Change in Medieval and Early Modern Europe." </w:t>
      </w:r>
      <w:r>
        <w:rPr>
          <w:rFonts w:ascii="Helvetica Neue" w:hAnsi="Helvetica Neue"/>
          <w:i/>
          <w:iCs/>
        </w:rPr>
        <w:t xml:space="preserve">Journal of Medieval and Early Modern Studies </w:t>
      </w:r>
      <w:r>
        <w:rPr>
          <w:rFonts w:ascii="Helvetica Neue" w:hAnsi="Helvetica Neue"/>
        </w:rPr>
        <w:t>44, no. 2 (2014): 241-280.</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Wawro, Geoffrey. </w:t>
      </w:r>
      <w:r>
        <w:rPr>
          <w:rFonts w:ascii="Helvetica Neue" w:hAnsi="Helvetica Neue"/>
          <w:i/>
          <w:iCs/>
        </w:rPr>
        <w:t>Warfare and Society in Europe, 1792-1914</w:t>
      </w:r>
      <w:r>
        <w:rPr>
          <w:rFonts w:ascii="Helvetica Neue" w:hAnsi="Helvetica Neue"/>
        </w:rPr>
        <w:t>. New York: Routledge, 2000.</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Weber, Max. "Politics as a Vocation." Translated by H. H. Gerth and C. Wright Mills. In </w:t>
      </w:r>
      <w:r>
        <w:rPr>
          <w:rFonts w:ascii="Helvetica Neue" w:hAnsi="Helvetica Neue"/>
          <w:i/>
          <w:iCs/>
        </w:rPr>
        <w:t>From Max Weber: Essays in Sociology</w:t>
      </w:r>
      <w:r>
        <w:rPr>
          <w:rFonts w:ascii="Helvetica Neue" w:hAnsi="Helvetica Neue"/>
        </w:rPr>
        <w:t>. New York: Oxford University Press, 1946.</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Whaley, Joachim. </w:t>
      </w:r>
      <w:r>
        <w:rPr>
          <w:rFonts w:ascii="Helvetica Neue" w:hAnsi="Helvetica Neue"/>
          <w:i/>
          <w:iCs/>
        </w:rPr>
        <w:t>Germany and the Holy Roman Empire: From Maximilian I to the Peace of Westphalia</w:t>
      </w:r>
      <w:r>
        <w:rPr>
          <w:rFonts w:ascii="Helvetica Neue" w:hAnsi="Helvetica Neue"/>
        </w:rPr>
        <w:t>. 2 vols. Vol. 1, New York: Oxford University Press, 2012.</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hAnsi="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Wilson, Peter H. "Bolstering the Prestige of the Habsburgs: The End of the Holy Roman Empire in 1806." </w:t>
      </w:r>
      <w:r>
        <w:rPr>
          <w:rFonts w:ascii="Helvetica Neue" w:hAnsi="Helvetica Neue"/>
          <w:i/>
          <w:iCs/>
        </w:rPr>
        <w:t xml:space="preserve">The International History Review </w:t>
      </w:r>
      <w:r>
        <w:rPr>
          <w:rFonts w:ascii="Helvetica Neue" w:hAnsi="Helvetica Neue"/>
        </w:rPr>
        <w:t>28, no. 4 (2006): 709-736.</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 "The Causes of the Thirty Years War 1618-1648." </w:t>
      </w:r>
      <w:r>
        <w:rPr>
          <w:rFonts w:ascii="Helvetica Neue" w:hAnsi="Helvetica Neue"/>
          <w:i/>
          <w:iCs/>
        </w:rPr>
        <w:t xml:space="preserve">The English Historical Review </w:t>
      </w:r>
      <w:r>
        <w:rPr>
          <w:rFonts w:ascii="Helvetica Neue" w:hAnsi="Helvetica Neue"/>
        </w:rPr>
        <w:t>123, no. 502 (2008): 554-586.</w:t>
      </w:r>
    </w:p>
    <w:p w:rsidR="001D0A78" w:rsidRDefault="001D0A78" w:rsidP="001D0A78">
      <w:pPr>
        <w:pStyle w:val="EndNoteBibliography"/>
        <w:ind w:left="720" w:hanging="720"/>
        <w:rPr>
          <w:rFonts w:ascii="Helvetica Neue" w:eastAsia="Helvetica Neue" w:hAnsi="Helvetica Neue" w:cs="Helvetica Neue"/>
        </w:rPr>
      </w:pPr>
    </w:p>
    <w:p w:rsidR="001D0A78" w:rsidRPr="008A2841" w:rsidRDefault="001D0A78" w:rsidP="001D0A78">
      <w:pPr>
        <w:pStyle w:val="EndNoteBibliography"/>
        <w:ind w:left="720" w:hanging="720"/>
        <w:rPr>
          <w:rFonts w:ascii="Helvetica Neue" w:eastAsia="Helvetica Neue" w:hAnsi="Helvetica Neue" w:cs="Helvetica Neue"/>
          <w:lang w:val="de-AT"/>
        </w:rPr>
      </w:pPr>
      <w:r>
        <w:rPr>
          <w:rFonts w:ascii="Helvetica Neue" w:hAnsi="Helvetica Neue"/>
        </w:rPr>
        <w:t xml:space="preserve">———. "Dynasty, Constitution, and Confession: The Role of Religion in the Thirty Years War." </w:t>
      </w:r>
      <w:r w:rsidRPr="008A2841">
        <w:rPr>
          <w:rFonts w:ascii="Helvetica Neue" w:hAnsi="Helvetica Neue"/>
          <w:i/>
          <w:iCs/>
          <w:lang w:val="de-AT"/>
        </w:rPr>
        <w:t xml:space="preserve">The International History Review </w:t>
      </w:r>
      <w:r w:rsidRPr="008A2841">
        <w:rPr>
          <w:rFonts w:ascii="Helvetica Neue" w:hAnsi="Helvetica Neue"/>
          <w:lang w:val="de-AT"/>
        </w:rPr>
        <w:t>30, no. 3 (2008): 473-514.</w:t>
      </w:r>
    </w:p>
    <w:p w:rsidR="001D0A78" w:rsidRPr="008A2841" w:rsidRDefault="001D0A78" w:rsidP="001D0A78">
      <w:pPr>
        <w:pStyle w:val="EndNoteBibliography"/>
        <w:ind w:left="720" w:hanging="720"/>
        <w:rPr>
          <w:rFonts w:ascii="Helvetica Neue" w:eastAsia="Helvetica Neue" w:hAnsi="Helvetica Neue" w:cs="Helvetica Neue"/>
          <w:lang w:val="de-AT"/>
        </w:rPr>
      </w:pPr>
    </w:p>
    <w:p w:rsidR="001D0A78" w:rsidRPr="008A2841" w:rsidRDefault="001D0A78" w:rsidP="001D0A78">
      <w:pPr>
        <w:pStyle w:val="EndNoteBibliography"/>
        <w:ind w:left="720" w:hanging="720"/>
        <w:rPr>
          <w:rFonts w:ascii="Helvetica Neue" w:eastAsia="Helvetica Neue" w:hAnsi="Helvetica Neue" w:cs="Helvetica Neue"/>
          <w:lang w:val="de-AT"/>
        </w:rPr>
      </w:pPr>
      <w:r w:rsidRPr="008A2841">
        <w:rPr>
          <w:rFonts w:ascii="Helvetica Neue" w:hAnsi="Helvetica Neue"/>
          <w:lang w:val="de-AT"/>
        </w:rPr>
        <w:t xml:space="preserve">Zaisberger, Friederike, and Walter Schlegel. </w:t>
      </w:r>
      <w:r w:rsidRPr="008A2841">
        <w:rPr>
          <w:rFonts w:ascii="Helvetica Neue" w:hAnsi="Helvetica Neue"/>
          <w:i/>
          <w:iCs/>
          <w:lang w:val="de-AT"/>
        </w:rPr>
        <w:t>Burgen und Schlösser in Salzburg: Pinzgau, Pongau, Lungau</w:t>
      </w:r>
      <w:r w:rsidRPr="008A2841">
        <w:rPr>
          <w:rFonts w:ascii="Helvetica Neue" w:hAnsi="Helvetica Neue"/>
          <w:lang w:val="de-AT"/>
        </w:rPr>
        <w:t>. Vienna: Birken-Verlag, 1978.</w:t>
      </w:r>
    </w:p>
    <w:p w:rsidR="001D0A78" w:rsidRPr="00583D90" w:rsidRDefault="001D0A78" w:rsidP="001D0A78">
      <w:pPr>
        <w:pStyle w:val="EndNoteBibliography"/>
        <w:ind w:left="720" w:hanging="720"/>
        <w:rPr>
          <w:rFonts w:ascii="Helvetica Neue" w:hAnsi="Helvetica Neue"/>
          <w:lang w:val="de-AT"/>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Zimmerer, Jürgen. "Annihilation in Africa: The “Race War” in German Southwest Africa (1904-1908) and its Significance for a Global History of Genocide." </w:t>
      </w:r>
      <w:r>
        <w:rPr>
          <w:rFonts w:ascii="Helvetica Neue" w:hAnsi="Helvetica Neue"/>
          <w:i/>
          <w:iCs/>
        </w:rPr>
        <w:t xml:space="preserve">Bulletin of the German Historical Institute Washington </w:t>
      </w:r>
      <w:r>
        <w:rPr>
          <w:rFonts w:ascii="Helvetica Neue" w:hAnsi="Helvetica Neue"/>
        </w:rPr>
        <w:t>37 (2005): 51-57.</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rPr>
          <w:rFonts w:ascii="Helvetica Neue" w:eastAsia="Helvetica Neue" w:hAnsi="Helvetica Neue" w:cs="Helvetica Neue"/>
        </w:rPr>
      </w:pPr>
      <w:r>
        <w:rPr>
          <w:rFonts w:ascii="Helvetica Neue" w:hAnsi="Helvetica Neue"/>
        </w:rPr>
        <w:t xml:space="preserve">Zweig, Stefan. "Das Land ohne Patriotismus." In </w:t>
      </w:r>
      <w:r>
        <w:rPr>
          <w:rFonts w:ascii="Helvetica Neue" w:hAnsi="Helvetica Neue"/>
          <w:i/>
          <w:iCs/>
        </w:rPr>
        <w:t>Die schlaflose Welt</w:t>
      </w:r>
      <w:r>
        <w:rPr>
          <w:rFonts w:ascii="Helvetica Neue" w:hAnsi="Helvetica Neue"/>
        </w:rPr>
        <w:t>, edited by Knut Beck, 7-16. Frankfurt am Main: S. Fischer Verlag, 2012.</w:t>
      </w:r>
    </w:p>
    <w:p w:rsidR="001D0A78" w:rsidRDefault="001D0A78" w:rsidP="001D0A78">
      <w:pPr>
        <w:pStyle w:val="EndNoteBibliography"/>
        <w:ind w:left="720" w:hanging="720"/>
        <w:rPr>
          <w:rFonts w:ascii="Helvetica Neue" w:eastAsia="Helvetica Neue" w:hAnsi="Helvetica Neue" w:cs="Helvetica Neue"/>
        </w:rPr>
      </w:pPr>
    </w:p>
    <w:p w:rsidR="001D0A78" w:rsidRDefault="001D0A78" w:rsidP="001D0A78">
      <w:pPr>
        <w:pStyle w:val="EndNoteBibliography"/>
        <w:ind w:left="720" w:hanging="720"/>
      </w:pPr>
      <w:r>
        <w:rPr>
          <w:rFonts w:ascii="Helvetica Neue" w:hAnsi="Helvetica Neue"/>
        </w:rPr>
        <w:t xml:space="preserve">Zwierlein, Cornel. "The Thirty Years’ War – A Religious War? Religion and Machiavellism at the Turning Point of 1635." In </w:t>
      </w:r>
      <w:r>
        <w:rPr>
          <w:rFonts w:ascii="Helvetica Neue" w:hAnsi="Helvetica Neue"/>
          <w:i/>
          <w:iCs/>
        </w:rPr>
        <w:t>The Ashgate Research Companion to the Thirty Years' War</w:t>
      </w:r>
      <w:r>
        <w:rPr>
          <w:rFonts w:ascii="Helvetica Neue" w:hAnsi="Helvetica Neue"/>
        </w:rPr>
        <w:t>, 231-243. New York: Routledge, 2016.</w:t>
      </w:r>
    </w:p>
    <w:p w:rsidR="001D0A78" w:rsidRDefault="001D0A78">
      <w:pPr>
        <w:pStyle w:val="Body"/>
        <w:spacing w:after="0" w:line="480" w:lineRule="auto"/>
        <w:rPr>
          <w:rFonts w:ascii="Helvetica Neue" w:hAnsi="Helvetica Neue"/>
        </w:rPr>
      </w:pPr>
    </w:p>
    <w:p w:rsidR="001D0A78" w:rsidRDefault="001D0A78">
      <w:pPr>
        <w:pStyle w:val="Body"/>
        <w:spacing w:after="0" w:line="480" w:lineRule="auto"/>
      </w:pPr>
    </w:p>
    <w:sectPr w:rsidR="001D0A78" w:rsidSect="001D0A78">
      <w:footerReference w:type="default" r:id="rId12"/>
      <w:pgSz w:w="12240" w:h="15840"/>
      <w:pgMar w:top="2160" w:right="2160" w:bottom="2160" w:left="230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2BB6" w:rsidRDefault="00502BB6">
      <w:r>
        <w:separator/>
      </w:r>
    </w:p>
  </w:endnote>
  <w:endnote w:type="continuationSeparator" w:id="0">
    <w:p w:rsidR="00502BB6" w:rsidRDefault="00502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56827073"/>
      <w:docPartObj>
        <w:docPartGallery w:val="Page Numbers (Bottom of Page)"/>
        <w:docPartUnique/>
      </w:docPartObj>
    </w:sdtPr>
    <w:sdtEndPr>
      <w:rPr>
        <w:rStyle w:val="PageNumber"/>
      </w:rPr>
    </w:sdtEndPr>
    <w:sdtContent>
      <w:p w:rsidR="001D0A78" w:rsidRDefault="001D0A78" w:rsidP="00282E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D0A78" w:rsidRDefault="001D0A78" w:rsidP="001D0A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515A" w:rsidRDefault="0078515A">
    <w:pPr>
      <w:pStyle w:val="Footer"/>
      <w:tabs>
        <w:tab w:val="clear" w:pos="9360"/>
        <w:tab w:val="right" w:pos="8476"/>
      </w:tabs>
      <w:jc w:val="right"/>
      <w:rPr>
        <w:rFonts w:ascii="Helvetica Neue" w:hAnsi="Helvetica Neue"/>
        <w:b/>
        <w:bCs/>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515A" w:rsidRDefault="00E46B5F">
    <w:pPr>
      <w:pStyle w:val="Footer"/>
      <w:tabs>
        <w:tab w:val="clear" w:pos="9360"/>
        <w:tab w:val="right" w:pos="8476"/>
      </w:tabs>
      <w:jc w:val="right"/>
    </w:pPr>
    <w:r>
      <w:rPr>
        <w:rFonts w:ascii="Helvetica Neue" w:eastAsia="Helvetica Neue" w:hAnsi="Helvetica Neue" w:cs="Helvetica Neue"/>
        <w:sz w:val="21"/>
        <w:szCs w:val="21"/>
      </w:rPr>
      <w:fldChar w:fldCharType="begin"/>
    </w:r>
    <w:r>
      <w:rPr>
        <w:rFonts w:ascii="Helvetica Neue" w:eastAsia="Helvetica Neue" w:hAnsi="Helvetica Neue" w:cs="Helvetica Neue"/>
        <w:sz w:val="21"/>
        <w:szCs w:val="21"/>
      </w:rPr>
      <w:instrText xml:space="preserve"> PAGE </w:instrText>
    </w:r>
    <w:r>
      <w:rPr>
        <w:rFonts w:ascii="Helvetica Neue" w:eastAsia="Helvetica Neue" w:hAnsi="Helvetica Neue" w:cs="Helvetica Neue"/>
        <w:sz w:val="21"/>
        <w:szCs w:val="21"/>
      </w:rPr>
      <w:fldChar w:fldCharType="separate"/>
    </w:r>
    <w:r>
      <w:rPr>
        <w:rFonts w:ascii="Helvetica Neue" w:eastAsia="Helvetica Neue" w:hAnsi="Helvetica Neue" w:cs="Helvetica Neue"/>
        <w:sz w:val="21"/>
        <w:szCs w:val="21"/>
      </w:rPr>
      <w:t>iv</w:t>
    </w:r>
    <w:r>
      <w:rPr>
        <w:rFonts w:ascii="Helvetica Neue" w:eastAsia="Helvetica Neue" w:hAnsi="Helvetica Neue" w:cs="Helvetica Neue"/>
        <w:sz w:val="21"/>
        <w:szCs w:val="2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22023483"/>
      <w:docPartObj>
        <w:docPartGallery w:val="Page Numbers (Bottom of Page)"/>
        <w:docPartUnique/>
      </w:docPartObj>
    </w:sdtPr>
    <w:sdtEndPr>
      <w:rPr>
        <w:rStyle w:val="PageNumber"/>
      </w:rPr>
    </w:sdtEndPr>
    <w:sdtContent>
      <w:p w:rsidR="001D0A78" w:rsidRDefault="001D0A78" w:rsidP="00282EA8">
        <w:pPr>
          <w:pStyle w:val="Footer"/>
          <w:framePr w:wrap="none" w:vAnchor="text" w:hAnchor="margin" w:xAlign="right" w:y="1"/>
          <w:rPr>
            <w:rStyle w:val="PageNumber"/>
          </w:rPr>
        </w:pPr>
        <w:r w:rsidRPr="001D0A78">
          <w:rPr>
            <w:rStyle w:val="PageNumber"/>
            <w:rFonts w:asciiTheme="majorHAnsi" w:hAnsiTheme="majorHAnsi"/>
            <w:sz w:val="21"/>
          </w:rPr>
          <w:fldChar w:fldCharType="begin"/>
        </w:r>
        <w:r w:rsidRPr="001D0A78">
          <w:rPr>
            <w:rStyle w:val="PageNumber"/>
            <w:rFonts w:asciiTheme="majorHAnsi" w:hAnsiTheme="majorHAnsi"/>
            <w:sz w:val="21"/>
          </w:rPr>
          <w:instrText xml:space="preserve"> PAGE </w:instrText>
        </w:r>
        <w:r w:rsidRPr="001D0A78">
          <w:rPr>
            <w:rStyle w:val="PageNumber"/>
            <w:rFonts w:asciiTheme="majorHAnsi" w:hAnsiTheme="majorHAnsi"/>
            <w:sz w:val="21"/>
          </w:rPr>
          <w:fldChar w:fldCharType="separate"/>
        </w:r>
        <w:r w:rsidRPr="001D0A78">
          <w:rPr>
            <w:rStyle w:val="PageNumber"/>
            <w:rFonts w:asciiTheme="majorHAnsi" w:hAnsiTheme="majorHAnsi"/>
            <w:noProof/>
            <w:sz w:val="21"/>
          </w:rPr>
          <w:t>1</w:t>
        </w:r>
        <w:r w:rsidRPr="001D0A78">
          <w:rPr>
            <w:rStyle w:val="PageNumber"/>
            <w:rFonts w:asciiTheme="majorHAnsi" w:hAnsiTheme="majorHAnsi"/>
            <w:sz w:val="21"/>
          </w:rPr>
          <w:fldChar w:fldCharType="end"/>
        </w:r>
      </w:p>
    </w:sdtContent>
  </w:sdt>
  <w:p w:rsidR="001D0A78" w:rsidRDefault="001D0A78" w:rsidP="001D0A78">
    <w:pPr>
      <w:pStyle w:val="Footer"/>
      <w:tabs>
        <w:tab w:val="clear" w:pos="9360"/>
        <w:tab w:val="right" w:pos="8476"/>
      </w:tabs>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2BB6" w:rsidRDefault="00502BB6">
      <w:r>
        <w:separator/>
      </w:r>
    </w:p>
  </w:footnote>
  <w:footnote w:type="continuationSeparator" w:id="0">
    <w:p w:rsidR="00502BB6" w:rsidRDefault="00502BB6">
      <w:r>
        <w:continuationSeparator/>
      </w:r>
    </w:p>
  </w:footnote>
  <w:footnote w:id="1">
    <w:p w:rsidR="001D0A78" w:rsidRPr="008A2841" w:rsidRDefault="001D0A78" w:rsidP="001D0A78">
      <w:pPr>
        <w:pStyle w:val="Footnote"/>
        <w:spacing w:line="288" w:lineRule="auto"/>
        <w:rPr>
          <w:lang w:val="de-AT"/>
        </w:rPr>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lang w:val="de-DE"/>
        </w:rPr>
        <w:t xml:space="preserve"> </w:t>
      </w:r>
      <w:r w:rsidRPr="008A2841">
        <w:rPr>
          <w:rFonts w:ascii="Helvetica Neue" w:hAnsi="Helvetica Neue"/>
          <w:kern w:val="1"/>
          <w:lang w:val="de-AT"/>
        </w:rPr>
        <w:t xml:space="preserve">Friederike Zaisberger and Walter Schlegel, </w:t>
      </w:r>
      <w:r w:rsidRPr="008A2841">
        <w:rPr>
          <w:rFonts w:ascii="Helvetica Neue" w:hAnsi="Helvetica Neue"/>
          <w:i/>
          <w:iCs/>
          <w:kern w:val="1"/>
          <w:lang w:val="de-AT"/>
        </w:rPr>
        <w:t>Burgen und Schlösser in Salzburg: Pinzgau, Pongau, Lungau</w:t>
      </w:r>
      <w:r w:rsidRPr="008A2841">
        <w:rPr>
          <w:rFonts w:ascii="Helvetica Neue" w:hAnsi="Helvetica Neue"/>
          <w:kern w:val="1"/>
          <w:lang w:val="de-AT"/>
        </w:rPr>
        <w:t xml:space="preserve"> (Vienna: Birken-Verlag, 1978), pp. 143-145.</w:t>
      </w:r>
    </w:p>
  </w:footnote>
  <w:footnote w:id="2">
    <w:p w:rsidR="001D0A78" w:rsidRPr="008A2841" w:rsidRDefault="001D0A78" w:rsidP="001D0A78">
      <w:pPr>
        <w:pStyle w:val="Footnote"/>
        <w:spacing w:line="288" w:lineRule="auto"/>
        <w:rPr>
          <w:lang w:val="de-AT"/>
        </w:rPr>
      </w:pPr>
      <w:r>
        <w:rPr>
          <w:rFonts w:ascii="Helvetica Neue" w:eastAsia="Helvetica Neue" w:hAnsi="Helvetica Neue" w:cs="Helvetica Neue"/>
          <w:kern w:val="1"/>
          <w:vertAlign w:val="superscript"/>
        </w:rPr>
        <w:footnoteRef/>
      </w:r>
      <w:r>
        <w:rPr>
          <w:rFonts w:ascii="Helvetica Neue" w:hAnsi="Helvetica Neue"/>
          <w:lang w:val="de-DE"/>
        </w:rPr>
        <w:t xml:space="preserve"> </w:t>
      </w:r>
      <w:r w:rsidRPr="008A2841">
        <w:rPr>
          <w:rFonts w:ascii="Helvetica Neue" w:hAnsi="Helvetica Neue"/>
          <w:lang w:val="de-AT"/>
        </w:rPr>
        <w:t xml:space="preserve">Autorenkollektiv, "A. E. I. O. U.," in </w:t>
      </w:r>
      <w:r w:rsidRPr="008A2841">
        <w:rPr>
          <w:rFonts w:ascii="Helvetica Neue" w:hAnsi="Helvetica Neue"/>
          <w:i/>
          <w:iCs/>
          <w:lang w:val="de-AT"/>
        </w:rPr>
        <w:t>Meyers Konversationslexikon</w:t>
      </w:r>
      <w:r w:rsidRPr="008A2841">
        <w:rPr>
          <w:rFonts w:ascii="Helvetica Neue" w:hAnsi="Helvetica Neue"/>
          <w:lang w:val="de-AT"/>
        </w:rPr>
        <w:t xml:space="preserve"> (Vienna: Verlag des Bibliographischen Instituts, 1885), p. 1.</w:t>
      </w:r>
    </w:p>
  </w:footnote>
  <w:footnote w:id="3">
    <w:p w:rsidR="001D0A78" w:rsidRDefault="001D0A78" w:rsidP="001D0A78">
      <w:pPr>
        <w:pStyle w:val="FootnoteText"/>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At various points in this work, Austria, Habsburg Austria, Habsburg Central Europe, and Austria-Hungary are used to refer to the same political unit, which was centered on Vienna and ruled by a member of the Habsburg family.</w:t>
      </w:r>
    </w:p>
  </w:footnote>
  <w:footnote w:id="4">
    <w:p w:rsidR="001D0A78" w:rsidRDefault="001D0A78" w:rsidP="001D0A78">
      <w:pPr>
        <w:pStyle w:val="FootnoteText"/>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Charles Tilly, "Reflections on the History of European State-Making," in </w:t>
      </w:r>
      <w:r>
        <w:rPr>
          <w:rFonts w:ascii="Helvetica Neue" w:hAnsi="Helvetica Neue"/>
          <w:i/>
          <w:iCs/>
        </w:rPr>
        <w:t>The Formation of National States in Western Europe</w:t>
      </w:r>
      <w:r>
        <w:rPr>
          <w:rFonts w:ascii="Helvetica Neue" w:hAnsi="Helvetica Neue"/>
        </w:rPr>
        <w:t>, ed. Charles Tilly (Princeton: Princeton University Press, 1975), p. 27.</w:t>
      </w:r>
    </w:p>
  </w:footnote>
  <w:footnote w:id="5">
    <w:p w:rsidR="001D0A78" w:rsidRDefault="001D0A78" w:rsidP="001D0A78">
      <w:pPr>
        <w:pStyle w:val="FootnoteText"/>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Tilly, “Reflection on the History of European State-Making,” pp. 28-29.</w:t>
      </w:r>
    </w:p>
  </w:footnote>
  <w:footnote w:id="6">
    <w:p w:rsidR="001D0A78" w:rsidRDefault="001D0A78" w:rsidP="001D0A78">
      <w:pPr>
        <w:pStyle w:val="FootnoteText"/>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Tilly, “Reflection on the History of European State-Making,” pp. 13 and 27.</w:t>
      </w:r>
    </w:p>
  </w:footnote>
  <w:footnote w:id="7">
    <w:p w:rsidR="001D0A78" w:rsidRDefault="001D0A78" w:rsidP="001D0A78">
      <w:pPr>
        <w:pStyle w:val="FootnoteText"/>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Daron Acemoglu and James A. Robinson, "Economic Backwardness in Political Perspective," </w:t>
      </w:r>
      <w:r>
        <w:rPr>
          <w:rFonts w:ascii="Helvetica Neue" w:hAnsi="Helvetica Neue"/>
          <w:i/>
          <w:iCs/>
        </w:rPr>
        <w:t>American Political Science Review</w:t>
      </w:r>
      <w:r>
        <w:rPr>
          <w:rFonts w:ascii="Helvetica Neue" w:hAnsi="Helvetica Neue"/>
        </w:rPr>
        <w:t xml:space="preserve"> 100, no. 1 (2006).</w:t>
      </w:r>
    </w:p>
  </w:footnote>
  <w:footnote w:id="8">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This matter will be taken up </w:t>
      </w:r>
      <w:r w:rsidRPr="008A2841">
        <w:rPr>
          <w:rFonts w:ascii="Helvetica Neue" w:hAnsi="Helvetica Neue"/>
        </w:rPr>
        <w:t>later</w:t>
      </w:r>
      <w:r>
        <w:rPr>
          <w:rFonts w:ascii="Helvetica Neue" w:hAnsi="Helvetica Neue"/>
        </w:rPr>
        <w:t xml:space="preserve">, but see generally: Alan Sked, </w:t>
      </w:r>
      <w:r>
        <w:rPr>
          <w:rFonts w:ascii="Helvetica Neue" w:hAnsi="Helvetica Neue"/>
          <w:i/>
          <w:iCs/>
        </w:rPr>
        <w:t>The Decline and Fall of the Habsburg Empire, 1815-1918</w:t>
      </w:r>
      <w:r>
        <w:rPr>
          <w:rFonts w:ascii="Helvetica Neue" w:hAnsi="Helvetica Neue"/>
        </w:rPr>
        <w:t>, 2nd ed. (New York: Longman, 2001), Acemoglu and Robinson, "Economic Backwardness in Political Perspective," and Acemoglu and Robinson</w:t>
      </w:r>
      <w:r w:rsidRPr="008A2841">
        <w:rPr>
          <w:rFonts w:ascii="Helvetica Neue" w:hAnsi="Helvetica Neue"/>
        </w:rPr>
        <w:t xml:space="preserve">, </w:t>
      </w:r>
      <w:r w:rsidRPr="008A2841">
        <w:rPr>
          <w:rFonts w:ascii="Helvetica Neue" w:hAnsi="Helvetica Neue"/>
          <w:i/>
          <w:iCs/>
        </w:rPr>
        <w:t>Why Nations Fail: The Origins of Power, Prosperity, and Poverty</w:t>
      </w:r>
      <w:r w:rsidRPr="008A2841">
        <w:rPr>
          <w:rFonts w:ascii="Helvetica Neue" w:hAnsi="Helvetica Neue"/>
        </w:rPr>
        <w:t>. (New York: Crown Business, 2012), pp. 222-230.</w:t>
      </w:r>
    </w:p>
  </w:footnote>
  <w:footnote w:id="9">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Michael Mann, </w:t>
      </w:r>
      <w:r>
        <w:rPr>
          <w:rFonts w:ascii="Helvetica Neue" w:hAnsi="Helvetica Neue"/>
          <w:i/>
          <w:iCs/>
        </w:rPr>
        <w:t>The Sources of Social Power</w:t>
      </w:r>
      <w:r w:rsidRPr="008A2841">
        <w:rPr>
          <w:rFonts w:ascii="Helvetica Neue" w:hAnsi="Helvetica Neue"/>
          <w:i/>
          <w:iCs/>
        </w:rPr>
        <w:t xml:space="preserve"> </w:t>
      </w:r>
      <w:r>
        <w:rPr>
          <w:rFonts w:ascii="Helvetica Neue" w:hAnsi="Helvetica Neue"/>
        </w:rPr>
        <w:t>(New York: Cambridge University Press, 1986)</w:t>
      </w:r>
      <w:r w:rsidRPr="008A2841">
        <w:rPr>
          <w:rFonts w:ascii="Helvetica Neue" w:hAnsi="Helvetica Neue"/>
        </w:rPr>
        <w:t xml:space="preserve">, </w:t>
      </w:r>
      <w:r w:rsidRPr="008A2841">
        <w:rPr>
          <w:rFonts w:ascii="Helvetica Neue" w:hAnsi="Helvetica Neue"/>
          <w:i/>
          <w:iCs/>
        </w:rPr>
        <w:t>vol. 1</w:t>
      </w:r>
      <w:r>
        <w:rPr>
          <w:rFonts w:ascii="Helvetica Neue" w:hAnsi="Helvetica Neue"/>
        </w:rPr>
        <w:t>, p. 420.</w:t>
      </w:r>
    </w:p>
  </w:footnote>
  <w:footnote w:id="10">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Ibid., p. 412.</w:t>
      </w:r>
    </w:p>
  </w:footnote>
  <w:footnote w:id="11">
    <w:p w:rsidR="001D0A78" w:rsidRDefault="001D0A78" w:rsidP="001D0A78">
      <w:pPr>
        <w:pStyle w:val="Footnote"/>
        <w:spacing w:line="288" w:lineRule="auto"/>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rPr>
        <w:t xml:space="preserve"> Stein Rokkan, "Dimensions of State Formation and Nation-Building: A Possible Paradigm for Research on Variations Within Europe," in </w:t>
      </w:r>
      <w:r>
        <w:rPr>
          <w:rFonts w:ascii="Helvetica Neue" w:hAnsi="Helvetica Neue"/>
          <w:i/>
          <w:iCs/>
        </w:rPr>
        <w:t>The Formation of National States in Western Europe</w:t>
      </w:r>
      <w:r>
        <w:rPr>
          <w:rFonts w:ascii="Helvetica Neue" w:hAnsi="Helvetica Neue"/>
        </w:rPr>
        <w:t xml:space="preserve">, ed. Charles Tilly (Princeton: </w:t>
      </w:r>
      <w:r w:rsidRPr="008A2841">
        <w:rPr>
          <w:rFonts w:ascii="Helvetica Neue" w:hAnsi="Helvetica Neue"/>
        </w:rPr>
        <w:t>Princeton</w:t>
      </w:r>
      <w:r>
        <w:rPr>
          <w:rFonts w:ascii="Helvetica Neue" w:hAnsi="Helvetica Neue"/>
        </w:rPr>
        <w:t xml:space="preserve"> University Press, 1975), e.g. p. 575 and Mann, </w:t>
      </w:r>
      <w:r>
        <w:rPr>
          <w:rFonts w:ascii="Helvetica Neue" w:hAnsi="Helvetica Neue"/>
          <w:i/>
          <w:iCs/>
        </w:rPr>
        <w:t>Sources of Social Power, vol. I, p. 412.</w:t>
      </w:r>
      <w:r>
        <w:rPr>
          <w:rFonts w:ascii="Helvetica Neue" w:eastAsia="Helvetica Neue" w:hAnsi="Helvetica Neue" w:cs="Helvetica Neue"/>
        </w:rPr>
        <w:tab/>
      </w:r>
    </w:p>
  </w:footnote>
  <w:footnote w:id="12">
    <w:p w:rsidR="001D0A78" w:rsidRDefault="001D0A78" w:rsidP="001D0A78">
      <w:pPr>
        <w:pStyle w:val="Footnote"/>
        <w:spacing w:line="288" w:lineRule="auto"/>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rPr>
        <w:t xml:space="preserve"> </w:t>
      </w:r>
      <w:r>
        <w:rPr>
          <w:rFonts w:ascii="Helvetica Neue" w:hAnsi="Helvetica Neue"/>
          <w:kern w:val="1"/>
        </w:rPr>
        <w:t xml:space="preserve">Tilly, "Reflections on the History of European State-Making," pp. 26-28 and Mann, </w:t>
      </w:r>
      <w:r>
        <w:rPr>
          <w:rFonts w:ascii="Helvetica Neue" w:hAnsi="Helvetica Neue"/>
          <w:i/>
          <w:iCs/>
          <w:kern w:val="1"/>
        </w:rPr>
        <w:t>Sources of Social Power, vol. I</w:t>
      </w:r>
      <w:r>
        <w:rPr>
          <w:rFonts w:ascii="Helvetica Neue" w:hAnsi="Helvetica Neue"/>
          <w:kern w:val="1"/>
        </w:rPr>
        <w:t>, pp. 475-490.</w:t>
      </w:r>
    </w:p>
  </w:footnote>
  <w:footnote w:id="13">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w:t>
      </w:r>
      <w:r w:rsidRPr="008A2841">
        <w:rPr>
          <w:rFonts w:ascii="Helvetica Neue" w:hAnsi="Helvetica Neue"/>
        </w:rPr>
        <w:t>Tilly, ibid.</w:t>
      </w:r>
    </w:p>
  </w:footnote>
  <w:footnote w:id="14">
    <w:p w:rsidR="001D0A78" w:rsidRDefault="001D0A78" w:rsidP="001D0A78">
      <w:pPr>
        <w:pStyle w:val="Footnote"/>
        <w:spacing w:line="288" w:lineRule="auto"/>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rPr>
        <w:t xml:space="preserve"> Joseph Strayer, </w:t>
      </w:r>
      <w:r>
        <w:rPr>
          <w:rFonts w:ascii="Helvetica Neue" w:hAnsi="Helvetica Neue"/>
          <w:i/>
          <w:iCs/>
        </w:rPr>
        <w:t>On the Medieval Origins of the Modern State</w:t>
      </w:r>
      <w:r>
        <w:rPr>
          <w:rFonts w:ascii="Helvetica Neue" w:hAnsi="Helvetica Neue"/>
        </w:rPr>
        <w:t xml:space="preserve"> (Princeton: Princeton University Press, 1970), p. 10 and Charles Tilly, "Reflections on the History of European State Making," in </w:t>
      </w:r>
      <w:r>
        <w:rPr>
          <w:rFonts w:ascii="Helvetica Neue" w:hAnsi="Helvetica Neue"/>
          <w:i/>
          <w:iCs/>
        </w:rPr>
        <w:t>The Formation of National States in Western Europe</w:t>
      </w:r>
      <w:r>
        <w:rPr>
          <w:rFonts w:ascii="Helvetica Neue" w:hAnsi="Helvetica Neue"/>
        </w:rPr>
        <w:t>, ed. Charles Tilly (Princeton: Princeton University Press, 1975), p. 27.</w:t>
      </w:r>
    </w:p>
  </w:footnote>
  <w:footnote w:id="15">
    <w:p w:rsidR="001D0A78" w:rsidRDefault="001D0A78" w:rsidP="001D0A78">
      <w:pPr>
        <w:pStyle w:val="Footnote"/>
        <w:spacing w:line="288" w:lineRule="auto"/>
      </w:pPr>
      <w:r>
        <w:rPr>
          <w:rFonts w:ascii="Helvetica Neue" w:eastAsia="Helvetica Neue" w:hAnsi="Helvetica Neue" w:cs="Helvetica Neue"/>
          <w:color w:val="16191F"/>
          <w:u w:color="16191F"/>
          <w:shd w:val="clear" w:color="auto" w:fill="FFFFFF"/>
          <w:vertAlign w:val="superscript"/>
        </w:rPr>
        <w:footnoteRef/>
      </w:r>
      <w:r w:rsidRPr="008A2841">
        <w:rPr>
          <w:rFonts w:ascii="Helvetica Neue" w:hAnsi="Helvetica Neue"/>
        </w:rPr>
        <w:t xml:space="preserve"> Tilly, </w:t>
      </w:r>
      <w:r>
        <w:rPr>
          <w:rFonts w:ascii="Helvetica Neue" w:hAnsi="Helvetica Neue"/>
          <w:kern w:val="1"/>
        </w:rPr>
        <w:t xml:space="preserve">"Reflections on the History of European State-Making," pp. 26-28 and Mann, </w:t>
      </w:r>
      <w:r>
        <w:rPr>
          <w:rFonts w:ascii="Helvetica Neue" w:hAnsi="Helvetica Neue"/>
          <w:i/>
          <w:iCs/>
          <w:kern w:val="1"/>
        </w:rPr>
        <w:t>Sources of Social Power</w:t>
      </w:r>
      <w:r w:rsidRPr="008A2841">
        <w:rPr>
          <w:rFonts w:ascii="Helvetica Neue" w:hAnsi="Helvetica Neue"/>
          <w:i/>
          <w:iCs/>
          <w:kern w:val="1"/>
        </w:rPr>
        <w:t>, vol. 1</w:t>
      </w:r>
      <w:r>
        <w:rPr>
          <w:rFonts w:ascii="Helvetica Neue" w:hAnsi="Helvetica Neue"/>
          <w:kern w:val="1"/>
        </w:rPr>
        <w:t>, pp. 475-490.</w:t>
      </w:r>
    </w:p>
  </w:footnote>
  <w:footnote w:id="16">
    <w:p w:rsidR="001D0A78" w:rsidRDefault="001D0A78" w:rsidP="001D0A78">
      <w:pPr>
        <w:pStyle w:val="Footnote"/>
        <w:spacing w:line="288" w:lineRule="auto"/>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rPr>
        <w:t xml:space="preserve"> </w:t>
      </w:r>
      <w:r>
        <w:rPr>
          <w:rFonts w:ascii="Helvetica Neue" w:hAnsi="Helvetica Neue"/>
          <w:kern w:val="1"/>
        </w:rPr>
        <w:t xml:space="preserve">See, e.g., Mark Greengrass, </w:t>
      </w:r>
      <w:r>
        <w:rPr>
          <w:rFonts w:ascii="Helvetica Neue" w:hAnsi="Helvetica Neue"/>
          <w:i/>
          <w:iCs/>
          <w:kern w:val="1"/>
        </w:rPr>
        <w:t>Christendom Destroyed: Europe 1517-1648</w:t>
      </w:r>
      <w:r>
        <w:rPr>
          <w:rFonts w:ascii="Helvetica Neue" w:hAnsi="Helvetica Neue"/>
          <w:kern w:val="1"/>
        </w:rPr>
        <w:t xml:space="preserve"> (London: Penguin, 2014), pp. 12-14.</w:t>
      </w:r>
    </w:p>
  </w:footnote>
  <w:footnote w:id="17">
    <w:p w:rsidR="001D0A78" w:rsidRDefault="001D0A78" w:rsidP="001D0A78">
      <w:pPr>
        <w:pStyle w:val="Footnote"/>
        <w:spacing w:line="288" w:lineRule="auto"/>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rPr>
        <w:t xml:space="preserve"> </w:t>
      </w:r>
      <w:r>
        <w:rPr>
          <w:rFonts w:ascii="Helvetica Neue" w:hAnsi="Helvetica Neue"/>
          <w:kern w:val="1"/>
        </w:rPr>
        <w:t xml:space="preserve">The Pope’s actual authority during this period and every period, must be considerably qualified, as papal power was constantly contested and contingent. See, e.g.: John W. O’Malley, </w:t>
      </w:r>
      <w:r>
        <w:rPr>
          <w:rFonts w:ascii="Helvetica Neue" w:hAnsi="Helvetica Neue"/>
          <w:i/>
          <w:iCs/>
          <w:kern w:val="1"/>
        </w:rPr>
        <w:t>A History of the Popes: From Peter to the Present</w:t>
      </w:r>
      <w:r>
        <w:rPr>
          <w:rFonts w:ascii="Helvetica Neue" w:hAnsi="Helvetica Neue"/>
          <w:kern w:val="1"/>
        </w:rPr>
        <w:t xml:space="preserve"> (Lanham, MD: Rowman and Littlefield, 2009).</w:t>
      </w:r>
    </w:p>
  </w:footnote>
  <w:footnote w:id="18">
    <w:p w:rsidR="001D0A78" w:rsidRDefault="001D0A78" w:rsidP="001D0A78">
      <w:pPr>
        <w:pStyle w:val="Footnote"/>
        <w:spacing w:line="288" w:lineRule="auto"/>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rPr>
        <w:t xml:space="preserve"> </w:t>
      </w:r>
      <w:r>
        <w:rPr>
          <w:rFonts w:ascii="Helvetica Neue" w:hAnsi="Helvetica Neue"/>
          <w:kern w:val="1"/>
        </w:rPr>
        <w:t xml:space="preserve">Mann, </w:t>
      </w:r>
      <w:r>
        <w:rPr>
          <w:rFonts w:ascii="Helvetica Neue" w:hAnsi="Helvetica Neue"/>
          <w:i/>
          <w:iCs/>
          <w:kern w:val="1"/>
        </w:rPr>
        <w:t>Sources of Social Power, vol. I</w:t>
      </w:r>
      <w:r>
        <w:rPr>
          <w:rFonts w:ascii="Helvetica Neue" w:hAnsi="Helvetica Neue"/>
          <w:kern w:val="1"/>
        </w:rPr>
        <w:t xml:space="preserve">, pp. 335-338. </w:t>
      </w:r>
    </w:p>
  </w:footnote>
  <w:footnote w:id="19">
    <w:p w:rsidR="001D0A78" w:rsidRPr="008A2841" w:rsidRDefault="001D0A78" w:rsidP="001D0A78">
      <w:pPr>
        <w:pStyle w:val="Footnote"/>
        <w:spacing w:line="288" w:lineRule="auto"/>
        <w:rPr>
          <w:lang w:val="de-AT"/>
        </w:rPr>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rPr>
        <w:t xml:space="preserve"> </w:t>
      </w:r>
      <w:r>
        <w:rPr>
          <w:rFonts w:ascii="Helvetica Neue" w:hAnsi="Helvetica Neue"/>
          <w:kern w:val="1"/>
        </w:rPr>
        <w:t xml:space="preserve">Francis Fukuyama, </w:t>
      </w:r>
      <w:r>
        <w:rPr>
          <w:rFonts w:ascii="Helvetica Neue" w:hAnsi="Helvetica Neue"/>
          <w:i/>
          <w:iCs/>
          <w:kern w:val="1"/>
        </w:rPr>
        <w:t>The Origins of Political Order: From Prehuman Times to the French Revolution</w:t>
      </w:r>
      <w:r>
        <w:rPr>
          <w:rFonts w:ascii="Helvetica Neue" w:hAnsi="Helvetica Neue"/>
          <w:kern w:val="1"/>
        </w:rPr>
        <w:t xml:space="preserve"> (London: Profile Books, 2012), pp. 264-268. In this sense, Fukuyama hints at his view of nation-states (“Denmark”) as the Hegelian end-point of political development, see the section on modernization theory below. Hedley Bull demonstrates the problem with a view like Fukuyama’s in that Mediaeval Christendom failed to create actual order and was, in fact, a quite violent and probably unpleasant place. See: Hedley Bull, </w:t>
      </w:r>
      <w:r>
        <w:rPr>
          <w:rFonts w:ascii="Helvetica Neue" w:hAnsi="Helvetica Neue"/>
          <w:i/>
          <w:iCs/>
          <w:kern w:val="1"/>
        </w:rPr>
        <w:t>The Anarchical Society: A Study of Order in World Politics</w:t>
      </w:r>
      <w:r>
        <w:rPr>
          <w:rFonts w:ascii="Helvetica Neue" w:hAnsi="Helvetica Neue"/>
          <w:kern w:val="1"/>
        </w:rPr>
        <w:t xml:space="preserve">, 3rd ed. </w:t>
      </w:r>
      <w:r w:rsidRPr="008A2841">
        <w:rPr>
          <w:rFonts w:ascii="Helvetica Neue" w:hAnsi="Helvetica Neue"/>
          <w:kern w:val="1"/>
          <w:lang w:val="de-AT"/>
        </w:rPr>
        <w:t>(New York: Palgrave, 2002), pp. 245-246.</w:t>
      </w:r>
    </w:p>
  </w:footnote>
  <w:footnote w:id="20">
    <w:p w:rsidR="001D0A78" w:rsidRDefault="001D0A78" w:rsidP="001D0A78">
      <w:pPr>
        <w:pStyle w:val="Footnote"/>
        <w:spacing w:line="288" w:lineRule="auto"/>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lang w:val="de-DE"/>
        </w:rPr>
        <w:t xml:space="preserve"> </w:t>
      </w:r>
      <w:r w:rsidRPr="008A2841">
        <w:rPr>
          <w:rFonts w:ascii="Helvetica Neue" w:hAnsi="Helvetica Neue"/>
          <w:kern w:val="1"/>
          <w:lang w:val="de-AT"/>
        </w:rPr>
        <w:t xml:space="preserve">Martin Luther, "Von weltlicher Obrigkeit, wie weit man ihr Gehorsam schuldig sei," in </w:t>
      </w:r>
      <w:r w:rsidRPr="008A2841">
        <w:rPr>
          <w:rFonts w:ascii="Helvetica Neue" w:hAnsi="Helvetica Neue"/>
          <w:i/>
          <w:iCs/>
          <w:kern w:val="1"/>
          <w:lang w:val="de-AT"/>
        </w:rPr>
        <w:t>Dr Martin Luthers Werke</w:t>
      </w:r>
      <w:r w:rsidRPr="008A2841">
        <w:rPr>
          <w:rFonts w:ascii="Helvetica Neue" w:hAnsi="Helvetica Neue"/>
          <w:kern w:val="1"/>
          <w:lang w:val="de-AT"/>
        </w:rPr>
        <w:t xml:space="preserve"> (Weimar: Böhlau, 1900),</w:t>
      </w:r>
      <w:r>
        <w:rPr>
          <w:rFonts w:ascii="Helvetica Neue" w:hAnsi="Helvetica Neue"/>
          <w:kern w:val="1"/>
          <w:lang w:val="de-DE"/>
        </w:rPr>
        <w:t xml:space="preserve"> Weimarer Ausgabe vol. 11,</w:t>
      </w:r>
      <w:r w:rsidRPr="008A2841">
        <w:rPr>
          <w:rFonts w:ascii="Helvetica Neue" w:hAnsi="Helvetica Neue"/>
          <w:kern w:val="1"/>
          <w:lang w:val="de-AT"/>
        </w:rPr>
        <w:t xml:space="preserve"> pp. 250-252.</w:t>
      </w:r>
      <w:r>
        <w:rPr>
          <w:rFonts w:ascii="Helvetica Neue" w:hAnsi="Helvetica Neue"/>
          <w:kern w:val="1"/>
          <w:lang w:val="de-DE"/>
        </w:rPr>
        <w:t xml:space="preserve"> </w:t>
      </w:r>
      <w:r w:rsidRPr="008A2841">
        <w:rPr>
          <w:rFonts w:ascii="Helvetica Neue" w:hAnsi="Helvetica Neue"/>
          <w:kern w:val="1"/>
        </w:rPr>
        <w:t>See also:</w:t>
      </w:r>
      <w:r>
        <w:rPr>
          <w:rFonts w:ascii="Helvetica Neue" w:hAnsi="Helvetica Neue"/>
        </w:rPr>
        <w:t xml:space="preserve"> S</w:t>
      </w:r>
      <w:r>
        <w:rPr>
          <w:rFonts w:ascii="Helvetica Neue" w:hAnsi="Helvetica Neue"/>
          <w:lang w:val="da-DK"/>
        </w:rPr>
        <w:t>ø</w:t>
      </w:r>
      <w:r>
        <w:rPr>
          <w:rFonts w:ascii="Helvetica Neue" w:hAnsi="Helvetica Neue"/>
        </w:rPr>
        <w:t>ren</w:t>
      </w:r>
      <w:r w:rsidRPr="008A2841">
        <w:rPr>
          <w:rFonts w:ascii="Helvetica Neue" w:hAnsi="Helvetica Neue"/>
        </w:rPr>
        <w:t xml:space="preserve"> </w:t>
      </w:r>
      <w:r>
        <w:rPr>
          <w:rFonts w:ascii="Helvetica Neue" w:hAnsi="Helvetica Neue"/>
          <w:lang w:val="da-DK"/>
        </w:rPr>
        <w:t>Kierkegaard</w:t>
      </w:r>
      <w:r w:rsidRPr="008A2841">
        <w:rPr>
          <w:rFonts w:ascii="Helvetica Neue" w:hAnsi="Helvetica Neue"/>
        </w:rPr>
        <w:t>.</w:t>
      </w:r>
      <w:r>
        <w:rPr>
          <w:rFonts w:ascii="Helvetica Neue" w:hAnsi="Helvetica Neue"/>
        </w:rPr>
        <w:t xml:space="preserve"> </w:t>
      </w:r>
      <w:r>
        <w:rPr>
          <w:rFonts w:ascii="Helvetica Neue" w:hAnsi="Helvetica Neue"/>
          <w:i/>
          <w:iCs/>
        </w:rPr>
        <w:t>Practice in Christianity</w:t>
      </w:r>
      <w:r>
        <w:rPr>
          <w:rFonts w:ascii="Helvetica Neue" w:hAnsi="Helvetica Neue"/>
        </w:rPr>
        <w:t>. Translated by Howard V. Hong and Edna H. Hong. Kierkegaard’s Writings, vol. 20. Princeton: Princeton University Press, 1991</w:t>
      </w:r>
      <w:r w:rsidRPr="008A2841">
        <w:rPr>
          <w:rFonts w:ascii="Helvetica Neue" w:hAnsi="Helvetica Neue"/>
        </w:rPr>
        <w:t>, p. 68.</w:t>
      </w:r>
    </w:p>
  </w:footnote>
  <w:footnote w:id="21">
    <w:p w:rsidR="001D0A78" w:rsidRDefault="001D0A78" w:rsidP="001D0A78">
      <w:pPr>
        <w:pStyle w:val="Footnote"/>
        <w:spacing w:line="288" w:lineRule="auto"/>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rPr>
        <w:t xml:space="preserve"> </w:t>
      </w:r>
      <w:r>
        <w:rPr>
          <w:rFonts w:ascii="Helvetica Neue" w:hAnsi="Helvetica Neue"/>
          <w:kern w:val="1"/>
        </w:rPr>
        <w:t xml:space="preserve">Ibid., p. 265. Luther is referring in this section to Romans 13 (NASB) “Every person is to be in subjection to the governing authorities. For there is no authority except from God, and those which exist are established by God...” On the fuzziness of this boundary see: Benjamin J. Kaplan, </w:t>
      </w:r>
      <w:r>
        <w:rPr>
          <w:rFonts w:ascii="Helvetica Neue" w:hAnsi="Helvetica Neue"/>
          <w:i/>
          <w:iCs/>
          <w:kern w:val="1"/>
        </w:rPr>
        <w:t>Divided by Faith: Religious Conflict and the Practice of Toleration in Early Modern Europe</w:t>
      </w:r>
      <w:r>
        <w:rPr>
          <w:rFonts w:ascii="Helvetica Neue" w:hAnsi="Helvetica Neue"/>
          <w:kern w:val="1"/>
        </w:rPr>
        <w:t xml:space="preserve"> (Cambridge, MA: Harvard University Press, 2010), pp. 17-18, and Mann, </w:t>
      </w:r>
      <w:r>
        <w:rPr>
          <w:rFonts w:ascii="Helvetica Neue" w:hAnsi="Helvetica Neue"/>
          <w:i/>
          <w:iCs/>
          <w:kern w:val="1"/>
        </w:rPr>
        <w:t>Sources of Social Power, vol. I</w:t>
      </w:r>
      <w:r>
        <w:rPr>
          <w:rFonts w:ascii="Helvetica Neue" w:hAnsi="Helvetica Neue"/>
          <w:kern w:val="1"/>
        </w:rPr>
        <w:t xml:space="preserve">, p. 467, see also: Alexandra Walsham, "Migrations of the Holy: Explaining Religious Change in Medieval and Early Modern Europe," </w:t>
      </w:r>
      <w:r>
        <w:rPr>
          <w:rFonts w:ascii="Helvetica Neue" w:hAnsi="Helvetica Neue"/>
          <w:i/>
          <w:iCs/>
          <w:kern w:val="1"/>
        </w:rPr>
        <w:t>Journal of Medieval and Early Modern Studies</w:t>
      </w:r>
      <w:r>
        <w:rPr>
          <w:rFonts w:ascii="Helvetica Neue" w:hAnsi="Helvetica Neue"/>
          <w:kern w:val="1"/>
        </w:rPr>
        <w:t xml:space="preserve"> 44, no. 2 (2014).</w:t>
      </w:r>
    </w:p>
  </w:footnote>
  <w:footnote w:id="22">
    <w:p w:rsidR="001D0A78" w:rsidRDefault="001D0A78" w:rsidP="001D0A78">
      <w:pPr>
        <w:pStyle w:val="Footnote"/>
        <w:spacing w:line="288" w:lineRule="auto"/>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rPr>
        <w:t xml:space="preserve"> </w:t>
      </w:r>
      <w:r>
        <w:rPr>
          <w:rFonts w:ascii="Helvetica Neue" w:hAnsi="Helvetica Neue"/>
          <w:kern w:val="1"/>
        </w:rPr>
        <w:t xml:space="preserve">Peter H. Wilson, "Dynasty, Constitution, and Confession: The Role of Religion in the Thirty Years War," </w:t>
      </w:r>
      <w:r>
        <w:rPr>
          <w:rFonts w:ascii="Helvetica Neue" w:hAnsi="Helvetica Neue"/>
          <w:i/>
          <w:iCs/>
          <w:kern w:val="1"/>
        </w:rPr>
        <w:t>The International History Review</w:t>
      </w:r>
      <w:r>
        <w:rPr>
          <w:rFonts w:ascii="Helvetica Neue" w:hAnsi="Helvetica Neue"/>
          <w:kern w:val="1"/>
        </w:rPr>
        <w:t xml:space="preserve"> 30, no. 3 (2008)</w:t>
      </w:r>
    </w:p>
  </w:footnote>
  <w:footnote w:id="23">
    <w:p w:rsidR="001D0A78" w:rsidRDefault="001D0A78" w:rsidP="001D0A78">
      <w:pPr>
        <w:pStyle w:val="Footnote"/>
        <w:spacing w:line="288" w:lineRule="auto"/>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rPr>
        <w:t xml:space="preserve"> </w:t>
      </w:r>
      <w:r>
        <w:rPr>
          <w:rFonts w:ascii="Helvetica Neue" w:hAnsi="Helvetica Neue"/>
          <w:kern w:val="1"/>
        </w:rPr>
        <w:t xml:space="preserve">For the formulation, I am indebted to a lecture James Sheehan gave on the topic. See: James J. Sheehan, "The Problem of Sovereignty in European History," </w:t>
      </w:r>
      <w:r>
        <w:rPr>
          <w:rFonts w:ascii="Helvetica Neue" w:hAnsi="Helvetica Neue"/>
          <w:i/>
          <w:iCs/>
          <w:kern w:val="1"/>
        </w:rPr>
        <w:t>The American Historical Review</w:t>
      </w:r>
      <w:r>
        <w:rPr>
          <w:rFonts w:ascii="Helvetica Neue" w:hAnsi="Helvetica Neue"/>
          <w:kern w:val="1"/>
        </w:rPr>
        <w:t xml:space="preserve"> 111, no. 1 (2006): p. 2.</w:t>
      </w:r>
    </w:p>
  </w:footnote>
  <w:footnote w:id="24">
    <w:p w:rsidR="001D0A78" w:rsidRDefault="001D0A78" w:rsidP="001D0A78">
      <w:pPr>
        <w:pStyle w:val="Footnote"/>
        <w:spacing w:line="288" w:lineRule="auto"/>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rPr>
        <w:t xml:space="preserve"> </w:t>
      </w:r>
      <w:r>
        <w:rPr>
          <w:rFonts w:ascii="Helvetica Neue" w:hAnsi="Helvetica Neue"/>
          <w:kern w:val="1"/>
        </w:rPr>
        <w:t>Ibid.</w:t>
      </w:r>
    </w:p>
  </w:footnote>
  <w:footnote w:id="25">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See: Max Weber, "Politics as a Vocation," in </w:t>
      </w:r>
      <w:r>
        <w:rPr>
          <w:rFonts w:ascii="Helvetica Neue" w:hAnsi="Helvetica Neue"/>
          <w:i/>
          <w:iCs/>
        </w:rPr>
        <w:t>From Max Weber: Essays in Sociology</w:t>
      </w:r>
      <w:r>
        <w:rPr>
          <w:rFonts w:ascii="Helvetica Neue" w:hAnsi="Helvetica Neue"/>
        </w:rPr>
        <w:t xml:space="preserve"> (New York: Oxford University Press, 1946), p. 78.</w:t>
      </w:r>
    </w:p>
  </w:footnote>
  <w:footnote w:id="26">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Charles Tilly, "War Making and State Making as Organized Crime," in </w:t>
      </w:r>
      <w:r>
        <w:rPr>
          <w:rFonts w:ascii="Helvetica Neue" w:hAnsi="Helvetica Neue"/>
          <w:i/>
          <w:iCs/>
        </w:rPr>
        <w:t>Bringing the State Back In</w:t>
      </w:r>
      <w:r>
        <w:rPr>
          <w:rFonts w:ascii="Helvetica Neue" w:hAnsi="Helvetica Neue"/>
        </w:rPr>
        <w:t>, ed. Peter Evans, Dietrich Rueschemeyer, and Theda Skocpol (New York: Cambridge University Press, 1985)</w:t>
      </w:r>
    </w:p>
  </w:footnote>
  <w:footnote w:id="27">
    <w:p w:rsidR="001D0A78" w:rsidRDefault="001D0A78" w:rsidP="001D0A78">
      <w:pPr>
        <w:pStyle w:val="Footnote"/>
        <w:spacing w:line="288" w:lineRule="auto"/>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rPr>
        <w:t xml:space="preserve"> </w:t>
      </w:r>
      <w:r>
        <w:rPr>
          <w:rFonts w:ascii="Helvetica Neue" w:hAnsi="Helvetica Neue"/>
          <w:kern w:val="1"/>
        </w:rPr>
        <w:t xml:space="preserve">Nils Gilman, </w:t>
      </w:r>
      <w:r>
        <w:rPr>
          <w:rFonts w:ascii="Helvetica Neue" w:hAnsi="Helvetica Neue"/>
          <w:i/>
          <w:iCs/>
          <w:kern w:val="1"/>
        </w:rPr>
        <w:t>Mandarins of the Future: Modernization Theory in Cold War America</w:t>
      </w:r>
      <w:r>
        <w:rPr>
          <w:rFonts w:ascii="Helvetica Neue" w:hAnsi="Helvetica Neue"/>
          <w:kern w:val="1"/>
        </w:rPr>
        <w:t xml:space="preserve"> (Baltimore: Johns Hopkins University Press, 2004), pp. 198-202.</w:t>
      </w:r>
    </w:p>
  </w:footnote>
  <w:footnote w:id="28">
    <w:p w:rsidR="001D0A78" w:rsidRDefault="001D0A78" w:rsidP="001D0A78">
      <w:pPr>
        <w:pStyle w:val="Footnote"/>
        <w:spacing w:line="288" w:lineRule="auto"/>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rPr>
        <w:t xml:space="preserve"> I specifically refer to ideal types, because this can be qualified to the point of meaninglessness. For an example of where states placed sovereign temporal power over spiritual claims to authority, consider Henry VIII’s abolition and sale of monasteries or the establishment of the monarch as the head of the Church in England under Elizabeth. On this question, see: Jerry F. Hough and Robin Grier, </w:t>
      </w:r>
      <w:r>
        <w:rPr>
          <w:rFonts w:ascii="Helvetica Neue" w:hAnsi="Helvetica Neue"/>
          <w:i/>
          <w:iCs/>
        </w:rPr>
        <w:t>The Long Process of Development: Building Markets and States in Pre-industrial England, Spain and their Colonies</w:t>
      </w:r>
      <w:r>
        <w:rPr>
          <w:rFonts w:ascii="Helvetica Neue" w:hAnsi="Helvetica Neue"/>
        </w:rPr>
        <w:t xml:space="preserve"> (New York: Cambridge University Press, 2015), pp. 144-149. This definition of states and state-making is synthesized from Tilly, "Reflections on the History of European State-Making," Mann, </w:t>
      </w:r>
      <w:r>
        <w:rPr>
          <w:rFonts w:ascii="Helvetica Neue" w:hAnsi="Helvetica Neue"/>
          <w:i/>
          <w:iCs/>
        </w:rPr>
        <w:t>Sources of Social Power, vol. I, pp. 373-500,</w:t>
      </w:r>
      <w:r>
        <w:rPr>
          <w:rFonts w:ascii="Helvetica Neue" w:hAnsi="Helvetica Neue"/>
        </w:rPr>
        <w:t xml:space="preserve"> Thomas Ertman, </w:t>
      </w:r>
      <w:r>
        <w:rPr>
          <w:rFonts w:ascii="Helvetica Neue" w:hAnsi="Helvetica Neue"/>
          <w:i/>
          <w:iCs/>
        </w:rPr>
        <w:t>Birth of the Leviathan: Building States and Regimes in Medieval and Early Modern Europe</w:t>
      </w:r>
      <w:r>
        <w:rPr>
          <w:rFonts w:ascii="Helvetica Neue" w:hAnsi="Helvetica Neue"/>
        </w:rPr>
        <w:t xml:space="preserve"> (New York: Cambridge University Press, 1997), especially pp. 6-34, and </w:t>
      </w:r>
      <w:r>
        <w:rPr>
          <w:rFonts w:ascii="Helvetica Neue" w:hAnsi="Helvetica Neue"/>
          <w:kern w:val="1"/>
        </w:rPr>
        <w:t xml:space="preserve">Youssef Cohen, Brian R. Brown, and A. F. K. Organski, "The Paradoxical Nature of State Making: The Violent Creation of Order," </w:t>
      </w:r>
      <w:r>
        <w:rPr>
          <w:rFonts w:ascii="Helvetica Neue" w:hAnsi="Helvetica Neue"/>
          <w:i/>
          <w:iCs/>
          <w:kern w:val="1"/>
        </w:rPr>
        <w:t>The American Political Science Review</w:t>
      </w:r>
      <w:r>
        <w:rPr>
          <w:rFonts w:ascii="Helvetica Neue" w:hAnsi="Helvetica Neue"/>
          <w:kern w:val="1"/>
        </w:rPr>
        <w:t xml:space="preserve"> 75, no. 4 (1981).</w:t>
      </w:r>
    </w:p>
  </w:footnote>
  <w:footnote w:id="29">
    <w:p w:rsidR="001D0A78" w:rsidRDefault="001D0A78" w:rsidP="001D0A78">
      <w:pPr>
        <w:pStyle w:val="Footnote"/>
        <w:spacing w:line="288" w:lineRule="auto"/>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rPr>
        <w:t xml:space="preserve"> Frank Tallett, </w:t>
      </w:r>
      <w:r>
        <w:rPr>
          <w:rFonts w:ascii="Helvetica Neue" w:hAnsi="Helvetica Neue"/>
          <w:i/>
          <w:iCs/>
        </w:rPr>
        <w:t>War and Society in Early Modern Europe, 1495-1715</w:t>
      </w:r>
      <w:r>
        <w:rPr>
          <w:rFonts w:ascii="Helvetica Neue" w:hAnsi="Helvetica Neue"/>
        </w:rPr>
        <w:t xml:space="preserve"> (New York: Routledge, 1992), pp. 193-198.</w:t>
      </w:r>
    </w:p>
  </w:footnote>
  <w:footnote w:id="30">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On conflicting theories of the Thirty Years War, see: Cornel Zwierlein, "The Thirty Years’ War – A Religious War? Religion and Machiavellism at the Turning Point of 1635," in </w:t>
      </w:r>
      <w:r>
        <w:rPr>
          <w:rFonts w:ascii="Helvetica Neue" w:hAnsi="Helvetica Neue"/>
          <w:i/>
          <w:iCs/>
        </w:rPr>
        <w:t>The Ashgate Research Companion to the Thirty Years' War</w:t>
      </w:r>
      <w:r>
        <w:rPr>
          <w:rFonts w:ascii="Helvetica Neue" w:hAnsi="Helvetica Neue"/>
        </w:rPr>
        <w:t xml:space="preserve"> (New York: Routledge, 2016), pp. 241-242</w:t>
      </w:r>
      <w:r w:rsidRPr="008A2841">
        <w:rPr>
          <w:rFonts w:ascii="Helvetica Neue" w:hAnsi="Helvetica Neue"/>
        </w:rPr>
        <w:t>;</w:t>
      </w:r>
      <w:r>
        <w:rPr>
          <w:rFonts w:ascii="Helvetica Neue" w:hAnsi="Helvetica Neue"/>
        </w:rPr>
        <w:t xml:space="preserve"> Peter H. Wilson, "The Causes of the Thirty Years War 1618-1648," </w:t>
      </w:r>
      <w:r>
        <w:rPr>
          <w:rFonts w:ascii="Helvetica Neue" w:hAnsi="Helvetica Neue"/>
          <w:i/>
          <w:iCs/>
        </w:rPr>
        <w:t>The English Historical Review</w:t>
      </w:r>
      <w:r>
        <w:rPr>
          <w:rFonts w:ascii="Helvetica Neue" w:hAnsi="Helvetica Neue"/>
        </w:rPr>
        <w:t xml:space="preserve"> 123, no. 502 (2008);</w:t>
      </w:r>
      <w:r w:rsidRPr="008A2841">
        <w:rPr>
          <w:rFonts w:ascii="Helvetica Neue" w:hAnsi="Helvetica Neue"/>
        </w:rPr>
        <w:t xml:space="preserve"> and Peter H. Wilson,</w:t>
      </w:r>
      <w:r>
        <w:rPr>
          <w:rFonts w:ascii="Helvetica Neue" w:hAnsi="Helvetica Neue"/>
        </w:rPr>
        <w:t xml:space="preserve"> "Dynasty, Constitution, and Confession: The Role of Religion in the Thirty Years War,</w:t>
      </w:r>
      <w:r w:rsidRPr="008A2841">
        <w:rPr>
          <w:rFonts w:ascii="Helvetica Neue" w:hAnsi="Helvetica Neue"/>
        </w:rPr>
        <w:t xml:space="preserve">” </w:t>
      </w:r>
      <w:r w:rsidRPr="008A2841">
        <w:rPr>
          <w:rFonts w:ascii="Helvetica Neue" w:hAnsi="Helvetica Neue"/>
          <w:i/>
          <w:iCs/>
        </w:rPr>
        <w:t xml:space="preserve">The International History Review </w:t>
      </w:r>
      <w:r w:rsidRPr="008A2841">
        <w:rPr>
          <w:rFonts w:ascii="Helvetica Neue" w:hAnsi="Helvetica Neue"/>
        </w:rPr>
        <w:t>30, no. 3 (2008).</w:t>
      </w:r>
      <w:r>
        <w:rPr>
          <w:rFonts w:ascii="Helvetica Neue" w:hAnsi="Helvetica Neue"/>
        </w:rPr>
        <w:t xml:space="preserve"> For criticism of the General Crisis theory and of the exclusively </w:t>
      </w:r>
      <w:r w:rsidRPr="008A2841">
        <w:rPr>
          <w:rFonts w:ascii="Helvetica Neue" w:hAnsi="Helvetica Neue"/>
        </w:rPr>
        <w:t>religious</w:t>
      </w:r>
      <w:r>
        <w:rPr>
          <w:rFonts w:ascii="Helvetica Neue" w:hAnsi="Helvetica Neue"/>
        </w:rPr>
        <w:t xml:space="preserve"> theory, see: </w:t>
      </w:r>
      <w:r>
        <w:rPr>
          <w:rFonts w:ascii="Helvetica Neue" w:hAnsi="Helvetica Neue"/>
          <w:shd w:val="clear" w:color="auto" w:fill="FFFFFF"/>
        </w:rPr>
        <w:t xml:space="preserve">Niels Steensgaard, "The Seventeenth-Century Crisis," in </w:t>
      </w:r>
      <w:r>
        <w:rPr>
          <w:rFonts w:ascii="Helvetica Neue" w:hAnsi="Helvetica Neue"/>
          <w:i/>
          <w:iCs/>
          <w:shd w:val="clear" w:color="auto" w:fill="FFFFFF"/>
        </w:rPr>
        <w:t>The General Crisis of the Seventeenth Century</w:t>
      </w:r>
      <w:r>
        <w:rPr>
          <w:rFonts w:ascii="Helvetica Neue" w:hAnsi="Helvetica Neue"/>
          <w:shd w:val="clear" w:color="auto" w:fill="FFFFFF"/>
        </w:rPr>
        <w:t>, ed. Geoffrey Parker and Lesley M. Smith (Second ed. New York: Routledge, 1997), pp. 36-39.</w:t>
      </w:r>
    </w:p>
  </w:footnote>
  <w:footnote w:id="31">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On the understanding of local lords as “veto-players” see: Mauricio Drelichman and Hans-Joachim Voth, </w:t>
      </w:r>
      <w:r>
        <w:rPr>
          <w:rFonts w:ascii="Helvetica Neue" w:hAnsi="Helvetica Neue"/>
          <w:i/>
          <w:iCs/>
        </w:rPr>
        <w:t>Lending to the Borrower from Hell: Debt, Taxes, and Default in the Age of Philip II</w:t>
      </w:r>
      <w:r>
        <w:rPr>
          <w:rFonts w:ascii="Helvetica Neue" w:hAnsi="Helvetica Neue"/>
        </w:rPr>
        <w:t xml:space="preserve"> (Princeton: Princeton University Press, 2014), p. 276.</w:t>
      </w:r>
    </w:p>
  </w:footnote>
  <w:footnote w:id="32">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Karin J. MacHardy, "The Rise of Absolutism and Noble Rebellion in Early Modern Habsburg Austria, 1570 to 1620," </w:t>
      </w:r>
      <w:r>
        <w:rPr>
          <w:rFonts w:ascii="Helvetica Neue" w:hAnsi="Helvetica Neue"/>
          <w:i/>
          <w:iCs/>
        </w:rPr>
        <w:t>Comparative Studies in Society and History</w:t>
      </w:r>
      <w:r>
        <w:rPr>
          <w:rFonts w:ascii="Helvetica Neue" w:hAnsi="Helvetica Neue"/>
        </w:rPr>
        <w:t xml:space="preserve"> 34, no. 3 (1992) and Wilson, "The Causes of the Thirty Years War 1618-1648</w:t>
      </w:r>
      <w:r w:rsidRPr="008A2841">
        <w:rPr>
          <w:rFonts w:ascii="Helvetica Neue" w:hAnsi="Helvetica Neue"/>
        </w:rPr>
        <w:t>.”</w:t>
      </w:r>
    </w:p>
  </w:footnote>
  <w:footnote w:id="33">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Jan de Vries, "The Economic Crisis of the Seventeenth Century after Fifty Years," </w:t>
      </w:r>
      <w:r>
        <w:rPr>
          <w:rFonts w:ascii="Helvetica Neue" w:hAnsi="Helvetica Neue"/>
          <w:i/>
          <w:iCs/>
        </w:rPr>
        <w:t>Journal of Interdisciplinary History,</w:t>
      </w:r>
      <w:r>
        <w:rPr>
          <w:rFonts w:ascii="Helvetica Neue" w:hAnsi="Helvetica Neue"/>
        </w:rPr>
        <w:t xml:space="preserve"> 40, no. 2 (2009): pp. 170-171 and Steensgaard, "The Seventeenth-Century Crisis," pp. 44-49.</w:t>
      </w:r>
    </w:p>
  </w:footnote>
  <w:footnote w:id="34">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Charles Phineas Sherman, </w:t>
      </w:r>
      <w:r>
        <w:rPr>
          <w:rFonts w:ascii="Helvetica Neue" w:hAnsi="Helvetica Neue"/>
          <w:i/>
          <w:iCs/>
        </w:rPr>
        <w:t>Roman Law in the Modern World</w:t>
      </w:r>
      <w:r>
        <w:rPr>
          <w:rFonts w:ascii="Helvetica Neue" w:hAnsi="Helvetica Neue"/>
        </w:rPr>
        <w:t>, vol. 1 (New Haven: New Haven Law Book Company, 1922), pp. 222-224</w:t>
      </w:r>
    </w:p>
  </w:footnote>
  <w:footnote w:id="35">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MacHardy, "The Rise of Absolutism and Noble Rebellion in Early Modern Habsburg Austria, 1570 to 1620," p. 424-427, and Henry Fredrick Schwarz, </w:t>
      </w:r>
      <w:r>
        <w:rPr>
          <w:rFonts w:ascii="Helvetica Neue" w:hAnsi="Helvetica Neue"/>
          <w:i/>
          <w:iCs/>
        </w:rPr>
        <w:t>The Imperial Privy Council in the Seventeenth Century</w:t>
      </w:r>
      <w:r>
        <w:rPr>
          <w:rFonts w:ascii="Helvetica Neue" w:hAnsi="Helvetica Neue"/>
        </w:rPr>
        <w:t xml:space="preserve"> (Cambridge: Harvard University Press, 1942), pp. 66-75.</w:t>
      </w:r>
    </w:p>
  </w:footnote>
  <w:footnote w:id="36">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lang w:val="de-DE"/>
        </w:rPr>
        <w:t xml:space="preserve"> </w:t>
      </w:r>
      <w:r w:rsidRPr="008A2841">
        <w:rPr>
          <w:rFonts w:ascii="Helvetica Neue" w:hAnsi="Helvetica Neue"/>
          <w:lang w:val="de-AT"/>
        </w:rPr>
        <w:t xml:space="preserve">Johannes Burkhardt, "Die Friedlosigkeit der frühen Neuzeit: Grundlegung einer Theorie der Bellizität," </w:t>
      </w:r>
      <w:r w:rsidRPr="008A2841">
        <w:rPr>
          <w:rFonts w:ascii="Helvetica Neue" w:hAnsi="Helvetica Neue"/>
          <w:i/>
          <w:iCs/>
          <w:lang w:val="de-AT"/>
        </w:rPr>
        <w:t>Zeitscrhift für Historische Forschung</w:t>
      </w:r>
      <w:r w:rsidRPr="008A2841">
        <w:rPr>
          <w:rFonts w:ascii="Helvetica Neue" w:hAnsi="Helvetica Neue"/>
          <w:lang w:val="de-AT"/>
        </w:rPr>
        <w:t xml:space="preserve"> 24, no. 4 (1997)</w:t>
      </w:r>
      <w:r>
        <w:rPr>
          <w:rFonts w:ascii="Helvetica Neue" w:hAnsi="Helvetica Neue"/>
          <w:lang w:val="de-DE"/>
        </w:rPr>
        <w:t xml:space="preserve"> and </w:t>
      </w:r>
      <w:r w:rsidRPr="008A2841">
        <w:rPr>
          <w:rFonts w:ascii="Helvetica Neue" w:hAnsi="Helvetica Neue"/>
          <w:lang w:val="de-AT"/>
        </w:rPr>
        <w:t xml:space="preserve">"The Thirty Years’ War," in </w:t>
      </w:r>
      <w:r w:rsidRPr="008A2841">
        <w:rPr>
          <w:rFonts w:ascii="Helvetica Neue" w:hAnsi="Helvetica Neue"/>
          <w:i/>
          <w:iCs/>
          <w:lang w:val="de-AT"/>
        </w:rPr>
        <w:t>A Companion to the Reformation World</w:t>
      </w:r>
      <w:r w:rsidRPr="008A2841">
        <w:rPr>
          <w:rFonts w:ascii="Helvetica Neue" w:hAnsi="Helvetica Neue"/>
          <w:lang w:val="de-AT"/>
        </w:rPr>
        <w:t xml:space="preserve">, ed. </w:t>
      </w:r>
      <w:r>
        <w:rPr>
          <w:rFonts w:ascii="Helvetica Neue" w:hAnsi="Helvetica Neue"/>
        </w:rPr>
        <w:t>R. Po-Chia Hsia (Malden, MA: Blackwell Publishing, 2008), pp. 277-281.</w:t>
      </w:r>
    </w:p>
  </w:footnote>
  <w:footnote w:id="37">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Joachim Whaley, </w:t>
      </w:r>
      <w:r>
        <w:rPr>
          <w:rFonts w:ascii="Helvetica Neue" w:hAnsi="Helvetica Neue"/>
          <w:i/>
          <w:iCs/>
        </w:rPr>
        <w:t>Germany and the Holy Roman Empire: From Maximilian I to the Peace of Westphalia</w:t>
      </w:r>
      <w:r>
        <w:rPr>
          <w:rFonts w:ascii="Helvetica Neue" w:hAnsi="Helvetica Neue"/>
        </w:rPr>
        <w:t>, 2 vols., vol. 1 (New York: Oxford University Press, 2012), pp. 573-575 and Burkhardt, "The Thirty Years’ War," pp. 277-281.</w:t>
      </w:r>
    </w:p>
  </w:footnote>
  <w:footnote w:id="38">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Ibid.</w:t>
      </w:r>
    </w:p>
  </w:footnote>
  <w:footnote w:id="39">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Burkhardt, "The Thirty Years’ War," pp. 277-281, de Vries, "The Economic Crisis of the Seventeenth Century after Fifty Years," pp. 170-171, and Steensgaard, "The Seventeenth-Century Crisis," pp. 45-49.</w:t>
      </w:r>
    </w:p>
  </w:footnote>
  <w:footnote w:id="40">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Robert Bireley, </w:t>
      </w:r>
      <w:r>
        <w:rPr>
          <w:rFonts w:ascii="Helvetica Neue" w:hAnsi="Helvetica Neue"/>
          <w:i/>
          <w:iCs/>
        </w:rPr>
        <w:t>Ferdinand II, Counter-Reformation Emperor, 1578-1637</w:t>
      </w:r>
      <w:r>
        <w:rPr>
          <w:rFonts w:ascii="Helvetica Neue" w:hAnsi="Helvetica Neue"/>
        </w:rPr>
        <w:t xml:space="preserve"> (New York: Cambridge University Press, 2014), pp. 135-136.</w:t>
      </w:r>
    </w:p>
  </w:footnote>
  <w:footnote w:id="41">
    <w:p w:rsidR="001D0A78" w:rsidRPr="008A2841" w:rsidRDefault="001D0A78" w:rsidP="001D0A78">
      <w:pPr>
        <w:pStyle w:val="Footnote"/>
        <w:spacing w:line="288" w:lineRule="auto"/>
        <w:rPr>
          <w:lang w:val="de-AT"/>
        </w:rPr>
      </w:pPr>
      <w:r>
        <w:rPr>
          <w:rFonts w:ascii="Helvetica Neue" w:eastAsia="Helvetica Neue" w:hAnsi="Helvetica Neue" w:cs="Helvetica Neue"/>
          <w:kern w:val="1"/>
          <w:vertAlign w:val="superscript"/>
          <w:lang w:val="de-DE"/>
        </w:rPr>
        <w:footnoteRef/>
      </w:r>
      <w:r>
        <w:rPr>
          <w:rFonts w:ascii="Helvetica Neue" w:hAnsi="Helvetica Neue"/>
          <w:lang w:val="de-DE"/>
        </w:rPr>
        <w:t xml:space="preserve"> The Austrian lands in question being Lower Austria (</w:t>
      </w:r>
      <w:r>
        <w:rPr>
          <w:rFonts w:ascii="Helvetica Neue" w:hAnsi="Helvetica Neue"/>
          <w:i/>
          <w:iCs/>
          <w:lang w:val="de-DE"/>
        </w:rPr>
        <w:t>Österreich unter der Enns</w:t>
      </w:r>
      <w:r>
        <w:rPr>
          <w:rFonts w:ascii="Helvetica Neue" w:hAnsi="Helvetica Neue"/>
          <w:lang w:val="de-DE"/>
        </w:rPr>
        <w:t>) and Upper Austria (</w:t>
      </w:r>
      <w:r>
        <w:rPr>
          <w:rFonts w:ascii="Helvetica Neue" w:hAnsi="Helvetica Neue"/>
          <w:i/>
          <w:iCs/>
          <w:lang w:val="de-DE"/>
        </w:rPr>
        <w:t>Österreich ob der Enns</w:t>
      </w:r>
      <w:r>
        <w:rPr>
          <w:rFonts w:ascii="Helvetica Neue" w:hAnsi="Helvetica Neue"/>
          <w:lang w:val="de-DE"/>
        </w:rPr>
        <w:t>).</w:t>
      </w:r>
    </w:p>
  </w:footnote>
  <w:footnote w:id="42">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Michael Hochedlinger, </w:t>
      </w:r>
      <w:r>
        <w:rPr>
          <w:rFonts w:ascii="Helvetica Neue" w:hAnsi="Helvetica Neue"/>
          <w:i/>
          <w:iCs/>
        </w:rPr>
        <w:t>Austria's Wars of Emergence: War, State and Society in the Habsburg Monarchy, 1683-1797</w:t>
      </w:r>
      <w:r>
        <w:rPr>
          <w:rFonts w:ascii="Helvetica Neue" w:hAnsi="Helvetica Neue"/>
        </w:rPr>
        <w:t xml:space="preserve"> (New York: Longman, 2003), p. 29 and Bireley, </w:t>
      </w:r>
      <w:r>
        <w:rPr>
          <w:rFonts w:ascii="Helvetica Neue" w:hAnsi="Helvetica Neue"/>
          <w:i/>
          <w:iCs/>
        </w:rPr>
        <w:t>Ferdinand II, Counter-Reformation Emperor, 1578-1637</w:t>
      </w:r>
      <w:r>
        <w:rPr>
          <w:rFonts w:ascii="Helvetica Neue" w:hAnsi="Helvetica Neue"/>
        </w:rPr>
        <w:t>, pp. 135-136.</w:t>
      </w:r>
    </w:p>
  </w:footnote>
  <w:footnote w:id="43">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w:t>
      </w:r>
      <w:r>
        <w:rPr>
          <w:rFonts w:ascii="Helvetica Neue" w:hAnsi="Helvetica Neue"/>
          <w:i/>
          <w:iCs/>
        </w:rPr>
        <w:t>Ferdinand II, Counter-Reformation Emperor, 1578-1637</w:t>
      </w:r>
      <w:r>
        <w:rPr>
          <w:rFonts w:ascii="Helvetica Neue" w:hAnsi="Helvetica Neue"/>
        </w:rPr>
        <w:t>, pp. 135-37.</w:t>
      </w:r>
    </w:p>
  </w:footnote>
  <w:footnote w:id="44">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These points are also made in William D. Godsey, </w:t>
      </w:r>
      <w:r>
        <w:rPr>
          <w:rFonts w:ascii="Helvetica Neue" w:hAnsi="Helvetica Neue"/>
          <w:i/>
          <w:iCs/>
        </w:rPr>
        <w:t>The Sinews of Habsburg Power: Lower Austria in a Fiscal-Military State 1650-1820</w:t>
      </w:r>
      <w:r>
        <w:rPr>
          <w:rFonts w:ascii="Helvetica Neue" w:hAnsi="Helvetica Neue"/>
        </w:rPr>
        <w:t xml:space="preserve"> (New York: Oxford University Press, 2018), pp. 18-22. On the reorganization of the constitution in Bohemia, see Bireley, </w:t>
      </w:r>
      <w:r>
        <w:rPr>
          <w:rFonts w:ascii="Helvetica Neue" w:hAnsi="Helvetica Neue"/>
          <w:i/>
          <w:iCs/>
        </w:rPr>
        <w:t>Ferdinand II, Counter-Reformation Emperor, 1578-1637</w:t>
      </w:r>
      <w:r>
        <w:rPr>
          <w:rFonts w:ascii="Helvetica Neue" w:hAnsi="Helvetica Neue"/>
        </w:rPr>
        <w:t>, pp. 164-166.</w:t>
      </w:r>
    </w:p>
  </w:footnote>
  <w:footnote w:id="45">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Michael Hochedlinger, "The Habsburg Monarchy: From 'Military-Fiscal State' to 'Militarization’," in </w:t>
      </w:r>
      <w:r>
        <w:rPr>
          <w:rFonts w:ascii="Helvetica Neue" w:hAnsi="Helvetica Neue"/>
          <w:i/>
          <w:iCs/>
        </w:rPr>
        <w:t>The Fiscal-Military State in Eighteenth-Century Europe: Essays in Honour of P.G.M. Dickson</w:t>
      </w:r>
      <w:r>
        <w:rPr>
          <w:rFonts w:ascii="Helvetica Neue" w:hAnsi="Helvetica Neue"/>
        </w:rPr>
        <w:t>, ed. Christopher Storrs (Burlington, Vermont: Ashgate, 2009), p. 77.</w:t>
      </w:r>
    </w:p>
  </w:footnote>
  <w:footnote w:id="46">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Geoff Mortimer, </w:t>
      </w:r>
      <w:r>
        <w:rPr>
          <w:rFonts w:ascii="Helvetica Neue" w:hAnsi="Helvetica Neue"/>
          <w:i/>
          <w:iCs/>
        </w:rPr>
        <w:t>Wallenstein: The Enigma of the Thirty Years War</w:t>
      </w:r>
      <w:r>
        <w:rPr>
          <w:rFonts w:ascii="Helvetica Neue" w:hAnsi="Helvetica Neue"/>
        </w:rPr>
        <w:t xml:space="preserve"> (New York: Palgrave, 2010), pp. 26-27.</w:t>
      </w:r>
    </w:p>
  </w:footnote>
  <w:footnote w:id="47">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Hochedlinger, "The Habsburg Monarchy: From 'Military-Fiscal State' to 'Militarization’," p. 77 and Bireley, </w:t>
      </w:r>
      <w:r>
        <w:rPr>
          <w:rFonts w:ascii="Helvetica Neue" w:hAnsi="Helvetica Neue"/>
          <w:i/>
          <w:iCs/>
        </w:rPr>
        <w:t>Ferdinand II, Counter-Reformation Emperor, 1578-1637</w:t>
      </w:r>
      <w:r>
        <w:rPr>
          <w:rFonts w:ascii="Helvetica Neue" w:hAnsi="Helvetica Neue"/>
        </w:rPr>
        <w:t>, pp. 113-115.</w:t>
      </w:r>
    </w:p>
  </w:footnote>
  <w:footnote w:id="48">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w:t>
      </w:r>
      <w:r>
        <w:rPr>
          <w:rFonts w:ascii="Helvetica Neue" w:hAnsi="Helvetica Neue"/>
          <w:i/>
          <w:iCs/>
        </w:rPr>
        <w:t>Ferdinand II, Counter-Reformation Emperor, 1578-1637</w:t>
      </w:r>
      <w:r>
        <w:rPr>
          <w:rFonts w:ascii="Helvetica Neue" w:hAnsi="Helvetica Neue"/>
        </w:rPr>
        <w:t>, p. 159.</w:t>
      </w:r>
    </w:p>
  </w:footnote>
  <w:footnote w:id="49">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The contributions were in exchange for not looting the town. See: Bireley, </w:t>
      </w:r>
      <w:r>
        <w:rPr>
          <w:rFonts w:ascii="Helvetica Neue" w:hAnsi="Helvetica Neue"/>
          <w:i/>
          <w:iCs/>
        </w:rPr>
        <w:t>Ferdinand II, Counter-Reformation Emperor, 1578-1637</w:t>
      </w:r>
      <w:r>
        <w:rPr>
          <w:rFonts w:ascii="Helvetica Neue" w:hAnsi="Helvetica Neue"/>
        </w:rPr>
        <w:t>, pp. 160-161.</w:t>
      </w:r>
    </w:p>
  </w:footnote>
  <w:footnote w:id="50">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Hochedlinger, "The Habsburg Monarchy: From 'Military-Fiscal State' to 'Militarization’," p. 78</w:t>
      </w:r>
    </w:p>
  </w:footnote>
  <w:footnote w:id="51">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Bireley, </w:t>
      </w:r>
      <w:r>
        <w:rPr>
          <w:rFonts w:ascii="Helvetica Neue" w:hAnsi="Helvetica Neue"/>
          <w:i/>
          <w:iCs/>
        </w:rPr>
        <w:t>Ferdinand II, Counter-Reformation Emperor, 1578-1637</w:t>
      </w:r>
      <w:r>
        <w:rPr>
          <w:rFonts w:ascii="Helvetica Neue" w:hAnsi="Helvetica Neue"/>
        </w:rPr>
        <w:t xml:space="preserve">, pp. 260-267 and for more detail on the specific events preceding Wallenstein’s downfall, see: Mortimer, </w:t>
      </w:r>
      <w:r>
        <w:rPr>
          <w:rFonts w:ascii="Helvetica Neue" w:hAnsi="Helvetica Neue"/>
          <w:i/>
          <w:iCs/>
        </w:rPr>
        <w:t>Wallenstein: The Enigma of the Thirty Years War</w:t>
      </w:r>
      <w:r>
        <w:rPr>
          <w:rFonts w:ascii="Helvetica Neue" w:hAnsi="Helvetica Neue"/>
        </w:rPr>
        <w:t>, pp. 199-253.</w:t>
      </w:r>
    </w:p>
  </w:footnote>
  <w:footnote w:id="52">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John A. Mears, "The Thirty Years' War, the “General Crisis,” and the Origins of a Standing Professional Army in the Habsburg Monarchy," </w:t>
      </w:r>
      <w:r>
        <w:rPr>
          <w:rFonts w:ascii="Helvetica Neue" w:hAnsi="Helvetica Neue"/>
          <w:i/>
          <w:iCs/>
        </w:rPr>
        <w:t>Central European History</w:t>
      </w:r>
      <w:r>
        <w:rPr>
          <w:rFonts w:ascii="Helvetica Neue" w:hAnsi="Helvetica Neue"/>
        </w:rPr>
        <w:t xml:space="preserve"> 21, no. 2 (1988).</w:t>
      </w:r>
    </w:p>
  </w:footnote>
  <w:footnote w:id="53">
    <w:p w:rsidR="001D0A78" w:rsidRDefault="001D0A78" w:rsidP="001D0A78">
      <w:pPr>
        <w:pStyle w:val="Footnote"/>
        <w:spacing w:line="288" w:lineRule="auto"/>
      </w:pPr>
      <w:r>
        <w:rPr>
          <w:rFonts w:ascii="Helvetica Neue" w:eastAsia="Helvetica Neue" w:hAnsi="Helvetica Neue" w:cs="Helvetica Neue"/>
          <w:kern w:val="1"/>
          <w:vertAlign w:val="superscript"/>
        </w:rPr>
        <w:footnoteRef/>
      </w:r>
      <w:r>
        <w:rPr>
          <w:rFonts w:ascii="Helvetica Neue" w:hAnsi="Helvetica Neue"/>
        </w:rPr>
        <w:t xml:space="preserve"> Hochedlinger, "The Habsburg Monarchy: From 'Military-Fiscal State' to 'Militarization’," pp. 78-79 and Mears, "The Thirty Years' War, the “General Crisis,” and the Origins of a Standing Professional Army in the Habsburg Monarchy," pp. 134-139.</w:t>
      </w:r>
    </w:p>
  </w:footnote>
  <w:footnote w:id="54">
    <w:p w:rsidR="001D0A78" w:rsidRPr="008A2841" w:rsidRDefault="001D0A78" w:rsidP="001D0A78">
      <w:pPr>
        <w:pStyle w:val="Footnote"/>
        <w:spacing w:line="288" w:lineRule="auto"/>
        <w:rPr>
          <w:lang w:val="de-AT"/>
        </w:rPr>
      </w:pPr>
      <w:r>
        <w:rPr>
          <w:rFonts w:ascii="Helvetica Neue" w:eastAsia="Helvetica Neue" w:hAnsi="Helvetica Neue" w:cs="Helvetica Neue"/>
          <w:shd w:val="clear" w:color="auto" w:fill="FFFFFF"/>
          <w:vertAlign w:val="superscript"/>
          <w:lang w:val="de-DE"/>
        </w:rPr>
        <w:footnoteRef/>
      </w:r>
      <w:r>
        <w:rPr>
          <w:rFonts w:ascii="Helvetica Neue" w:hAnsi="Helvetica Neue"/>
          <w:lang w:val="de-DE"/>
        </w:rPr>
        <w:t xml:space="preserve"> </w:t>
      </w:r>
      <w:r>
        <w:rPr>
          <w:rFonts w:ascii="Helvetica Neue" w:hAnsi="Helvetica Neue"/>
          <w:i/>
          <w:iCs/>
          <w:kern w:val="1"/>
          <w:lang w:val="de-DE"/>
        </w:rPr>
        <w:t>Ibid</w:t>
      </w:r>
      <w:r>
        <w:rPr>
          <w:rFonts w:ascii="Helvetica Neue" w:hAnsi="Helvetica Neue"/>
          <w:kern w:val="1"/>
          <w:lang w:val="de-DE"/>
        </w:rPr>
        <w:t>.</w:t>
      </w:r>
    </w:p>
  </w:footnote>
  <w:footnote w:id="55">
    <w:p w:rsidR="001D0A78" w:rsidRPr="008A2841" w:rsidRDefault="001D0A78" w:rsidP="001D0A78">
      <w:pPr>
        <w:pStyle w:val="FootnoteText"/>
        <w:spacing w:line="288" w:lineRule="auto"/>
        <w:rPr>
          <w:lang w:val="de-AT"/>
        </w:rPr>
      </w:pPr>
      <w:r>
        <w:rPr>
          <w:rFonts w:ascii="Helvetica Neue" w:eastAsia="Helvetica Neue" w:hAnsi="Helvetica Neue" w:cs="Helvetica Neue"/>
          <w:vertAlign w:val="superscript"/>
          <w:lang w:val="de-DE"/>
        </w:rPr>
        <w:footnoteRef/>
      </w:r>
      <w:r>
        <w:rPr>
          <w:rFonts w:ascii="Helvetica Neue" w:hAnsi="Helvetica Neue"/>
          <w:lang w:val="de-DE"/>
        </w:rPr>
        <w:t xml:space="preserve"> </w:t>
      </w:r>
      <w:r w:rsidRPr="008A2841">
        <w:rPr>
          <w:rFonts w:ascii="Helvetica Neue" w:hAnsi="Helvetica Neue"/>
          <w:lang w:val="de-AT"/>
        </w:rPr>
        <w:t xml:space="preserve">Stefan Zweig, "Das Land ohne Patriotismus," in </w:t>
      </w:r>
      <w:r w:rsidRPr="008A2841">
        <w:rPr>
          <w:rFonts w:ascii="Helvetica Neue" w:hAnsi="Helvetica Neue"/>
          <w:i/>
          <w:iCs/>
          <w:lang w:val="de-AT"/>
        </w:rPr>
        <w:t>Die schlaflose Welt</w:t>
      </w:r>
      <w:r w:rsidRPr="008A2841">
        <w:rPr>
          <w:rFonts w:ascii="Helvetica Neue" w:hAnsi="Helvetica Neue"/>
          <w:lang w:val="de-AT"/>
        </w:rPr>
        <w:t>, ed. Knut Beck (Frankfurt am Main: S. Fischer Verlag, 2012), p. 14.</w:t>
      </w:r>
      <w:r>
        <w:rPr>
          <w:rFonts w:ascii="Helvetica Neue" w:hAnsi="Helvetica Neue"/>
          <w:lang w:val="de-DE"/>
        </w:rPr>
        <w:t xml:space="preserve"> </w:t>
      </w:r>
    </w:p>
  </w:footnote>
  <w:footnote w:id="56">
    <w:p w:rsidR="001D0A78" w:rsidRPr="008A2841" w:rsidRDefault="001D0A78" w:rsidP="001D0A78">
      <w:pPr>
        <w:pStyle w:val="Footnote"/>
        <w:spacing w:line="288" w:lineRule="auto"/>
        <w:rPr>
          <w:lang w:val="de-AT"/>
        </w:rPr>
      </w:pPr>
      <w:r>
        <w:rPr>
          <w:rFonts w:ascii="Helvetica Neue" w:eastAsia="Helvetica Neue" w:hAnsi="Helvetica Neue" w:cs="Helvetica Neue"/>
          <w:vertAlign w:val="superscript"/>
        </w:rPr>
        <w:footnoteRef/>
      </w:r>
      <w:r w:rsidRPr="008A2841">
        <w:rPr>
          <w:rFonts w:ascii="Helvetica Neue" w:hAnsi="Helvetica Neue"/>
          <w:lang w:val="de-AT"/>
        </w:rPr>
        <w:t xml:space="preserve"> Ibid., pp. 11-12.</w:t>
      </w:r>
    </w:p>
  </w:footnote>
  <w:footnote w:id="57">
    <w:p w:rsidR="001D0A78" w:rsidRPr="008A2841" w:rsidRDefault="001D0A78" w:rsidP="001D0A78">
      <w:pPr>
        <w:pStyle w:val="Footnote"/>
        <w:spacing w:line="288" w:lineRule="auto"/>
        <w:rPr>
          <w:lang w:val="de-AT"/>
        </w:rPr>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rPr>
        <w:t xml:space="preserve"> </w:t>
      </w:r>
      <w:r>
        <w:rPr>
          <w:rFonts w:ascii="Helvetica Neue" w:hAnsi="Helvetica Neue"/>
          <w:kern w:val="1"/>
        </w:rPr>
        <w:t xml:space="preserve">John Deak, </w:t>
      </w:r>
      <w:r>
        <w:rPr>
          <w:rFonts w:ascii="Helvetica Neue" w:hAnsi="Helvetica Neue"/>
          <w:i/>
          <w:iCs/>
          <w:kern w:val="1"/>
        </w:rPr>
        <w:t>Forging a Multinational State: State Making in Imperial Austria from the Enlightenment to the First World War</w:t>
      </w:r>
      <w:r>
        <w:rPr>
          <w:rFonts w:ascii="Helvetica Neue" w:hAnsi="Helvetica Neue"/>
          <w:kern w:val="1"/>
        </w:rPr>
        <w:t xml:space="preserve"> (Stanford: Stanford University Press, 2015), e.g. p. 7. </w:t>
      </w:r>
      <w:r>
        <w:rPr>
          <w:rFonts w:ascii="Helvetica Neue" w:hAnsi="Helvetica Neue"/>
          <w:kern w:val="1"/>
          <w:lang w:val="de-DE"/>
        </w:rPr>
        <w:t xml:space="preserve">See also: </w:t>
      </w:r>
      <w:r w:rsidRPr="008A2841">
        <w:rPr>
          <w:rFonts w:ascii="Helvetica Neue" w:hAnsi="Helvetica Neue"/>
          <w:kern w:val="1"/>
          <w:lang w:val="de-AT"/>
        </w:rPr>
        <w:t xml:space="preserve">Robert Musil, </w:t>
      </w:r>
      <w:r w:rsidRPr="008A2841">
        <w:rPr>
          <w:rFonts w:ascii="Helvetica Neue" w:hAnsi="Helvetica Neue"/>
          <w:i/>
          <w:iCs/>
          <w:kern w:val="1"/>
          <w:lang w:val="de-AT"/>
        </w:rPr>
        <w:t>Der Mann ohne Eigenschaften</w:t>
      </w:r>
      <w:r w:rsidRPr="008A2841">
        <w:rPr>
          <w:rFonts w:ascii="Helvetica Neue" w:hAnsi="Helvetica Neue"/>
          <w:kern w:val="1"/>
          <w:lang w:val="de-AT"/>
        </w:rPr>
        <w:t xml:space="preserve"> (Hamburg: Rowohlt Verlag, 1952), e.g. pp. 96-97 and p. 462.</w:t>
      </w:r>
    </w:p>
  </w:footnote>
  <w:footnote w:id="58">
    <w:p w:rsidR="001D0A78" w:rsidRPr="008A2841" w:rsidRDefault="001D0A78" w:rsidP="001D0A78">
      <w:pPr>
        <w:pStyle w:val="FootnoteText"/>
        <w:spacing w:line="288" w:lineRule="auto"/>
        <w:rPr>
          <w:lang w:val="de-AT"/>
        </w:rPr>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lang w:val="de-DE"/>
        </w:rPr>
        <w:t xml:space="preserve"> The code itself was published as: </w:t>
      </w:r>
      <w:r w:rsidRPr="008A2841">
        <w:rPr>
          <w:rFonts w:ascii="Helvetica Neue" w:hAnsi="Helvetica Neue"/>
          <w:i/>
          <w:iCs/>
          <w:lang w:val="de-AT"/>
        </w:rPr>
        <w:t>Allgemeines bürgerliches Gesetzbuch für die gesamten Deutschen Erbländer der Oesterreichischen Monarchie</w:t>
      </w:r>
      <w:r w:rsidRPr="008A2841">
        <w:rPr>
          <w:rFonts w:ascii="Helvetica Neue" w:hAnsi="Helvetica Neue"/>
          <w:lang w:val="de-AT"/>
        </w:rPr>
        <w:t>, (Vienna: Kaiserliche und königliche Hof- und Staatsdruckerei, 1814)</w:t>
      </w:r>
      <w:r>
        <w:rPr>
          <w:rFonts w:ascii="Helvetica Neue" w:hAnsi="Helvetica Neue"/>
          <w:lang w:val="de-DE"/>
        </w:rPr>
        <w:t xml:space="preserve">. On the importance thereof, see: </w:t>
      </w:r>
      <w:r w:rsidRPr="008A2841">
        <w:rPr>
          <w:rFonts w:ascii="Helvetica Neue" w:hAnsi="Helvetica Neue"/>
          <w:lang w:val="de-AT"/>
        </w:rPr>
        <w:t xml:space="preserve">Franz Klein-Bruckschwaiger, "150 Jahre österreichisches ABGB," </w:t>
      </w:r>
      <w:r w:rsidRPr="008A2841">
        <w:rPr>
          <w:rFonts w:ascii="Helvetica Neue" w:hAnsi="Helvetica Neue"/>
          <w:i/>
          <w:iCs/>
          <w:lang w:val="de-AT"/>
        </w:rPr>
        <w:t>JuristenZeitung</w:t>
      </w:r>
      <w:r w:rsidRPr="008A2841">
        <w:rPr>
          <w:rFonts w:ascii="Helvetica Neue" w:hAnsi="Helvetica Neue"/>
          <w:lang w:val="de-AT"/>
        </w:rPr>
        <w:t xml:space="preserve"> 18, no. 23/24 (1960)</w:t>
      </w:r>
      <w:r>
        <w:rPr>
          <w:rFonts w:ascii="Helvetica Neue" w:hAnsi="Helvetica Neue"/>
          <w:lang w:val="de-DE"/>
        </w:rPr>
        <w:t>.</w:t>
      </w:r>
    </w:p>
  </w:footnote>
  <w:footnote w:id="59">
    <w:p w:rsidR="001D0A78" w:rsidRDefault="001D0A78" w:rsidP="001D0A78">
      <w:pPr>
        <w:pStyle w:val="FootnoteText"/>
        <w:spacing w:line="288" w:lineRule="auto"/>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rPr>
        <w:t xml:space="preserve"> To clarify, Habsburg Austria being “Die im Reichsrat vertretenen K</w:t>
      </w:r>
      <w:r>
        <w:rPr>
          <w:rFonts w:ascii="Helvetica Neue" w:hAnsi="Helvetica Neue"/>
          <w:lang w:val="sv-SE"/>
        </w:rPr>
        <w:t>ö</w:t>
      </w:r>
      <w:r>
        <w:rPr>
          <w:rFonts w:ascii="Helvetica Neue" w:hAnsi="Helvetica Neue"/>
        </w:rPr>
        <w:t>nigreiche und Länder” (The Kingdoms and Lands represented in the Imperial Council), also known as “Cisleithanien” (the Lands west of the River Leitha).</w:t>
      </w:r>
    </w:p>
  </w:footnote>
  <w:footnote w:id="60">
    <w:p w:rsidR="001D0A78" w:rsidRDefault="001D0A78" w:rsidP="001D0A78">
      <w:pPr>
        <w:pStyle w:val="FootnoteText"/>
        <w:spacing w:line="288" w:lineRule="auto"/>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rPr>
        <w:t xml:space="preserve"> R. W. Seton-Watson, "The Austro-Hungarian Ausgleich of 1867," </w:t>
      </w:r>
      <w:r>
        <w:rPr>
          <w:rFonts w:ascii="Helvetica Neue" w:hAnsi="Helvetica Neue"/>
          <w:i/>
          <w:iCs/>
        </w:rPr>
        <w:t>The Slavonic and East European Review</w:t>
      </w:r>
      <w:r>
        <w:rPr>
          <w:rFonts w:ascii="Helvetica Neue" w:hAnsi="Helvetica Neue"/>
        </w:rPr>
        <w:t xml:space="preserve"> 19, no. 53 (1939)</w:t>
      </w:r>
    </w:p>
  </w:footnote>
  <w:footnote w:id="61">
    <w:p w:rsidR="001D0A78" w:rsidRDefault="001D0A78" w:rsidP="001D0A78">
      <w:pPr>
        <w:pStyle w:val="FootnoteText"/>
        <w:spacing w:line="288" w:lineRule="auto"/>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rPr>
        <w:t xml:space="preserve"> Hochedlinger, </w:t>
      </w:r>
      <w:r>
        <w:rPr>
          <w:rFonts w:ascii="Helvetica Neue" w:hAnsi="Helvetica Neue"/>
          <w:i/>
          <w:iCs/>
        </w:rPr>
        <w:t>Austria's Wars of Emergence: War, State and Society in the Habsburg Monarchy, 1683-1797 pp. 219-222</w:t>
      </w:r>
      <w:r>
        <w:rPr>
          <w:rFonts w:ascii="Helvetica Neue" w:hAnsi="Helvetica Neue"/>
        </w:rPr>
        <w:t xml:space="preserve"> and H. M. Scott, </w:t>
      </w:r>
      <w:r>
        <w:rPr>
          <w:rFonts w:ascii="Helvetica Neue" w:hAnsi="Helvetica Neue"/>
          <w:i/>
          <w:iCs/>
        </w:rPr>
        <w:t>The Birth of a Great Power System, 1740-1815</w:t>
      </w:r>
      <w:r>
        <w:rPr>
          <w:rFonts w:ascii="Helvetica Neue" w:hAnsi="Helvetica Neue"/>
        </w:rPr>
        <w:t>, 2nd ed. (New York: Routledge, 2013) pp. 39-71.</w:t>
      </w:r>
    </w:p>
  </w:footnote>
  <w:footnote w:id="62">
    <w:p w:rsidR="001D0A78" w:rsidRDefault="001D0A78" w:rsidP="001D0A78">
      <w:pPr>
        <w:pStyle w:val="FootnoteText"/>
        <w:spacing w:line="288" w:lineRule="auto"/>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rPr>
        <w:t xml:space="preserve"> The end of the Holy Roman Empire was a similar type of crisis that inspired renewed efforts at state-making, see: Peter H. Wilson, "Bolstering the Prestige of the Habsburgs: The End of the Holy Roman Empire in 1806," </w:t>
      </w:r>
      <w:r>
        <w:rPr>
          <w:rFonts w:ascii="Helvetica Neue" w:hAnsi="Helvetica Neue"/>
          <w:i/>
          <w:iCs/>
        </w:rPr>
        <w:t xml:space="preserve">The International History Review </w:t>
      </w:r>
      <w:r>
        <w:rPr>
          <w:rFonts w:ascii="Helvetica Neue" w:hAnsi="Helvetica Neue"/>
        </w:rPr>
        <w:t>28, no. 4 (2006).</w:t>
      </w:r>
    </w:p>
  </w:footnote>
  <w:footnote w:id="63">
    <w:p w:rsidR="001D0A78" w:rsidRPr="008A2841" w:rsidRDefault="001D0A78" w:rsidP="001D0A78">
      <w:pPr>
        <w:pStyle w:val="FootnoteText"/>
        <w:spacing w:line="288" w:lineRule="auto"/>
        <w:rPr>
          <w:lang w:val="de-AT"/>
        </w:rPr>
      </w:pPr>
      <w:r>
        <w:rPr>
          <w:rFonts w:ascii="Helvetica Neue" w:eastAsia="Helvetica Neue" w:hAnsi="Helvetica Neue" w:cs="Helvetica Neue"/>
          <w:color w:val="16191F"/>
          <w:u w:color="16191F"/>
          <w:shd w:val="clear" w:color="auto" w:fill="FFFFFF"/>
          <w:vertAlign w:val="superscript"/>
        </w:rPr>
        <w:footnoteRef/>
      </w:r>
      <w:r>
        <w:rPr>
          <w:rFonts w:ascii="Helvetica Neue" w:hAnsi="Helvetica Neue"/>
        </w:rPr>
        <w:t xml:space="preserve"> Laurence Cole, </w:t>
      </w:r>
      <w:r>
        <w:rPr>
          <w:rFonts w:ascii="Helvetica Neue" w:hAnsi="Helvetica Neue"/>
          <w:i/>
          <w:iCs/>
        </w:rPr>
        <w:t>Military Culture and Popular Patriotism in Late Imperial Austria</w:t>
      </w:r>
      <w:r>
        <w:rPr>
          <w:rFonts w:ascii="Helvetica Neue" w:hAnsi="Helvetica Neue"/>
        </w:rPr>
        <w:t xml:space="preserve"> (New York: Oxford University Press, 2014), pp. 45-47. </w:t>
      </w:r>
      <w:r>
        <w:rPr>
          <w:rFonts w:ascii="Helvetica Neue" w:hAnsi="Helvetica Neue"/>
          <w:lang w:val="de-DE"/>
        </w:rPr>
        <w:t xml:space="preserve">“zur Ehre…” see: </w:t>
      </w:r>
      <w:r w:rsidRPr="008A2841">
        <w:rPr>
          <w:rFonts w:ascii="Helvetica Neue" w:hAnsi="Helvetica Neue"/>
          <w:lang w:val="de-AT"/>
        </w:rPr>
        <w:t xml:space="preserve">Franz Josef I and Karl Stürgkh, "An Meine Völker!," </w:t>
      </w:r>
      <w:r w:rsidRPr="008A2841">
        <w:rPr>
          <w:rFonts w:ascii="Helvetica Neue" w:hAnsi="Helvetica Neue"/>
          <w:i/>
          <w:iCs/>
          <w:lang w:val="de-AT"/>
        </w:rPr>
        <w:t>Wiener Zeitung</w:t>
      </w:r>
      <w:r w:rsidRPr="008A2841">
        <w:rPr>
          <w:rFonts w:ascii="Helvetica Neue" w:hAnsi="Helvetica Neue"/>
          <w:lang w:val="de-AT"/>
        </w:rPr>
        <w:t xml:space="preserve"> 29 July 1914.</w:t>
      </w:r>
    </w:p>
  </w:footnote>
  <w:footnote w:id="64">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Twain’s account is given in Mark Twain, "Stirring Times in Austria," in </w:t>
      </w:r>
      <w:r>
        <w:rPr>
          <w:rFonts w:ascii="Helvetica Neue" w:hAnsi="Helvetica Neue"/>
          <w:i/>
          <w:iCs/>
        </w:rPr>
        <w:t>In Defense of Harriet Shelley and Other Essays</w:t>
      </w:r>
      <w:r>
        <w:rPr>
          <w:rFonts w:ascii="Helvetica Neue" w:hAnsi="Helvetica Neue"/>
        </w:rPr>
        <w:t xml:space="preserve"> (New York: Harper and Brothers, 1918 [1898]). Cf. the critique given in Max Lederer, "Mark Twain in Vienna," </w:t>
      </w:r>
      <w:r>
        <w:rPr>
          <w:rFonts w:ascii="Helvetica Neue" w:hAnsi="Helvetica Neue"/>
          <w:i/>
          <w:iCs/>
        </w:rPr>
        <w:t>Mark Twain Quarterly</w:t>
      </w:r>
      <w:r>
        <w:rPr>
          <w:rFonts w:ascii="Helvetica Neue" w:hAnsi="Helvetica Neue"/>
        </w:rPr>
        <w:t xml:space="preserve"> 7, no. 1 (1945): pp. 3-5. See also the account given in The New York Times: “Wild Tumult in Vienna.” 26 November 1897, p. 1.</w:t>
      </w:r>
    </w:p>
  </w:footnote>
  <w:footnote w:id="65">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Enno E. Kraehe, "Austria and the Problem of Reform in the German Confederation, 1851-1863," </w:t>
      </w:r>
      <w:r>
        <w:rPr>
          <w:rFonts w:ascii="Helvetica Neue" w:hAnsi="Helvetica Neue"/>
          <w:i/>
          <w:iCs/>
        </w:rPr>
        <w:t>The American Historical Review</w:t>
      </w:r>
      <w:r>
        <w:rPr>
          <w:rFonts w:ascii="Helvetica Neue" w:hAnsi="Helvetica Neue"/>
        </w:rPr>
        <w:t xml:space="preserve"> 56, no. 2 (1951).</w:t>
      </w:r>
    </w:p>
  </w:footnote>
  <w:footnote w:id="66">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Geoffrey Wawro, </w:t>
      </w:r>
      <w:r>
        <w:rPr>
          <w:rFonts w:ascii="Helvetica Neue" w:hAnsi="Helvetica Neue"/>
          <w:i/>
          <w:iCs/>
        </w:rPr>
        <w:t>Warfare and Society in Europe, 1792-1914</w:t>
      </w:r>
      <w:r>
        <w:rPr>
          <w:rFonts w:ascii="Helvetica Neue" w:hAnsi="Helvetica Neue"/>
        </w:rPr>
        <w:t xml:space="preserve"> (New York: Routledge, 2000), pp. 87-89.</w:t>
      </w:r>
    </w:p>
  </w:footnote>
  <w:footnote w:id="67">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A similar point was made in Cole, </w:t>
      </w:r>
      <w:r>
        <w:rPr>
          <w:rFonts w:ascii="Helvetica Neue" w:hAnsi="Helvetica Neue"/>
          <w:i/>
          <w:iCs/>
        </w:rPr>
        <w:t>Military Culture and Popular Patriotism in Late Imperial Austria</w:t>
      </w:r>
      <w:r>
        <w:rPr>
          <w:rFonts w:ascii="Helvetica Neue" w:hAnsi="Helvetica Neue"/>
        </w:rPr>
        <w:t>, pp. 45-47.</w:t>
      </w:r>
    </w:p>
  </w:footnote>
  <w:footnote w:id="68">
    <w:p w:rsidR="001D0A78" w:rsidRDefault="001D0A78" w:rsidP="001D0A78">
      <w:pPr>
        <w:pStyle w:val="Footnote"/>
        <w:spacing w:line="288" w:lineRule="auto"/>
        <w:rPr>
          <w:rFonts w:ascii="Helvetica Neue" w:eastAsia="Helvetica Neue" w:hAnsi="Helvetica Neue" w:cs="Helvetica Neue"/>
        </w:rPr>
      </w:pPr>
      <w:r>
        <w:rPr>
          <w:rFonts w:ascii="Helvetica Neue" w:eastAsia="Helvetica Neue" w:hAnsi="Helvetica Neue" w:cs="Helvetica Neue"/>
          <w:vertAlign w:val="superscript"/>
        </w:rPr>
        <w:footnoteRef/>
      </w:r>
      <w:r>
        <w:rPr>
          <w:rFonts w:ascii="Helvetica Neue" w:hAnsi="Helvetica Neue"/>
        </w:rPr>
        <w:t xml:space="preserve"> For an excellent overview of the </w:t>
      </w:r>
      <w:r>
        <w:rPr>
          <w:rFonts w:ascii="Helvetica Neue" w:hAnsi="Helvetica Neue"/>
          <w:i/>
          <w:iCs/>
        </w:rPr>
        <w:t xml:space="preserve">Ausgleich </w:t>
      </w:r>
      <w:r>
        <w:rPr>
          <w:rFonts w:ascii="Helvetica Neue" w:hAnsi="Helvetica Neue"/>
        </w:rPr>
        <w:t>constitution see</w:t>
      </w:r>
      <w:r>
        <w:rPr>
          <w:rFonts w:ascii="Helvetica Neue" w:hAnsi="Helvetica Neue"/>
          <w:i/>
          <w:iCs/>
        </w:rPr>
        <w:t xml:space="preserve"> </w:t>
      </w:r>
      <w:r>
        <w:rPr>
          <w:rFonts w:ascii="Helvetica Neue" w:hAnsi="Helvetica Neue"/>
        </w:rPr>
        <w:t>Seton-Watson, "The Austro-Hungarian Ausgleich of 1867.</w:t>
      </w:r>
      <w:r w:rsidRPr="008A2841">
        <w:rPr>
          <w:rFonts w:ascii="Helvetica Neue" w:hAnsi="Helvetica Neue"/>
        </w:rPr>
        <w:t>”</w:t>
      </w:r>
    </w:p>
    <w:p w:rsidR="001D0A78" w:rsidRDefault="001D0A78" w:rsidP="001D0A78">
      <w:pPr>
        <w:pStyle w:val="BodyB"/>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ascii="Helvetica Neue" w:eastAsia="Helvetica Neue" w:hAnsi="Helvetica Neue" w:cs="Helvetica Neue"/>
          <w:sz w:val="20"/>
          <w:szCs w:val="20"/>
        </w:rPr>
      </w:pPr>
    </w:p>
    <w:p w:rsidR="001D0A78" w:rsidRDefault="001D0A78" w:rsidP="001D0A78">
      <w:pPr>
        <w:pStyle w:val="BodyB"/>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pPr>
      <w:r w:rsidRPr="008A2841">
        <w:rPr>
          <w:rFonts w:ascii="Helvetica Neue" w:hAnsi="Helvetica Neue"/>
          <w:sz w:val="20"/>
          <w:szCs w:val="20"/>
        </w:rPr>
        <w:t>However, one</w:t>
      </w:r>
      <w:r>
        <w:rPr>
          <w:rFonts w:ascii="Helvetica Neue" w:hAnsi="Helvetica Neue"/>
          <w:sz w:val="20"/>
          <w:szCs w:val="20"/>
        </w:rPr>
        <w:t xml:space="preserve"> should always bear in mind the role Seton-Watson played in advocating for the dissolution of Austria-Hungary and in encouraging Slavic nationalism. On this point see Christopher Seton-Watson and Hugh Seton-Watson, </w:t>
      </w:r>
      <w:r>
        <w:rPr>
          <w:rFonts w:ascii="Helvetica Neue" w:hAnsi="Helvetica Neue"/>
          <w:i/>
          <w:iCs/>
          <w:sz w:val="20"/>
          <w:szCs w:val="20"/>
        </w:rPr>
        <w:t>The Making of a New Europe: R.W. Seton-Watson and the Last Years of Austria-Hungary</w:t>
      </w:r>
      <w:r>
        <w:rPr>
          <w:rFonts w:ascii="Helvetica Neue" w:hAnsi="Helvetica Neue"/>
          <w:sz w:val="20"/>
          <w:szCs w:val="20"/>
        </w:rPr>
        <w:t xml:space="preserve"> (Seattle: University of Washington Press, 1981)</w:t>
      </w:r>
      <w:r>
        <w:rPr>
          <w:rFonts w:ascii="Helvetica Neue" w:hAnsi="Helvetica Neue"/>
          <w:sz w:val="20"/>
          <w:szCs w:val="20"/>
          <w:lang w:val="fr-FR"/>
        </w:rPr>
        <w:t xml:space="preserve"> and a brief critique: </w:t>
      </w:r>
      <w:r>
        <w:rPr>
          <w:rFonts w:ascii="Helvetica Neue" w:hAnsi="Helvetica Neue"/>
          <w:sz w:val="20"/>
          <w:szCs w:val="20"/>
        </w:rPr>
        <w:t xml:space="preserve">Paul W. Schroeder, "Review of The Making of a New Europe: R. W. Seton-Watson and the Last Years of Austria-Hungary," </w:t>
      </w:r>
      <w:r>
        <w:rPr>
          <w:rFonts w:ascii="Helvetica Neue" w:hAnsi="Helvetica Neue"/>
          <w:i/>
          <w:iCs/>
          <w:sz w:val="20"/>
          <w:szCs w:val="20"/>
        </w:rPr>
        <w:t>The Journal of Modern History</w:t>
      </w:r>
      <w:r>
        <w:rPr>
          <w:rFonts w:ascii="Helvetica Neue" w:hAnsi="Helvetica Neue"/>
          <w:sz w:val="20"/>
          <w:szCs w:val="20"/>
        </w:rPr>
        <w:t xml:space="preserve"> 53, no. 4 (1981).</w:t>
      </w:r>
    </w:p>
  </w:footnote>
  <w:footnote w:id="69">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Hans Kohn, "The Viability of the Habsburg Monarchy," </w:t>
      </w:r>
      <w:r>
        <w:rPr>
          <w:rFonts w:ascii="Helvetica Neue" w:hAnsi="Helvetica Neue"/>
          <w:i/>
          <w:iCs/>
        </w:rPr>
        <w:t>Slavic Review</w:t>
      </w:r>
      <w:r>
        <w:rPr>
          <w:rFonts w:ascii="Helvetica Neue" w:hAnsi="Helvetica Neue"/>
        </w:rPr>
        <w:t xml:space="preserve"> 22, no. 1 (1963) and Suzanne G. Kornish, "Constitutional Aspects of the Struggle between Germans and Czechs in the Austro-Hungarian Monarchy," </w:t>
      </w:r>
      <w:r>
        <w:rPr>
          <w:rFonts w:ascii="Helvetica Neue" w:hAnsi="Helvetica Neue"/>
          <w:i/>
          <w:iCs/>
        </w:rPr>
        <w:t>The Journal of Modern History</w:t>
      </w:r>
      <w:r>
        <w:rPr>
          <w:rFonts w:ascii="Helvetica Neue" w:hAnsi="Helvetica Neue"/>
        </w:rPr>
        <w:t xml:space="preserve"> 27, no. 3 (1955).</w:t>
      </w:r>
    </w:p>
  </w:footnote>
  <w:footnote w:id="70">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These figures measure come from censuses performed in Austria-Hungary in 1910 and Belgium in 1911. Both surveys defined literacy as the ability to read and write in the individual’s native language around age 10 to 11. </w:t>
      </w:r>
      <w:r w:rsidRPr="008A2841">
        <w:rPr>
          <w:rFonts w:ascii="Helvetica Neue" w:hAnsi="Helvetica Neue"/>
          <w:lang w:val="de-AT"/>
        </w:rPr>
        <w:t xml:space="preserve">Adalbert Rom, "Der Bildungsgrad der Bevölkerung Österreichs und seine Entwicklung seit 1880, mit besonderer Berücksichtigung d. Sudeten- u. Karpathenländer," </w:t>
      </w:r>
      <w:r w:rsidRPr="008A2841">
        <w:rPr>
          <w:rFonts w:ascii="Helvetica Neue" w:hAnsi="Helvetica Neue"/>
          <w:i/>
          <w:iCs/>
          <w:lang w:val="de-AT"/>
        </w:rPr>
        <w:t>Statistische Monatsschrift</w:t>
      </w:r>
      <w:r w:rsidRPr="008A2841">
        <w:rPr>
          <w:rFonts w:ascii="Helvetica Neue" w:hAnsi="Helvetica Neue"/>
          <w:lang w:val="de-AT"/>
        </w:rPr>
        <w:t xml:space="preserve"> 40 [NF 19] (1914): p. 591. </w:t>
      </w:r>
      <w:r>
        <w:rPr>
          <w:rFonts w:ascii="Helvetica Neue" w:hAnsi="Helvetica Neue"/>
        </w:rPr>
        <w:t xml:space="preserve">Berend and Ránki report a higher rate of thirty-three percent illiteracy in Hungary in 1910, though their source is unclear. See: Iván T. Berend and György Ránki, </w:t>
      </w:r>
      <w:r>
        <w:rPr>
          <w:rFonts w:ascii="Helvetica Neue" w:hAnsi="Helvetica Neue"/>
          <w:i/>
          <w:iCs/>
        </w:rPr>
        <w:t>Economic Development in East-Central Europe in the 19th and 20th Centuries</w:t>
      </w:r>
      <w:r>
        <w:rPr>
          <w:rFonts w:ascii="Helvetica Neue" w:hAnsi="Helvetica Neue"/>
        </w:rPr>
        <w:t xml:space="preserve"> (New York: Cambridge University Press, 1974), p. 25.</w:t>
      </w:r>
    </w:p>
  </w:footnote>
  <w:footnote w:id="71">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See, e.g.: Gary Cohen, "Nationalist Politics and the Dynamics of State and Civil Society in the Habsburg Monarchy, 1867-1914," </w:t>
      </w:r>
      <w:r>
        <w:rPr>
          <w:rFonts w:ascii="Helvetica Neue" w:hAnsi="Helvetica Neue"/>
          <w:i/>
          <w:iCs/>
        </w:rPr>
        <w:t>Central European History</w:t>
      </w:r>
      <w:r>
        <w:rPr>
          <w:rFonts w:ascii="Helvetica Neue" w:hAnsi="Helvetica Neue"/>
        </w:rPr>
        <w:t xml:space="preserve"> 40, no. 2 (2007).</w:t>
      </w:r>
    </w:p>
  </w:footnote>
  <w:footnote w:id="72">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Lothar Höbelt, "Parliamentary Politics in a Multinational Setting: Late Imperial Austria," Center for Austrian Studies Working Papers Series (1992).</w:t>
      </w:r>
    </w:p>
  </w:footnote>
  <w:footnote w:id="73">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Ibid., p. 6.</w:t>
      </w:r>
    </w:p>
  </w:footnote>
  <w:footnote w:id="74">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Ibid., pp. 9 and 14-15.</w:t>
      </w:r>
    </w:p>
  </w:footnote>
  <w:footnote w:id="75">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Anton Pelinka, "Anti-Semitism and Ethno-Nationalism as Determining Factors for Austria's Political Culture at the Fin de Siècle," in </w:t>
      </w:r>
      <w:r>
        <w:rPr>
          <w:rFonts w:ascii="Helvetica Neue" w:hAnsi="Helvetica Neue"/>
          <w:i/>
          <w:iCs/>
        </w:rPr>
        <w:t>Liberalism, Anti-Semitism, and Democracy: Essays in Honor of Peter Pulzer</w:t>
      </w:r>
      <w:r>
        <w:rPr>
          <w:rFonts w:ascii="Helvetica Neue" w:hAnsi="Helvetica Neue"/>
        </w:rPr>
        <w:t xml:space="preserve">, ed. Henning Tewes and Jonathan Wright (New York: Oxford University Press, 2001), pp. 71-73 and Bruce F. Pauley, </w:t>
      </w:r>
      <w:r>
        <w:rPr>
          <w:rFonts w:ascii="Helvetica Neue" w:hAnsi="Helvetica Neue"/>
          <w:i/>
          <w:iCs/>
        </w:rPr>
        <w:t>From Prejudice to Persecution: A History of Austrian Anti-Semitism</w:t>
      </w:r>
      <w:r>
        <w:rPr>
          <w:rFonts w:ascii="Helvetica Neue" w:hAnsi="Helvetica Neue"/>
        </w:rPr>
        <w:t xml:space="preserve"> (Chapel Hill: University of North Carolina Press, 1992), pp. 38-44.</w:t>
      </w:r>
    </w:p>
  </w:footnote>
  <w:footnote w:id="76">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w:t>
      </w:r>
      <w:r>
        <w:rPr>
          <w:rFonts w:ascii="Helvetica Neue" w:hAnsi="Helvetica Neue"/>
          <w:i/>
          <w:iCs/>
        </w:rPr>
        <w:t>From Prejudice to Persecution: A History of Austrian Anti-Semitism</w:t>
      </w:r>
      <w:r>
        <w:rPr>
          <w:rFonts w:ascii="Helvetica Neue" w:hAnsi="Helvetica Neue"/>
        </w:rPr>
        <w:t xml:space="preserve">, pp. 57-58 and Arthur Schnitzler, </w:t>
      </w:r>
      <w:r>
        <w:rPr>
          <w:rFonts w:ascii="Helvetica Neue" w:hAnsi="Helvetica Neue"/>
          <w:i/>
          <w:iCs/>
        </w:rPr>
        <w:t>Professor Bernhardi: Komödie in fünf Akten</w:t>
      </w:r>
      <w:r>
        <w:rPr>
          <w:rFonts w:ascii="Helvetica Neue" w:hAnsi="Helvetica Neue"/>
        </w:rPr>
        <w:t xml:space="preserve"> (Stuttgart: Philipp Reclam jun., 2005), pp. 109-138.</w:t>
      </w:r>
    </w:p>
  </w:footnote>
  <w:footnote w:id="77">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Deak, </w:t>
      </w:r>
      <w:r>
        <w:rPr>
          <w:rFonts w:ascii="Helvetica Neue" w:hAnsi="Helvetica Neue"/>
          <w:i/>
          <w:iCs/>
        </w:rPr>
        <w:t>Forging a Multinational State</w:t>
      </w:r>
      <w:r>
        <w:rPr>
          <w:rFonts w:ascii="Helvetica Neue" w:hAnsi="Helvetica Neue"/>
        </w:rPr>
        <w:t xml:space="preserve">, pp. 237-240, Höbelt, pp. 7-9, and Alexander Gerschenkron, </w:t>
      </w:r>
      <w:r>
        <w:rPr>
          <w:rFonts w:ascii="Helvetica Neue" w:hAnsi="Helvetica Neue"/>
          <w:i/>
          <w:iCs/>
        </w:rPr>
        <w:t>An Economic Spurt that Failed: Four Lectures in Austrian History</w:t>
      </w:r>
      <w:r>
        <w:rPr>
          <w:rFonts w:ascii="Helvetica Neue" w:hAnsi="Helvetica Neue"/>
        </w:rPr>
        <w:t xml:space="preserve"> (Princeton: Princeton University Press, 1977), pp. 33-36.</w:t>
      </w:r>
    </w:p>
  </w:footnote>
  <w:footnote w:id="78">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Alexander Gerschenkron, </w:t>
      </w:r>
      <w:r>
        <w:rPr>
          <w:rFonts w:ascii="Helvetica Neue" w:hAnsi="Helvetica Neue"/>
          <w:i/>
          <w:iCs/>
        </w:rPr>
        <w:t>Economic Backwardness in Historical Perspective</w:t>
      </w:r>
      <w:r>
        <w:rPr>
          <w:rFonts w:ascii="Helvetica Neue" w:hAnsi="Helvetica Neue"/>
        </w:rPr>
        <w:t xml:space="preserve"> (Cambridge: Harvard University Press, 1962)</w:t>
      </w:r>
      <w:r w:rsidRPr="008A2841">
        <w:rPr>
          <w:rFonts w:ascii="Helvetica Neue" w:hAnsi="Helvetica Neue"/>
        </w:rPr>
        <w:t>.</w:t>
      </w:r>
    </w:p>
  </w:footnote>
  <w:footnote w:id="79">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Gerschenkron, </w:t>
      </w:r>
      <w:r>
        <w:rPr>
          <w:rFonts w:ascii="Helvetica Neue" w:hAnsi="Helvetica Neue"/>
          <w:i/>
          <w:iCs/>
        </w:rPr>
        <w:t>Economic Backwardness in Historical Perspective</w:t>
      </w:r>
      <w:r>
        <w:rPr>
          <w:rFonts w:ascii="Helvetica Neue" w:hAnsi="Helvetica Neue"/>
        </w:rPr>
        <w:t>, p. 44. Gerschenkron often compares the idea of an industrializing spurt to modernization theorist Walt Rostow’s idea of a “take-off.”</w:t>
      </w:r>
      <w:r w:rsidRPr="008A2841">
        <w:rPr>
          <w:rFonts w:ascii="Helvetica Neue" w:hAnsi="Helvetica Neue"/>
        </w:rPr>
        <w:t xml:space="preserve"> S</w:t>
      </w:r>
      <w:r>
        <w:rPr>
          <w:rFonts w:ascii="Helvetica Neue" w:hAnsi="Helvetica Neue"/>
        </w:rPr>
        <w:t xml:space="preserve">ee: Gilman, </w:t>
      </w:r>
      <w:r>
        <w:rPr>
          <w:rFonts w:ascii="Helvetica Neue" w:hAnsi="Helvetica Neue"/>
          <w:i/>
          <w:iCs/>
        </w:rPr>
        <w:t>Mandarins of the Future: Modernization Theory in Cold War America</w:t>
      </w:r>
      <w:r>
        <w:rPr>
          <w:rFonts w:ascii="Helvetica Neue" w:hAnsi="Helvetica Neue"/>
        </w:rPr>
        <w:t>, pp. 190-204.</w:t>
      </w:r>
    </w:p>
  </w:footnote>
  <w:footnote w:id="80">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Gerschenkron, </w:t>
      </w:r>
      <w:r>
        <w:rPr>
          <w:rFonts w:ascii="Helvetica Neue" w:hAnsi="Helvetica Neue"/>
          <w:i/>
          <w:iCs/>
        </w:rPr>
        <w:t>Economic Backwardness in Historical Perspective</w:t>
      </w:r>
      <w:r>
        <w:rPr>
          <w:rFonts w:ascii="Helvetica Neue" w:hAnsi="Helvetica Neue"/>
        </w:rPr>
        <w:t>, p. 8.</w:t>
      </w:r>
    </w:p>
  </w:footnote>
  <w:footnote w:id="81">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Eddie, “Economic Policy and Economic Development,” pp. 816-817 and John Komlos, </w:t>
      </w:r>
      <w:r>
        <w:rPr>
          <w:rFonts w:ascii="Helvetica Neue" w:hAnsi="Helvetica Neue"/>
          <w:i/>
          <w:iCs/>
        </w:rPr>
        <w:t>The Habsburg Monarchy as a Customs Union: Economic Development in Austria-Hungary in the Nineteenth Century</w:t>
      </w:r>
      <w:r>
        <w:rPr>
          <w:rFonts w:ascii="Helvetica Neue" w:hAnsi="Helvetica Neue"/>
        </w:rPr>
        <w:t xml:space="preserve"> (Princeton: Princeton University Press, 1983), pp. 90-94.</w:t>
      </w:r>
    </w:p>
  </w:footnote>
  <w:footnote w:id="82">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Figures compiled in Eddie, “Economic Policy and Economic Development,” p. 866. The average is my calculation.</w:t>
      </w:r>
    </w:p>
  </w:footnote>
  <w:footnote w:id="83">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Gerschenkron, </w:t>
      </w:r>
      <w:r>
        <w:rPr>
          <w:rFonts w:ascii="Helvetica Neue" w:hAnsi="Helvetica Neue"/>
          <w:i/>
          <w:iCs/>
        </w:rPr>
        <w:t>An Economic Spurt that Failed: Four Lectures in Austrian History</w:t>
      </w:r>
      <w:r>
        <w:rPr>
          <w:rFonts w:ascii="Helvetica Neue" w:hAnsi="Helvetica Neue"/>
        </w:rPr>
        <w:t xml:space="preserve">, p. 52. Gerschenkron’s hero in this work, prime minister Ernest von Koerber, proposed a series of infrastructure projects designed to link the underdeveloped parts of the Austrian lands and encourage industrial development. The infrastructure component is often compared to “pork-barrel” spending but was part of a serious if unsuccessful effort to bind the Austrian lands tighter together. For criticism of the plan, see: Höbelt, "Parliamentary Politics in a Multinational Setting: Late Imperial Austria," pp. 7-8. On the oft overlooked and important political purpose of the plan see: Fredrik Lindström, "Ernest von Koerber and the Austrian State Idea: A Reinterpretation of the Koerber Plan (1900–1904)," </w:t>
      </w:r>
      <w:r>
        <w:rPr>
          <w:rFonts w:ascii="Helvetica Neue" w:hAnsi="Helvetica Neue"/>
          <w:i/>
          <w:iCs/>
        </w:rPr>
        <w:t>Austrian History Yearbook</w:t>
      </w:r>
      <w:r>
        <w:rPr>
          <w:rFonts w:ascii="Helvetica Neue" w:hAnsi="Helvetica Neue"/>
        </w:rPr>
        <w:t xml:space="preserve"> 35 (2004).</w:t>
      </w:r>
    </w:p>
  </w:footnote>
  <w:footnote w:id="84">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Ifor L. Evans, "Economic Aspects of Dualism in Austria-Hungary," </w:t>
      </w:r>
      <w:r>
        <w:rPr>
          <w:rFonts w:ascii="Helvetica Neue" w:hAnsi="Helvetica Neue"/>
          <w:i/>
          <w:iCs/>
        </w:rPr>
        <w:t>The Slavonic and East European Review</w:t>
      </w:r>
      <w:r>
        <w:rPr>
          <w:rFonts w:ascii="Helvetica Neue" w:hAnsi="Helvetica Neue"/>
        </w:rPr>
        <w:t xml:space="preserve"> 6, no. 18 (1928): p. 538.</w:t>
      </w:r>
    </w:p>
  </w:footnote>
  <w:footnote w:id="85">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Andrew C. Janos, "The Decline of Oligarchy: Bureaucratic and Mass Politics in the Age of Dualism (1867-1918)," in </w:t>
      </w:r>
      <w:r>
        <w:rPr>
          <w:rFonts w:ascii="Helvetica Neue" w:hAnsi="Helvetica Neue"/>
          <w:i/>
          <w:iCs/>
        </w:rPr>
        <w:t>Revolution in Perspective: Essays on the Hungarian Soviet Republic of 1919</w:t>
      </w:r>
      <w:r>
        <w:rPr>
          <w:rFonts w:ascii="Helvetica Neue" w:hAnsi="Helvetica Neue"/>
        </w:rPr>
        <w:t xml:space="preserve">, ed. Andrew C. Janos and William B. Slottman (Berkeley: University of California Press, 1972), pp. 29-30 and pp. 44-45, Scott M. Eddie, "Economic Policy and Economic Development in Austria–Hungary, 1867–1913," in </w:t>
      </w:r>
      <w:r>
        <w:rPr>
          <w:rFonts w:ascii="Helvetica Neue" w:hAnsi="Helvetica Neue"/>
          <w:i/>
          <w:iCs/>
        </w:rPr>
        <w:t>The Cambridge Economic History of Europe from the Decline of the Roman Empire, Volume 8: The Industrial Economies: The Development of Economic and Social Policies</w:t>
      </w:r>
      <w:r>
        <w:rPr>
          <w:rFonts w:ascii="Helvetica Neue" w:hAnsi="Helvetica Neue"/>
        </w:rPr>
        <w:t xml:space="preserve">, ed. Peter Mathias and Sidney Pollard (New York: Cambridge University Press, 1989), pp. 827-828, Eugen von Philippovich, "Austrian-Hungarian Trade-Policy and the New German Tariff," </w:t>
      </w:r>
      <w:r>
        <w:rPr>
          <w:rFonts w:ascii="Helvetica Neue" w:hAnsi="Helvetica Neue"/>
          <w:i/>
          <w:iCs/>
        </w:rPr>
        <w:t>The Economic Journal</w:t>
      </w:r>
      <w:r>
        <w:rPr>
          <w:rFonts w:ascii="Helvetica Neue" w:hAnsi="Helvetica Neue"/>
        </w:rPr>
        <w:t xml:space="preserve"> 12, no. 46 (1902), and Evans, ibid.</w:t>
      </w:r>
    </w:p>
  </w:footnote>
  <w:footnote w:id="86">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Eddie, “Economic Policy and Economic Development,” p. 827.</w:t>
      </w:r>
    </w:p>
  </w:footnote>
  <w:footnote w:id="87">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Eddie, ibid., p. 829.</w:t>
      </w:r>
      <w:r w:rsidRPr="008A2841">
        <w:rPr>
          <w:rFonts w:ascii="Helvetica Neue" w:hAnsi="Helvetica Neue"/>
        </w:rPr>
        <w:t xml:space="preserve"> Comparing the development of Austria-Hungary and Italy in the nineteenth century would be an interesting case for future research, as both share similar economic and political divisions.</w:t>
      </w:r>
    </w:p>
  </w:footnote>
  <w:footnote w:id="88">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Ibid., p. 836. The average is my own calculation.</w:t>
      </w:r>
    </w:p>
  </w:footnote>
  <w:footnote w:id="89">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Evans, “Economic Aspects of Dualism,” p. 538.</w:t>
      </w:r>
    </w:p>
  </w:footnote>
  <w:footnote w:id="90">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Janos, "The Decline of Oligarchy: Bureaucratic and Mass Politics in the Age of Dualism (1867-1918)," pp. 20-23 and </w:t>
      </w:r>
      <w:r>
        <w:rPr>
          <w:rFonts w:ascii="Helvetica Neue" w:hAnsi="Helvetica Neue"/>
          <w:i/>
          <w:iCs/>
        </w:rPr>
        <w:t>The Politics of Backwardness in Hungary</w:t>
      </w:r>
      <w:r>
        <w:rPr>
          <w:rFonts w:ascii="Helvetica Neue" w:hAnsi="Helvetica Neue"/>
        </w:rPr>
        <w:t xml:space="preserve"> (Princeton: Princeton University Press, 1982), pp. 128-132.</w:t>
      </w:r>
    </w:p>
  </w:footnote>
  <w:footnote w:id="91">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Iván T. Berend, </w:t>
      </w:r>
      <w:r>
        <w:rPr>
          <w:rFonts w:ascii="Helvetica Neue" w:hAnsi="Helvetica Neue"/>
          <w:i/>
          <w:iCs/>
        </w:rPr>
        <w:t>An Economic History of Twentieth-Century Europe</w:t>
      </w:r>
      <w:r>
        <w:rPr>
          <w:rFonts w:ascii="Helvetica Neue" w:hAnsi="Helvetica Neue"/>
        </w:rPr>
        <w:t xml:space="preserve"> (New York: Cambridge University Press, 2006), p. 32</w:t>
      </w:r>
      <w:r w:rsidRPr="008A2841">
        <w:rPr>
          <w:rFonts w:ascii="Helvetica Neue" w:hAnsi="Helvetica Neue"/>
        </w:rPr>
        <w:t>; Berend,</w:t>
      </w:r>
      <w:r>
        <w:rPr>
          <w:rFonts w:ascii="Helvetica Neue" w:hAnsi="Helvetica Neue"/>
        </w:rPr>
        <w:t xml:space="preserve"> </w:t>
      </w:r>
      <w:r>
        <w:rPr>
          <w:rFonts w:ascii="Helvetica Neue" w:hAnsi="Helvetica Neue"/>
          <w:i/>
          <w:iCs/>
        </w:rPr>
        <w:t>History Derailed: Central and Eastern Europe in the Long Nineteenth Century</w:t>
      </w:r>
      <w:r>
        <w:rPr>
          <w:rFonts w:ascii="Helvetica Neue" w:hAnsi="Helvetica Neue"/>
        </w:rPr>
        <w:t xml:space="preserve"> (Berkeley: University of California Press, 2003), pp. 170-171, and Komlos, </w:t>
      </w:r>
      <w:r>
        <w:rPr>
          <w:rFonts w:ascii="Helvetica Neue" w:hAnsi="Helvetica Neue"/>
          <w:i/>
          <w:iCs/>
        </w:rPr>
        <w:t>The Habsburg Monarchy as a Customs Union: Economic Development in Austria-Hungary in the Nineteenth Century</w:t>
      </w:r>
      <w:r>
        <w:rPr>
          <w:rFonts w:ascii="Helvetica Neue" w:hAnsi="Helvetica Neue"/>
        </w:rPr>
        <w:t>, pp. 136-137.</w:t>
      </w:r>
    </w:p>
  </w:footnote>
  <w:footnote w:id="92">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w:t>
      </w:r>
      <w:r>
        <w:rPr>
          <w:rFonts w:ascii="Helvetica Neue" w:hAnsi="Helvetica Neue"/>
          <w:i/>
          <w:iCs/>
        </w:rPr>
        <w:t>The Habsburg Monarchy as a Customs Union: Economic Development in Austria-Hungary in the Nineteenth Century</w:t>
      </w:r>
      <w:r>
        <w:rPr>
          <w:rFonts w:ascii="Helvetica Neue" w:hAnsi="Helvetica Neue"/>
        </w:rPr>
        <w:t>, pp. 141-143. Data for this period is spotty at best, though Komlos does his best to piece it together. These figures are approximate.</w:t>
      </w:r>
    </w:p>
  </w:footnote>
  <w:footnote w:id="93">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Ibid.</w:t>
      </w:r>
    </w:p>
  </w:footnote>
  <w:footnote w:id="94">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The data is from Roland Kühne, </w:t>
      </w:r>
      <w:r>
        <w:rPr>
          <w:rFonts w:ascii="Helvetica Neue" w:hAnsi="Helvetica Neue"/>
          <w:i/>
          <w:iCs/>
        </w:rPr>
        <w:t>Die Geschichte des ungarischen Getreidehandels und die Getreidepreisbildung in Oesterreich-Ungarn</w:t>
      </w:r>
      <w:r>
        <w:rPr>
          <w:rFonts w:ascii="Helvetica Neue" w:hAnsi="Helvetica Neue"/>
        </w:rPr>
        <w:t xml:space="preserve"> (Magyaróvár: Druckerei des Mosonvármegye, 1910), p. 63</w:t>
      </w:r>
      <w:r w:rsidRPr="008A2841">
        <w:rPr>
          <w:rFonts w:ascii="Helvetica Neue" w:hAnsi="Helvetica Neue"/>
        </w:rPr>
        <w:t>,</w:t>
      </w:r>
      <w:r>
        <w:rPr>
          <w:rFonts w:ascii="Helvetica Neue" w:hAnsi="Helvetica Neue"/>
        </w:rPr>
        <w:t xml:space="preserve"> and is corroborated by Andrew C. Janos, </w:t>
      </w:r>
      <w:r>
        <w:rPr>
          <w:rFonts w:ascii="Helvetica Neue" w:hAnsi="Helvetica Neue"/>
          <w:i/>
          <w:iCs/>
        </w:rPr>
        <w:t>The Politics of Backwardness in Hungary</w:t>
      </w:r>
      <w:r>
        <w:rPr>
          <w:rFonts w:ascii="Helvetica Neue" w:hAnsi="Helvetica Neue"/>
        </w:rPr>
        <w:t xml:space="preserve"> (Princeton: Princeton University Press, 1982), pp. 129-130 and Evans, "Economic Aspects of Dualism in Austria-Hungary</w:t>
      </w:r>
      <w:r w:rsidRPr="008A2841">
        <w:rPr>
          <w:rFonts w:ascii="Helvetica Neue" w:hAnsi="Helvetica Neue"/>
        </w:rPr>
        <w:t>.”</w:t>
      </w:r>
      <w:r>
        <w:rPr>
          <w:rFonts w:ascii="Helvetica Neue" w:hAnsi="Helvetica Neue"/>
        </w:rPr>
        <w:t xml:space="preserve"> Unfortunately, Kühne does not tell his readers if the “metzen” he uses as a unit of measurement is Austrian, Hungarian, or German. Which could mean that k20.1 will buy anywhere between 20L and 75L of wheat flour. 20L appears to be the most common and comes to approximately 12kg when converted.</w:t>
      </w:r>
    </w:p>
  </w:footnote>
  <w:footnote w:id="95">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Komlos, </w:t>
      </w:r>
      <w:r>
        <w:rPr>
          <w:rFonts w:ascii="Helvetica Neue" w:hAnsi="Helvetica Neue"/>
          <w:i/>
          <w:iCs/>
        </w:rPr>
        <w:t>The Habsburg Monarchy as a Customs Union: Economic Development in Austria-Hungary in the Nineteenth Century</w:t>
      </w:r>
      <w:r>
        <w:rPr>
          <w:rFonts w:ascii="Helvetica Neue" w:hAnsi="Helvetica Neue"/>
        </w:rPr>
        <w:t>, pp. 216-217 and Evans, "Economic Aspects of Dualism in Austria-Hungary</w:t>
      </w:r>
      <w:r w:rsidRPr="008A2841">
        <w:rPr>
          <w:rFonts w:ascii="Helvetica Neue" w:hAnsi="Helvetica Neue"/>
        </w:rPr>
        <w:t>.”</w:t>
      </w:r>
    </w:p>
  </w:footnote>
  <w:footnote w:id="96">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Janos, </w:t>
      </w:r>
      <w:r>
        <w:rPr>
          <w:rFonts w:ascii="Helvetica Neue" w:hAnsi="Helvetica Neue"/>
          <w:i/>
          <w:iCs/>
        </w:rPr>
        <w:t>The Politics of Backwardness in Hungary</w:t>
      </w:r>
      <w:r>
        <w:rPr>
          <w:rFonts w:ascii="Helvetica Neue" w:hAnsi="Helvetica Neue"/>
        </w:rPr>
        <w:t>, pp. 118-121.</w:t>
      </w:r>
    </w:p>
  </w:footnote>
  <w:footnote w:id="97">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Berend, </w:t>
      </w:r>
      <w:r>
        <w:rPr>
          <w:rFonts w:ascii="Helvetica Neue" w:hAnsi="Helvetica Neue"/>
          <w:i/>
          <w:iCs/>
        </w:rPr>
        <w:t>An Economic History of Twentieth-Century Europe</w:t>
      </w:r>
      <w:r>
        <w:rPr>
          <w:rFonts w:ascii="Helvetica Neue" w:hAnsi="Helvetica Neue"/>
        </w:rPr>
        <w:t xml:space="preserve">, p. 32 and Gerschenkron, </w:t>
      </w:r>
      <w:r>
        <w:rPr>
          <w:rFonts w:ascii="Helvetica Neue" w:hAnsi="Helvetica Neue"/>
          <w:i/>
          <w:iCs/>
        </w:rPr>
        <w:t>Economic Backwardness in Historical Perspective</w:t>
      </w:r>
      <w:r>
        <w:rPr>
          <w:rFonts w:ascii="Helvetica Neue" w:hAnsi="Helvetica Neue"/>
        </w:rPr>
        <w:t xml:space="preserve">, pp. 353-356, and Komlos, </w:t>
      </w:r>
      <w:r>
        <w:rPr>
          <w:rFonts w:ascii="Helvetica Neue" w:hAnsi="Helvetica Neue"/>
          <w:i/>
          <w:iCs/>
        </w:rPr>
        <w:t>The Habsburg Monarchy as a Customs Union: Economic Development in Austria-Hungary in the Nineteenth Century</w:t>
      </w:r>
      <w:r>
        <w:rPr>
          <w:rFonts w:ascii="Helvetica Neue" w:hAnsi="Helvetica Neue"/>
        </w:rPr>
        <w:t>, pp. 214-220.</w:t>
      </w:r>
    </w:p>
  </w:footnote>
  <w:footnote w:id="98">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Gerschenkron, </w:t>
      </w:r>
      <w:r>
        <w:rPr>
          <w:rFonts w:ascii="Helvetica Neue" w:hAnsi="Helvetica Neue"/>
          <w:i/>
          <w:iCs/>
        </w:rPr>
        <w:t>Economic Backwardness in Historical Perspective</w:t>
      </w:r>
      <w:r>
        <w:rPr>
          <w:rFonts w:ascii="Helvetica Neue" w:hAnsi="Helvetica Neue"/>
        </w:rPr>
        <w:t>, e.g., p. 4, p. 8, and p. 35.</w:t>
      </w:r>
    </w:p>
  </w:footnote>
  <w:footnote w:id="99">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Andrew C. Janos, "The Politics of Backwardness in Continental Europe, 1780-1945," </w:t>
      </w:r>
      <w:r>
        <w:rPr>
          <w:rFonts w:ascii="Helvetica Neue" w:hAnsi="Helvetica Neue"/>
          <w:i/>
          <w:iCs/>
        </w:rPr>
        <w:t>World Politics</w:t>
      </w:r>
      <w:r>
        <w:rPr>
          <w:rFonts w:ascii="Helvetica Neue" w:hAnsi="Helvetica Neue"/>
        </w:rPr>
        <w:t xml:space="preserve"> 41, no. 3 (1989).</w:t>
      </w:r>
    </w:p>
  </w:footnote>
  <w:footnote w:id="100">
    <w:p w:rsidR="001D0A78" w:rsidRDefault="001D0A78" w:rsidP="001D0A78">
      <w:pPr>
        <w:pStyle w:val="Footnote"/>
        <w:spacing w:line="288" w:lineRule="auto"/>
        <w:rPr>
          <w:rFonts w:ascii="Helvetica Neue" w:eastAsia="Helvetica Neue" w:hAnsi="Helvetica Neue" w:cs="Helvetica Neue"/>
        </w:rPr>
      </w:pPr>
      <w:r>
        <w:rPr>
          <w:rFonts w:ascii="Helvetica Neue" w:eastAsia="Helvetica Neue" w:hAnsi="Helvetica Neue" w:cs="Helvetica Neue"/>
          <w:vertAlign w:val="superscript"/>
        </w:rPr>
        <w:footnoteRef/>
      </w:r>
      <w:r>
        <w:rPr>
          <w:rFonts w:ascii="Helvetica Neue" w:hAnsi="Helvetica Neue"/>
        </w:rPr>
        <w:t xml:space="preserve"> Ibid. and Acemoglu and Robinson, "Economic Backwardness in Political Perspective</w:t>
      </w:r>
      <w:r w:rsidRPr="008A2841">
        <w:rPr>
          <w:rFonts w:ascii="Helvetica Neue" w:hAnsi="Helvetica Neue"/>
        </w:rPr>
        <w:t>.”</w:t>
      </w:r>
      <w:r>
        <w:rPr>
          <w:rFonts w:ascii="Helvetica Neue" w:hAnsi="Helvetica Neue"/>
        </w:rPr>
        <w:t xml:space="preserve"> </w:t>
      </w:r>
    </w:p>
    <w:p w:rsidR="001D0A78" w:rsidRDefault="001D0A78" w:rsidP="001D0A78">
      <w:pPr>
        <w:pStyle w:val="BodyB"/>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ascii="Helvetica Neue" w:eastAsia="Helvetica Neue" w:hAnsi="Helvetica Neue" w:cs="Helvetica Neue"/>
          <w:sz w:val="20"/>
          <w:szCs w:val="20"/>
        </w:rPr>
      </w:pPr>
    </w:p>
    <w:p w:rsidR="001D0A78" w:rsidRDefault="001D0A78" w:rsidP="001D0A78">
      <w:pPr>
        <w:pStyle w:val="BodyB"/>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pPr>
      <w:r>
        <w:rPr>
          <w:rFonts w:ascii="Helvetica Neue" w:hAnsi="Helvetica Neue"/>
          <w:sz w:val="20"/>
          <w:szCs w:val="20"/>
        </w:rPr>
        <w:t xml:space="preserve">I do not wish to engage the considerable but tangential problem that is raised by scholars like Acemoglu and Robinson who conflate the distinct and separate Austrian and Hungarian cases as a single case. This view is misleading in the extreme, as it allows them to construct an idea of Austria-Hungary as a unitary and powerful absolutist state, led by a monarch who resisted any and all attempts at modernization. In losing granularity, they deny themselves and their readers clarity and lose analytical sharpness. In their 2012 book, they also get many dates wrong, claiming, for example, that serfdom continued across the whole of the Empire through 1848 or that railroads were not introduced on a widespread basis until after 1848. See: </w:t>
      </w:r>
      <w:r>
        <w:rPr>
          <w:rFonts w:ascii="Helvetica Neue" w:hAnsi="Helvetica Neue"/>
          <w:i/>
          <w:iCs/>
          <w:sz w:val="20"/>
          <w:szCs w:val="20"/>
        </w:rPr>
        <w:t>Why Nations Fail: The Origins of Power, Prosperity, and Poverty</w:t>
      </w:r>
      <w:r>
        <w:rPr>
          <w:rFonts w:ascii="Helvetica Neue" w:hAnsi="Helvetica Neue"/>
          <w:sz w:val="20"/>
          <w:szCs w:val="20"/>
        </w:rPr>
        <w:t xml:space="preserve"> (New York: Crown, 2012), pp. 222-230.</w:t>
      </w:r>
    </w:p>
  </w:footnote>
  <w:footnote w:id="101">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Komlos, </w:t>
      </w:r>
      <w:r>
        <w:rPr>
          <w:rFonts w:ascii="Helvetica Neue" w:hAnsi="Helvetica Neue"/>
          <w:i/>
          <w:iCs/>
        </w:rPr>
        <w:t>The Habsburg Monarchy as a Customs Union: Economic Development in Austria-Hungary in the Nineteenth Century</w:t>
      </w:r>
      <w:r>
        <w:rPr>
          <w:rFonts w:ascii="Helvetica Neue" w:hAnsi="Helvetica Neue"/>
        </w:rPr>
        <w:t>, pp. 214-220 and on the stark contrast in Austrian and Hungarian educational policy, see: Rom, "Der Bildungsgrad der Bevölkerung Österreichs und seine Entwicklung seit 1880, mit besonderer Berücksichtigung d. Sudeten- u. Karpathenländer</w:t>
      </w:r>
      <w:r w:rsidRPr="008A2841">
        <w:rPr>
          <w:rFonts w:ascii="Helvetica Neue" w:hAnsi="Helvetica Neue"/>
        </w:rPr>
        <w:t>.”</w:t>
      </w:r>
    </w:p>
  </w:footnote>
  <w:footnote w:id="102">
    <w:p w:rsidR="001D0A78" w:rsidRDefault="001D0A78" w:rsidP="001D0A78">
      <w:pPr>
        <w:pStyle w:val="Footnote"/>
        <w:spacing w:line="288" w:lineRule="auto"/>
      </w:pPr>
      <w:r>
        <w:rPr>
          <w:rFonts w:ascii="Helvetica Neue" w:eastAsia="Helvetica Neue" w:hAnsi="Helvetica Neue" w:cs="Helvetica Neue"/>
          <w:vertAlign w:val="superscript"/>
        </w:rPr>
        <w:footnoteRef/>
      </w:r>
      <w:r w:rsidRPr="008A2841">
        <w:rPr>
          <w:rFonts w:ascii="Helvetica Neue" w:hAnsi="Helvetica Neue"/>
          <w:lang w:val="de-AT"/>
        </w:rPr>
        <w:t xml:space="preserve"> </w:t>
      </w:r>
      <w:r>
        <w:rPr>
          <w:rFonts w:ascii="Helvetica Neue" w:hAnsi="Helvetica Neue"/>
          <w:lang w:val="de-DE"/>
        </w:rPr>
        <w:t>Rom, ”</w:t>
      </w:r>
      <w:r w:rsidRPr="008A2841">
        <w:rPr>
          <w:rFonts w:ascii="Helvetica Neue" w:hAnsi="Helvetica Neue"/>
          <w:lang w:val="de-AT"/>
        </w:rPr>
        <w:t xml:space="preserve">Der Bildungsgrad der Bevölkerung Österreichs und seine Entwicklung seit 1880, mit besonderer Berücksichtigung d. Sudeten- u. Karpathenländer," p. 591. </w:t>
      </w:r>
      <w:r>
        <w:rPr>
          <w:rFonts w:ascii="Helvetica Neue" w:hAnsi="Helvetica Neue"/>
        </w:rPr>
        <w:t xml:space="preserve">Berend and Ránki report a higher rate of thirty-three percent illiteracy in Hungary in 1910, though their source is unclear. See: Berend and Ránki, </w:t>
      </w:r>
      <w:r>
        <w:rPr>
          <w:rFonts w:ascii="Helvetica Neue" w:hAnsi="Helvetica Neue"/>
          <w:i/>
          <w:iCs/>
        </w:rPr>
        <w:t>Economic Development in East-Central Europe in the 19th and 20th Centuries</w:t>
      </w:r>
      <w:r>
        <w:rPr>
          <w:rFonts w:ascii="Helvetica Neue" w:hAnsi="Helvetica Neue"/>
        </w:rPr>
        <w:t>, p. 25.</w:t>
      </w:r>
    </w:p>
  </w:footnote>
  <w:footnote w:id="103">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Cohen, "Nationalist Politics and the Dynamics of State and Civil Society in the Habsburg Monarchy, 1867-1914," and Manfried Rauchensteiner, </w:t>
      </w:r>
      <w:r>
        <w:rPr>
          <w:rFonts w:ascii="Helvetica Neue" w:hAnsi="Helvetica Neue"/>
          <w:i/>
          <w:iCs/>
        </w:rPr>
        <w:t>The First World War and the End of the Habsburg Monarchy, 1914-1918</w:t>
      </w:r>
      <w:r>
        <w:rPr>
          <w:rFonts w:ascii="Helvetica Neue" w:hAnsi="Helvetica Neue"/>
        </w:rPr>
        <w:t>, trans. Alex J. Kay and Anna Güttel-Bellerts (Vienna: Böhlau, 2014), pp. 33-34.</w:t>
      </w:r>
    </w:p>
  </w:footnote>
  <w:footnote w:id="104">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Eddie, "Economic Policy and Economic Development in Austria–Hungary, 1867–1913," p. 862.</w:t>
      </w:r>
    </w:p>
  </w:footnote>
  <w:footnote w:id="105">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Roumyana Preshlenova, "Austro-Hungarian Trade and the Economic Development of Southeastern Europe Before World War I," in </w:t>
      </w:r>
      <w:r>
        <w:rPr>
          <w:rFonts w:ascii="Helvetica Neue" w:hAnsi="Helvetica Neue"/>
          <w:i/>
          <w:iCs/>
        </w:rPr>
        <w:t>Economic Transformations in East and Central Europe: Legacies from the Past and Policies for the Future</w:t>
      </w:r>
      <w:r>
        <w:rPr>
          <w:rFonts w:ascii="Helvetica Neue" w:hAnsi="Helvetica Neue"/>
        </w:rPr>
        <w:t>, ed. David F. Good (New York: Routledge, 1994), pp. 236-243 and Eddie, "Economic Policy and Economic Development in Austria–Hungary, 1867–1913," pp. 833-838.</w:t>
      </w:r>
    </w:p>
  </w:footnote>
  <w:footnote w:id="106">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Paul W. Schroeder, "Stealing Horses to Great Applause: Austria-Hungary’s Decision in 1914 in Systemic Perspective," in </w:t>
      </w:r>
      <w:r>
        <w:rPr>
          <w:rFonts w:ascii="Helvetica Neue" w:hAnsi="Helvetica Neue"/>
          <w:i/>
          <w:iCs/>
        </w:rPr>
        <w:t>An Improbable War?: The Outbreak of World War I and European Political Culture before 1914</w:t>
      </w:r>
      <w:r>
        <w:rPr>
          <w:rFonts w:ascii="Helvetica Neue" w:hAnsi="Helvetica Neue"/>
        </w:rPr>
        <w:t>, ed. Holger Afflerbach and David Stevenson (New York: Berghahn Books, 2007), pp. 34-38.</w:t>
      </w:r>
    </w:p>
  </w:footnote>
  <w:footnote w:id="107">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Preshlenova, "Austro-Hungarian Trade and the Economic Development of Southeastern Europe Before World War I," p. 241, Rauchensteiner, </w:t>
      </w:r>
      <w:r>
        <w:rPr>
          <w:rFonts w:ascii="Helvetica Neue" w:hAnsi="Helvetica Neue"/>
          <w:i/>
          <w:iCs/>
        </w:rPr>
        <w:t>The First World War and the End of the Habsburg Monarchy, 1914-1918</w:t>
      </w:r>
      <w:r>
        <w:rPr>
          <w:rFonts w:ascii="Helvetica Neue" w:hAnsi="Helvetica Neue"/>
        </w:rPr>
        <w:t xml:space="preserve">, pp. 16-21, and Richard C. Hall, </w:t>
      </w:r>
      <w:r>
        <w:rPr>
          <w:rFonts w:ascii="Helvetica Neue" w:hAnsi="Helvetica Neue"/>
          <w:i/>
          <w:iCs/>
        </w:rPr>
        <w:t>The Balkan Wars 1912-1913</w:t>
      </w:r>
      <w:r>
        <w:rPr>
          <w:rFonts w:ascii="Helvetica Neue" w:hAnsi="Helvetica Neue"/>
        </w:rPr>
        <w:t xml:space="preserve"> (New York: Routledge, 2000), pp. 7-21.</w:t>
      </w:r>
    </w:p>
  </w:footnote>
  <w:footnote w:id="108">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This is of course to say nothing of the devastation wrought on the inhabitants of these colonized territories. The case of the genocide in German Southwest Africa being a particularly painful example. See: Jürgen Zimmerer, "Annihlation in Africa: The “Race War” in German Southwest Africa (1904-1908) and its Significance for a Global History of Genocide," </w:t>
      </w:r>
      <w:r>
        <w:rPr>
          <w:rFonts w:ascii="Helvetica Neue" w:hAnsi="Helvetica Neue"/>
          <w:i/>
          <w:iCs/>
        </w:rPr>
        <w:t>Bulletin of the German Historical Institute Washington</w:t>
      </w:r>
      <w:r>
        <w:rPr>
          <w:rFonts w:ascii="Helvetica Neue" w:hAnsi="Helvetica Neue"/>
        </w:rPr>
        <w:t xml:space="preserve"> 37 (2005).</w:t>
      </w:r>
    </w:p>
  </w:footnote>
  <w:footnote w:id="109">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Paul W. Schroeder, "The Life and Death of a Long Peace, 1763-1914," in </w:t>
      </w:r>
      <w:r>
        <w:rPr>
          <w:rFonts w:ascii="Helvetica Neue" w:hAnsi="Helvetica Neue"/>
          <w:i/>
          <w:iCs/>
        </w:rPr>
        <w:t>The Waning of Major War: Theories and Debates</w:t>
      </w:r>
      <w:r>
        <w:rPr>
          <w:rFonts w:ascii="Helvetica Neue" w:hAnsi="Helvetica Neue"/>
        </w:rPr>
        <w:t xml:space="preserve">, ed. Raimo Väyrynen (New York: Routledge, 2006), pp. 50-53, "Stealing Horses to Great Applause: Austria-Hungary’s Decision in 1914 in Systemic Perspective," pp. 34-37, and Michael Mann, </w:t>
      </w:r>
      <w:r>
        <w:rPr>
          <w:rFonts w:ascii="Helvetica Neue" w:hAnsi="Helvetica Neue"/>
          <w:i/>
          <w:iCs/>
        </w:rPr>
        <w:t>The Sources of Social Power: Global Empires and Revolutions, 1890-1945</w:t>
      </w:r>
      <w:r>
        <w:rPr>
          <w:rFonts w:ascii="Helvetica Neue" w:hAnsi="Helvetica Neue"/>
        </w:rPr>
        <w:t xml:space="preserve"> (New York: Cambridge University Press, 2012), pp. 83-92.</w:t>
      </w:r>
    </w:p>
  </w:footnote>
  <w:footnote w:id="110">
    <w:p w:rsidR="001D0A78" w:rsidRDefault="001D0A78" w:rsidP="001D0A78">
      <w:pPr>
        <w:pStyle w:val="Footnote"/>
        <w:spacing w:line="288" w:lineRule="auto"/>
        <w:rPr>
          <w:rFonts w:ascii="Helvetica Neue" w:eastAsia="Helvetica Neue" w:hAnsi="Helvetica Neue" w:cs="Helvetica Neue"/>
        </w:rPr>
      </w:pPr>
      <w:r>
        <w:rPr>
          <w:rFonts w:ascii="Helvetica Neue" w:eastAsia="Helvetica Neue" w:hAnsi="Helvetica Neue" w:cs="Helvetica Neue"/>
          <w:vertAlign w:val="superscript"/>
        </w:rPr>
        <w:footnoteRef/>
      </w:r>
      <w:r>
        <w:rPr>
          <w:rFonts w:ascii="Helvetica Neue" w:hAnsi="Helvetica Neue"/>
        </w:rPr>
        <w:t xml:space="preserve"> Schroeder, “Stealing Horses,” ibid.</w:t>
      </w:r>
    </w:p>
    <w:p w:rsidR="001D0A78" w:rsidRDefault="001D0A78" w:rsidP="001D0A78">
      <w:pPr>
        <w:pStyle w:val="Footnote"/>
        <w:spacing w:line="288" w:lineRule="auto"/>
        <w:rPr>
          <w:rFonts w:ascii="Helvetica Neue" w:eastAsia="Helvetica Neue" w:hAnsi="Helvetica Neue" w:cs="Helvetica Neue"/>
        </w:rPr>
      </w:pPr>
    </w:p>
    <w:p w:rsidR="001D0A78" w:rsidRDefault="001D0A78" w:rsidP="001D0A78">
      <w:pPr>
        <w:pStyle w:val="Footnote"/>
        <w:spacing w:line="288" w:lineRule="auto"/>
      </w:pPr>
      <w:r>
        <w:rPr>
          <w:rFonts w:ascii="Helvetica Neue" w:hAnsi="Helvetica Neue"/>
        </w:rPr>
        <w:t>Other examples cited by Schroeder include the Italian attack on the Ottoman Empire in Libya and the Russian supported Serb-Bulgarian-Greek alliance against the Ottomans, both having significant and destabilizing consequences for the stability of continental Europe.</w:t>
      </w:r>
    </w:p>
  </w:footnote>
  <w:footnote w:id="111">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Serbia was of course excluded as the</w:t>
      </w:r>
      <w:r w:rsidRPr="008A2841">
        <w:rPr>
          <w:rFonts w:ascii="Helvetica Neue" w:hAnsi="Helvetica Neue"/>
        </w:rPr>
        <w:t xml:space="preserve"> aforementioned</w:t>
      </w:r>
      <w:r>
        <w:rPr>
          <w:rFonts w:ascii="Helvetica Neue" w:hAnsi="Helvetica Neue"/>
        </w:rPr>
        <w:t xml:space="preserve"> tariff war continued until 1911.</w:t>
      </w:r>
    </w:p>
  </w:footnote>
  <w:footnote w:id="112">
    <w:p w:rsidR="001D0A78" w:rsidRDefault="001D0A78" w:rsidP="001D0A78">
      <w:pPr>
        <w:pStyle w:val="Footnote"/>
        <w:spacing w:line="288" w:lineRule="auto"/>
        <w:rPr>
          <w:rFonts w:ascii="Helvetica Neue" w:eastAsia="Helvetica Neue" w:hAnsi="Helvetica Neue" w:cs="Helvetica Neue"/>
        </w:rPr>
      </w:pPr>
      <w:r>
        <w:rPr>
          <w:rFonts w:ascii="Helvetica Neue" w:eastAsia="Helvetica Neue" w:hAnsi="Helvetica Neue" w:cs="Helvetica Neue"/>
          <w:vertAlign w:val="superscript"/>
        </w:rPr>
        <w:footnoteRef/>
      </w:r>
      <w:r>
        <w:rPr>
          <w:rFonts w:ascii="Helvetica Neue" w:hAnsi="Helvetica Neue"/>
        </w:rPr>
        <w:t xml:space="preserve"> Hall, </w:t>
      </w:r>
      <w:r>
        <w:rPr>
          <w:rFonts w:ascii="Helvetica Neue" w:hAnsi="Helvetica Neue"/>
          <w:i/>
          <w:iCs/>
        </w:rPr>
        <w:t>The Balkan Wars 1912-1913</w:t>
      </w:r>
      <w:r>
        <w:rPr>
          <w:rFonts w:ascii="Helvetica Neue" w:hAnsi="Helvetica Neue"/>
        </w:rPr>
        <w:t>, pp. 130-142 and Preshlenova, "Austro-Hungarian Trade and the Economic Development of Southeastern Europe Before World War I," p. 249-253.</w:t>
      </w:r>
    </w:p>
    <w:p w:rsidR="001D0A78" w:rsidRDefault="001D0A78" w:rsidP="001D0A78">
      <w:pPr>
        <w:pStyle w:val="Footnote"/>
        <w:spacing w:line="288" w:lineRule="auto"/>
        <w:rPr>
          <w:rFonts w:ascii="Helvetica Neue" w:eastAsia="Helvetica Neue" w:hAnsi="Helvetica Neue" w:cs="Helvetica Neue"/>
        </w:rPr>
      </w:pPr>
    </w:p>
    <w:p w:rsidR="001D0A78" w:rsidRDefault="001D0A78" w:rsidP="001D0A78">
      <w:pPr>
        <w:pStyle w:val="Footnote"/>
        <w:spacing w:line="288" w:lineRule="auto"/>
      </w:pPr>
      <w:r>
        <w:rPr>
          <w:rFonts w:ascii="Helvetica Neue" w:hAnsi="Helvetica Neue"/>
        </w:rPr>
        <w:t>There was also a lack of suitable transport links between Austria-Hungary and the Balkans, a fact that would emerge as a significant challenge during World War I.</w:t>
      </w:r>
    </w:p>
  </w:footnote>
  <w:footnote w:id="113">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David G. Herrmann, </w:t>
      </w:r>
      <w:r>
        <w:rPr>
          <w:rFonts w:ascii="Helvetica Neue" w:hAnsi="Helvetica Neue"/>
          <w:i/>
          <w:iCs/>
        </w:rPr>
        <w:t>The Arming of Europe and the Making of the First World War</w:t>
      </w:r>
      <w:r>
        <w:rPr>
          <w:rFonts w:ascii="Helvetica Neue" w:hAnsi="Helvetica Neue"/>
        </w:rPr>
        <w:t xml:space="preserve"> (Princeton: Princeton University Press, 1997), pp. 199-210.</w:t>
      </w:r>
    </w:p>
  </w:footnote>
  <w:footnote w:id="114">
    <w:p w:rsidR="001D0A78" w:rsidRDefault="001D0A78" w:rsidP="001D0A78">
      <w:pPr>
        <w:pStyle w:val="Footnote"/>
        <w:spacing w:line="288" w:lineRule="auto"/>
      </w:pPr>
      <w:r>
        <w:rPr>
          <w:rFonts w:ascii="Helvetica Neue" w:eastAsia="Helvetica Neue" w:hAnsi="Helvetica Neue" w:cs="Helvetica Neue"/>
          <w:vertAlign w:val="superscript"/>
        </w:rPr>
        <w:footnoteRef/>
      </w:r>
      <w:r>
        <w:rPr>
          <w:rFonts w:ascii="Helvetica Neue" w:hAnsi="Helvetica Neue"/>
        </w:rPr>
        <w:t xml:space="preserve"> The expenditure data is compiled using 1911 exchange rates in </w:t>
      </w:r>
      <w:r w:rsidRPr="008A2841">
        <w:rPr>
          <w:rFonts w:ascii="Helvetica Neue" w:hAnsi="Helvetica Neue"/>
        </w:rPr>
        <w:t>Hermann</w:t>
      </w:r>
      <w:r>
        <w:rPr>
          <w:rFonts w:ascii="Helvetica Neue" w:hAnsi="Helvetica Neue"/>
        </w:rPr>
        <w:t>,</w:t>
      </w:r>
      <w:r w:rsidRPr="008A2841">
        <w:rPr>
          <w:rFonts w:ascii="Helvetica Neue" w:hAnsi="Helvetica Neue"/>
        </w:rPr>
        <w:t xml:space="preserve"> </w:t>
      </w:r>
      <w:r w:rsidRPr="008A2841">
        <w:rPr>
          <w:rFonts w:ascii="Helvetica Neue" w:hAnsi="Helvetica Neue"/>
          <w:i/>
          <w:iCs/>
        </w:rPr>
        <w:t>The Arming of Europe</w:t>
      </w:r>
      <w:r w:rsidRPr="008A2841">
        <w:rPr>
          <w:rFonts w:ascii="Helvetica Neue" w:hAnsi="Helvetica Neue"/>
        </w:rPr>
        <w:t>,</w:t>
      </w:r>
      <w:r>
        <w:rPr>
          <w:rFonts w:ascii="Helvetica Neue" w:hAnsi="Helvetica Neue"/>
        </w:rPr>
        <w:t xml:space="preserve"> pp. 236-237. The population figures come from the figures compiled by the Austrian Statistical Office and published in: Kaiserlich-Königliche Statistiche Zentralkomission, "Die Ergebnisse der Volkszählung vom 31. Dezember 1910," </w:t>
      </w:r>
      <w:r>
        <w:rPr>
          <w:rFonts w:ascii="Helvetica Neue" w:hAnsi="Helvetica Neue"/>
          <w:i/>
          <w:iCs/>
        </w:rPr>
        <w:t>Österreichische Statistik</w:t>
      </w:r>
      <w:r>
        <w:rPr>
          <w:rFonts w:ascii="Helvetica Neue" w:hAnsi="Helvetica Neue"/>
        </w:rPr>
        <w:t xml:space="preserve"> 1, no. 1 (1912): p. 39. </w:t>
      </w:r>
    </w:p>
  </w:footnote>
  <w:footnote w:id="115">
    <w:p w:rsidR="001D0A78" w:rsidRDefault="001D0A78" w:rsidP="001D0A78">
      <w:pPr>
        <w:pStyle w:val="Footnote"/>
        <w:spacing w:line="288" w:lineRule="auto"/>
      </w:pPr>
      <w:r>
        <w:rPr>
          <w:rFonts w:ascii="Helvetica Neue" w:eastAsia="Helvetica Neue" w:hAnsi="Helvetica Neue" w:cs="Helvetica Neue"/>
          <w:vertAlign w:val="superscript"/>
        </w:rPr>
        <w:footnoteRef/>
      </w:r>
      <w:r w:rsidRPr="008A2841">
        <w:rPr>
          <w:rFonts w:ascii="Helvetica Neue" w:hAnsi="Helvetica Neue"/>
        </w:rPr>
        <w:t xml:space="preserve"> This translation is from: </w:t>
      </w:r>
      <w:r w:rsidRPr="008A2841">
        <w:rPr>
          <w:rFonts w:ascii="Helvetica Neue" w:hAnsi="Helvetica Neue"/>
          <w:i/>
          <w:iCs/>
        </w:rPr>
        <w:t>The Man Without Qualities</w:t>
      </w:r>
      <w:r w:rsidRPr="008A2841">
        <w:rPr>
          <w:rFonts w:ascii="Helvetica Neue" w:hAnsi="Helvetica Neue"/>
        </w:rPr>
        <w:t xml:space="preserve"> (New York: Vintage International, 1996), translated by Sophie Wilkins, p. 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515A" w:rsidRDefault="0078515A">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15A"/>
    <w:rsid w:val="00072AFD"/>
    <w:rsid w:val="00153809"/>
    <w:rsid w:val="001734D8"/>
    <w:rsid w:val="001D0A78"/>
    <w:rsid w:val="001E08C3"/>
    <w:rsid w:val="002512E1"/>
    <w:rsid w:val="002D7C70"/>
    <w:rsid w:val="003534B8"/>
    <w:rsid w:val="004D35F5"/>
    <w:rsid w:val="00502BB6"/>
    <w:rsid w:val="00547154"/>
    <w:rsid w:val="005B6ACF"/>
    <w:rsid w:val="00645B9F"/>
    <w:rsid w:val="00731234"/>
    <w:rsid w:val="0078515A"/>
    <w:rsid w:val="008C0543"/>
    <w:rsid w:val="008E0153"/>
    <w:rsid w:val="009233E1"/>
    <w:rsid w:val="009622C2"/>
    <w:rsid w:val="009E772D"/>
    <w:rsid w:val="00A521DF"/>
    <w:rsid w:val="00AA386C"/>
    <w:rsid w:val="00AC78B3"/>
    <w:rsid w:val="00B272CD"/>
    <w:rsid w:val="00B4302E"/>
    <w:rsid w:val="00C162E9"/>
    <w:rsid w:val="00DD456E"/>
    <w:rsid w:val="00DF0F7E"/>
    <w:rsid w:val="00E46B5F"/>
    <w:rsid w:val="00E5641C"/>
    <w:rsid w:val="00F11B03"/>
    <w:rsid w:val="00FB7CAB"/>
    <w:rsid w:val="00FE0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8DDB83-04E6-9D42-AC8F-B9A2912E6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680"/>
        <w:tab w:val="right" w:pos="9360"/>
      </w:tabs>
    </w:pPr>
    <w:rPr>
      <w:rFonts w:cs="Arial Unicode MS"/>
      <w:color w:val="000000"/>
      <w:sz w:val="24"/>
      <w:szCs w:val="24"/>
      <w:u w:color="000000"/>
    </w:rPr>
  </w:style>
  <w:style w:type="paragraph" w:customStyle="1" w:styleId="Body">
    <w:name w:val="Body"/>
    <w:pPr>
      <w:spacing w:after="200"/>
    </w:pPr>
    <w:rPr>
      <w:rFonts w:cs="Arial Unicode MS"/>
      <w:color w:val="000000"/>
      <w:sz w:val="24"/>
      <w:szCs w:val="24"/>
      <w:u w:color="000000"/>
    </w:rPr>
  </w:style>
  <w:style w:type="paragraph" w:styleId="NoSpacing">
    <w:name w:val="No Spacing"/>
    <w:rPr>
      <w:rFonts w:cs="Arial Unicode MS"/>
      <w:color w:val="000000"/>
      <w:sz w:val="24"/>
      <w:szCs w:val="24"/>
      <w:u w:color="000000"/>
    </w:rPr>
  </w:style>
  <w:style w:type="paragraph" w:styleId="Header">
    <w:name w:val="header"/>
    <w:basedOn w:val="Normal"/>
    <w:link w:val="HeaderChar"/>
    <w:uiPriority w:val="99"/>
    <w:unhideWhenUsed/>
    <w:rsid w:val="00FB7CAB"/>
    <w:pPr>
      <w:tabs>
        <w:tab w:val="center" w:pos="4680"/>
        <w:tab w:val="right" w:pos="9360"/>
      </w:tabs>
    </w:pPr>
  </w:style>
  <w:style w:type="character" w:customStyle="1" w:styleId="HeaderChar">
    <w:name w:val="Header Char"/>
    <w:basedOn w:val="DefaultParagraphFont"/>
    <w:link w:val="Header"/>
    <w:uiPriority w:val="99"/>
    <w:rsid w:val="00FB7CAB"/>
    <w:rPr>
      <w:sz w:val="24"/>
      <w:szCs w:val="24"/>
    </w:rPr>
  </w:style>
  <w:style w:type="table" w:styleId="TableGrid">
    <w:name w:val="Table Grid"/>
    <w:basedOn w:val="TableNormal"/>
    <w:uiPriority w:val="39"/>
    <w:rsid w:val="009622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1D0A78"/>
    <w:pPr>
      <w:widowControl w:val="0"/>
    </w:pPr>
    <w:rPr>
      <w:rFonts w:ascii="Calibri" w:hAnsi="Calibri" w:cs="Arial Unicode MS"/>
      <w:color w:val="000000"/>
      <w:u w:color="000000"/>
    </w:rPr>
  </w:style>
  <w:style w:type="paragraph" w:customStyle="1" w:styleId="Footnote">
    <w:name w:val="Footnote"/>
    <w:rsid w:val="001D0A78"/>
    <w:pPr>
      <w:keepLines/>
      <w:widowControl w:val="0"/>
    </w:pPr>
    <w:rPr>
      <w:rFonts w:ascii="Calibri" w:eastAsia="Calibri" w:hAnsi="Calibri" w:cs="Calibri"/>
      <w:color w:val="000000"/>
      <w:u w:color="000000"/>
    </w:rPr>
  </w:style>
  <w:style w:type="paragraph" w:styleId="FootnoteText">
    <w:name w:val="footnote text"/>
    <w:link w:val="FootnoteTextChar"/>
    <w:rsid w:val="001D0A78"/>
    <w:rPr>
      <w:rFonts w:eastAsia="Times New Roman"/>
      <w:color w:val="000000"/>
      <w:u w:color="000000"/>
    </w:rPr>
  </w:style>
  <w:style w:type="character" w:customStyle="1" w:styleId="FootnoteTextChar">
    <w:name w:val="Footnote Text Char"/>
    <w:basedOn w:val="DefaultParagraphFont"/>
    <w:link w:val="FootnoteText"/>
    <w:rsid w:val="001D0A78"/>
    <w:rPr>
      <w:rFonts w:eastAsia="Times New Roman"/>
      <w:color w:val="000000"/>
      <w:u w:color="000000"/>
    </w:rPr>
  </w:style>
  <w:style w:type="paragraph" w:customStyle="1" w:styleId="BodyB">
    <w:name w:val="Body B"/>
    <w:rsid w:val="001D0A78"/>
    <w:rPr>
      <w:rFonts w:cs="Arial Unicode MS"/>
      <w:color w:val="000000"/>
      <w:sz w:val="24"/>
      <w:szCs w:val="24"/>
      <w:u w:color="000000"/>
    </w:rPr>
  </w:style>
  <w:style w:type="paragraph" w:customStyle="1" w:styleId="BodyC">
    <w:name w:val="Body C"/>
    <w:rsid w:val="001D0A78"/>
    <w:rPr>
      <w:rFonts w:cs="Arial Unicode MS"/>
      <w:color w:val="000000"/>
      <w:sz w:val="24"/>
      <w:szCs w:val="24"/>
      <w:u w:color="000000"/>
    </w:rPr>
  </w:style>
  <w:style w:type="paragraph" w:customStyle="1" w:styleId="Default">
    <w:name w:val="Default"/>
    <w:rsid w:val="001D0A78"/>
    <w:rPr>
      <w:rFonts w:ascii="Helvetica Neue" w:hAnsi="Helvetica Neue" w:cs="Arial Unicode MS"/>
      <w:color w:val="000000"/>
      <w:sz w:val="22"/>
      <w:szCs w:val="22"/>
    </w:rPr>
  </w:style>
  <w:style w:type="paragraph" w:customStyle="1" w:styleId="EndNoteBibliography">
    <w:name w:val="EndNote Bibliography"/>
    <w:rsid w:val="001D0A78"/>
    <w:rPr>
      <w:rFonts w:cs="Arial Unicode MS"/>
      <w:color w:val="000000"/>
      <w:sz w:val="24"/>
      <w:szCs w:val="24"/>
      <w:u w:color="000000"/>
    </w:rPr>
  </w:style>
  <w:style w:type="character" w:styleId="PageNumber">
    <w:name w:val="page number"/>
    <w:basedOn w:val="DefaultParagraphFont"/>
    <w:uiPriority w:val="99"/>
    <w:semiHidden/>
    <w:unhideWhenUsed/>
    <w:rsid w:val="001D0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emf"/><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64</Pages>
  <Words>13870</Words>
  <Characters>79065</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Andrew Atticus Kierig</cp:lastModifiedBy>
  <cp:revision>10</cp:revision>
  <cp:lastPrinted>2018-04-12T22:20:00Z</cp:lastPrinted>
  <dcterms:created xsi:type="dcterms:W3CDTF">2018-04-16T15:07:00Z</dcterms:created>
  <dcterms:modified xsi:type="dcterms:W3CDTF">2018-07-06T22:42:00Z</dcterms:modified>
</cp:coreProperties>
</file>