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D9569F" w14:textId="79D7EA6D" w:rsidR="00B274D8" w:rsidRDefault="00324AF7" w:rsidP="00306EAF">
      <w:pPr>
        <w:jc w:val="center"/>
        <w:rPr>
          <w:rFonts w:asciiTheme="majorBidi" w:hAnsiTheme="majorBidi" w:cstheme="majorBidi"/>
        </w:rPr>
      </w:pPr>
      <w:r>
        <w:rPr>
          <w:rFonts w:asciiTheme="majorBidi" w:hAnsiTheme="majorBidi" w:cstheme="majorBidi"/>
        </w:rPr>
        <w:t>UNIVERSITY OF OKLAHOMA</w:t>
      </w:r>
    </w:p>
    <w:p w14:paraId="6AB12649" w14:textId="03997CA2" w:rsidR="00324AF7" w:rsidRDefault="00324AF7" w:rsidP="00306EAF">
      <w:pPr>
        <w:jc w:val="center"/>
        <w:rPr>
          <w:rFonts w:asciiTheme="majorBidi" w:hAnsiTheme="majorBidi" w:cstheme="majorBidi"/>
        </w:rPr>
      </w:pPr>
      <w:r>
        <w:rPr>
          <w:rFonts w:asciiTheme="majorBidi" w:hAnsiTheme="majorBidi" w:cstheme="majorBidi"/>
        </w:rPr>
        <w:t>GRADUATE COLLEGE</w:t>
      </w:r>
    </w:p>
    <w:p w14:paraId="1CC0F58B" w14:textId="77777777" w:rsidR="00324AF7" w:rsidRDefault="00324AF7" w:rsidP="00324AF7">
      <w:pPr>
        <w:jc w:val="center"/>
        <w:rPr>
          <w:rFonts w:asciiTheme="majorBidi" w:hAnsiTheme="majorBidi" w:cstheme="majorBidi"/>
        </w:rPr>
      </w:pPr>
    </w:p>
    <w:p w14:paraId="46638C41" w14:textId="77777777" w:rsidR="00324AF7" w:rsidRDefault="00324AF7" w:rsidP="00324AF7">
      <w:pPr>
        <w:jc w:val="center"/>
        <w:rPr>
          <w:rFonts w:asciiTheme="majorBidi" w:hAnsiTheme="majorBidi" w:cstheme="majorBidi"/>
        </w:rPr>
      </w:pPr>
    </w:p>
    <w:p w14:paraId="0441CF4E" w14:textId="77777777" w:rsidR="00324AF7" w:rsidRDefault="00324AF7" w:rsidP="00324AF7">
      <w:pPr>
        <w:jc w:val="center"/>
        <w:rPr>
          <w:rFonts w:asciiTheme="majorBidi" w:hAnsiTheme="majorBidi" w:cstheme="majorBidi"/>
        </w:rPr>
      </w:pPr>
    </w:p>
    <w:p w14:paraId="72B0DEC8" w14:textId="77777777" w:rsidR="00324AF7" w:rsidRDefault="00324AF7" w:rsidP="00324AF7">
      <w:pPr>
        <w:jc w:val="center"/>
        <w:rPr>
          <w:rFonts w:asciiTheme="majorBidi" w:hAnsiTheme="majorBidi" w:cstheme="majorBidi"/>
        </w:rPr>
      </w:pPr>
    </w:p>
    <w:p w14:paraId="7B2A7ACC" w14:textId="77777777" w:rsidR="00324AF7" w:rsidRDefault="00324AF7" w:rsidP="00324AF7">
      <w:pPr>
        <w:jc w:val="center"/>
        <w:rPr>
          <w:rFonts w:asciiTheme="majorBidi" w:hAnsiTheme="majorBidi" w:cstheme="majorBidi"/>
        </w:rPr>
      </w:pPr>
    </w:p>
    <w:p w14:paraId="05782018" w14:textId="77777777" w:rsidR="00324AF7" w:rsidRDefault="00324AF7" w:rsidP="00324AF7">
      <w:pPr>
        <w:jc w:val="center"/>
        <w:rPr>
          <w:rFonts w:asciiTheme="majorBidi" w:hAnsiTheme="majorBidi" w:cstheme="majorBidi"/>
        </w:rPr>
      </w:pPr>
    </w:p>
    <w:p w14:paraId="19A99A59" w14:textId="77777777" w:rsidR="00324AF7" w:rsidRDefault="00324AF7" w:rsidP="00324AF7">
      <w:pPr>
        <w:jc w:val="center"/>
        <w:rPr>
          <w:rFonts w:asciiTheme="majorBidi" w:hAnsiTheme="majorBidi" w:cstheme="majorBidi"/>
        </w:rPr>
      </w:pPr>
    </w:p>
    <w:p w14:paraId="0739C05E" w14:textId="77777777" w:rsidR="005846B7" w:rsidRDefault="005846B7" w:rsidP="005846B7">
      <w:pPr>
        <w:jc w:val="center"/>
        <w:rPr>
          <w:rFonts w:asciiTheme="majorBidi" w:hAnsiTheme="majorBidi" w:cstheme="majorBidi"/>
        </w:rPr>
      </w:pPr>
      <w:r>
        <w:rPr>
          <w:rFonts w:asciiTheme="majorBidi" w:hAnsiTheme="majorBidi" w:cstheme="majorBidi"/>
        </w:rPr>
        <w:t xml:space="preserve">ACTIVATION OF </w:t>
      </w:r>
      <w:r w:rsidR="00324AF7">
        <w:rPr>
          <w:rFonts w:asciiTheme="majorBidi" w:hAnsiTheme="majorBidi" w:cstheme="majorBidi"/>
        </w:rPr>
        <w:t xml:space="preserve">MURINE DENDRITIC CELLS </w:t>
      </w:r>
      <w:r>
        <w:rPr>
          <w:rFonts w:asciiTheme="majorBidi" w:hAnsiTheme="majorBidi" w:cstheme="majorBidi"/>
        </w:rPr>
        <w:t xml:space="preserve">THROUGH </w:t>
      </w:r>
    </w:p>
    <w:p w14:paraId="04E22EED" w14:textId="1DADBCD7" w:rsidR="00324AF7" w:rsidRDefault="005846B7" w:rsidP="005846B7">
      <w:pPr>
        <w:jc w:val="center"/>
        <w:rPr>
          <w:rFonts w:asciiTheme="majorBidi" w:hAnsiTheme="majorBidi" w:cstheme="majorBidi"/>
        </w:rPr>
      </w:pPr>
      <w:r>
        <w:rPr>
          <w:rFonts w:asciiTheme="majorBidi" w:hAnsiTheme="majorBidi" w:cstheme="majorBidi"/>
        </w:rPr>
        <w:t>STING PATHWAY INTERA</w:t>
      </w:r>
      <w:r w:rsidR="00B54390">
        <w:rPr>
          <w:rFonts w:asciiTheme="majorBidi" w:hAnsiTheme="majorBidi" w:cstheme="majorBidi"/>
        </w:rPr>
        <w:t>C</w:t>
      </w:r>
      <w:r>
        <w:rPr>
          <w:rFonts w:asciiTheme="majorBidi" w:hAnsiTheme="majorBidi" w:cstheme="majorBidi"/>
        </w:rPr>
        <w:t>TIONS WITH GLYCATED CHIT</w:t>
      </w:r>
      <w:r w:rsidR="00EE7F75">
        <w:rPr>
          <w:rFonts w:asciiTheme="majorBidi" w:hAnsiTheme="majorBidi" w:cstheme="majorBidi"/>
        </w:rPr>
        <w:t>O</w:t>
      </w:r>
      <w:r>
        <w:rPr>
          <w:rFonts w:asciiTheme="majorBidi" w:hAnsiTheme="majorBidi" w:cstheme="majorBidi"/>
        </w:rPr>
        <w:t xml:space="preserve">SAN </w:t>
      </w:r>
    </w:p>
    <w:p w14:paraId="64089F06" w14:textId="77777777" w:rsidR="00324AF7" w:rsidRDefault="00324AF7" w:rsidP="00324AF7">
      <w:pPr>
        <w:jc w:val="center"/>
        <w:rPr>
          <w:rFonts w:asciiTheme="majorBidi" w:hAnsiTheme="majorBidi" w:cstheme="majorBidi"/>
        </w:rPr>
      </w:pPr>
    </w:p>
    <w:p w14:paraId="0651BED9" w14:textId="77777777" w:rsidR="00324AF7" w:rsidRDefault="00324AF7" w:rsidP="00324AF7">
      <w:pPr>
        <w:jc w:val="center"/>
        <w:rPr>
          <w:rFonts w:asciiTheme="majorBidi" w:hAnsiTheme="majorBidi" w:cstheme="majorBidi"/>
        </w:rPr>
      </w:pPr>
    </w:p>
    <w:p w14:paraId="449493FD" w14:textId="77777777" w:rsidR="00324AF7" w:rsidRDefault="00324AF7" w:rsidP="00324AF7">
      <w:pPr>
        <w:jc w:val="center"/>
        <w:rPr>
          <w:rFonts w:asciiTheme="majorBidi" w:hAnsiTheme="majorBidi" w:cstheme="majorBidi"/>
        </w:rPr>
      </w:pPr>
    </w:p>
    <w:p w14:paraId="3C281482" w14:textId="77777777" w:rsidR="00324AF7" w:rsidRDefault="00324AF7" w:rsidP="00324AF7">
      <w:pPr>
        <w:jc w:val="center"/>
        <w:rPr>
          <w:rFonts w:asciiTheme="majorBidi" w:hAnsiTheme="majorBidi" w:cstheme="majorBidi"/>
        </w:rPr>
      </w:pPr>
    </w:p>
    <w:p w14:paraId="385E1323" w14:textId="77777777" w:rsidR="00324AF7" w:rsidRDefault="00324AF7" w:rsidP="00324AF7">
      <w:pPr>
        <w:jc w:val="center"/>
        <w:rPr>
          <w:rFonts w:asciiTheme="majorBidi" w:hAnsiTheme="majorBidi" w:cstheme="majorBidi"/>
        </w:rPr>
      </w:pPr>
    </w:p>
    <w:p w14:paraId="00209F2E" w14:textId="77777777" w:rsidR="00324AF7" w:rsidRDefault="00324AF7" w:rsidP="00324AF7">
      <w:pPr>
        <w:jc w:val="center"/>
        <w:rPr>
          <w:rFonts w:asciiTheme="majorBidi" w:hAnsiTheme="majorBidi" w:cstheme="majorBidi"/>
        </w:rPr>
      </w:pPr>
    </w:p>
    <w:p w14:paraId="29B692A1" w14:textId="77777777" w:rsidR="00324AF7" w:rsidRDefault="00324AF7" w:rsidP="00324AF7">
      <w:pPr>
        <w:jc w:val="center"/>
        <w:rPr>
          <w:rFonts w:asciiTheme="majorBidi" w:hAnsiTheme="majorBidi" w:cstheme="majorBidi"/>
        </w:rPr>
      </w:pPr>
    </w:p>
    <w:p w14:paraId="69E5BBD2" w14:textId="77777777" w:rsidR="00324AF7" w:rsidRDefault="00324AF7" w:rsidP="00324AF7">
      <w:pPr>
        <w:jc w:val="center"/>
        <w:rPr>
          <w:rFonts w:asciiTheme="majorBidi" w:hAnsiTheme="majorBidi" w:cstheme="majorBidi"/>
        </w:rPr>
      </w:pPr>
    </w:p>
    <w:p w14:paraId="56EB3C73" w14:textId="77777777" w:rsidR="00324AF7" w:rsidRDefault="00324AF7" w:rsidP="00324AF7">
      <w:pPr>
        <w:jc w:val="center"/>
        <w:rPr>
          <w:rFonts w:asciiTheme="majorBidi" w:hAnsiTheme="majorBidi" w:cstheme="majorBidi"/>
        </w:rPr>
      </w:pPr>
    </w:p>
    <w:p w14:paraId="19AA0206" w14:textId="77777777" w:rsidR="00324AF7" w:rsidRDefault="00324AF7" w:rsidP="00324AF7">
      <w:pPr>
        <w:jc w:val="center"/>
        <w:rPr>
          <w:rFonts w:asciiTheme="majorBidi" w:hAnsiTheme="majorBidi" w:cstheme="majorBidi"/>
        </w:rPr>
      </w:pPr>
    </w:p>
    <w:p w14:paraId="001DF90F" w14:textId="77777777" w:rsidR="00324AF7" w:rsidRDefault="00324AF7" w:rsidP="00324AF7">
      <w:pPr>
        <w:jc w:val="center"/>
        <w:rPr>
          <w:rFonts w:asciiTheme="majorBidi" w:hAnsiTheme="majorBidi" w:cstheme="majorBidi"/>
        </w:rPr>
      </w:pPr>
    </w:p>
    <w:p w14:paraId="27BC7734" w14:textId="77777777" w:rsidR="00324AF7" w:rsidRDefault="00324AF7" w:rsidP="00324AF7">
      <w:pPr>
        <w:jc w:val="center"/>
        <w:rPr>
          <w:rFonts w:asciiTheme="majorBidi" w:hAnsiTheme="majorBidi" w:cstheme="majorBidi"/>
        </w:rPr>
      </w:pPr>
    </w:p>
    <w:p w14:paraId="1E75C975" w14:textId="6D205E8F" w:rsidR="00324AF7" w:rsidRDefault="00324AF7" w:rsidP="00324AF7">
      <w:pPr>
        <w:jc w:val="center"/>
        <w:rPr>
          <w:rFonts w:asciiTheme="majorBidi" w:hAnsiTheme="majorBidi" w:cstheme="majorBidi"/>
        </w:rPr>
      </w:pPr>
      <w:r>
        <w:rPr>
          <w:rFonts w:asciiTheme="majorBidi" w:hAnsiTheme="majorBidi" w:cstheme="majorBidi"/>
        </w:rPr>
        <w:t xml:space="preserve">A THESIS </w:t>
      </w:r>
    </w:p>
    <w:p w14:paraId="5388E3A4" w14:textId="77777777" w:rsidR="00324AF7" w:rsidRDefault="00324AF7" w:rsidP="00324AF7">
      <w:pPr>
        <w:jc w:val="center"/>
        <w:rPr>
          <w:rFonts w:asciiTheme="majorBidi" w:hAnsiTheme="majorBidi" w:cstheme="majorBidi"/>
        </w:rPr>
      </w:pPr>
    </w:p>
    <w:p w14:paraId="45DE4EC3" w14:textId="1E1D13EC" w:rsidR="00324AF7" w:rsidRDefault="00324AF7" w:rsidP="00324AF7">
      <w:pPr>
        <w:jc w:val="center"/>
        <w:rPr>
          <w:rFonts w:asciiTheme="majorBidi" w:hAnsiTheme="majorBidi" w:cstheme="majorBidi"/>
        </w:rPr>
      </w:pPr>
      <w:r>
        <w:rPr>
          <w:rFonts w:asciiTheme="majorBidi" w:hAnsiTheme="majorBidi" w:cstheme="majorBidi"/>
        </w:rPr>
        <w:t xml:space="preserve">SUBMITTED TO THE GRADUATE </w:t>
      </w:r>
      <w:r w:rsidR="0006218B">
        <w:rPr>
          <w:rFonts w:asciiTheme="majorBidi" w:hAnsiTheme="majorBidi" w:cstheme="majorBidi"/>
        </w:rPr>
        <w:t xml:space="preserve">FACULTY </w:t>
      </w:r>
    </w:p>
    <w:p w14:paraId="0C786611" w14:textId="77777777" w:rsidR="00324AF7" w:rsidRDefault="00324AF7" w:rsidP="00324AF7">
      <w:pPr>
        <w:jc w:val="center"/>
        <w:rPr>
          <w:rFonts w:asciiTheme="majorBidi" w:hAnsiTheme="majorBidi" w:cstheme="majorBidi"/>
        </w:rPr>
      </w:pPr>
    </w:p>
    <w:p w14:paraId="7CF95927" w14:textId="04DAC5CF" w:rsidR="00324AF7" w:rsidRDefault="00194B62" w:rsidP="00324AF7">
      <w:pPr>
        <w:jc w:val="center"/>
        <w:rPr>
          <w:rFonts w:asciiTheme="majorBidi" w:hAnsiTheme="majorBidi" w:cstheme="majorBidi"/>
        </w:rPr>
      </w:pPr>
      <w:r>
        <w:rPr>
          <w:rFonts w:asciiTheme="majorBidi" w:hAnsiTheme="majorBidi" w:cstheme="majorBidi"/>
        </w:rPr>
        <w:t>i</w:t>
      </w:r>
      <w:r w:rsidR="00324AF7">
        <w:rPr>
          <w:rFonts w:asciiTheme="majorBidi" w:hAnsiTheme="majorBidi" w:cstheme="majorBidi"/>
        </w:rPr>
        <w:t>n partial fulfillment of the requirements for the</w:t>
      </w:r>
    </w:p>
    <w:p w14:paraId="37AF13BA" w14:textId="01F05BAB" w:rsidR="00324AF7" w:rsidRDefault="00324AF7" w:rsidP="00324AF7">
      <w:pPr>
        <w:jc w:val="center"/>
        <w:rPr>
          <w:rFonts w:asciiTheme="majorBidi" w:hAnsiTheme="majorBidi" w:cstheme="majorBidi"/>
        </w:rPr>
      </w:pPr>
      <w:r>
        <w:rPr>
          <w:rFonts w:asciiTheme="majorBidi" w:hAnsiTheme="majorBidi" w:cstheme="majorBidi"/>
        </w:rPr>
        <w:t xml:space="preserve"> </w:t>
      </w:r>
    </w:p>
    <w:p w14:paraId="738B85B7" w14:textId="0F6A4B1D" w:rsidR="00324AF7" w:rsidRDefault="00324AF7" w:rsidP="00324AF7">
      <w:pPr>
        <w:jc w:val="center"/>
        <w:rPr>
          <w:rFonts w:asciiTheme="majorBidi" w:hAnsiTheme="majorBidi" w:cstheme="majorBidi"/>
        </w:rPr>
      </w:pPr>
      <w:r>
        <w:rPr>
          <w:rFonts w:asciiTheme="majorBidi" w:hAnsiTheme="majorBidi" w:cstheme="majorBidi"/>
        </w:rPr>
        <w:t xml:space="preserve">Degree of </w:t>
      </w:r>
    </w:p>
    <w:p w14:paraId="59ECE4B5" w14:textId="77777777" w:rsidR="00324AF7" w:rsidRDefault="00324AF7" w:rsidP="00324AF7">
      <w:pPr>
        <w:jc w:val="center"/>
        <w:rPr>
          <w:rFonts w:asciiTheme="majorBidi" w:hAnsiTheme="majorBidi" w:cstheme="majorBidi"/>
        </w:rPr>
      </w:pPr>
    </w:p>
    <w:p w14:paraId="7F70540E" w14:textId="661AC84B" w:rsidR="00324AF7" w:rsidRDefault="00324AF7" w:rsidP="00324AF7">
      <w:pPr>
        <w:jc w:val="center"/>
        <w:rPr>
          <w:rFonts w:asciiTheme="majorBidi" w:hAnsiTheme="majorBidi" w:cstheme="majorBidi"/>
        </w:rPr>
      </w:pPr>
      <w:r>
        <w:rPr>
          <w:rFonts w:asciiTheme="majorBidi" w:hAnsiTheme="majorBidi" w:cstheme="majorBidi"/>
        </w:rPr>
        <w:t xml:space="preserve">MASTER OF SCIENCE </w:t>
      </w:r>
    </w:p>
    <w:p w14:paraId="0339EEA9" w14:textId="77777777" w:rsidR="00324AF7" w:rsidRDefault="00324AF7" w:rsidP="00324AF7">
      <w:pPr>
        <w:jc w:val="center"/>
        <w:rPr>
          <w:rFonts w:asciiTheme="majorBidi" w:hAnsiTheme="majorBidi" w:cstheme="majorBidi"/>
        </w:rPr>
      </w:pPr>
    </w:p>
    <w:p w14:paraId="7DD4B482" w14:textId="77777777" w:rsidR="00324AF7" w:rsidRDefault="00324AF7" w:rsidP="00324AF7">
      <w:pPr>
        <w:jc w:val="center"/>
        <w:rPr>
          <w:rFonts w:asciiTheme="majorBidi" w:hAnsiTheme="majorBidi" w:cstheme="majorBidi"/>
        </w:rPr>
      </w:pPr>
    </w:p>
    <w:p w14:paraId="7CD36D49" w14:textId="77777777" w:rsidR="00324AF7" w:rsidRDefault="00324AF7" w:rsidP="00324AF7">
      <w:pPr>
        <w:jc w:val="center"/>
        <w:rPr>
          <w:rFonts w:asciiTheme="majorBidi" w:hAnsiTheme="majorBidi" w:cstheme="majorBidi"/>
        </w:rPr>
      </w:pPr>
    </w:p>
    <w:p w14:paraId="6EAF076D" w14:textId="77777777" w:rsidR="00324AF7" w:rsidRDefault="00324AF7" w:rsidP="00324AF7">
      <w:pPr>
        <w:jc w:val="center"/>
        <w:rPr>
          <w:rFonts w:asciiTheme="majorBidi" w:hAnsiTheme="majorBidi" w:cstheme="majorBidi"/>
        </w:rPr>
      </w:pPr>
    </w:p>
    <w:p w14:paraId="1B5AAA5D" w14:textId="77777777" w:rsidR="00324AF7" w:rsidRDefault="00324AF7" w:rsidP="00324AF7">
      <w:pPr>
        <w:jc w:val="center"/>
        <w:rPr>
          <w:rFonts w:asciiTheme="majorBidi" w:hAnsiTheme="majorBidi" w:cstheme="majorBidi"/>
        </w:rPr>
      </w:pPr>
    </w:p>
    <w:p w14:paraId="68173BE2" w14:textId="77777777" w:rsidR="00324AF7" w:rsidRDefault="00324AF7" w:rsidP="00324AF7">
      <w:pPr>
        <w:jc w:val="center"/>
        <w:rPr>
          <w:rFonts w:asciiTheme="majorBidi" w:hAnsiTheme="majorBidi" w:cstheme="majorBidi"/>
        </w:rPr>
      </w:pPr>
    </w:p>
    <w:p w14:paraId="520B471B" w14:textId="688C586F" w:rsidR="00324AF7" w:rsidRDefault="00324AF7" w:rsidP="00324AF7">
      <w:pPr>
        <w:jc w:val="center"/>
        <w:rPr>
          <w:rFonts w:asciiTheme="majorBidi" w:hAnsiTheme="majorBidi" w:cstheme="majorBidi"/>
        </w:rPr>
      </w:pPr>
      <w:r>
        <w:rPr>
          <w:rFonts w:asciiTheme="majorBidi" w:hAnsiTheme="majorBidi" w:cstheme="majorBidi"/>
        </w:rPr>
        <w:t>By</w:t>
      </w:r>
    </w:p>
    <w:p w14:paraId="334E3EEB" w14:textId="5A552570" w:rsidR="00324AF7" w:rsidRDefault="00324AF7" w:rsidP="00324AF7">
      <w:pPr>
        <w:jc w:val="center"/>
        <w:rPr>
          <w:rFonts w:asciiTheme="majorBidi" w:hAnsiTheme="majorBidi" w:cstheme="majorBidi"/>
        </w:rPr>
      </w:pPr>
    </w:p>
    <w:p w14:paraId="4361B28B" w14:textId="022127DE" w:rsidR="00324AF7" w:rsidRDefault="00324AF7" w:rsidP="00324AF7">
      <w:pPr>
        <w:jc w:val="center"/>
        <w:rPr>
          <w:rFonts w:asciiTheme="majorBidi" w:hAnsiTheme="majorBidi" w:cstheme="majorBidi"/>
        </w:rPr>
      </w:pPr>
      <w:r>
        <w:rPr>
          <w:rFonts w:asciiTheme="majorBidi" w:hAnsiTheme="majorBidi" w:cstheme="majorBidi"/>
        </w:rPr>
        <w:t xml:space="preserve">GHAINAA ABOUSLEIMAN </w:t>
      </w:r>
    </w:p>
    <w:p w14:paraId="23A4FCB7" w14:textId="77777777" w:rsidR="00324AF7" w:rsidRDefault="00324AF7" w:rsidP="00324AF7">
      <w:pPr>
        <w:jc w:val="center"/>
        <w:rPr>
          <w:rFonts w:asciiTheme="majorBidi" w:hAnsiTheme="majorBidi" w:cstheme="majorBidi"/>
        </w:rPr>
      </w:pPr>
    </w:p>
    <w:p w14:paraId="0BDD5A83" w14:textId="394EBFB5" w:rsidR="00324AF7" w:rsidRDefault="00324AF7" w:rsidP="00324AF7">
      <w:pPr>
        <w:jc w:val="center"/>
        <w:rPr>
          <w:rFonts w:asciiTheme="majorBidi" w:hAnsiTheme="majorBidi" w:cstheme="majorBidi"/>
        </w:rPr>
      </w:pPr>
      <w:r>
        <w:rPr>
          <w:rFonts w:asciiTheme="majorBidi" w:hAnsiTheme="majorBidi" w:cstheme="majorBidi"/>
        </w:rPr>
        <w:t>Norman, Oklahoma</w:t>
      </w:r>
    </w:p>
    <w:p w14:paraId="3BE64853" w14:textId="77777777" w:rsidR="00324AF7" w:rsidRDefault="00324AF7" w:rsidP="00324AF7">
      <w:pPr>
        <w:jc w:val="center"/>
        <w:rPr>
          <w:rFonts w:asciiTheme="majorBidi" w:hAnsiTheme="majorBidi" w:cstheme="majorBidi"/>
        </w:rPr>
      </w:pPr>
    </w:p>
    <w:p w14:paraId="0B0E5E0A" w14:textId="19B02FCF" w:rsidR="00BA705B" w:rsidRDefault="00324AF7" w:rsidP="00324AF7">
      <w:pPr>
        <w:jc w:val="center"/>
        <w:rPr>
          <w:rFonts w:asciiTheme="majorBidi" w:hAnsiTheme="majorBidi" w:cstheme="majorBidi"/>
        </w:rPr>
      </w:pPr>
      <w:r>
        <w:rPr>
          <w:rFonts w:asciiTheme="majorBidi" w:hAnsiTheme="majorBidi" w:cstheme="majorBidi"/>
        </w:rPr>
        <w:t>202</w:t>
      </w:r>
      <w:r w:rsidR="005524B5">
        <w:rPr>
          <w:rFonts w:asciiTheme="majorBidi" w:hAnsiTheme="majorBidi" w:cstheme="majorBidi"/>
        </w:rPr>
        <w:t>4</w:t>
      </w:r>
    </w:p>
    <w:p w14:paraId="7EEBE25E" w14:textId="77777777" w:rsidR="00800635" w:rsidRDefault="00800635" w:rsidP="00800635">
      <w:pPr>
        <w:jc w:val="center"/>
        <w:rPr>
          <w:rFonts w:asciiTheme="majorBidi" w:hAnsiTheme="majorBidi" w:cstheme="majorBidi"/>
        </w:rPr>
      </w:pPr>
    </w:p>
    <w:p w14:paraId="4ECDBD74" w14:textId="77777777" w:rsidR="00800635" w:rsidRDefault="00800635" w:rsidP="00800635">
      <w:pPr>
        <w:jc w:val="center"/>
        <w:rPr>
          <w:rFonts w:asciiTheme="majorBidi" w:hAnsiTheme="majorBidi" w:cstheme="majorBidi"/>
        </w:rPr>
      </w:pPr>
    </w:p>
    <w:p w14:paraId="61B17BFB" w14:textId="77777777" w:rsidR="00800635" w:rsidRDefault="00800635" w:rsidP="00800635">
      <w:pPr>
        <w:jc w:val="center"/>
        <w:rPr>
          <w:rFonts w:asciiTheme="majorBidi" w:hAnsiTheme="majorBidi" w:cstheme="majorBidi"/>
        </w:rPr>
      </w:pPr>
    </w:p>
    <w:p w14:paraId="70EE3C93" w14:textId="77777777" w:rsidR="00800635" w:rsidRDefault="00800635" w:rsidP="00800635">
      <w:pPr>
        <w:jc w:val="center"/>
        <w:rPr>
          <w:rFonts w:asciiTheme="majorBidi" w:hAnsiTheme="majorBidi" w:cstheme="majorBidi"/>
        </w:rPr>
      </w:pPr>
    </w:p>
    <w:p w14:paraId="7E96BEEC" w14:textId="77777777" w:rsidR="00800635" w:rsidRDefault="00800635" w:rsidP="00800635">
      <w:pPr>
        <w:jc w:val="center"/>
        <w:rPr>
          <w:rFonts w:asciiTheme="majorBidi" w:hAnsiTheme="majorBidi" w:cstheme="majorBidi"/>
        </w:rPr>
      </w:pPr>
    </w:p>
    <w:p w14:paraId="782756BF" w14:textId="77777777" w:rsidR="00800635" w:rsidRDefault="00800635" w:rsidP="00800635">
      <w:pPr>
        <w:jc w:val="center"/>
        <w:rPr>
          <w:rFonts w:asciiTheme="majorBidi" w:hAnsiTheme="majorBidi" w:cstheme="majorBidi"/>
        </w:rPr>
      </w:pPr>
    </w:p>
    <w:p w14:paraId="1837D6B3" w14:textId="77777777" w:rsidR="00800635" w:rsidRDefault="00800635" w:rsidP="00800635">
      <w:pPr>
        <w:jc w:val="center"/>
        <w:rPr>
          <w:rFonts w:asciiTheme="majorBidi" w:hAnsiTheme="majorBidi" w:cstheme="majorBidi"/>
        </w:rPr>
      </w:pPr>
    </w:p>
    <w:p w14:paraId="19AE69B2" w14:textId="77777777" w:rsidR="00966DF5" w:rsidRDefault="00966DF5" w:rsidP="00966DF5">
      <w:pPr>
        <w:jc w:val="center"/>
        <w:rPr>
          <w:rFonts w:asciiTheme="majorBidi" w:hAnsiTheme="majorBidi" w:cstheme="majorBidi"/>
        </w:rPr>
      </w:pPr>
      <w:r>
        <w:rPr>
          <w:rFonts w:asciiTheme="majorBidi" w:hAnsiTheme="majorBidi" w:cstheme="majorBidi"/>
        </w:rPr>
        <w:t xml:space="preserve">ACTIVATION OF MURINE DENDRITIC CELLS THROUGH </w:t>
      </w:r>
    </w:p>
    <w:p w14:paraId="53197EC5" w14:textId="77777777" w:rsidR="00966DF5" w:rsidRDefault="00966DF5" w:rsidP="00966DF5">
      <w:pPr>
        <w:jc w:val="center"/>
        <w:rPr>
          <w:rFonts w:asciiTheme="majorBidi" w:hAnsiTheme="majorBidi" w:cstheme="majorBidi"/>
        </w:rPr>
      </w:pPr>
      <w:r>
        <w:rPr>
          <w:rFonts w:asciiTheme="majorBidi" w:hAnsiTheme="majorBidi" w:cstheme="majorBidi"/>
        </w:rPr>
        <w:t xml:space="preserve">STING PATHWAY INTERACTIONS WITH GLYCATED CHITOSAN </w:t>
      </w:r>
    </w:p>
    <w:p w14:paraId="6DB690B0" w14:textId="77777777" w:rsidR="00800635" w:rsidRDefault="00800635" w:rsidP="00800635">
      <w:pPr>
        <w:jc w:val="center"/>
        <w:rPr>
          <w:rFonts w:asciiTheme="majorBidi" w:hAnsiTheme="majorBidi" w:cstheme="majorBidi"/>
        </w:rPr>
      </w:pPr>
    </w:p>
    <w:p w14:paraId="0FD98F06" w14:textId="77777777" w:rsidR="00800635" w:rsidRDefault="00800635" w:rsidP="00800635">
      <w:pPr>
        <w:jc w:val="center"/>
        <w:rPr>
          <w:rFonts w:asciiTheme="majorBidi" w:hAnsiTheme="majorBidi" w:cstheme="majorBidi"/>
        </w:rPr>
      </w:pPr>
    </w:p>
    <w:p w14:paraId="2F040F32" w14:textId="77777777" w:rsidR="00800635" w:rsidRDefault="00800635" w:rsidP="00800635">
      <w:pPr>
        <w:rPr>
          <w:rFonts w:asciiTheme="majorBidi" w:hAnsiTheme="majorBidi" w:cstheme="majorBidi"/>
        </w:rPr>
      </w:pPr>
    </w:p>
    <w:p w14:paraId="49C7C90E" w14:textId="77777777" w:rsidR="00800635" w:rsidRDefault="00800635" w:rsidP="00800635">
      <w:pPr>
        <w:jc w:val="center"/>
        <w:rPr>
          <w:rFonts w:asciiTheme="majorBidi" w:hAnsiTheme="majorBidi" w:cstheme="majorBidi"/>
        </w:rPr>
      </w:pPr>
    </w:p>
    <w:p w14:paraId="1078FA67" w14:textId="77777777" w:rsidR="00800635" w:rsidRDefault="00800635" w:rsidP="00800635">
      <w:pPr>
        <w:jc w:val="center"/>
        <w:rPr>
          <w:rFonts w:asciiTheme="majorBidi" w:hAnsiTheme="majorBidi" w:cstheme="majorBidi"/>
        </w:rPr>
      </w:pPr>
    </w:p>
    <w:p w14:paraId="0C2AEC81" w14:textId="77777777" w:rsidR="00800635" w:rsidRDefault="00800635" w:rsidP="00800635">
      <w:pPr>
        <w:jc w:val="center"/>
        <w:rPr>
          <w:rFonts w:asciiTheme="majorBidi" w:hAnsiTheme="majorBidi" w:cstheme="majorBidi"/>
        </w:rPr>
      </w:pPr>
    </w:p>
    <w:p w14:paraId="6359F4F0" w14:textId="77777777" w:rsidR="00800635" w:rsidRDefault="00800635" w:rsidP="00800635">
      <w:pPr>
        <w:jc w:val="center"/>
        <w:rPr>
          <w:rFonts w:ascii="TimesNewRomanPSMT" w:eastAsia="Times New Roman" w:hAnsi="TimesNewRomanPSMT" w:cs="Times New Roman"/>
        </w:rPr>
      </w:pPr>
      <w:r w:rsidRPr="00800635">
        <w:rPr>
          <w:rFonts w:ascii="TimesNewRomanPSMT" w:eastAsia="Times New Roman" w:hAnsi="TimesNewRomanPSMT" w:cs="Times New Roman"/>
        </w:rPr>
        <w:t xml:space="preserve">A THESIS APPROVED FOR THE </w:t>
      </w:r>
    </w:p>
    <w:p w14:paraId="2B83F094" w14:textId="76EC53DB" w:rsidR="00800635" w:rsidRPr="00800635" w:rsidRDefault="00800635" w:rsidP="00800635">
      <w:pPr>
        <w:jc w:val="center"/>
        <w:rPr>
          <w:rFonts w:ascii="TimesNewRomanPSMT" w:eastAsia="Times New Roman" w:hAnsi="TimesNewRomanPSMT" w:cs="Times New Roman"/>
        </w:rPr>
      </w:pPr>
      <w:r w:rsidRPr="00800635">
        <w:rPr>
          <w:rFonts w:ascii="TimesNewRomanPSMT" w:eastAsia="Times New Roman" w:hAnsi="TimesNewRomanPSMT" w:cs="Times New Roman"/>
        </w:rPr>
        <w:t>STEPHENSON SCHOOL OF BIOMEDICAL ENGINEERING</w:t>
      </w:r>
    </w:p>
    <w:p w14:paraId="1EED6B40" w14:textId="445928ED" w:rsidR="00800635" w:rsidRDefault="00800635" w:rsidP="00800635">
      <w:pPr>
        <w:jc w:val="center"/>
        <w:rPr>
          <w:rFonts w:asciiTheme="majorBidi" w:hAnsiTheme="majorBidi" w:cstheme="majorBidi"/>
        </w:rPr>
      </w:pPr>
    </w:p>
    <w:p w14:paraId="15382B14" w14:textId="77777777" w:rsidR="00800635" w:rsidRDefault="00800635" w:rsidP="00800635">
      <w:pPr>
        <w:jc w:val="center"/>
        <w:rPr>
          <w:rFonts w:asciiTheme="majorBidi" w:hAnsiTheme="majorBidi" w:cstheme="majorBidi"/>
        </w:rPr>
      </w:pPr>
    </w:p>
    <w:p w14:paraId="6F88B4E7" w14:textId="77777777" w:rsidR="00800635" w:rsidRDefault="00800635" w:rsidP="00800635">
      <w:pPr>
        <w:jc w:val="center"/>
        <w:rPr>
          <w:rFonts w:asciiTheme="majorBidi" w:hAnsiTheme="majorBidi" w:cstheme="majorBidi"/>
        </w:rPr>
      </w:pPr>
    </w:p>
    <w:p w14:paraId="56F73D6C" w14:textId="77777777" w:rsidR="00800635" w:rsidRDefault="00800635" w:rsidP="00800635">
      <w:pPr>
        <w:jc w:val="center"/>
        <w:rPr>
          <w:rFonts w:asciiTheme="majorBidi" w:hAnsiTheme="majorBidi" w:cstheme="majorBidi"/>
        </w:rPr>
      </w:pPr>
    </w:p>
    <w:p w14:paraId="18334342"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2398DCA0"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6898BC80" w14:textId="77777777" w:rsidR="003B14A6" w:rsidRDefault="003B14A6" w:rsidP="00800635">
      <w:pPr>
        <w:spacing w:before="100" w:beforeAutospacing="1" w:after="100" w:afterAutospacing="1"/>
        <w:jc w:val="center"/>
        <w:rPr>
          <w:rFonts w:ascii="TimesNewRomanPSMT" w:eastAsia="Times New Roman" w:hAnsi="TimesNewRomanPSMT" w:cs="Times New Roman"/>
        </w:rPr>
      </w:pPr>
    </w:p>
    <w:p w14:paraId="22CFE608"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0121A3D5" w14:textId="6D81ACD2" w:rsidR="00800635" w:rsidRPr="00800635" w:rsidRDefault="00800635" w:rsidP="00800635">
      <w:pPr>
        <w:spacing w:before="100" w:beforeAutospacing="1" w:after="100" w:afterAutospacing="1"/>
        <w:jc w:val="center"/>
        <w:rPr>
          <w:rFonts w:ascii="Times New Roman" w:eastAsia="Times New Roman" w:hAnsi="Times New Roman" w:cs="Times New Roman"/>
        </w:rPr>
      </w:pPr>
      <w:r w:rsidRPr="00800635">
        <w:rPr>
          <w:rFonts w:ascii="TimesNewRomanPSMT" w:eastAsia="Times New Roman" w:hAnsi="TimesNewRomanPSMT" w:cs="Times New Roman"/>
        </w:rPr>
        <w:t>BY THE COMMITTEE CONSISTING OF</w:t>
      </w:r>
    </w:p>
    <w:p w14:paraId="7A7513F1" w14:textId="77777777" w:rsidR="00800635" w:rsidRDefault="00800635" w:rsidP="00800635">
      <w:pPr>
        <w:jc w:val="center"/>
        <w:rPr>
          <w:rFonts w:asciiTheme="majorBidi" w:hAnsiTheme="majorBidi" w:cstheme="majorBidi"/>
        </w:rPr>
      </w:pPr>
    </w:p>
    <w:p w14:paraId="788AFFE1" w14:textId="77777777" w:rsidR="00800635" w:rsidRDefault="00800635" w:rsidP="00800635">
      <w:pPr>
        <w:jc w:val="center"/>
        <w:rPr>
          <w:rFonts w:asciiTheme="majorBidi" w:hAnsiTheme="majorBidi" w:cstheme="majorBidi"/>
        </w:rPr>
      </w:pPr>
    </w:p>
    <w:p w14:paraId="07875A32" w14:textId="77777777" w:rsidR="00800635" w:rsidRDefault="00800635" w:rsidP="00800635">
      <w:pPr>
        <w:jc w:val="center"/>
        <w:rPr>
          <w:rFonts w:asciiTheme="majorBidi" w:hAnsiTheme="majorBidi" w:cstheme="majorBidi"/>
        </w:rPr>
      </w:pPr>
    </w:p>
    <w:p w14:paraId="59C21761" w14:textId="77777777" w:rsidR="00800635" w:rsidRDefault="00800635" w:rsidP="00800635">
      <w:pPr>
        <w:spacing w:before="100" w:beforeAutospacing="1" w:after="100" w:afterAutospacing="1"/>
        <w:jc w:val="right"/>
        <w:rPr>
          <w:rFonts w:ascii="TimesNewRomanPSMT" w:eastAsia="Times New Roman" w:hAnsi="TimesNewRomanPSMT" w:cs="Times New Roman"/>
        </w:rPr>
      </w:pPr>
      <w:r w:rsidRPr="00800635">
        <w:rPr>
          <w:rFonts w:ascii="TimesNewRomanPSMT" w:eastAsia="Times New Roman" w:hAnsi="TimesNewRomanPSMT" w:cs="Times New Roman"/>
        </w:rPr>
        <w:t xml:space="preserve">Dr. Wei R. Chen, Chair </w:t>
      </w:r>
    </w:p>
    <w:p w14:paraId="0BCBEA63" w14:textId="77777777" w:rsidR="00800635" w:rsidRPr="006B1C95" w:rsidRDefault="00800635" w:rsidP="00800635">
      <w:pPr>
        <w:spacing w:before="100" w:beforeAutospacing="1" w:after="100" w:afterAutospacing="1"/>
        <w:jc w:val="right"/>
        <w:rPr>
          <w:rFonts w:ascii="TimesNewRomanPSMT" w:eastAsia="Times New Roman" w:hAnsi="TimesNewRomanPSMT" w:cs="Times New Roman"/>
          <w:color w:val="000000" w:themeColor="text1"/>
        </w:rPr>
      </w:pPr>
      <w:r w:rsidRPr="006B1C95">
        <w:rPr>
          <w:rFonts w:ascii="TimesNewRomanPSMT" w:eastAsia="Times New Roman" w:hAnsi="TimesNewRomanPSMT" w:cs="Times New Roman"/>
          <w:color w:val="000000" w:themeColor="text1"/>
        </w:rPr>
        <w:t xml:space="preserve">Dr. John Clegg </w:t>
      </w:r>
    </w:p>
    <w:p w14:paraId="7331BA89" w14:textId="5E6E2B6B" w:rsidR="00800635" w:rsidRPr="006B1C95" w:rsidRDefault="00800635" w:rsidP="00800635">
      <w:pPr>
        <w:spacing w:before="100" w:beforeAutospacing="1" w:after="100" w:afterAutospacing="1"/>
        <w:jc w:val="right"/>
        <w:rPr>
          <w:rFonts w:ascii="Times New Roman" w:eastAsia="Times New Roman" w:hAnsi="Times New Roman" w:cs="Times New Roman"/>
          <w:color w:val="000000" w:themeColor="text1"/>
        </w:rPr>
      </w:pPr>
      <w:r w:rsidRPr="006B1C95">
        <w:rPr>
          <w:rFonts w:ascii="TimesNewRomanPSMT" w:eastAsia="Times New Roman" w:hAnsi="TimesNewRomanPSMT" w:cs="Times New Roman"/>
          <w:color w:val="000000" w:themeColor="text1"/>
        </w:rPr>
        <w:t xml:space="preserve">Dr. </w:t>
      </w:r>
      <w:proofErr w:type="spellStart"/>
      <w:r w:rsidR="00CA3DD0" w:rsidRPr="006B1C95">
        <w:rPr>
          <w:rFonts w:ascii="TimesNewRomanPSMT" w:eastAsia="Times New Roman" w:hAnsi="TimesNewRomanPSMT" w:cs="Times New Roman"/>
          <w:color w:val="000000" w:themeColor="text1"/>
        </w:rPr>
        <w:t>Qinggong</w:t>
      </w:r>
      <w:proofErr w:type="spellEnd"/>
      <w:r w:rsidRPr="006B1C95">
        <w:rPr>
          <w:rFonts w:ascii="TimesNewRomanPSMT" w:eastAsia="Times New Roman" w:hAnsi="TimesNewRomanPSMT" w:cs="Times New Roman"/>
          <w:color w:val="000000" w:themeColor="text1"/>
        </w:rPr>
        <w:t xml:space="preserve"> </w:t>
      </w:r>
      <w:r w:rsidR="00CA3DD0" w:rsidRPr="006B1C95">
        <w:rPr>
          <w:rFonts w:ascii="TimesNewRomanPSMT" w:eastAsia="Times New Roman" w:hAnsi="TimesNewRomanPSMT" w:cs="Times New Roman"/>
          <w:color w:val="000000" w:themeColor="text1"/>
        </w:rPr>
        <w:t>Tang</w:t>
      </w:r>
      <w:r w:rsidRPr="006B1C95">
        <w:rPr>
          <w:rFonts w:ascii="TimesNewRomanPSMT" w:eastAsia="Times New Roman" w:hAnsi="TimesNewRomanPSMT" w:cs="Times New Roman"/>
          <w:color w:val="000000" w:themeColor="text1"/>
        </w:rPr>
        <w:t xml:space="preserve"> </w:t>
      </w:r>
    </w:p>
    <w:p w14:paraId="29332F55" w14:textId="77777777" w:rsidR="00800635" w:rsidRDefault="00800635" w:rsidP="00BA705B">
      <w:pPr>
        <w:pStyle w:val="TitleTNR"/>
      </w:pPr>
    </w:p>
    <w:p w14:paraId="04E76F50" w14:textId="48F28B63" w:rsidR="00800635" w:rsidRDefault="00800635" w:rsidP="00800635"/>
    <w:p w14:paraId="6407F2E0" w14:textId="77777777" w:rsidR="00800635" w:rsidRDefault="00800635">
      <w:pPr>
        <w:rPr>
          <w:rFonts w:asciiTheme="majorBidi" w:eastAsiaTheme="majorEastAsia" w:hAnsiTheme="majorBidi" w:cstheme="majorBidi"/>
          <w:b/>
          <w:i/>
          <w:spacing w:val="-10"/>
          <w:kern w:val="28"/>
          <w:sz w:val="56"/>
          <w:szCs w:val="56"/>
        </w:rPr>
      </w:pPr>
      <w:r>
        <w:br w:type="page"/>
      </w:r>
    </w:p>
    <w:p w14:paraId="08C2B1E4"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1A445C0A"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48EA89BF"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3E5BB4C5"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395F9FE0"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2544DA67"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63265C50"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75BADEC8"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5EF3B53A"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2AE60AE5"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71CF88E6"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124688D5"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7FD617C0"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42AF2DD3"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54429E52"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664A6438"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760D0F43"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62C33581"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7287CD3F"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6918C48C" w14:textId="77777777" w:rsidR="00800635" w:rsidRDefault="00800635" w:rsidP="00800635">
      <w:pPr>
        <w:spacing w:before="100" w:beforeAutospacing="1" w:after="100" w:afterAutospacing="1"/>
        <w:jc w:val="center"/>
        <w:rPr>
          <w:rFonts w:ascii="TimesNewRomanPSMT" w:eastAsia="Times New Roman" w:hAnsi="TimesNewRomanPSMT" w:cs="Times New Roman"/>
        </w:rPr>
      </w:pPr>
    </w:p>
    <w:p w14:paraId="56A61968" w14:textId="76392A7D" w:rsidR="00800635" w:rsidRDefault="00800635" w:rsidP="00800635">
      <w:pPr>
        <w:spacing w:before="100" w:beforeAutospacing="1" w:after="100" w:afterAutospacing="1"/>
        <w:jc w:val="center"/>
        <w:rPr>
          <w:rFonts w:ascii="TimesNewRomanPSMT" w:eastAsia="Times New Roman" w:hAnsi="TimesNewRomanPSMT" w:cs="Times New Roman"/>
        </w:rPr>
      </w:pPr>
      <w:r w:rsidRPr="00800635">
        <w:rPr>
          <w:rFonts w:ascii="TimesNewRomanPSMT" w:eastAsia="Times New Roman" w:hAnsi="TimesNewRomanPSMT" w:cs="Times New Roman"/>
        </w:rPr>
        <w:t xml:space="preserve">© </w:t>
      </w:r>
      <w:r w:rsidRPr="007C7FFD">
        <w:rPr>
          <w:rFonts w:ascii="TimesNewRomanPSMT" w:eastAsia="Times New Roman" w:hAnsi="TimesNewRomanPSMT" w:cs="Times New Roman"/>
        </w:rPr>
        <w:t>Copyright</w:t>
      </w:r>
      <w:r w:rsidRPr="00800635">
        <w:rPr>
          <w:rFonts w:ascii="TimesNewRomanPSMT" w:eastAsia="Times New Roman" w:hAnsi="TimesNewRomanPSMT" w:cs="Times New Roman"/>
        </w:rPr>
        <w:t xml:space="preserve"> by </w:t>
      </w:r>
      <w:r>
        <w:rPr>
          <w:rFonts w:ascii="TimesNewRomanPSMT" w:eastAsia="Times New Roman" w:hAnsi="TimesNewRomanPSMT" w:cs="Times New Roman"/>
        </w:rPr>
        <w:t>GHAINAA ABOUSLEIMAN</w:t>
      </w:r>
      <w:r w:rsidRPr="00800635">
        <w:rPr>
          <w:rFonts w:ascii="TimesNewRomanPSMT" w:eastAsia="Times New Roman" w:hAnsi="TimesNewRomanPSMT" w:cs="Times New Roman"/>
        </w:rPr>
        <w:t xml:space="preserve"> 202</w:t>
      </w:r>
      <w:r>
        <w:rPr>
          <w:rFonts w:ascii="TimesNewRomanPSMT" w:eastAsia="Times New Roman" w:hAnsi="TimesNewRomanPSMT" w:cs="Times New Roman"/>
        </w:rPr>
        <w:t>4</w:t>
      </w:r>
    </w:p>
    <w:p w14:paraId="2D90BEA2" w14:textId="13136A6B" w:rsidR="00800635" w:rsidRPr="00800635" w:rsidRDefault="00800635" w:rsidP="00800635">
      <w:pPr>
        <w:spacing w:before="100" w:beforeAutospacing="1" w:after="100" w:afterAutospacing="1"/>
        <w:jc w:val="center"/>
        <w:rPr>
          <w:rFonts w:ascii="Times New Roman" w:eastAsia="Times New Roman" w:hAnsi="Times New Roman" w:cs="Times New Roman"/>
        </w:rPr>
      </w:pPr>
      <w:r w:rsidRPr="00800635">
        <w:rPr>
          <w:rFonts w:ascii="TimesNewRomanPSMT" w:eastAsia="Times New Roman" w:hAnsi="TimesNewRomanPSMT" w:cs="Times New Roman"/>
        </w:rPr>
        <w:t>All Rights Reserved.</w:t>
      </w:r>
    </w:p>
    <w:p w14:paraId="01927246" w14:textId="799F57B6" w:rsidR="00306EAF" w:rsidRPr="00306EAF" w:rsidRDefault="00306EAF" w:rsidP="00306EAF">
      <w:pPr>
        <w:rPr>
          <w:rFonts w:asciiTheme="majorBidi" w:eastAsiaTheme="majorEastAsia" w:hAnsiTheme="majorBidi" w:cstheme="majorBidi"/>
          <w:b/>
          <w:i/>
          <w:spacing w:val="-10"/>
          <w:kern w:val="28"/>
          <w:sz w:val="56"/>
          <w:szCs w:val="56"/>
        </w:rPr>
        <w:sectPr w:rsidR="00306EAF" w:rsidRPr="00306EAF" w:rsidSect="00D96929">
          <w:footerReference w:type="even" r:id="rId8"/>
          <w:footerReference w:type="default" r:id="rId9"/>
          <w:pgSz w:w="12240" w:h="15840"/>
          <w:pgMar w:top="1440" w:right="1440" w:bottom="1440" w:left="1440" w:header="720" w:footer="720" w:gutter="0"/>
          <w:pgNumType w:start="0"/>
          <w:cols w:space="720"/>
          <w:titlePg/>
          <w:docGrid w:linePitch="360"/>
        </w:sectPr>
      </w:pPr>
    </w:p>
    <w:p w14:paraId="661757A9" w14:textId="77777777" w:rsidR="000F40D5" w:rsidRDefault="000F40D5" w:rsidP="00BA705B">
      <w:pPr>
        <w:pStyle w:val="TitleTNR"/>
        <w:sectPr w:rsidR="000F40D5" w:rsidSect="00D96929">
          <w:type w:val="continuous"/>
          <w:pgSz w:w="12240" w:h="15840"/>
          <w:pgMar w:top="1440" w:right="1440" w:bottom="1440" w:left="1440" w:header="720" w:footer="720" w:gutter="0"/>
          <w:cols w:space="720"/>
          <w:docGrid w:linePitch="360"/>
        </w:sectPr>
      </w:pPr>
    </w:p>
    <w:p w14:paraId="2BFDF07D" w14:textId="77777777" w:rsidR="00306EAF" w:rsidRDefault="00306EAF" w:rsidP="00BA705B">
      <w:pPr>
        <w:pStyle w:val="TitleTNR"/>
        <w:sectPr w:rsidR="00306EAF" w:rsidSect="00D96929">
          <w:type w:val="continuous"/>
          <w:pgSz w:w="12240" w:h="15840"/>
          <w:pgMar w:top="1440" w:right="1440" w:bottom="1440" w:left="1440" w:header="720" w:footer="720" w:gutter="0"/>
          <w:cols w:space="720"/>
          <w:docGrid w:linePitch="360"/>
        </w:sectPr>
      </w:pPr>
    </w:p>
    <w:p w14:paraId="11018624" w14:textId="6AE64324" w:rsidR="00BA705B" w:rsidRDefault="00BA705B" w:rsidP="00BA705B">
      <w:pPr>
        <w:pStyle w:val="TitleTNR"/>
      </w:pPr>
      <w:r>
        <w:lastRenderedPageBreak/>
        <w:t>Acknowledgment</w:t>
      </w:r>
    </w:p>
    <w:p w14:paraId="46876550" w14:textId="77777777" w:rsidR="002363BC" w:rsidRPr="00A85BB8" w:rsidRDefault="002363BC" w:rsidP="002363BC">
      <w:pPr>
        <w:rPr>
          <w:sz w:val="20"/>
          <w:szCs w:val="20"/>
        </w:rPr>
      </w:pPr>
    </w:p>
    <w:p w14:paraId="7A71EA93" w14:textId="7B48CD38" w:rsidR="001C21A2" w:rsidRDefault="00C87B6B" w:rsidP="00E4198A">
      <w:r w:rsidRPr="00C87B6B">
        <w:t xml:space="preserve">I extend my deepest gratitude to my Principal Investigator and Chair of my thesis committee, Dr. Wei R. Chen. </w:t>
      </w:r>
      <w:r>
        <w:t xml:space="preserve">Without </w:t>
      </w:r>
      <w:r w:rsidRPr="00C87B6B">
        <w:t xml:space="preserve">his invaluable guidance, unwavering support, and </w:t>
      </w:r>
      <w:r w:rsidRPr="00E5229A">
        <w:t>mentorship</w:t>
      </w:r>
      <w:r w:rsidRPr="00C87B6B">
        <w:t xml:space="preserve"> </w:t>
      </w:r>
      <w:r>
        <w:t xml:space="preserve">I would not have been able to </w:t>
      </w:r>
      <w:r w:rsidR="001C21A2">
        <w:t xml:space="preserve">embark on this journey. His encouragement </w:t>
      </w:r>
      <w:r w:rsidR="001C21A2" w:rsidRPr="00C87B6B">
        <w:t>of individual academic pursuits</w:t>
      </w:r>
      <w:r w:rsidR="001C21A2">
        <w:t xml:space="preserve"> allowed me to explore several interesting facets of the research in the lab, expanding both my knowledge </w:t>
      </w:r>
      <w:r w:rsidR="005524B5">
        <w:t xml:space="preserve">base </w:t>
      </w:r>
      <w:r w:rsidR="001C21A2">
        <w:t>and skill set.</w:t>
      </w:r>
      <w:r w:rsidR="00E5229A">
        <w:t xml:space="preserve"> Dr. Chen also provided me with the opportunity to attend the </w:t>
      </w:r>
      <w:r w:rsidR="00E5229A" w:rsidRPr="00E5229A">
        <w:t>2024 Annual Cancer Research Symposium</w:t>
      </w:r>
      <w:r w:rsidR="00E4198A">
        <w:t xml:space="preserve">, where I was able to present my work to peers and fellow professionals within the cancer research community. </w:t>
      </w:r>
      <w:r w:rsidR="001C21A2" w:rsidRPr="00C87B6B">
        <w:t xml:space="preserve">I am profoundly thankful for Dr. Chen's </w:t>
      </w:r>
      <w:r w:rsidR="00E5229A">
        <w:t>guidance</w:t>
      </w:r>
      <w:r w:rsidR="001C21A2" w:rsidRPr="00C87B6B">
        <w:t>, which has been instrumental in shaping my academic journey and contributing to the completion of this thesis.</w:t>
      </w:r>
    </w:p>
    <w:p w14:paraId="0504EE53" w14:textId="77777777" w:rsidR="002363BC" w:rsidRPr="00A85BB8" w:rsidRDefault="002363BC" w:rsidP="002363BC">
      <w:pPr>
        <w:rPr>
          <w:sz w:val="20"/>
          <w:szCs w:val="20"/>
        </w:rPr>
      </w:pPr>
    </w:p>
    <w:p w14:paraId="3EF5A09B" w14:textId="5A4034B9" w:rsidR="00A83AFC" w:rsidRDefault="00C87B6B" w:rsidP="001C21A2">
      <w:r w:rsidRPr="00C87B6B">
        <w:t xml:space="preserve">This </w:t>
      </w:r>
      <w:r>
        <w:t>journey</w:t>
      </w:r>
      <w:r w:rsidRPr="00C87B6B">
        <w:t xml:space="preserve"> would not have been possible without the committee members, Dr. John Clegg, and Dr. </w:t>
      </w:r>
      <w:proofErr w:type="spellStart"/>
      <w:r w:rsidRPr="00C87B6B">
        <w:t>Qinggong</w:t>
      </w:r>
      <w:proofErr w:type="spellEnd"/>
      <w:r w:rsidRPr="00C87B6B">
        <w:t xml:space="preserve"> Tang</w:t>
      </w:r>
      <w:r w:rsidR="005524B5">
        <w:t>, for their efforts in advising me during the past two years and for their time to read, edit, and comment on my thesis.</w:t>
      </w:r>
    </w:p>
    <w:p w14:paraId="210D86DD" w14:textId="77777777" w:rsidR="002363BC" w:rsidRPr="00A85BB8" w:rsidRDefault="002363BC" w:rsidP="002363BC">
      <w:pPr>
        <w:rPr>
          <w:sz w:val="20"/>
          <w:szCs w:val="20"/>
        </w:rPr>
      </w:pPr>
    </w:p>
    <w:p w14:paraId="2F52FFDD" w14:textId="00B0D4B9" w:rsidR="00E4198A" w:rsidRDefault="00A83AFC" w:rsidP="001C21A2">
      <w:r w:rsidRPr="00E5229A">
        <w:t xml:space="preserve">I would also like to extend my gratitude to Dr. Ashley Hoover who has been </w:t>
      </w:r>
      <w:r w:rsidR="00004789">
        <w:t xml:space="preserve">a great source of inspiration for this project as well </w:t>
      </w:r>
      <w:r w:rsidRPr="00E5229A">
        <w:t xml:space="preserve">instrumental in guiding me throughout this </w:t>
      </w:r>
      <w:r w:rsidR="00D22D95">
        <w:t>thesis work</w:t>
      </w:r>
      <w:r w:rsidRPr="00E5229A">
        <w:t>.</w:t>
      </w:r>
      <w:r>
        <w:t xml:space="preserve"> </w:t>
      </w:r>
      <w:r w:rsidR="00E5229A">
        <w:t xml:space="preserve">Dr. Hoover not only shared her wealth of knowledge with me but </w:t>
      </w:r>
      <w:r w:rsidR="00E4198A">
        <w:t>taught me many skills, helping me to be the researcher I am today. Her instruction helped to continue my drive froward with this research despite many hurdles along the way.</w:t>
      </w:r>
      <w:r w:rsidR="00D22D95">
        <w:t xml:space="preserve"> I wish her well on her endeavors outside academia and hope for the opportunity to work with one another again. </w:t>
      </w:r>
    </w:p>
    <w:p w14:paraId="7F834BDB" w14:textId="77777777" w:rsidR="002363BC" w:rsidRPr="00A85BB8" w:rsidRDefault="002363BC" w:rsidP="002363BC">
      <w:pPr>
        <w:rPr>
          <w:sz w:val="20"/>
          <w:szCs w:val="20"/>
        </w:rPr>
      </w:pPr>
    </w:p>
    <w:p w14:paraId="0F2FD03D" w14:textId="77777777" w:rsidR="00E4198A" w:rsidRDefault="00E4198A" w:rsidP="001C21A2">
      <w:r>
        <w:t xml:space="preserve">I am also deeply grateful to Dr. </w:t>
      </w:r>
      <w:proofErr w:type="spellStart"/>
      <w:r>
        <w:t>Tingting</w:t>
      </w:r>
      <w:proofErr w:type="spellEnd"/>
      <w:r>
        <w:t xml:space="preserve"> Gu whose expertise in image analysis was of great help on this thesis work. I want to thank her for the time and patience she granted me and hope the opportunity to work together again arises. </w:t>
      </w:r>
    </w:p>
    <w:p w14:paraId="4D481164" w14:textId="77777777" w:rsidR="002363BC" w:rsidRPr="00A85BB8" w:rsidRDefault="002363BC" w:rsidP="002363BC">
      <w:pPr>
        <w:rPr>
          <w:sz w:val="20"/>
          <w:szCs w:val="20"/>
        </w:rPr>
      </w:pPr>
    </w:p>
    <w:p w14:paraId="18BC5A08" w14:textId="0B5ECE20" w:rsidR="00D22D95" w:rsidRDefault="00E4198A" w:rsidP="00D22D95">
      <w:r>
        <w:t xml:space="preserve">I would also like to express my thanks to Dr. </w:t>
      </w:r>
      <w:proofErr w:type="spellStart"/>
      <w:r>
        <w:t>Kaili</w:t>
      </w:r>
      <w:proofErr w:type="spellEnd"/>
      <w:r>
        <w:t xml:space="preserve"> Liu and Ms. </w:t>
      </w:r>
      <w:proofErr w:type="spellStart"/>
      <w:r>
        <w:t>Yuanhong</w:t>
      </w:r>
      <w:proofErr w:type="spellEnd"/>
      <w:r>
        <w:t xml:space="preserve"> Sun. </w:t>
      </w:r>
      <w:r w:rsidR="00004789">
        <w:t>I want to sincerely thank them for their</w:t>
      </w:r>
      <w:r>
        <w:t xml:space="preserve"> dedication of time, efforts, and knowledge</w:t>
      </w:r>
      <w:r w:rsidR="00004789">
        <w:t xml:space="preserve">. </w:t>
      </w:r>
    </w:p>
    <w:p w14:paraId="793665B7" w14:textId="77777777" w:rsidR="002363BC" w:rsidRPr="00A85BB8" w:rsidRDefault="002363BC" w:rsidP="002363BC">
      <w:pPr>
        <w:rPr>
          <w:sz w:val="20"/>
          <w:szCs w:val="20"/>
        </w:rPr>
      </w:pPr>
    </w:p>
    <w:p w14:paraId="25502931" w14:textId="0E60A53E" w:rsidR="00D22D95" w:rsidRDefault="00004789" w:rsidP="001C21A2">
      <w:r>
        <w:t xml:space="preserve">Sincere thanks to </w:t>
      </w:r>
      <w:r w:rsidR="00D22D95">
        <w:t xml:space="preserve">Dr. William Berry who gave me many beneficial insights into the field of genomics through his collaboration on this thesis.  </w:t>
      </w:r>
    </w:p>
    <w:p w14:paraId="2DBDC769" w14:textId="77777777" w:rsidR="00D22D95" w:rsidRDefault="00D22D95" w:rsidP="001C21A2"/>
    <w:p w14:paraId="2F20D8EB" w14:textId="1937DD4B" w:rsidR="00D22D95" w:rsidRDefault="00D22D95" w:rsidP="001C21A2">
      <w:proofErr w:type="gramStart"/>
      <w:r w:rsidRPr="00D22D95">
        <w:t>Thanks</w:t>
      </w:r>
      <w:proofErr w:type="gramEnd"/>
      <w:r w:rsidRPr="00D22D95">
        <w:t xml:space="preserve"> should also go to Vinit </w:t>
      </w:r>
      <w:proofErr w:type="spellStart"/>
      <w:r w:rsidRPr="00D22D95">
        <w:t>Sheth</w:t>
      </w:r>
      <w:proofErr w:type="spellEnd"/>
      <w:r w:rsidRPr="00D22D95">
        <w:t xml:space="preserve"> </w:t>
      </w:r>
      <w:r>
        <w:t xml:space="preserve">whose vast knowledge and expertise in microscopy made many of these possible. His patience and willingness to help allowed me to make great progress and taught me so much about imaging analysis and techniques. </w:t>
      </w:r>
    </w:p>
    <w:p w14:paraId="51444EE3" w14:textId="77777777" w:rsidR="002363BC" w:rsidRPr="00A85BB8" w:rsidRDefault="002363BC" w:rsidP="002363BC">
      <w:pPr>
        <w:rPr>
          <w:sz w:val="20"/>
          <w:szCs w:val="20"/>
        </w:rPr>
      </w:pPr>
    </w:p>
    <w:p w14:paraId="47B0F6FD" w14:textId="3935CB7F" w:rsidR="00E4198A" w:rsidRDefault="00D22D95" w:rsidP="00D22D95">
      <w:r>
        <w:t xml:space="preserve">I cannot leave the University of Oklahoma without thanking my fellow lab members: </w:t>
      </w:r>
      <w:r w:rsidR="00004789" w:rsidRPr="00D22D95">
        <w:t xml:space="preserve">Trisha Valerio, </w:t>
      </w:r>
      <w:proofErr w:type="spellStart"/>
      <w:r w:rsidR="00004789" w:rsidRPr="00D22D95">
        <w:t>Coline</w:t>
      </w:r>
      <w:proofErr w:type="spellEnd"/>
      <w:r w:rsidR="00004789" w:rsidRPr="00D22D95">
        <w:t xml:space="preserve"> </w:t>
      </w:r>
      <w:proofErr w:type="spellStart"/>
      <w:r w:rsidR="00004789" w:rsidRPr="00D22D95">
        <w:t>Furrer</w:t>
      </w:r>
      <w:proofErr w:type="spellEnd"/>
      <w:r w:rsidR="00004789" w:rsidRPr="00D22D95">
        <w:t xml:space="preserve">, Brian </w:t>
      </w:r>
      <w:proofErr w:type="spellStart"/>
      <w:r>
        <w:t>Baharestani</w:t>
      </w:r>
      <w:proofErr w:type="spellEnd"/>
      <w:r w:rsidR="00004789" w:rsidRPr="00D22D95">
        <w:t xml:space="preserve">, </w:t>
      </w:r>
      <w:r>
        <w:t xml:space="preserve">Sayre Tillery, Emeline </w:t>
      </w:r>
      <w:proofErr w:type="spellStart"/>
      <w:r>
        <w:t>Masquelin</w:t>
      </w:r>
      <w:proofErr w:type="spellEnd"/>
      <w:r>
        <w:t xml:space="preserve">, </w:t>
      </w:r>
      <w:proofErr w:type="spellStart"/>
      <w:r>
        <w:t>Malayna</w:t>
      </w:r>
      <w:proofErr w:type="spellEnd"/>
      <w:r>
        <w:t xml:space="preserve"> </w:t>
      </w:r>
      <w:proofErr w:type="spellStart"/>
      <w:r>
        <w:t>Unkel</w:t>
      </w:r>
      <w:proofErr w:type="spellEnd"/>
      <w:r>
        <w:t>, and Jacob Adams</w:t>
      </w:r>
      <w:r w:rsidR="00004789" w:rsidRPr="00D22D95">
        <w:t xml:space="preserve">. </w:t>
      </w:r>
      <w:r>
        <w:t xml:space="preserve">Their continued support and help throughout my academic journey made this project possible. </w:t>
      </w:r>
    </w:p>
    <w:p w14:paraId="596BD237" w14:textId="77777777" w:rsidR="002363BC" w:rsidRPr="00A85BB8" w:rsidRDefault="002363BC" w:rsidP="002363BC">
      <w:pPr>
        <w:rPr>
          <w:sz w:val="20"/>
          <w:szCs w:val="20"/>
        </w:rPr>
      </w:pPr>
    </w:p>
    <w:p w14:paraId="3C9E50A1" w14:textId="190DAF97" w:rsidR="007A215D" w:rsidRDefault="007A215D" w:rsidP="00D22D95">
      <w:r>
        <w:t xml:space="preserve">Lastly, I am thankful to my parents, my brother, and my sister. Their emotional support and belief in me kept my motivation and my spirits high. </w:t>
      </w:r>
    </w:p>
    <w:sdt>
      <w:sdtPr>
        <w:rPr>
          <w:rFonts w:asciiTheme="minorHAnsi" w:eastAsiaTheme="minorEastAsia" w:hAnsiTheme="minorHAnsi" w:cstheme="minorBidi"/>
          <w:b w:val="0"/>
          <w:bCs w:val="0"/>
          <w:color w:val="auto"/>
          <w:sz w:val="24"/>
          <w:szCs w:val="24"/>
          <w:lang w:eastAsia="zh-CN"/>
        </w:rPr>
        <w:id w:val="-987543771"/>
        <w:docPartObj>
          <w:docPartGallery w:val="Table of Contents"/>
          <w:docPartUnique/>
        </w:docPartObj>
      </w:sdtPr>
      <w:sdtEndPr>
        <w:rPr>
          <w:noProof/>
        </w:rPr>
      </w:sdtEndPr>
      <w:sdtContent>
        <w:p w14:paraId="2D249A7D" w14:textId="5E979D8A" w:rsidR="00BA705B" w:rsidRDefault="00BA705B">
          <w:pPr>
            <w:pStyle w:val="TOCHeading"/>
          </w:pPr>
          <w:r>
            <w:t>Table of Contents</w:t>
          </w:r>
        </w:p>
        <w:p w14:paraId="7A43B95F" w14:textId="54607092" w:rsidR="00306EAF" w:rsidRDefault="00BA705B">
          <w:pPr>
            <w:pStyle w:val="TOC1"/>
            <w:tabs>
              <w:tab w:val="right" w:leader="dot" w:pos="9350"/>
            </w:tabs>
            <w:rPr>
              <w:rFonts w:cstheme="minorBidi"/>
              <w:b w:val="0"/>
              <w:bCs w:val="0"/>
              <w:i w:val="0"/>
              <w:iCs w:val="0"/>
              <w:noProof/>
              <w:kern w:val="2"/>
              <w:szCs w:val="24"/>
              <w14:ligatures w14:val="standardContextual"/>
            </w:rPr>
          </w:pPr>
          <w:r>
            <w:rPr>
              <w:b w:val="0"/>
              <w:bCs w:val="0"/>
            </w:rPr>
            <w:fldChar w:fldCharType="begin"/>
          </w:r>
          <w:r>
            <w:instrText xml:space="preserve"> TOC \o "1-3" \h \z \u </w:instrText>
          </w:r>
          <w:r>
            <w:rPr>
              <w:b w:val="0"/>
              <w:bCs w:val="0"/>
            </w:rPr>
            <w:fldChar w:fldCharType="separate"/>
          </w:r>
          <w:hyperlink w:anchor="_Toc165293334" w:history="1">
            <w:r w:rsidR="00306EAF" w:rsidRPr="00831B7D">
              <w:rPr>
                <w:rStyle w:val="Hyperlink"/>
                <w:noProof/>
              </w:rPr>
              <w:t>Abstract</w:t>
            </w:r>
            <w:r w:rsidR="00306EAF">
              <w:rPr>
                <w:noProof/>
                <w:webHidden/>
              </w:rPr>
              <w:tab/>
            </w:r>
            <w:r w:rsidR="00306EAF">
              <w:rPr>
                <w:noProof/>
                <w:webHidden/>
              </w:rPr>
              <w:fldChar w:fldCharType="begin"/>
            </w:r>
            <w:r w:rsidR="00306EAF">
              <w:rPr>
                <w:noProof/>
                <w:webHidden/>
              </w:rPr>
              <w:instrText xml:space="preserve"> PAGEREF _Toc165293334 \h </w:instrText>
            </w:r>
            <w:r w:rsidR="00306EAF">
              <w:rPr>
                <w:noProof/>
                <w:webHidden/>
              </w:rPr>
            </w:r>
            <w:r w:rsidR="00306EAF">
              <w:rPr>
                <w:noProof/>
                <w:webHidden/>
              </w:rPr>
              <w:fldChar w:fldCharType="separate"/>
            </w:r>
            <w:r w:rsidR="0021770C">
              <w:rPr>
                <w:noProof/>
                <w:webHidden/>
              </w:rPr>
              <w:t>xii</w:t>
            </w:r>
            <w:r w:rsidR="00306EAF">
              <w:rPr>
                <w:noProof/>
                <w:webHidden/>
              </w:rPr>
              <w:fldChar w:fldCharType="end"/>
            </w:r>
          </w:hyperlink>
        </w:p>
        <w:p w14:paraId="132B6D99" w14:textId="678D02F3"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35" w:history="1">
            <w:r w:rsidR="00306EAF" w:rsidRPr="00831B7D">
              <w:rPr>
                <w:rStyle w:val="Hyperlink"/>
                <w:noProof/>
              </w:rPr>
              <w:t>Chapter 1 Introduction</w:t>
            </w:r>
            <w:r w:rsidR="00306EAF">
              <w:rPr>
                <w:noProof/>
                <w:webHidden/>
              </w:rPr>
              <w:tab/>
            </w:r>
            <w:r w:rsidR="00306EAF">
              <w:rPr>
                <w:noProof/>
                <w:webHidden/>
              </w:rPr>
              <w:fldChar w:fldCharType="begin"/>
            </w:r>
            <w:r w:rsidR="00306EAF">
              <w:rPr>
                <w:noProof/>
                <w:webHidden/>
              </w:rPr>
              <w:instrText xml:space="preserve"> PAGEREF _Toc165293335 \h </w:instrText>
            </w:r>
            <w:r w:rsidR="00306EAF">
              <w:rPr>
                <w:noProof/>
                <w:webHidden/>
              </w:rPr>
            </w:r>
            <w:r w:rsidR="00306EAF">
              <w:rPr>
                <w:noProof/>
                <w:webHidden/>
              </w:rPr>
              <w:fldChar w:fldCharType="separate"/>
            </w:r>
            <w:r w:rsidR="0021770C">
              <w:rPr>
                <w:noProof/>
                <w:webHidden/>
              </w:rPr>
              <w:t>1</w:t>
            </w:r>
            <w:r w:rsidR="00306EAF">
              <w:rPr>
                <w:noProof/>
                <w:webHidden/>
              </w:rPr>
              <w:fldChar w:fldCharType="end"/>
            </w:r>
          </w:hyperlink>
        </w:p>
        <w:p w14:paraId="04183245" w14:textId="33E9036E" w:rsidR="00306EAF" w:rsidRDefault="00000000">
          <w:pPr>
            <w:pStyle w:val="TOC2"/>
            <w:rPr>
              <w:rFonts w:cstheme="minorBidi"/>
              <w:b w:val="0"/>
              <w:bCs w:val="0"/>
              <w:noProof/>
              <w:kern w:val="2"/>
              <w:sz w:val="24"/>
              <w:szCs w:val="24"/>
              <w14:ligatures w14:val="standardContextual"/>
            </w:rPr>
          </w:pPr>
          <w:hyperlink w:anchor="_Toc165293336" w:history="1">
            <w:r w:rsidR="00306EAF" w:rsidRPr="00831B7D">
              <w:rPr>
                <w:rStyle w:val="Hyperlink"/>
                <w:noProof/>
              </w:rPr>
              <w:t>1.1. Immunoadjuvants and Immunostimulants</w:t>
            </w:r>
            <w:r w:rsidR="00306EAF">
              <w:rPr>
                <w:noProof/>
                <w:webHidden/>
              </w:rPr>
              <w:tab/>
            </w:r>
            <w:r w:rsidR="00306EAF">
              <w:rPr>
                <w:noProof/>
                <w:webHidden/>
              </w:rPr>
              <w:fldChar w:fldCharType="begin"/>
            </w:r>
            <w:r w:rsidR="00306EAF">
              <w:rPr>
                <w:noProof/>
                <w:webHidden/>
              </w:rPr>
              <w:instrText xml:space="preserve"> PAGEREF _Toc165293336 \h </w:instrText>
            </w:r>
            <w:r w:rsidR="00306EAF">
              <w:rPr>
                <w:noProof/>
                <w:webHidden/>
              </w:rPr>
            </w:r>
            <w:r w:rsidR="00306EAF">
              <w:rPr>
                <w:noProof/>
                <w:webHidden/>
              </w:rPr>
              <w:fldChar w:fldCharType="separate"/>
            </w:r>
            <w:r w:rsidR="0021770C">
              <w:rPr>
                <w:noProof/>
                <w:webHidden/>
              </w:rPr>
              <w:t>1</w:t>
            </w:r>
            <w:r w:rsidR="00306EAF">
              <w:rPr>
                <w:noProof/>
                <w:webHidden/>
              </w:rPr>
              <w:fldChar w:fldCharType="end"/>
            </w:r>
          </w:hyperlink>
        </w:p>
        <w:p w14:paraId="2F4D3093" w14:textId="56200032" w:rsidR="00306EAF" w:rsidRDefault="00000000">
          <w:pPr>
            <w:pStyle w:val="TOC2"/>
            <w:rPr>
              <w:rFonts w:cstheme="minorBidi"/>
              <w:b w:val="0"/>
              <w:bCs w:val="0"/>
              <w:noProof/>
              <w:kern w:val="2"/>
              <w:sz w:val="24"/>
              <w:szCs w:val="24"/>
              <w14:ligatures w14:val="standardContextual"/>
            </w:rPr>
          </w:pPr>
          <w:hyperlink w:anchor="_Toc165293337" w:history="1">
            <w:r w:rsidR="00306EAF" w:rsidRPr="00831B7D">
              <w:rPr>
                <w:rStyle w:val="Hyperlink"/>
                <w:noProof/>
              </w:rPr>
              <w:t>1.2. Immunostimulants in Cancer Therapy</w:t>
            </w:r>
            <w:r w:rsidR="00306EAF">
              <w:rPr>
                <w:noProof/>
                <w:webHidden/>
              </w:rPr>
              <w:tab/>
            </w:r>
            <w:r w:rsidR="00306EAF">
              <w:rPr>
                <w:noProof/>
                <w:webHidden/>
              </w:rPr>
              <w:fldChar w:fldCharType="begin"/>
            </w:r>
            <w:r w:rsidR="00306EAF">
              <w:rPr>
                <w:noProof/>
                <w:webHidden/>
              </w:rPr>
              <w:instrText xml:space="preserve"> PAGEREF _Toc165293337 \h </w:instrText>
            </w:r>
            <w:r w:rsidR="00306EAF">
              <w:rPr>
                <w:noProof/>
                <w:webHidden/>
              </w:rPr>
            </w:r>
            <w:r w:rsidR="00306EAF">
              <w:rPr>
                <w:noProof/>
                <w:webHidden/>
              </w:rPr>
              <w:fldChar w:fldCharType="separate"/>
            </w:r>
            <w:r w:rsidR="0021770C">
              <w:rPr>
                <w:noProof/>
                <w:webHidden/>
              </w:rPr>
              <w:t>2</w:t>
            </w:r>
            <w:r w:rsidR="00306EAF">
              <w:rPr>
                <w:noProof/>
                <w:webHidden/>
              </w:rPr>
              <w:fldChar w:fldCharType="end"/>
            </w:r>
          </w:hyperlink>
        </w:p>
        <w:p w14:paraId="3F4D3106" w14:textId="35E5ECEF" w:rsidR="00306EAF" w:rsidRDefault="00000000">
          <w:pPr>
            <w:pStyle w:val="TOC2"/>
            <w:rPr>
              <w:rFonts w:cstheme="minorBidi"/>
              <w:b w:val="0"/>
              <w:bCs w:val="0"/>
              <w:noProof/>
              <w:kern w:val="2"/>
              <w:sz w:val="24"/>
              <w:szCs w:val="24"/>
              <w14:ligatures w14:val="standardContextual"/>
            </w:rPr>
          </w:pPr>
          <w:hyperlink w:anchor="_Toc165293338" w:history="1">
            <w:r w:rsidR="00306EAF" w:rsidRPr="00831B7D">
              <w:rPr>
                <w:rStyle w:val="Hyperlink"/>
                <w:noProof/>
              </w:rPr>
              <w:t>1.3. Glycated Chitosan as an Immunostimulant</w:t>
            </w:r>
            <w:r w:rsidR="00306EAF">
              <w:rPr>
                <w:noProof/>
                <w:webHidden/>
              </w:rPr>
              <w:tab/>
            </w:r>
            <w:r w:rsidR="00306EAF">
              <w:rPr>
                <w:noProof/>
                <w:webHidden/>
              </w:rPr>
              <w:fldChar w:fldCharType="begin"/>
            </w:r>
            <w:r w:rsidR="00306EAF">
              <w:rPr>
                <w:noProof/>
                <w:webHidden/>
              </w:rPr>
              <w:instrText xml:space="preserve"> PAGEREF _Toc165293338 \h </w:instrText>
            </w:r>
            <w:r w:rsidR="00306EAF">
              <w:rPr>
                <w:noProof/>
                <w:webHidden/>
              </w:rPr>
            </w:r>
            <w:r w:rsidR="00306EAF">
              <w:rPr>
                <w:noProof/>
                <w:webHidden/>
              </w:rPr>
              <w:fldChar w:fldCharType="separate"/>
            </w:r>
            <w:r w:rsidR="0021770C">
              <w:rPr>
                <w:noProof/>
                <w:webHidden/>
              </w:rPr>
              <w:t>3</w:t>
            </w:r>
            <w:r w:rsidR="00306EAF">
              <w:rPr>
                <w:noProof/>
                <w:webHidden/>
              </w:rPr>
              <w:fldChar w:fldCharType="end"/>
            </w:r>
          </w:hyperlink>
        </w:p>
        <w:p w14:paraId="0F5E80CF" w14:textId="566E407C" w:rsidR="00306EAF" w:rsidRDefault="00000000">
          <w:pPr>
            <w:pStyle w:val="TOC2"/>
            <w:rPr>
              <w:rFonts w:cstheme="minorBidi"/>
              <w:b w:val="0"/>
              <w:bCs w:val="0"/>
              <w:noProof/>
              <w:kern w:val="2"/>
              <w:sz w:val="24"/>
              <w:szCs w:val="24"/>
              <w14:ligatures w14:val="standardContextual"/>
            </w:rPr>
          </w:pPr>
          <w:hyperlink w:anchor="_Toc165293339" w:history="1">
            <w:r w:rsidR="00306EAF" w:rsidRPr="00831B7D">
              <w:rPr>
                <w:rStyle w:val="Hyperlink"/>
                <w:noProof/>
              </w:rPr>
              <w:t>1.4. Dendritic Cell Antitumor Response</w:t>
            </w:r>
            <w:r w:rsidR="00306EAF">
              <w:rPr>
                <w:noProof/>
                <w:webHidden/>
              </w:rPr>
              <w:tab/>
            </w:r>
            <w:r w:rsidR="00306EAF">
              <w:rPr>
                <w:noProof/>
                <w:webHidden/>
              </w:rPr>
              <w:fldChar w:fldCharType="begin"/>
            </w:r>
            <w:r w:rsidR="00306EAF">
              <w:rPr>
                <w:noProof/>
                <w:webHidden/>
              </w:rPr>
              <w:instrText xml:space="preserve"> PAGEREF _Toc165293339 \h </w:instrText>
            </w:r>
            <w:r w:rsidR="00306EAF">
              <w:rPr>
                <w:noProof/>
                <w:webHidden/>
              </w:rPr>
            </w:r>
            <w:r w:rsidR="00306EAF">
              <w:rPr>
                <w:noProof/>
                <w:webHidden/>
              </w:rPr>
              <w:fldChar w:fldCharType="separate"/>
            </w:r>
            <w:r w:rsidR="0021770C">
              <w:rPr>
                <w:noProof/>
                <w:webHidden/>
              </w:rPr>
              <w:t>3</w:t>
            </w:r>
            <w:r w:rsidR="00306EAF">
              <w:rPr>
                <w:noProof/>
                <w:webHidden/>
              </w:rPr>
              <w:fldChar w:fldCharType="end"/>
            </w:r>
          </w:hyperlink>
        </w:p>
        <w:p w14:paraId="37803F92" w14:textId="24366FB0" w:rsidR="00306EAF" w:rsidRDefault="00000000">
          <w:pPr>
            <w:pStyle w:val="TOC2"/>
            <w:rPr>
              <w:rFonts w:cstheme="minorBidi"/>
              <w:b w:val="0"/>
              <w:bCs w:val="0"/>
              <w:noProof/>
              <w:kern w:val="2"/>
              <w:sz w:val="24"/>
              <w:szCs w:val="24"/>
              <w14:ligatures w14:val="standardContextual"/>
            </w:rPr>
          </w:pPr>
          <w:hyperlink w:anchor="_Toc165293340" w:history="1">
            <w:r w:rsidR="00306EAF" w:rsidRPr="00831B7D">
              <w:rPr>
                <w:rStyle w:val="Hyperlink"/>
                <w:noProof/>
              </w:rPr>
              <w:t>1.5. The Objectives of this Study</w:t>
            </w:r>
            <w:r w:rsidR="00306EAF">
              <w:rPr>
                <w:noProof/>
                <w:webHidden/>
              </w:rPr>
              <w:tab/>
            </w:r>
            <w:r w:rsidR="00306EAF">
              <w:rPr>
                <w:noProof/>
                <w:webHidden/>
              </w:rPr>
              <w:fldChar w:fldCharType="begin"/>
            </w:r>
            <w:r w:rsidR="00306EAF">
              <w:rPr>
                <w:noProof/>
                <w:webHidden/>
              </w:rPr>
              <w:instrText xml:space="preserve"> PAGEREF _Toc165293340 \h </w:instrText>
            </w:r>
            <w:r w:rsidR="00306EAF">
              <w:rPr>
                <w:noProof/>
                <w:webHidden/>
              </w:rPr>
            </w:r>
            <w:r w:rsidR="00306EAF">
              <w:rPr>
                <w:noProof/>
                <w:webHidden/>
              </w:rPr>
              <w:fldChar w:fldCharType="separate"/>
            </w:r>
            <w:r w:rsidR="0021770C">
              <w:rPr>
                <w:noProof/>
                <w:webHidden/>
              </w:rPr>
              <w:t>3</w:t>
            </w:r>
            <w:r w:rsidR="00306EAF">
              <w:rPr>
                <w:noProof/>
                <w:webHidden/>
              </w:rPr>
              <w:fldChar w:fldCharType="end"/>
            </w:r>
          </w:hyperlink>
        </w:p>
        <w:p w14:paraId="4E138A9F" w14:textId="36DBEAA5"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41" w:history="1">
            <w:r w:rsidR="00306EAF" w:rsidRPr="00831B7D">
              <w:rPr>
                <w:rStyle w:val="Hyperlink"/>
                <w:noProof/>
              </w:rPr>
              <w:t>Chapter 2 STING Pathway</w:t>
            </w:r>
            <w:r w:rsidR="00306EAF">
              <w:rPr>
                <w:noProof/>
                <w:webHidden/>
              </w:rPr>
              <w:tab/>
            </w:r>
            <w:r w:rsidR="00306EAF">
              <w:rPr>
                <w:noProof/>
                <w:webHidden/>
              </w:rPr>
              <w:fldChar w:fldCharType="begin"/>
            </w:r>
            <w:r w:rsidR="00306EAF">
              <w:rPr>
                <w:noProof/>
                <w:webHidden/>
              </w:rPr>
              <w:instrText xml:space="preserve"> PAGEREF _Toc165293341 \h </w:instrText>
            </w:r>
            <w:r w:rsidR="00306EAF">
              <w:rPr>
                <w:noProof/>
                <w:webHidden/>
              </w:rPr>
            </w:r>
            <w:r w:rsidR="00306EAF">
              <w:rPr>
                <w:noProof/>
                <w:webHidden/>
              </w:rPr>
              <w:fldChar w:fldCharType="separate"/>
            </w:r>
            <w:r w:rsidR="0021770C">
              <w:rPr>
                <w:noProof/>
                <w:webHidden/>
              </w:rPr>
              <w:t>5</w:t>
            </w:r>
            <w:r w:rsidR="00306EAF">
              <w:rPr>
                <w:noProof/>
                <w:webHidden/>
              </w:rPr>
              <w:fldChar w:fldCharType="end"/>
            </w:r>
          </w:hyperlink>
        </w:p>
        <w:p w14:paraId="5EB9D3A5" w14:textId="0CD41094" w:rsidR="00306EAF" w:rsidRDefault="00000000">
          <w:pPr>
            <w:pStyle w:val="TOC2"/>
            <w:rPr>
              <w:rFonts w:cstheme="minorBidi"/>
              <w:b w:val="0"/>
              <w:bCs w:val="0"/>
              <w:noProof/>
              <w:kern w:val="2"/>
              <w:sz w:val="24"/>
              <w:szCs w:val="24"/>
              <w14:ligatures w14:val="standardContextual"/>
            </w:rPr>
          </w:pPr>
          <w:hyperlink w:anchor="_Toc165293342" w:history="1">
            <w:r w:rsidR="00306EAF" w:rsidRPr="00831B7D">
              <w:rPr>
                <w:rStyle w:val="Hyperlink"/>
                <w:noProof/>
              </w:rPr>
              <w:t>2.1. Overview</w:t>
            </w:r>
            <w:r w:rsidR="00306EAF">
              <w:rPr>
                <w:noProof/>
                <w:webHidden/>
              </w:rPr>
              <w:tab/>
            </w:r>
            <w:r w:rsidR="00306EAF">
              <w:rPr>
                <w:noProof/>
                <w:webHidden/>
              </w:rPr>
              <w:fldChar w:fldCharType="begin"/>
            </w:r>
            <w:r w:rsidR="00306EAF">
              <w:rPr>
                <w:noProof/>
                <w:webHidden/>
              </w:rPr>
              <w:instrText xml:space="preserve"> PAGEREF _Toc165293342 \h </w:instrText>
            </w:r>
            <w:r w:rsidR="00306EAF">
              <w:rPr>
                <w:noProof/>
                <w:webHidden/>
              </w:rPr>
            </w:r>
            <w:r w:rsidR="00306EAF">
              <w:rPr>
                <w:noProof/>
                <w:webHidden/>
              </w:rPr>
              <w:fldChar w:fldCharType="separate"/>
            </w:r>
            <w:r w:rsidR="0021770C">
              <w:rPr>
                <w:noProof/>
                <w:webHidden/>
              </w:rPr>
              <w:t>5</w:t>
            </w:r>
            <w:r w:rsidR="00306EAF">
              <w:rPr>
                <w:noProof/>
                <w:webHidden/>
              </w:rPr>
              <w:fldChar w:fldCharType="end"/>
            </w:r>
          </w:hyperlink>
        </w:p>
        <w:p w14:paraId="19F951A3" w14:textId="360B2E1C" w:rsidR="00306EAF" w:rsidRDefault="00000000">
          <w:pPr>
            <w:pStyle w:val="TOC2"/>
            <w:rPr>
              <w:rFonts w:cstheme="minorBidi"/>
              <w:b w:val="0"/>
              <w:bCs w:val="0"/>
              <w:noProof/>
              <w:kern w:val="2"/>
              <w:sz w:val="24"/>
              <w:szCs w:val="24"/>
              <w14:ligatures w14:val="standardContextual"/>
            </w:rPr>
          </w:pPr>
          <w:hyperlink w:anchor="_Toc165293343" w:history="1">
            <w:r w:rsidR="00306EAF" w:rsidRPr="00831B7D">
              <w:rPr>
                <w:rStyle w:val="Hyperlink"/>
                <w:noProof/>
              </w:rPr>
              <w:t>2.2. STING Pathway Leading to Proinflammatory Cytokine Release by DCs</w:t>
            </w:r>
            <w:r w:rsidR="00306EAF">
              <w:rPr>
                <w:noProof/>
                <w:webHidden/>
              </w:rPr>
              <w:tab/>
            </w:r>
            <w:r w:rsidR="00306EAF">
              <w:rPr>
                <w:noProof/>
                <w:webHidden/>
              </w:rPr>
              <w:fldChar w:fldCharType="begin"/>
            </w:r>
            <w:r w:rsidR="00306EAF">
              <w:rPr>
                <w:noProof/>
                <w:webHidden/>
              </w:rPr>
              <w:instrText xml:space="preserve"> PAGEREF _Toc165293343 \h </w:instrText>
            </w:r>
            <w:r w:rsidR="00306EAF">
              <w:rPr>
                <w:noProof/>
                <w:webHidden/>
              </w:rPr>
            </w:r>
            <w:r w:rsidR="00306EAF">
              <w:rPr>
                <w:noProof/>
                <w:webHidden/>
              </w:rPr>
              <w:fldChar w:fldCharType="separate"/>
            </w:r>
            <w:r w:rsidR="0021770C">
              <w:rPr>
                <w:noProof/>
                <w:webHidden/>
              </w:rPr>
              <w:t>5</w:t>
            </w:r>
            <w:r w:rsidR="00306EAF">
              <w:rPr>
                <w:noProof/>
                <w:webHidden/>
              </w:rPr>
              <w:fldChar w:fldCharType="end"/>
            </w:r>
          </w:hyperlink>
        </w:p>
        <w:p w14:paraId="0CBD94E3" w14:textId="7A2B3A1A" w:rsidR="00306EAF" w:rsidRDefault="00000000">
          <w:pPr>
            <w:pStyle w:val="TOC2"/>
            <w:rPr>
              <w:rFonts w:cstheme="minorBidi"/>
              <w:b w:val="0"/>
              <w:bCs w:val="0"/>
              <w:noProof/>
              <w:kern w:val="2"/>
              <w:sz w:val="24"/>
              <w:szCs w:val="24"/>
              <w14:ligatures w14:val="standardContextual"/>
            </w:rPr>
          </w:pPr>
          <w:hyperlink w:anchor="_Toc165293344" w:history="1">
            <w:r w:rsidR="00306EAF" w:rsidRPr="00831B7D">
              <w:rPr>
                <w:rStyle w:val="Hyperlink"/>
                <w:noProof/>
              </w:rPr>
              <w:t>2.3. STING Activation Leading to Lysosomal Leakage and Cell Death</w:t>
            </w:r>
            <w:r w:rsidR="00306EAF">
              <w:rPr>
                <w:noProof/>
                <w:webHidden/>
              </w:rPr>
              <w:tab/>
            </w:r>
            <w:r w:rsidR="00306EAF">
              <w:rPr>
                <w:noProof/>
                <w:webHidden/>
              </w:rPr>
              <w:fldChar w:fldCharType="begin"/>
            </w:r>
            <w:r w:rsidR="00306EAF">
              <w:rPr>
                <w:noProof/>
                <w:webHidden/>
              </w:rPr>
              <w:instrText xml:space="preserve"> PAGEREF _Toc165293344 \h </w:instrText>
            </w:r>
            <w:r w:rsidR="00306EAF">
              <w:rPr>
                <w:noProof/>
                <w:webHidden/>
              </w:rPr>
            </w:r>
            <w:r w:rsidR="00306EAF">
              <w:rPr>
                <w:noProof/>
                <w:webHidden/>
              </w:rPr>
              <w:fldChar w:fldCharType="separate"/>
            </w:r>
            <w:r w:rsidR="0021770C">
              <w:rPr>
                <w:noProof/>
                <w:webHidden/>
              </w:rPr>
              <w:t>7</w:t>
            </w:r>
            <w:r w:rsidR="00306EAF">
              <w:rPr>
                <w:noProof/>
                <w:webHidden/>
              </w:rPr>
              <w:fldChar w:fldCharType="end"/>
            </w:r>
          </w:hyperlink>
        </w:p>
        <w:p w14:paraId="6005848E" w14:textId="0EBBA509" w:rsidR="00306EAF" w:rsidRDefault="00000000">
          <w:pPr>
            <w:pStyle w:val="TOC2"/>
            <w:rPr>
              <w:rFonts w:cstheme="minorBidi"/>
              <w:b w:val="0"/>
              <w:bCs w:val="0"/>
              <w:noProof/>
              <w:kern w:val="2"/>
              <w:sz w:val="24"/>
              <w:szCs w:val="24"/>
              <w14:ligatures w14:val="standardContextual"/>
            </w:rPr>
          </w:pPr>
          <w:hyperlink w:anchor="_Toc165293345" w:history="1">
            <w:r w:rsidR="00306EAF" w:rsidRPr="00831B7D">
              <w:rPr>
                <w:rStyle w:val="Hyperlink"/>
                <w:noProof/>
              </w:rPr>
              <w:t>2.4. GC STING Interactions</w:t>
            </w:r>
            <w:r w:rsidR="00306EAF">
              <w:rPr>
                <w:noProof/>
                <w:webHidden/>
              </w:rPr>
              <w:tab/>
            </w:r>
            <w:r w:rsidR="00306EAF">
              <w:rPr>
                <w:noProof/>
                <w:webHidden/>
              </w:rPr>
              <w:fldChar w:fldCharType="begin"/>
            </w:r>
            <w:r w:rsidR="00306EAF">
              <w:rPr>
                <w:noProof/>
                <w:webHidden/>
              </w:rPr>
              <w:instrText xml:space="preserve"> PAGEREF _Toc165293345 \h </w:instrText>
            </w:r>
            <w:r w:rsidR="00306EAF">
              <w:rPr>
                <w:noProof/>
                <w:webHidden/>
              </w:rPr>
            </w:r>
            <w:r w:rsidR="00306EAF">
              <w:rPr>
                <w:noProof/>
                <w:webHidden/>
              </w:rPr>
              <w:fldChar w:fldCharType="separate"/>
            </w:r>
            <w:r w:rsidR="0021770C">
              <w:rPr>
                <w:noProof/>
                <w:webHidden/>
              </w:rPr>
              <w:t>8</w:t>
            </w:r>
            <w:r w:rsidR="00306EAF">
              <w:rPr>
                <w:noProof/>
                <w:webHidden/>
              </w:rPr>
              <w:fldChar w:fldCharType="end"/>
            </w:r>
          </w:hyperlink>
        </w:p>
        <w:p w14:paraId="4EBB2F59" w14:textId="3D1F984E" w:rsidR="00306EAF" w:rsidRDefault="00000000">
          <w:pPr>
            <w:pStyle w:val="TOC2"/>
            <w:rPr>
              <w:rFonts w:cstheme="minorBidi"/>
              <w:b w:val="0"/>
              <w:bCs w:val="0"/>
              <w:noProof/>
              <w:kern w:val="2"/>
              <w:sz w:val="24"/>
              <w:szCs w:val="24"/>
              <w14:ligatures w14:val="standardContextual"/>
            </w:rPr>
          </w:pPr>
          <w:hyperlink w:anchor="_Toc165293346" w:history="1">
            <w:r w:rsidR="00306EAF" w:rsidRPr="00831B7D">
              <w:rPr>
                <w:rStyle w:val="Hyperlink"/>
                <w:noProof/>
              </w:rPr>
              <w:t>2.5. Hypothesis and Graphical Abstract</w:t>
            </w:r>
            <w:r w:rsidR="00306EAF">
              <w:rPr>
                <w:noProof/>
                <w:webHidden/>
              </w:rPr>
              <w:tab/>
            </w:r>
            <w:r w:rsidR="00306EAF">
              <w:rPr>
                <w:noProof/>
                <w:webHidden/>
              </w:rPr>
              <w:fldChar w:fldCharType="begin"/>
            </w:r>
            <w:r w:rsidR="00306EAF">
              <w:rPr>
                <w:noProof/>
                <w:webHidden/>
              </w:rPr>
              <w:instrText xml:space="preserve"> PAGEREF _Toc165293346 \h </w:instrText>
            </w:r>
            <w:r w:rsidR="00306EAF">
              <w:rPr>
                <w:noProof/>
                <w:webHidden/>
              </w:rPr>
            </w:r>
            <w:r w:rsidR="00306EAF">
              <w:rPr>
                <w:noProof/>
                <w:webHidden/>
              </w:rPr>
              <w:fldChar w:fldCharType="separate"/>
            </w:r>
            <w:r w:rsidR="0021770C">
              <w:rPr>
                <w:noProof/>
                <w:webHidden/>
              </w:rPr>
              <w:t>9</w:t>
            </w:r>
            <w:r w:rsidR="00306EAF">
              <w:rPr>
                <w:noProof/>
                <w:webHidden/>
              </w:rPr>
              <w:fldChar w:fldCharType="end"/>
            </w:r>
          </w:hyperlink>
        </w:p>
        <w:p w14:paraId="7E145B85" w14:textId="50382D41"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47" w:history="1">
            <w:r w:rsidR="00306EAF" w:rsidRPr="00831B7D">
              <w:rPr>
                <w:rStyle w:val="Hyperlink"/>
                <w:noProof/>
              </w:rPr>
              <w:t>Chapter 3: Glycated Chitosan Induces Increased STING Trafficking to the Lysosome</w:t>
            </w:r>
            <w:r w:rsidR="00306EAF">
              <w:rPr>
                <w:noProof/>
                <w:webHidden/>
              </w:rPr>
              <w:tab/>
            </w:r>
            <w:r w:rsidR="00306EAF">
              <w:rPr>
                <w:noProof/>
                <w:webHidden/>
              </w:rPr>
              <w:fldChar w:fldCharType="begin"/>
            </w:r>
            <w:r w:rsidR="00306EAF">
              <w:rPr>
                <w:noProof/>
                <w:webHidden/>
              </w:rPr>
              <w:instrText xml:space="preserve"> PAGEREF _Toc165293347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6E07F69F" w14:textId="533167CC" w:rsidR="00306EAF" w:rsidRDefault="00000000">
          <w:pPr>
            <w:pStyle w:val="TOC2"/>
            <w:rPr>
              <w:rFonts w:cstheme="minorBidi"/>
              <w:b w:val="0"/>
              <w:bCs w:val="0"/>
              <w:noProof/>
              <w:kern w:val="2"/>
              <w:sz w:val="24"/>
              <w:szCs w:val="24"/>
              <w14:ligatures w14:val="standardContextual"/>
            </w:rPr>
          </w:pPr>
          <w:hyperlink w:anchor="_Toc165293348" w:history="1">
            <w:r w:rsidR="00306EAF" w:rsidRPr="00831B7D">
              <w:rPr>
                <w:rStyle w:val="Hyperlink"/>
                <w:noProof/>
              </w:rPr>
              <w:t>3.1. Purpose</w:t>
            </w:r>
            <w:r w:rsidR="00306EAF">
              <w:rPr>
                <w:noProof/>
                <w:webHidden/>
              </w:rPr>
              <w:tab/>
            </w:r>
            <w:r w:rsidR="00306EAF">
              <w:rPr>
                <w:noProof/>
                <w:webHidden/>
              </w:rPr>
              <w:fldChar w:fldCharType="begin"/>
            </w:r>
            <w:r w:rsidR="00306EAF">
              <w:rPr>
                <w:noProof/>
                <w:webHidden/>
              </w:rPr>
              <w:instrText xml:space="preserve"> PAGEREF _Toc165293348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428D34F6" w14:textId="0E8BA704" w:rsidR="00306EAF" w:rsidRDefault="00000000">
          <w:pPr>
            <w:pStyle w:val="TOC2"/>
            <w:rPr>
              <w:rFonts w:cstheme="minorBidi"/>
              <w:b w:val="0"/>
              <w:bCs w:val="0"/>
              <w:noProof/>
              <w:kern w:val="2"/>
              <w:sz w:val="24"/>
              <w:szCs w:val="24"/>
              <w14:ligatures w14:val="standardContextual"/>
            </w:rPr>
          </w:pPr>
          <w:hyperlink w:anchor="_Toc165293349" w:history="1">
            <w:r w:rsidR="00306EAF" w:rsidRPr="00831B7D">
              <w:rPr>
                <w:rStyle w:val="Hyperlink"/>
                <w:noProof/>
              </w:rPr>
              <w:t>3.2. Materials</w:t>
            </w:r>
            <w:r w:rsidR="00306EAF">
              <w:rPr>
                <w:noProof/>
                <w:webHidden/>
              </w:rPr>
              <w:tab/>
            </w:r>
            <w:r w:rsidR="00306EAF">
              <w:rPr>
                <w:noProof/>
                <w:webHidden/>
              </w:rPr>
              <w:fldChar w:fldCharType="begin"/>
            </w:r>
            <w:r w:rsidR="00306EAF">
              <w:rPr>
                <w:noProof/>
                <w:webHidden/>
              </w:rPr>
              <w:instrText xml:space="preserve"> PAGEREF _Toc165293349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3E359D4E" w14:textId="064FA1DF" w:rsidR="00306EAF" w:rsidRDefault="00000000">
          <w:pPr>
            <w:pStyle w:val="TOC2"/>
            <w:rPr>
              <w:rFonts w:cstheme="minorBidi"/>
              <w:b w:val="0"/>
              <w:bCs w:val="0"/>
              <w:noProof/>
              <w:kern w:val="2"/>
              <w:sz w:val="24"/>
              <w:szCs w:val="24"/>
              <w14:ligatures w14:val="standardContextual"/>
            </w:rPr>
          </w:pPr>
          <w:hyperlink w:anchor="_Toc165293350" w:history="1">
            <w:r w:rsidR="00306EAF" w:rsidRPr="00831B7D">
              <w:rPr>
                <w:rStyle w:val="Hyperlink"/>
                <w:noProof/>
              </w:rPr>
              <w:t>3.3. Methods</w:t>
            </w:r>
            <w:r w:rsidR="00306EAF">
              <w:rPr>
                <w:noProof/>
                <w:webHidden/>
              </w:rPr>
              <w:tab/>
            </w:r>
            <w:r w:rsidR="00306EAF">
              <w:rPr>
                <w:noProof/>
                <w:webHidden/>
              </w:rPr>
              <w:fldChar w:fldCharType="begin"/>
            </w:r>
            <w:r w:rsidR="00306EAF">
              <w:rPr>
                <w:noProof/>
                <w:webHidden/>
              </w:rPr>
              <w:instrText xml:space="preserve"> PAGEREF _Toc165293350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29E08E4E" w14:textId="302A026C" w:rsidR="00306EAF" w:rsidRDefault="00000000">
          <w:pPr>
            <w:pStyle w:val="TOC3"/>
            <w:rPr>
              <w:rFonts w:cstheme="minorBidi"/>
              <w:noProof/>
              <w:kern w:val="2"/>
              <w:sz w:val="24"/>
              <w14:ligatures w14:val="standardContextual"/>
            </w:rPr>
          </w:pPr>
          <w:hyperlink w:anchor="_Toc165293351" w:history="1">
            <w:r w:rsidR="00306EAF" w:rsidRPr="00831B7D">
              <w:rPr>
                <w:rStyle w:val="Hyperlink"/>
                <w:noProof/>
              </w:rPr>
              <w:t>3.3.1. Preparation of Bone Marrow Derived Dendritic Cells</w:t>
            </w:r>
            <w:r w:rsidR="00306EAF">
              <w:rPr>
                <w:noProof/>
                <w:webHidden/>
              </w:rPr>
              <w:tab/>
            </w:r>
            <w:r w:rsidR="00306EAF">
              <w:rPr>
                <w:noProof/>
                <w:webHidden/>
              </w:rPr>
              <w:fldChar w:fldCharType="begin"/>
            </w:r>
            <w:r w:rsidR="00306EAF">
              <w:rPr>
                <w:noProof/>
                <w:webHidden/>
              </w:rPr>
              <w:instrText xml:space="preserve"> PAGEREF _Toc165293351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26C01F6D" w14:textId="121A931C" w:rsidR="00306EAF" w:rsidRDefault="00000000">
          <w:pPr>
            <w:pStyle w:val="TOC3"/>
            <w:rPr>
              <w:rFonts w:cstheme="minorBidi"/>
              <w:noProof/>
              <w:kern w:val="2"/>
              <w:sz w:val="24"/>
              <w14:ligatures w14:val="standardContextual"/>
            </w:rPr>
          </w:pPr>
          <w:hyperlink w:anchor="_Toc165293352" w:history="1">
            <w:r w:rsidR="00306EAF" w:rsidRPr="00831B7D">
              <w:rPr>
                <w:rStyle w:val="Hyperlink"/>
                <w:noProof/>
              </w:rPr>
              <w:t>3.3.2. Preparation of Lysates for Western Blot</w:t>
            </w:r>
            <w:r w:rsidR="00306EAF">
              <w:rPr>
                <w:noProof/>
                <w:webHidden/>
              </w:rPr>
              <w:tab/>
            </w:r>
            <w:r w:rsidR="00306EAF">
              <w:rPr>
                <w:noProof/>
                <w:webHidden/>
              </w:rPr>
              <w:fldChar w:fldCharType="begin"/>
            </w:r>
            <w:r w:rsidR="00306EAF">
              <w:rPr>
                <w:noProof/>
                <w:webHidden/>
              </w:rPr>
              <w:instrText xml:space="preserve"> PAGEREF _Toc165293352 \h </w:instrText>
            </w:r>
            <w:r w:rsidR="00306EAF">
              <w:rPr>
                <w:noProof/>
                <w:webHidden/>
              </w:rPr>
            </w:r>
            <w:r w:rsidR="00306EAF">
              <w:rPr>
                <w:noProof/>
                <w:webHidden/>
              </w:rPr>
              <w:fldChar w:fldCharType="separate"/>
            </w:r>
            <w:r w:rsidR="0021770C">
              <w:rPr>
                <w:noProof/>
                <w:webHidden/>
              </w:rPr>
              <w:t>12</w:t>
            </w:r>
            <w:r w:rsidR="00306EAF">
              <w:rPr>
                <w:noProof/>
                <w:webHidden/>
              </w:rPr>
              <w:fldChar w:fldCharType="end"/>
            </w:r>
          </w:hyperlink>
        </w:p>
        <w:p w14:paraId="33827150" w14:textId="756BE54F" w:rsidR="00306EAF" w:rsidRDefault="00000000">
          <w:pPr>
            <w:pStyle w:val="TOC3"/>
            <w:rPr>
              <w:rFonts w:cstheme="minorBidi"/>
              <w:noProof/>
              <w:kern w:val="2"/>
              <w:sz w:val="24"/>
              <w14:ligatures w14:val="standardContextual"/>
            </w:rPr>
          </w:pPr>
          <w:hyperlink w:anchor="_Toc165293353" w:history="1">
            <w:r w:rsidR="00306EAF" w:rsidRPr="00831B7D">
              <w:rPr>
                <w:rStyle w:val="Hyperlink"/>
                <w:noProof/>
              </w:rPr>
              <w:t>3.3.3. Western Blot</w:t>
            </w:r>
            <w:r w:rsidR="00306EAF">
              <w:rPr>
                <w:noProof/>
                <w:webHidden/>
              </w:rPr>
              <w:tab/>
            </w:r>
            <w:r w:rsidR="00306EAF">
              <w:rPr>
                <w:noProof/>
                <w:webHidden/>
              </w:rPr>
              <w:fldChar w:fldCharType="begin"/>
            </w:r>
            <w:r w:rsidR="00306EAF">
              <w:rPr>
                <w:noProof/>
                <w:webHidden/>
              </w:rPr>
              <w:instrText xml:space="preserve"> PAGEREF _Toc165293353 \h </w:instrText>
            </w:r>
            <w:r w:rsidR="00306EAF">
              <w:rPr>
                <w:noProof/>
                <w:webHidden/>
              </w:rPr>
            </w:r>
            <w:r w:rsidR="00306EAF">
              <w:rPr>
                <w:noProof/>
                <w:webHidden/>
              </w:rPr>
              <w:fldChar w:fldCharType="separate"/>
            </w:r>
            <w:r w:rsidR="0021770C">
              <w:rPr>
                <w:noProof/>
                <w:webHidden/>
              </w:rPr>
              <w:t>14</w:t>
            </w:r>
            <w:r w:rsidR="00306EAF">
              <w:rPr>
                <w:noProof/>
                <w:webHidden/>
              </w:rPr>
              <w:fldChar w:fldCharType="end"/>
            </w:r>
          </w:hyperlink>
        </w:p>
        <w:p w14:paraId="2E41E64D" w14:textId="568D686D" w:rsidR="00306EAF" w:rsidRDefault="00000000">
          <w:pPr>
            <w:pStyle w:val="TOC2"/>
            <w:rPr>
              <w:rFonts w:cstheme="minorBidi"/>
              <w:b w:val="0"/>
              <w:bCs w:val="0"/>
              <w:noProof/>
              <w:kern w:val="2"/>
              <w:sz w:val="24"/>
              <w:szCs w:val="24"/>
              <w14:ligatures w14:val="standardContextual"/>
            </w:rPr>
          </w:pPr>
          <w:hyperlink w:anchor="_Toc165293354" w:history="1">
            <w:r w:rsidR="00306EAF" w:rsidRPr="00831B7D">
              <w:rPr>
                <w:rStyle w:val="Hyperlink"/>
                <w:noProof/>
              </w:rPr>
              <w:t>3.4. Results</w:t>
            </w:r>
            <w:r w:rsidR="00306EAF">
              <w:rPr>
                <w:noProof/>
                <w:webHidden/>
              </w:rPr>
              <w:tab/>
            </w:r>
            <w:r w:rsidR="00306EAF">
              <w:rPr>
                <w:noProof/>
                <w:webHidden/>
              </w:rPr>
              <w:fldChar w:fldCharType="begin"/>
            </w:r>
            <w:r w:rsidR="00306EAF">
              <w:rPr>
                <w:noProof/>
                <w:webHidden/>
              </w:rPr>
              <w:instrText xml:space="preserve"> PAGEREF _Toc165293354 \h </w:instrText>
            </w:r>
            <w:r w:rsidR="00306EAF">
              <w:rPr>
                <w:noProof/>
                <w:webHidden/>
              </w:rPr>
            </w:r>
            <w:r w:rsidR="00306EAF">
              <w:rPr>
                <w:noProof/>
                <w:webHidden/>
              </w:rPr>
              <w:fldChar w:fldCharType="separate"/>
            </w:r>
            <w:r w:rsidR="0021770C">
              <w:rPr>
                <w:noProof/>
                <w:webHidden/>
              </w:rPr>
              <w:t>18</w:t>
            </w:r>
            <w:r w:rsidR="00306EAF">
              <w:rPr>
                <w:noProof/>
                <w:webHidden/>
              </w:rPr>
              <w:fldChar w:fldCharType="end"/>
            </w:r>
          </w:hyperlink>
        </w:p>
        <w:p w14:paraId="312CE274" w14:textId="3F46556B"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55" w:history="1">
            <w:r w:rsidR="00306EAF" w:rsidRPr="00831B7D">
              <w:rPr>
                <w:rStyle w:val="Hyperlink"/>
                <w:noProof/>
              </w:rPr>
              <w:t>Chapter 4: Cellular Swelling and Signs of Immunogenic Cell Death Post Glycated Chitosan Stimulation</w:t>
            </w:r>
            <w:r w:rsidR="00306EAF">
              <w:rPr>
                <w:noProof/>
                <w:webHidden/>
              </w:rPr>
              <w:tab/>
            </w:r>
            <w:r w:rsidR="00306EAF">
              <w:rPr>
                <w:noProof/>
                <w:webHidden/>
              </w:rPr>
              <w:fldChar w:fldCharType="begin"/>
            </w:r>
            <w:r w:rsidR="00306EAF">
              <w:rPr>
                <w:noProof/>
                <w:webHidden/>
              </w:rPr>
              <w:instrText xml:space="preserve"> PAGEREF _Toc165293355 \h </w:instrText>
            </w:r>
            <w:r w:rsidR="00306EAF">
              <w:rPr>
                <w:noProof/>
                <w:webHidden/>
              </w:rPr>
            </w:r>
            <w:r w:rsidR="00306EAF">
              <w:rPr>
                <w:noProof/>
                <w:webHidden/>
              </w:rPr>
              <w:fldChar w:fldCharType="separate"/>
            </w:r>
            <w:r w:rsidR="0021770C">
              <w:rPr>
                <w:noProof/>
                <w:webHidden/>
              </w:rPr>
              <w:t>22</w:t>
            </w:r>
            <w:r w:rsidR="00306EAF">
              <w:rPr>
                <w:noProof/>
                <w:webHidden/>
              </w:rPr>
              <w:fldChar w:fldCharType="end"/>
            </w:r>
          </w:hyperlink>
        </w:p>
        <w:p w14:paraId="21F844C0" w14:textId="4109F2DF" w:rsidR="00306EAF" w:rsidRDefault="00000000">
          <w:pPr>
            <w:pStyle w:val="TOC2"/>
            <w:rPr>
              <w:rFonts w:cstheme="minorBidi"/>
              <w:b w:val="0"/>
              <w:bCs w:val="0"/>
              <w:noProof/>
              <w:kern w:val="2"/>
              <w:sz w:val="24"/>
              <w:szCs w:val="24"/>
              <w14:ligatures w14:val="standardContextual"/>
            </w:rPr>
          </w:pPr>
          <w:hyperlink w:anchor="_Toc165293356" w:history="1">
            <w:r w:rsidR="00306EAF" w:rsidRPr="00831B7D">
              <w:rPr>
                <w:rStyle w:val="Hyperlink"/>
                <w:noProof/>
              </w:rPr>
              <w:t>4.1. Purpose</w:t>
            </w:r>
            <w:r w:rsidR="00306EAF">
              <w:rPr>
                <w:noProof/>
                <w:webHidden/>
              </w:rPr>
              <w:tab/>
            </w:r>
            <w:r w:rsidR="00306EAF">
              <w:rPr>
                <w:noProof/>
                <w:webHidden/>
              </w:rPr>
              <w:fldChar w:fldCharType="begin"/>
            </w:r>
            <w:r w:rsidR="00306EAF">
              <w:rPr>
                <w:noProof/>
                <w:webHidden/>
              </w:rPr>
              <w:instrText xml:space="preserve"> PAGEREF _Toc165293356 \h </w:instrText>
            </w:r>
            <w:r w:rsidR="00306EAF">
              <w:rPr>
                <w:noProof/>
                <w:webHidden/>
              </w:rPr>
            </w:r>
            <w:r w:rsidR="00306EAF">
              <w:rPr>
                <w:noProof/>
                <w:webHidden/>
              </w:rPr>
              <w:fldChar w:fldCharType="separate"/>
            </w:r>
            <w:r w:rsidR="0021770C">
              <w:rPr>
                <w:noProof/>
                <w:webHidden/>
              </w:rPr>
              <w:t>22</w:t>
            </w:r>
            <w:r w:rsidR="00306EAF">
              <w:rPr>
                <w:noProof/>
                <w:webHidden/>
              </w:rPr>
              <w:fldChar w:fldCharType="end"/>
            </w:r>
          </w:hyperlink>
        </w:p>
        <w:p w14:paraId="4C722D9A" w14:textId="4F50D595" w:rsidR="00306EAF" w:rsidRDefault="00000000">
          <w:pPr>
            <w:pStyle w:val="TOC2"/>
            <w:rPr>
              <w:rFonts w:cstheme="minorBidi"/>
              <w:b w:val="0"/>
              <w:bCs w:val="0"/>
              <w:noProof/>
              <w:kern w:val="2"/>
              <w:sz w:val="24"/>
              <w:szCs w:val="24"/>
              <w14:ligatures w14:val="standardContextual"/>
            </w:rPr>
          </w:pPr>
          <w:hyperlink w:anchor="_Toc165293357" w:history="1">
            <w:r w:rsidR="00306EAF" w:rsidRPr="00831B7D">
              <w:rPr>
                <w:rStyle w:val="Hyperlink"/>
                <w:noProof/>
              </w:rPr>
              <w:t>4.2. Materials</w:t>
            </w:r>
            <w:r w:rsidR="00306EAF">
              <w:rPr>
                <w:noProof/>
                <w:webHidden/>
              </w:rPr>
              <w:tab/>
            </w:r>
            <w:r w:rsidR="00306EAF">
              <w:rPr>
                <w:noProof/>
                <w:webHidden/>
              </w:rPr>
              <w:fldChar w:fldCharType="begin"/>
            </w:r>
            <w:r w:rsidR="00306EAF">
              <w:rPr>
                <w:noProof/>
                <w:webHidden/>
              </w:rPr>
              <w:instrText xml:space="preserve"> PAGEREF _Toc165293357 \h </w:instrText>
            </w:r>
            <w:r w:rsidR="00306EAF">
              <w:rPr>
                <w:noProof/>
                <w:webHidden/>
              </w:rPr>
            </w:r>
            <w:r w:rsidR="00306EAF">
              <w:rPr>
                <w:noProof/>
                <w:webHidden/>
              </w:rPr>
              <w:fldChar w:fldCharType="separate"/>
            </w:r>
            <w:r w:rsidR="0021770C">
              <w:rPr>
                <w:noProof/>
                <w:webHidden/>
              </w:rPr>
              <w:t>22</w:t>
            </w:r>
            <w:r w:rsidR="00306EAF">
              <w:rPr>
                <w:noProof/>
                <w:webHidden/>
              </w:rPr>
              <w:fldChar w:fldCharType="end"/>
            </w:r>
          </w:hyperlink>
        </w:p>
        <w:p w14:paraId="534C3B18" w14:textId="0FC6E19A" w:rsidR="00306EAF" w:rsidRDefault="00000000">
          <w:pPr>
            <w:pStyle w:val="TOC2"/>
            <w:rPr>
              <w:rFonts w:cstheme="minorBidi"/>
              <w:b w:val="0"/>
              <w:bCs w:val="0"/>
              <w:noProof/>
              <w:kern w:val="2"/>
              <w:sz w:val="24"/>
              <w:szCs w:val="24"/>
              <w14:ligatures w14:val="standardContextual"/>
            </w:rPr>
          </w:pPr>
          <w:hyperlink w:anchor="_Toc165293358" w:history="1">
            <w:r w:rsidR="00306EAF" w:rsidRPr="00831B7D">
              <w:rPr>
                <w:rStyle w:val="Hyperlink"/>
                <w:noProof/>
              </w:rPr>
              <w:t>4.3. Methods</w:t>
            </w:r>
            <w:r w:rsidR="00306EAF">
              <w:rPr>
                <w:noProof/>
                <w:webHidden/>
              </w:rPr>
              <w:tab/>
            </w:r>
            <w:r w:rsidR="00306EAF">
              <w:rPr>
                <w:noProof/>
                <w:webHidden/>
              </w:rPr>
              <w:fldChar w:fldCharType="begin"/>
            </w:r>
            <w:r w:rsidR="00306EAF">
              <w:rPr>
                <w:noProof/>
                <w:webHidden/>
              </w:rPr>
              <w:instrText xml:space="preserve"> PAGEREF _Toc165293358 \h </w:instrText>
            </w:r>
            <w:r w:rsidR="00306EAF">
              <w:rPr>
                <w:noProof/>
                <w:webHidden/>
              </w:rPr>
            </w:r>
            <w:r w:rsidR="00306EAF">
              <w:rPr>
                <w:noProof/>
                <w:webHidden/>
              </w:rPr>
              <w:fldChar w:fldCharType="separate"/>
            </w:r>
            <w:r w:rsidR="0021770C">
              <w:rPr>
                <w:noProof/>
                <w:webHidden/>
              </w:rPr>
              <w:t>22</w:t>
            </w:r>
            <w:r w:rsidR="00306EAF">
              <w:rPr>
                <w:noProof/>
                <w:webHidden/>
              </w:rPr>
              <w:fldChar w:fldCharType="end"/>
            </w:r>
          </w:hyperlink>
        </w:p>
        <w:p w14:paraId="2E83F2DE" w14:textId="6025CFA9" w:rsidR="00306EAF" w:rsidRDefault="00000000">
          <w:pPr>
            <w:pStyle w:val="TOC3"/>
            <w:rPr>
              <w:rFonts w:cstheme="minorBidi"/>
              <w:noProof/>
              <w:kern w:val="2"/>
              <w:sz w:val="24"/>
              <w14:ligatures w14:val="standardContextual"/>
            </w:rPr>
          </w:pPr>
          <w:hyperlink w:anchor="_Toc165293359" w:history="1">
            <w:r w:rsidR="00306EAF" w:rsidRPr="00831B7D">
              <w:rPr>
                <w:rStyle w:val="Hyperlink"/>
                <w:noProof/>
              </w:rPr>
              <w:t>4.3.1. Cellular Microscopy</w:t>
            </w:r>
            <w:r w:rsidR="00306EAF">
              <w:rPr>
                <w:noProof/>
                <w:webHidden/>
              </w:rPr>
              <w:tab/>
            </w:r>
            <w:r w:rsidR="00306EAF">
              <w:rPr>
                <w:noProof/>
                <w:webHidden/>
              </w:rPr>
              <w:fldChar w:fldCharType="begin"/>
            </w:r>
            <w:r w:rsidR="00306EAF">
              <w:rPr>
                <w:noProof/>
                <w:webHidden/>
              </w:rPr>
              <w:instrText xml:space="preserve"> PAGEREF _Toc165293359 \h </w:instrText>
            </w:r>
            <w:r w:rsidR="00306EAF">
              <w:rPr>
                <w:noProof/>
                <w:webHidden/>
              </w:rPr>
            </w:r>
            <w:r w:rsidR="00306EAF">
              <w:rPr>
                <w:noProof/>
                <w:webHidden/>
              </w:rPr>
              <w:fldChar w:fldCharType="separate"/>
            </w:r>
            <w:r w:rsidR="0021770C">
              <w:rPr>
                <w:noProof/>
                <w:webHidden/>
              </w:rPr>
              <w:t>22</w:t>
            </w:r>
            <w:r w:rsidR="00306EAF">
              <w:rPr>
                <w:noProof/>
                <w:webHidden/>
              </w:rPr>
              <w:fldChar w:fldCharType="end"/>
            </w:r>
          </w:hyperlink>
        </w:p>
        <w:p w14:paraId="1708FEC0" w14:textId="7B6F6C1A" w:rsidR="00306EAF" w:rsidRDefault="00000000">
          <w:pPr>
            <w:pStyle w:val="TOC3"/>
            <w:rPr>
              <w:rFonts w:cstheme="minorBidi"/>
              <w:noProof/>
              <w:kern w:val="2"/>
              <w:sz w:val="24"/>
              <w14:ligatures w14:val="standardContextual"/>
            </w:rPr>
          </w:pPr>
          <w:hyperlink w:anchor="_Toc165293360" w:history="1">
            <w:r w:rsidR="00306EAF" w:rsidRPr="00831B7D">
              <w:rPr>
                <w:rStyle w:val="Hyperlink"/>
                <w:noProof/>
              </w:rPr>
              <w:t>4.3.2. Cellular Microscopy Quantitative Analysis</w:t>
            </w:r>
            <w:r w:rsidR="00306EAF">
              <w:rPr>
                <w:noProof/>
                <w:webHidden/>
              </w:rPr>
              <w:tab/>
            </w:r>
            <w:r w:rsidR="00306EAF">
              <w:rPr>
                <w:noProof/>
                <w:webHidden/>
              </w:rPr>
              <w:fldChar w:fldCharType="begin"/>
            </w:r>
            <w:r w:rsidR="00306EAF">
              <w:rPr>
                <w:noProof/>
                <w:webHidden/>
              </w:rPr>
              <w:instrText xml:space="preserve"> PAGEREF _Toc165293360 \h </w:instrText>
            </w:r>
            <w:r w:rsidR="00306EAF">
              <w:rPr>
                <w:noProof/>
                <w:webHidden/>
              </w:rPr>
            </w:r>
            <w:r w:rsidR="00306EAF">
              <w:rPr>
                <w:noProof/>
                <w:webHidden/>
              </w:rPr>
              <w:fldChar w:fldCharType="separate"/>
            </w:r>
            <w:r w:rsidR="0021770C">
              <w:rPr>
                <w:noProof/>
                <w:webHidden/>
              </w:rPr>
              <w:t>24</w:t>
            </w:r>
            <w:r w:rsidR="00306EAF">
              <w:rPr>
                <w:noProof/>
                <w:webHidden/>
              </w:rPr>
              <w:fldChar w:fldCharType="end"/>
            </w:r>
          </w:hyperlink>
        </w:p>
        <w:p w14:paraId="4F21C5E5" w14:textId="349E221F" w:rsidR="00306EAF" w:rsidRDefault="00000000">
          <w:pPr>
            <w:pStyle w:val="TOC2"/>
            <w:rPr>
              <w:rFonts w:cstheme="minorBidi"/>
              <w:b w:val="0"/>
              <w:bCs w:val="0"/>
              <w:noProof/>
              <w:kern w:val="2"/>
              <w:sz w:val="24"/>
              <w:szCs w:val="24"/>
              <w14:ligatures w14:val="standardContextual"/>
            </w:rPr>
          </w:pPr>
          <w:hyperlink w:anchor="_Toc165293361" w:history="1">
            <w:r w:rsidR="00306EAF" w:rsidRPr="00831B7D">
              <w:rPr>
                <w:rStyle w:val="Hyperlink"/>
                <w:noProof/>
              </w:rPr>
              <w:t>4.4. Results</w:t>
            </w:r>
            <w:r w:rsidR="00306EAF">
              <w:rPr>
                <w:noProof/>
                <w:webHidden/>
              </w:rPr>
              <w:tab/>
            </w:r>
            <w:r w:rsidR="00306EAF">
              <w:rPr>
                <w:noProof/>
                <w:webHidden/>
              </w:rPr>
              <w:fldChar w:fldCharType="begin"/>
            </w:r>
            <w:r w:rsidR="00306EAF">
              <w:rPr>
                <w:noProof/>
                <w:webHidden/>
              </w:rPr>
              <w:instrText xml:space="preserve"> PAGEREF _Toc165293361 \h </w:instrText>
            </w:r>
            <w:r w:rsidR="00306EAF">
              <w:rPr>
                <w:noProof/>
                <w:webHidden/>
              </w:rPr>
            </w:r>
            <w:r w:rsidR="00306EAF">
              <w:rPr>
                <w:noProof/>
                <w:webHidden/>
              </w:rPr>
              <w:fldChar w:fldCharType="separate"/>
            </w:r>
            <w:r w:rsidR="0021770C">
              <w:rPr>
                <w:noProof/>
                <w:webHidden/>
              </w:rPr>
              <w:t>25</w:t>
            </w:r>
            <w:r w:rsidR="00306EAF">
              <w:rPr>
                <w:noProof/>
                <w:webHidden/>
              </w:rPr>
              <w:fldChar w:fldCharType="end"/>
            </w:r>
          </w:hyperlink>
        </w:p>
        <w:p w14:paraId="5DB1BA3B" w14:textId="734131E1"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62" w:history="1">
            <w:r w:rsidR="00306EAF" w:rsidRPr="00831B7D">
              <w:rPr>
                <w:rStyle w:val="Hyperlink"/>
                <w:noProof/>
              </w:rPr>
              <w:t>Chapter 5: Stimulation with Glycated Chitosan Results in an Upregulation of Lysosomal Genes and STING pathway Interactions</w:t>
            </w:r>
            <w:r w:rsidR="00306EAF">
              <w:rPr>
                <w:noProof/>
                <w:webHidden/>
              </w:rPr>
              <w:tab/>
            </w:r>
            <w:r w:rsidR="00306EAF">
              <w:rPr>
                <w:noProof/>
                <w:webHidden/>
              </w:rPr>
              <w:fldChar w:fldCharType="begin"/>
            </w:r>
            <w:r w:rsidR="00306EAF">
              <w:rPr>
                <w:noProof/>
                <w:webHidden/>
              </w:rPr>
              <w:instrText xml:space="preserve"> PAGEREF _Toc165293362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064253B0" w14:textId="14FB4DFA" w:rsidR="00306EAF" w:rsidRDefault="00000000">
          <w:pPr>
            <w:pStyle w:val="TOC2"/>
            <w:rPr>
              <w:rFonts w:cstheme="minorBidi"/>
              <w:b w:val="0"/>
              <w:bCs w:val="0"/>
              <w:noProof/>
              <w:kern w:val="2"/>
              <w:sz w:val="24"/>
              <w:szCs w:val="24"/>
              <w14:ligatures w14:val="standardContextual"/>
            </w:rPr>
          </w:pPr>
          <w:hyperlink w:anchor="_Toc165293363" w:history="1">
            <w:r w:rsidR="00306EAF" w:rsidRPr="00831B7D">
              <w:rPr>
                <w:rStyle w:val="Hyperlink"/>
                <w:noProof/>
              </w:rPr>
              <w:t>5.1. Purpose</w:t>
            </w:r>
            <w:r w:rsidR="00306EAF">
              <w:rPr>
                <w:noProof/>
                <w:webHidden/>
              </w:rPr>
              <w:tab/>
            </w:r>
            <w:r w:rsidR="00306EAF">
              <w:rPr>
                <w:noProof/>
                <w:webHidden/>
              </w:rPr>
              <w:fldChar w:fldCharType="begin"/>
            </w:r>
            <w:r w:rsidR="00306EAF">
              <w:rPr>
                <w:noProof/>
                <w:webHidden/>
              </w:rPr>
              <w:instrText xml:space="preserve"> PAGEREF _Toc165293363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399129C8" w14:textId="66452348" w:rsidR="00306EAF" w:rsidRDefault="00000000">
          <w:pPr>
            <w:pStyle w:val="TOC2"/>
            <w:rPr>
              <w:rFonts w:cstheme="minorBidi"/>
              <w:b w:val="0"/>
              <w:bCs w:val="0"/>
              <w:noProof/>
              <w:kern w:val="2"/>
              <w:sz w:val="24"/>
              <w:szCs w:val="24"/>
              <w14:ligatures w14:val="standardContextual"/>
            </w:rPr>
          </w:pPr>
          <w:hyperlink w:anchor="_Toc165293364" w:history="1">
            <w:r w:rsidR="00306EAF" w:rsidRPr="00831B7D">
              <w:rPr>
                <w:rStyle w:val="Hyperlink"/>
                <w:noProof/>
              </w:rPr>
              <w:t>5.2. Materials</w:t>
            </w:r>
            <w:r w:rsidR="00306EAF">
              <w:rPr>
                <w:noProof/>
                <w:webHidden/>
              </w:rPr>
              <w:tab/>
            </w:r>
            <w:r w:rsidR="00306EAF">
              <w:rPr>
                <w:noProof/>
                <w:webHidden/>
              </w:rPr>
              <w:fldChar w:fldCharType="begin"/>
            </w:r>
            <w:r w:rsidR="00306EAF">
              <w:rPr>
                <w:noProof/>
                <w:webHidden/>
              </w:rPr>
              <w:instrText xml:space="preserve"> PAGEREF _Toc165293364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10FCA2E5" w14:textId="6E7B9C5C" w:rsidR="00306EAF" w:rsidRDefault="00000000">
          <w:pPr>
            <w:pStyle w:val="TOC2"/>
            <w:rPr>
              <w:rFonts w:cstheme="minorBidi"/>
              <w:b w:val="0"/>
              <w:bCs w:val="0"/>
              <w:noProof/>
              <w:kern w:val="2"/>
              <w:sz w:val="24"/>
              <w:szCs w:val="24"/>
              <w14:ligatures w14:val="standardContextual"/>
            </w:rPr>
          </w:pPr>
          <w:hyperlink w:anchor="_Toc165293365" w:history="1">
            <w:r w:rsidR="00306EAF" w:rsidRPr="00831B7D">
              <w:rPr>
                <w:rStyle w:val="Hyperlink"/>
                <w:noProof/>
              </w:rPr>
              <w:t>5.3. Methods</w:t>
            </w:r>
            <w:r w:rsidR="00306EAF">
              <w:rPr>
                <w:noProof/>
                <w:webHidden/>
              </w:rPr>
              <w:tab/>
            </w:r>
            <w:r w:rsidR="00306EAF">
              <w:rPr>
                <w:noProof/>
                <w:webHidden/>
              </w:rPr>
              <w:fldChar w:fldCharType="begin"/>
            </w:r>
            <w:r w:rsidR="00306EAF">
              <w:rPr>
                <w:noProof/>
                <w:webHidden/>
              </w:rPr>
              <w:instrText xml:space="preserve"> PAGEREF _Toc165293365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4701D860" w14:textId="50404BB4" w:rsidR="00306EAF" w:rsidRDefault="00000000">
          <w:pPr>
            <w:pStyle w:val="TOC3"/>
            <w:rPr>
              <w:rFonts w:cstheme="minorBidi"/>
              <w:noProof/>
              <w:kern w:val="2"/>
              <w:sz w:val="24"/>
              <w14:ligatures w14:val="standardContextual"/>
            </w:rPr>
          </w:pPr>
          <w:hyperlink w:anchor="_Toc165293366" w:history="1">
            <w:r w:rsidR="00306EAF" w:rsidRPr="00831B7D">
              <w:rPr>
                <w:rStyle w:val="Hyperlink"/>
                <w:noProof/>
              </w:rPr>
              <w:t>5.3.1. RNA Sequencing (RNA-Seq)</w:t>
            </w:r>
            <w:r w:rsidR="00306EAF">
              <w:rPr>
                <w:noProof/>
                <w:webHidden/>
              </w:rPr>
              <w:tab/>
            </w:r>
            <w:r w:rsidR="00306EAF">
              <w:rPr>
                <w:noProof/>
                <w:webHidden/>
              </w:rPr>
              <w:fldChar w:fldCharType="begin"/>
            </w:r>
            <w:r w:rsidR="00306EAF">
              <w:rPr>
                <w:noProof/>
                <w:webHidden/>
              </w:rPr>
              <w:instrText xml:space="preserve"> PAGEREF _Toc165293366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2CD6A2A8" w14:textId="5487A743" w:rsidR="00306EAF" w:rsidRDefault="00000000">
          <w:pPr>
            <w:pStyle w:val="TOC3"/>
            <w:rPr>
              <w:rFonts w:cstheme="minorBidi"/>
              <w:noProof/>
              <w:kern w:val="2"/>
              <w:sz w:val="24"/>
              <w14:ligatures w14:val="standardContextual"/>
            </w:rPr>
          </w:pPr>
          <w:hyperlink w:anchor="_Toc165293367" w:history="1">
            <w:r w:rsidR="00306EAF" w:rsidRPr="00831B7D">
              <w:rPr>
                <w:rStyle w:val="Hyperlink"/>
                <w:noProof/>
              </w:rPr>
              <w:t>5.3.2. Bioinformatics Analysis (Quality Control, Read Trimming, Genome Mapping, and Identification of Differentially Expressed Genes)</w:t>
            </w:r>
            <w:r w:rsidR="00306EAF">
              <w:rPr>
                <w:noProof/>
                <w:webHidden/>
              </w:rPr>
              <w:tab/>
            </w:r>
            <w:r w:rsidR="00306EAF">
              <w:rPr>
                <w:noProof/>
                <w:webHidden/>
              </w:rPr>
              <w:fldChar w:fldCharType="begin"/>
            </w:r>
            <w:r w:rsidR="00306EAF">
              <w:rPr>
                <w:noProof/>
                <w:webHidden/>
              </w:rPr>
              <w:instrText xml:space="preserve"> PAGEREF _Toc165293367 \h </w:instrText>
            </w:r>
            <w:r w:rsidR="00306EAF">
              <w:rPr>
                <w:noProof/>
                <w:webHidden/>
              </w:rPr>
            </w:r>
            <w:r w:rsidR="00306EAF">
              <w:rPr>
                <w:noProof/>
                <w:webHidden/>
              </w:rPr>
              <w:fldChar w:fldCharType="separate"/>
            </w:r>
            <w:r w:rsidR="0021770C">
              <w:rPr>
                <w:noProof/>
                <w:webHidden/>
              </w:rPr>
              <w:t>29</w:t>
            </w:r>
            <w:r w:rsidR="00306EAF">
              <w:rPr>
                <w:noProof/>
                <w:webHidden/>
              </w:rPr>
              <w:fldChar w:fldCharType="end"/>
            </w:r>
          </w:hyperlink>
        </w:p>
        <w:p w14:paraId="412AE152" w14:textId="7953E37D" w:rsidR="00306EAF" w:rsidRDefault="00000000">
          <w:pPr>
            <w:pStyle w:val="TOC2"/>
            <w:rPr>
              <w:rFonts w:cstheme="minorBidi"/>
              <w:b w:val="0"/>
              <w:bCs w:val="0"/>
              <w:noProof/>
              <w:kern w:val="2"/>
              <w:sz w:val="24"/>
              <w:szCs w:val="24"/>
              <w14:ligatures w14:val="standardContextual"/>
            </w:rPr>
          </w:pPr>
          <w:hyperlink w:anchor="_Toc165293368" w:history="1">
            <w:r w:rsidR="00306EAF" w:rsidRPr="00831B7D">
              <w:rPr>
                <w:rStyle w:val="Hyperlink"/>
                <w:noProof/>
              </w:rPr>
              <w:t>5.4. Results</w:t>
            </w:r>
            <w:r w:rsidR="00306EAF">
              <w:rPr>
                <w:noProof/>
                <w:webHidden/>
              </w:rPr>
              <w:tab/>
            </w:r>
            <w:r w:rsidR="00306EAF">
              <w:rPr>
                <w:noProof/>
                <w:webHidden/>
              </w:rPr>
              <w:fldChar w:fldCharType="begin"/>
            </w:r>
            <w:r w:rsidR="00306EAF">
              <w:rPr>
                <w:noProof/>
                <w:webHidden/>
              </w:rPr>
              <w:instrText xml:space="preserve"> PAGEREF _Toc165293368 \h </w:instrText>
            </w:r>
            <w:r w:rsidR="00306EAF">
              <w:rPr>
                <w:noProof/>
                <w:webHidden/>
              </w:rPr>
            </w:r>
            <w:r w:rsidR="00306EAF">
              <w:rPr>
                <w:noProof/>
                <w:webHidden/>
              </w:rPr>
              <w:fldChar w:fldCharType="separate"/>
            </w:r>
            <w:r w:rsidR="0021770C">
              <w:rPr>
                <w:noProof/>
                <w:webHidden/>
              </w:rPr>
              <w:t>30</w:t>
            </w:r>
            <w:r w:rsidR="00306EAF">
              <w:rPr>
                <w:noProof/>
                <w:webHidden/>
              </w:rPr>
              <w:fldChar w:fldCharType="end"/>
            </w:r>
          </w:hyperlink>
        </w:p>
        <w:p w14:paraId="2512DBE9" w14:textId="3718A2DB" w:rsidR="00306EAF" w:rsidRDefault="00000000">
          <w:pPr>
            <w:pStyle w:val="TOC2"/>
            <w:rPr>
              <w:rFonts w:cstheme="minorBidi"/>
              <w:b w:val="0"/>
              <w:bCs w:val="0"/>
              <w:noProof/>
              <w:kern w:val="2"/>
              <w:sz w:val="24"/>
              <w:szCs w:val="24"/>
              <w14:ligatures w14:val="standardContextual"/>
            </w:rPr>
          </w:pPr>
          <w:hyperlink w:anchor="_Toc165293369" w:history="1">
            <w:r w:rsidR="00306EAF" w:rsidRPr="00831B7D">
              <w:rPr>
                <w:rStyle w:val="Hyperlink"/>
                <w:noProof/>
              </w:rPr>
              <w:t>5.5. Key Gene Discussion</w:t>
            </w:r>
            <w:r w:rsidR="00306EAF">
              <w:rPr>
                <w:noProof/>
                <w:webHidden/>
              </w:rPr>
              <w:tab/>
            </w:r>
            <w:r w:rsidR="00306EAF">
              <w:rPr>
                <w:noProof/>
                <w:webHidden/>
              </w:rPr>
              <w:fldChar w:fldCharType="begin"/>
            </w:r>
            <w:r w:rsidR="00306EAF">
              <w:rPr>
                <w:noProof/>
                <w:webHidden/>
              </w:rPr>
              <w:instrText xml:space="preserve"> PAGEREF _Toc165293369 \h </w:instrText>
            </w:r>
            <w:r w:rsidR="00306EAF">
              <w:rPr>
                <w:noProof/>
                <w:webHidden/>
              </w:rPr>
            </w:r>
            <w:r w:rsidR="00306EAF">
              <w:rPr>
                <w:noProof/>
                <w:webHidden/>
              </w:rPr>
              <w:fldChar w:fldCharType="separate"/>
            </w:r>
            <w:r w:rsidR="0021770C">
              <w:rPr>
                <w:noProof/>
                <w:webHidden/>
              </w:rPr>
              <w:t>32</w:t>
            </w:r>
            <w:r w:rsidR="00306EAF">
              <w:rPr>
                <w:noProof/>
                <w:webHidden/>
              </w:rPr>
              <w:fldChar w:fldCharType="end"/>
            </w:r>
          </w:hyperlink>
        </w:p>
        <w:p w14:paraId="5F8B3A4E" w14:textId="10EF9846"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70" w:history="1">
            <w:r w:rsidR="00306EAF" w:rsidRPr="00831B7D">
              <w:rPr>
                <w:rStyle w:val="Hyperlink"/>
                <w:noProof/>
              </w:rPr>
              <w:t>Chapter 6: Discussion, Conclusions, and Future Directions</w:t>
            </w:r>
            <w:r w:rsidR="00306EAF">
              <w:rPr>
                <w:noProof/>
                <w:webHidden/>
              </w:rPr>
              <w:tab/>
            </w:r>
            <w:r w:rsidR="00306EAF">
              <w:rPr>
                <w:noProof/>
                <w:webHidden/>
              </w:rPr>
              <w:fldChar w:fldCharType="begin"/>
            </w:r>
            <w:r w:rsidR="00306EAF">
              <w:rPr>
                <w:noProof/>
                <w:webHidden/>
              </w:rPr>
              <w:instrText xml:space="preserve"> PAGEREF _Toc165293370 \h </w:instrText>
            </w:r>
            <w:r w:rsidR="00306EAF">
              <w:rPr>
                <w:noProof/>
                <w:webHidden/>
              </w:rPr>
            </w:r>
            <w:r w:rsidR="00306EAF">
              <w:rPr>
                <w:noProof/>
                <w:webHidden/>
              </w:rPr>
              <w:fldChar w:fldCharType="separate"/>
            </w:r>
            <w:r w:rsidR="0021770C">
              <w:rPr>
                <w:noProof/>
                <w:webHidden/>
              </w:rPr>
              <w:t>34</w:t>
            </w:r>
            <w:r w:rsidR="00306EAF">
              <w:rPr>
                <w:noProof/>
                <w:webHidden/>
              </w:rPr>
              <w:fldChar w:fldCharType="end"/>
            </w:r>
          </w:hyperlink>
        </w:p>
        <w:p w14:paraId="7B48B92B" w14:textId="7D6B22EC" w:rsidR="00306EAF" w:rsidRDefault="00000000">
          <w:pPr>
            <w:pStyle w:val="TOC2"/>
            <w:rPr>
              <w:rFonts w:cstheme="minorBidi"/>
              <w:b w:val="0"/>
              <w:bCs w:val="0"/>
              <w:noProof/>
              <w:kern w:val="2"/>
              <w:sz w:val="24"/>
              <w:szCs w:val="24"/>
              <w14:ligatures w14:val="standardContextual"/>
            </w:rPr>
          </w:pPr>
          <w:hyperlink w:anchor="_Toc165293371" w:history="1">
            <w:r w:rsidR="00306EAF" w:rsidRPr="00831B7D">
              <w:rPr>
                <w:rStyle w:val="Hyperlink"/>
                <w:noProof/>
              </w:rPr>
              <w:t>6.1. Discussion</w:t>
            </w:r>
            <w:r w:rsidR="00306EAF">
              <w:rPr>
                <w:noProof/>
                <w:webHidden/>
              </w:rPr>
              <w:tab/>
            </w:r>
            <w:r w:rsidR="00306EAF">
              <w:rPr>
                <w:noProof/>
                <w:webHidden/>
              </w:rPr>
              <w:fldChar w:fldCharType="begin"/>
            </w:r>
            <w:r w:rsidR="00306EAF">
              <w:rPr>
                <w:noProof/>
                <w:webHidden/>
              </w:rPr>
              <w:instrText xml:space="preserve"> PAGEREF _Toc165293371 \h </w:instrText>
            </w:r>
            <w:r w:rsidR="00306EAF">
              <w:rPr>
                <w:noProof/>
                <w:webHidden/>
              </w:rPr>
            </w:r>
            <w:r w:rsidR="00306EAF">
              <w:rPr>
                <w:noProof/>
                <w:webHidden/>
              </w:rPr>
              <w:fldChar w:fldCharType="separate"/>
            </w:r>
            <w:r w:rsidR="0021770C">
              <w:rPr>
                <w:noProof/>
                <w:webHidden/>
              </w:rPr>
              <w:t>34</w:t>
            </w:r>
            <w:r w:rsidR="00306EAF">
              <w:rPr>
                <w:noProof/>
                <w:webHidden/>
              </w:rPr>
              <w:fldChar w:fldCharType="end"/>
            </w:r>
          </w:hyperlink>
        </w:p>
        <w:p w14:paraId="2FF4A9F9" w14:textId="161F0283" w:rsidR="00306EAF" w:rsidRDefault="00000000">
          <w:pPr>
            <w:pStyle w:val="TOC2"/>
            <w:rPr>
              <w:rFonts w:cstheme="minorBidi"/>
              <w:b w:val="0"/>
              <w:bCs w:val="0"/>
              <w:noProof/>
              <w:kern w:val="2"/>
              <w:sz w:val="24"/>
              <w:szCs w:val="24"/>
              <w14:ligatures w14:val="standardContextual"/>
            </w:rPr>
          </w:pPr>
          <w:hyperlink w:anchor="_Toc165293372" w:history="1">
            <w:r w:rsidR="00306EAF" w:rsidRPr="00831B7D">
              <w:rPr>
                <w:rStyle w:val="Hyperlink"/>
                <w:noProof/>
              </w:rPr>
              <w:t>6.2. Conclusions</w:t>
            </w:r>
            <w:r w:rsidR="00306EAF">
              <w:rPr>
                <w:noProof/>
                <w:webHidden/>
              </w:rPr>
              <w:tab/>
            </w:r>
            <w:r w:rsidR="00306EAF">
              <w:rPr>
                <w:noProof/>
                <w:webHidden/>
              </w:rPr>
              <w:fldChar w:fldCharType="begin"/>
            </w:r>
            <w:r w:rsidR="00306EAF">
              <w:rPr>
                <w:noProof/>
                <w:webHidden/>
              </w:rPr>
              <w:instrText xml:space="preserve"> PAGEREF _Toc165293372 \h </w:instrText>
            </w:r>
            <w:r w:rsidR="00306EAF">
              <w:rPr>
                <w:noProof/>
                <w:webHidden/>
              </w:rPr>
            </w:r>
            <w:r w:rsidR="00306EAF">
              <w:rPr>
                <w:noProof/>
                <w:webHidden/>
              </w:rPr>
              <w:fldChar w:fldCharType="separate"/>
            </w:r>
            <w:r w:rsidR="0021770C">
              <w:rPr>
                <w:noProof/>
                <w:webHidden/>
              </w:rPr>
              <w:t>35</w:t>
            </w:r>
            <w:r w:rsidR="00306EAF">
              <w:rPr>
                <w:noProof/>
                <w:webHidden/>
              </w:rPr>
              <w:fldChar w:fldCharType="end"/>
            </w:r>
          </w:hyperlink>
        </w:p>
        <w:p w14:paraId="582978F7" w14:textId="05D1133C" w:rsidR="00306EAF" w:rsidRDefault="00000000">
          <w:pPr>
            <w:pStyle w:val="TOC2"/>
            <w:rPr>
              <w:rFonts w:cstheme="minorBidi"/>
              <w:b w:val="0"/>
              <w:bCs w:val="0"/>
              <w:noProof/>
              <w:kern w:val="2"/>
              <w:sz w:val="24"/>
              <w:szCs w:val="24"/>
              <w14:ligatures w14:val="standardContextual"/>
            </w:rPr>
          </w:pPr>
          <w:hyperlink w:anchor="_Toc165293373" w:history="1">
            <w:r w:rsidR="00306EAF" w:rsidRPr="00831B7D">
              <w:rPr>
                <w:rStyle w:val="Hyperlink"/>
                <w:noProof/>
              </w:rPr>
              <w:t>6.3. Future Directions</w:t>
            </w:r>
            <w:r w:rsidR="00306EAF">
              <w:rPr>
                <w:noProof/>
                <w:webHidden/>
              </w:rPr>
              <w:tab/>
            </w:r>
            <w:r w:rsidR="00306EAF">
              <w:rPr>
                <w:noProof/>
                <w:webHidden/>
              </w:rPr>
              <w:fldChar w:fldCharType="begin"/>
            </w:r>
            <w:r w:rsidR="00306EAF">
              <w:rPr>
                <w:noProof/>
                <w:webHidden/>
              </w:rPr>
              <w:instrText xml:space="preserve"> PAGEREF _Toc165293373 \h </w:instrText>
            </w:r>
            <w:r w:rsidR="00306EAF">
              <w:rPr>
                <w:noProof/>
                <w:webHidden/>
              </w:rPr>
            </w:r>
            <w:r w:rsidR="00306EAF">
              <w:rPr>
                <w:noProof/>
                <w:webHidden/>
              </w:rPr>
              <w:fldChar w:fldCharType="separate"/>
            </w:r>
            <w:r w:rsidR="0021770C">
              <w:rPr>
                <w:noProof/>
                <w:webHidden/>
              </w:rPr>
              <w:t>36</w:t>
            </w:r>
            <w:r w:rsidR="00306EAF">
              <w:rPr>
                <w:noProof/>
                <w:webHidden/>
              </w:rPr>
              <w:fldChar w:fldCharType="end"/>
            </w:r>
          </w:hyperlink>
        </w:p>
        <w:p w14:paraId="4A128ED2" w14:textId="45A98D5E"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74" w:history="1">
            <w:r w:rsidR="00306EAF" w:rsidRPr="00831B7D">
              <w:rPr>
                <w:rStyle w:val="Hyperlink"/>
                <w:noProof/>
              </w:rPr>
              <w:t>References</w:t>
            </w:r>
            <w:r w:rsidR="00306EAF">
              <w:rPr>
                <w:noProof/>
                <w:webHidden/>
              </w:rPr>
              <w:tab/>
            </w:r>
            <w:r w:rsidR="00306EAF">
              <w:rPr>
                <w:noProof/>
                <w:webHidden/>
              </w:rPr>
              <w:fldChar w:fldCharType="begin"/>
            </w:r>
            <w:r w:rsidR="00306EAF">
              <w:rPr>
                <w:noProof/>
                <w:webHidden/>
              </w:rPr>
              <w:instrText xml:space="preserve"> PAGEREF _Toc165293374 \h </w:instrText>
            </w:r>
            <w:r w:rsidR="00306EAF">
              <w:rPr>
                <w:noProof/>
                <w:webHidden/>
              </w:rPr>
            </w:r>
            <w:r w:rsidR="00306EAF">
              <w:rPr>
                <w:noProof/>
                <w:webHidden/>
              </w:rPr>
              <w:fldChar w:fldCharType="separate"/>
            </w:r>
            <w:r w:rsidR="0021770C">
              <w:rPr>
                <w:noProof/>
                <w:webHidden/>
              </w:rPr>
              <w:t>37</w:t>
            </w:r>
            <w:r w:rsidR="00306EAF">
              <w:rPr>
                <w:noProof/>
                <w:webHidden/>
              </w:rPr>
              <w:fldChar w:fldCharType="end"/>
            </w:r>
          </w:hyperlink>
        </w:p>
        <w:p w14:paraId="44FDE821" w14:textId="03723D52" w:rsidR="00306EAF" w:rsidRDefault="00000000">
          <w:pPr>
            <w:pStyle w:val="TOC1"/>
            <w:tabs>
              <w:tab w:val="right" w:leader="dot" w:pos="9350"/>
            </w:tabs>
            <w:rPr>
              <w:rFonts w:cstheme="minorBidi"/>
              <w:b w:val="0"/>
              <w:bCs w:val="0"/>
              <w:i w:val="0"/>
              <w:iCs w:val="0"/>
              <w:noProof/>
              <w:kern w:val="2"/>
              <w:szCs w:val="24"/>
              <w14:ligatures w14:val="standardContextual"/>
            </w:rPr>
          </w:pPr>
          <w:hyperlink w:anchor="_Toc165293375" w:history="1">
            <w:r w:rsidR="00306EAF" w:rsidRPr="00831B7D">
              <w:rPr>
                <w:rStyle w:val="Hyperlink"/>
                <w:noProof/>
              </w:rPr>
              <w:t>Supplemental Materials</w:t>
            </w:r>
            <w:r w:rsidR="00306EAF">
              <w:rPr>
                <w:noProof/>
                <w:webHidden/>
              </w:rPr>
              <w:tab/>
            </w:r>
            <w:r w:rsidR="00306EAF">
              <w:rPr>
                <w:noProof/>
                <w:webHidden/>
              </w:rPr>
              <w:fldChar w:fldCharType="begin"/>
            </w:r>
            <w:r w:rsidR="00306EAF">
              <w:rPr>
                <w:noProof/>
                <w:webHidden/>
              </w:rPr>
              <w:instrText xml:space="preserve"> PAGEREF _Toc165293375 \h </w:instrText>
            </w:r>
            <w:r w:rsidR="00306EAF">
              <w:rPr>
                <w:noProof/>
                <w:webHidden/>
              </w:rPr>
            </w:r>
            <w:r w:rsidR="00306EAF">
              <w:rPr>
                <w:noProof/>
                <w:webHidden/>
              </w:rPr>
              <w:fldChar w:fldCharType="separate"/>
            </w:r>
            <w:r w:rsidR="0021770C">
              <w:rPr>
                <w:noProof/>
                <w:webHidden/>
              </w:rPr>
              <w:t>43</w:t>
            </w:r>
            <w:r w:rsidR="00306EAF">
              <w:rPr>
                <w:noProof/>
                <w:webHidden/>
              </w:rPr>
              <w:fldChar w:fldCharType="end"/>
            </w:r>
          </w:hyperlink>
        </w:p>
        <w:p w14:paraId="5BBF0BA9" w14:textId="398D5831" w:rsidR="00306EAF" w:rsidRDefault="00000000">
          <w:pPr>
            <w:pStyle w:val="TOC2"/>
            <w:rPr>
              <w:rFonts w:cstheme="minorBidi"/>
              <w:b w:val="0"/>
              <w:bCs w:val="0"/>
              <w:noProof/>
              <w:kern w:val="2"/>
              <w:sz w:val="24"/>
              <w:szCs w:val="24"/>
              <w14:ligatures w14:val="standardContextual"/>
            </w:rPr>
          </w:pPr>
          <w:hyperlink w:anchor="_Toc165293376" w:history="1">
            <w:r w:rsidR="00306EAF" w:rsidRPr="00831B7D">
              <w:rPr>
                <w:rStyle w:val="Hyperlink"/>
                <w:noProof/>
              </w:rPr>
              <w:t>Appendix A: STING-GFP Transfected Cells Materials and Methods</w:t>
            </w:r>
            <w:r w:rsidR="00306EAF">
              <w:rPr>
                <w:noProof/>
                <w:webHidden/>
              </w:rPr>
              <w:tab/>
            </w:r>
            <w:r w:rsidR="00306EAF">
              <w:rPr>
                <w:noProof/>
                <w:webHidden/>
              </w:rPr>
              <w:fldChar w:fldCharType="begin"/>
            </w:r>
            <w:r w:rsidR="00306EAF">
              <w:rPr>
                <w:noProof/>
                <w:webHidden/>
              </w:rPr>
              <w:instrText xml:space="preserve"> PAGEREF _Toc165293376 \h </w:instrText>
            </w:r>
            <w:r w:rsidR="00306EAF">
              <w:rPr>
                <w:noProof/>
                <w:webHidden/>
              </w:rPr>
            </w:r>
            <w:r w:rsidR="00306EAF">
              <w:rPr>
                <w:noProof/>
                <w:webHidden/>
              </w:rPr>
              <w:fldChar w:fldCharType="separate"/>
            </w:r>
            <w:r w:rsidR="0021770C">
              <w:rPr>
                <w:noProof/>
                <w:webHidden/>
              </w:rPr>
              <w:t>43</w:t>
            </w:r>
            <w:r w:rsidR="00306EAF">
              <w:rPr>
                <w:noProof/>
                <w:webHidden/>
              </w:rPr>
              <w:fldChar w:fldCharType="end"/>
            </w:r>
          </w:hyperlink>
        </w:p>
        <w:p w14:paraId="4B2F2BC9" w14:textId="2220B0D9" w:rsidR="00306EAF" w:rsidRDefault="00000000">
          <w:pPr>
            <w:pStyle w:val="TOC3"/>
            <w:rPr>
              <w:rFonts w:cstheme="minorBidi"/>
              <w:noProof/>
              <w:kern w:val="2"/>
              <w:sz w:val="24"/>
              <w14:ligatures w14:val="standardContextual"/>
            </w:rPr>
          </w:pPr>
          <w:hyperlink w:anchor="_Toc165293377" w:history="1">
            <w:r w:rsidR="00306EAF" w:rsidRPr="00831B7D">
              <w:rPr>
                <w:rStyle w:val="Hyperlink"/>
                <w:noProof/>
              </w:rPr>
              <w:t>A.1. Materials</w:t>
            </w:r>
            <w:r w:rsidR="00306EAF">
              <w:rPr>
                <w:noProof/>
                <w:webHidden/>
              </w:rPr>
              <w:tab/>
            </w:r>
            <w:r w:rsidR="00306EAF">
              <w:rPr>
                <w:noProof/>
                <w:webHidden/>
              </w:rPr>
              <w:fldChar w:fldCharType="begin"/>
            </w:r>
            <w:r w:rsidR="00306EAF">
              <w:rPr>
                <w:noProof/>
                <w:webHidden/>
              </w:rPr>
              <w:instrText xml:space="preserve"> PAGEREF _Toc165293377 \h </w:instrText>
            </w:r>
            <w:r w:rsidR="00306EAF">
              <w:rPr>
                <w:noProof/>
                <w:webHidden/>
              </w:rPr>
            </w:r>
            <w:r w:rsidR="00306EAF">
              <w:rPr>
                <w:noProof/>
                <w:webHidden/>
              </w:rPr>
              <w:fldChar w:fldCharType="separate"/>
            </w:r>
            <w:r w:rsidR="0021770C">
              <w:rPr>
                <w:noProof/>
                <w:webHidden/>
              </w:rPr>
              <w:t>43</w:t>
            </w:r>
            <w:r w:rsidR="00306EAF">
              <w:rPr>
                <w:noProof/>
                <w:webHidden/>
              </w:rPr>
              <w:fldChar w:fldCharType="end"/>
            </w:r>
          </w:hyperlink>
        </w:p>
        <w:p w14:paraId="6BAF8C3E" w14:textId="71221155" w:rsidR="00306EAF" w:rsidRDefault="00000000">
          <w:pPr>
            <w:pStyle w:val="TOC3"/>
            <w:rPr>
              <w:rFonts w:cstheme="minorBidi"/>
              <w:noProof/>
              <w:kern w:val="2"/>
              <w:sz w:val="24"/>
              <w14:ligatures w14:val="standardContextual"/>
            </w:rPr>
          </w:pPr>
          <w:hyperlink w:anchor="_Toc165293378" w:history="1">
            <w:r w:rsidR="00306EAF" w:rsidRPr="00831B7D">
              <w:rPr>
                <w:rStyle w:val="Hyperlink"/>
                <w:noProof/>
              </w:rPr>
              <w:t>A.2. Generation of CRISPR/Cas9 and sgRNA resistant STING1 viral vectors.</w:t>
            </w:r>
            <w:r w:rsidR="00306EAF">
              <w:rPr>
                <w:noProof/>
                <w:webHidden/>
              </w:rPr>
              <w:tab/>
            </w:r>
            <w:r w:rsidR="00306EAF">
              <w:rPr>
                <w:noProof/>
                <w:webHidden/>
              </w:rPr>
              <w:fldChar w:fldCharType="begin"/>
            </w:r>
            <w:r w:rsidR="00306EAF">
              <w:rPr>
                <w:noProof/>
                <w:webHidden/>
              </w:rPr>
              <w:instrText xml:space="preserve"> PAGEREF _Toc165293378 \h </w:instrText>
            </w:r>
            <w:r w:rsidR="00306EAF">
              <w:rPr>
                <w:noProof/>
                <w:webHidden/>
              </w:rPr>
            </w:r>
            <w:r w:rsidR="00306EAF">
              <w:rPr>
                <w:noProof/>
                <w:webHidden/>
              </w:rPr>
              <w:fldChar w:fldCharType="separate"/>
            </w:r>
            <w:r w:rsidR="0021770C">
              <w:rPr>
                <w:noProof/>
                <w:webHidden/>
              </w:rPr>
              <w:t>43</w:t>
            </w:r>
            <w:r w:rsidR="00306EAF">
              <w:rPr>
                <w:noProof/>
                <w:webHidden/>
              </w:rPr>
              <w:fldChar w:fldCharType="end"/>
            </w:r>
          </w:hyperlink>
        </w:p>
        <w:p w14:paraId="48A418A4" w14:textId="6A34EDE1" w:rsidR="00306EAF" w:rsidRDefault="00000000">
          <w:pPr>
            <w:pStyle w:val="TOC3"/>
            <w:rPr>
              <w:rFonts w:cstheme="minorBidi"/>
              <w:noProof/>
              <w:kern w:val="2"/>
              <w:sz w:val="24"/>
              <w14:ligatures w14:val="standardContextual"/>
            </w:rPr>
          </w:pPr>
          <w:hyperlink w:anchor="_Toc165293379" w:history="1">
            <w:r w:rsidR="00306EAF" w:rsidRPr="00831B7D">
              <w:rPr>
                <w:rStyle w:val="Hyperlink"/>
                <w:noProof/>
              </w:rPr>
              <w:t>A.3. Lentivirus Generation and Transduction</w:t>
            </w:r>
            <w:r w:rsidR="00306EAF">
              <w:rPr>
                <w:noProof/>
                <w:webHidden/>
              </w:rPr>
              <w:tab/>
            </w:r>
            <w:r w:rsidR="00306EAF">
              <w:rPr>
                <w:noProof/>
                <w:webHidden/>
              </w:rPr>
              <w:fldChar w:fldCharType="begin"/>
            </w:r>
            <w:r w:rsidR="00306EAF">
              <w:rPr>
                <w:noProof/>
                <w:webHidden/>
              </w:rPr>
              <w:instrText xml:space="preserve"> PAGEREF _Toc165293379 \h </w:instrText>
            </w:r>
            <w:r w:rsidR="00306EAF">
              <w:rPr>
                <w:noProof/>
                <w:webHidden/>
              </w:rPr>
            </w:r>
            <w:r w:rsidR="00306EAF">
              <w:rPr>
                <w:noProof/>
                <w:webHidden/>
              </w:rPr>
              <w:fldChar w:fldCharType="separate"/>
            </w:r>
            <w:r w:rsidR="0021770C">
              <w:rPr>
                <w:noProof/>
                <w:webHidden/>
              </w:rPr>
              <w:t>43</w:t>
            </w:r>
            <w:r w:rsidR="00306EAF">
              <w:rPr>
                <w:noProof/>
                <w:webHidden/>
              </w:rPr>
              <w:fldChar w:fldCharType="end"/>
            </w:r>
          </w:hyperlink>
        </w:p>
        <w:p w14:paraId="5A5217A1" w14:textId="329B6D94" w:rsidR="00306EAF" w:rsidRDefault="00000000">
          <w:pPr>
            <w:pStyle w:val="TOC3"/>
            <w:rPr>
              <w:rFonts w:cstheme="minorBidi"/>
              <w:noProof/>
              <w:kern w:val="2"/>
              <w:sz w:val="24"/>
              <w14:ligatures w14:val="standardContextual"/>
            </w:rPr>
          </w:pPr>
          <w:hyperlink w:anchor="_Toc165293380" w:history="1">
            <w:r w:rsidR="00306EAF" w:rsidRPr="00831B7D">
              <w:rPr>
                <w:rStyle w:val="Hyperlink"/>
                <w:noProof/>
              </w:rPr>
              <w:t>A.4. Results</w:t>
            </w:r>
            <w:r w:rsidR="00306EAF">
              <w:rPr>
                <w:noProof/>
                <w:webHidden/>
              </w:rPr>
              <w:tab/>
            </w:r>
            <w:r w:rsidR="00306EAF">
              <w:rPr>
                <w:noProof/>
                <w:webHidden/>
              </w:rPr>
              <w:fldChar w:fldCharType="begin"/>
            </w:r>
            <w:r w:rsidR="00306EAF">
              <w:rPr>
                <w:noProof/>
                <w:webHidden/>
              </w:rPr>
              <w:instrText xml:space="preserve"> PAGEREF _Toc165293380 \h </w:instrText>
            </w:r>
            <w:r w:rsidR="00306EAF">
              <w:rPr>
                <w:noProof/>
                <w:webHidden/>
              </w:rPr>
            </w:r>
            <w:r w:rsidR="00306EAF">
              <w:rPr>
                <w:noProof/>
                <w:webHidden/>
              </w:rPr>
              <w:fldChar w:fldCharType="separate"/>
            </w:r>
            <w:r w:rsidR="0021770C">
              <w:rPr>
                <w:noProof/>
                <w:webHidden/>
              </w:rPr>
              <w:t>44</w:t>
            </w:r>
            <w:r w:rsidR="00306EAF">
              <w:rPr>
                <w:noProof/>
                <w:webHidden/>
              </w:rPr>
              <w:fldChar w:fldCharType="end"/>
            </w:r>
          </w:hyperlink>
        </w:p>
        <w:p w14:paraId="1A616357" w14:textId="77E7D1CC" w:rsidR="00306EAF" w:rsidRDefault="00000000">
          <w:pPr>
            <w:pStyle w:val="TOC3"/>
            <w:rPr>
              <w:rFonts w:cstheme="minorBidi"/>
              <w:noProof/>
              <w:kern w:val="2"/>
              <w:sz w:val="24"/>
              <w14:ligatures w14:val="standardContextual"/>
            </w:rPr>
          </w:pPr>
          <w:hyperlink w:anchor="_Toc165293381" w:history="1">
            <w:r w:rsidR="00306EAF" w:rsidRPr="00831B7D">
              <w:rPr>
                <w:rStyle w:val="Hyperlink"/>
                <w:noProof/>
              </w:rPr>
              <w:t>A.5. Conclusions</w:t>
            </w:r>
            <w:r w:rsidR="00306EAF">
              <w:rPr>
                <w:noProof/>
                <w:webHidden/>
              </w:rPr>
              <w:tab/>
            </w:r>
            <w:r w:rsidR="00306EAF">
              <w:rPr>
                <w:noProof/>
                <w:webHidden/>
              </w:rPr>
              <w:fldChar w:fldCharType="begin"/>
            </w:r>
            <w:r w:rsidR="00306EAF">
              <w:rPr>
                <w:noProof/>
                <w:webHidden/>
              </w:rPr>
              <w:instrText xml:space="preserve"> PAGEREF _Toc165293381 \h </w:instrText>
            </w:r>
            <w:r w:rsidR="00306EAF">
              <w:rPr>
                <w:noProof/>
                <w:webHidden/>
              </w:rPr>
            </w:r>
            <w:r w:rsidR="00306EAF">
              <w:rPr>
                <w:noProof/>
                <w:webHidden/>
              </w:rPr>
              <w:fldChar w:fldCharType="separate"/>
            </w:r>
            <w:r w:rsidR="0021770C">
              <w:rPr>
                <w:noProof/>
                <w:webHidden/>
              </w:rPr>
              <w:t>44</w:t>
            </w:r>
            <w:r w:rsidR="00306EAF">
              <w:rPr>
                <w:noProof/>
                <w:webHidden/>
              </w:rPr>
              <w:fldChar w:fldCharType="end"/>
            </w:r>
          </w:hyperlink>
        </w:p>
        <w:p w14:paraId="252CD101" w14:textId="29E35D81" w:rsidR="00306EAF" w:rsidRDefault="00000000">
          <w:pPr>
            <w:pStyle w:val="TOC2"/>
            <w:rPr>
              <w:rFonts w:cstheme="minorBidi"/>
              <w:b w:val="0"/>
              <w:bCs w:val="0"/>
              <w:noProof/>
              <w:kern w:val="2"/>
              <w:sz w:val="24"/>
              <w:szCs w:val="24"/>
              <w14:ligatures w14:val="standardContextual"/>
            </w:rPr>
          </w:pPr>
          <w:hyperlink w:anchor="_Toc165293382" w:history="1">
            <w:r w:rsidR="00306EAF" w:rsidRPr="00831B7D">
              <w:rPr>
                <w:rStyle w:val="Hyperlink"/>
                <w:noProof/>
              </w:rPr>
              <w:t>Appendix B: STING KO Procedures and Results</w:t>
            </w:r>
            <w:r w:rsidR="00306EAF">
              <w:rPr>
                <w:noProof/>
                <w:webHidden/>
              </w:rPr>
              <w:tab/>
            </w:r>
            <w:r w:rsidR="00306EAF">
              <w:rPr>
                <w:noProof/>
                <w:webHidden/>
              </w:rPr>
              <w:fldChar w:fldCharType="begin"/>
            </w:r>
            <w:r w:rsidR="00306EAF">
              <w:rPr>
                <w:noProof/>
                <w:webHidden/>
              </w:rPr>
              <w:instrText xml:space="preserve"> PAGEREF _Toc165293382 \h </w:instrText>
            </w:r>
            <w:r w:rsidR="00306EAF">
              <w:rPr>
                <w:noProof/>
                <w:webHidden/>
              </w:rPr>
            </w:r>
            <w:r w:rsidR="00306EAF">
              <w:rPr>
                <w:noProof/>
                <w:webHidden/>
              </w:rPr>
              <w:fldChar w:fldCharType="separate"/>
            </w:r>
            <w:r w:rsidR="0021770C">
              <w:rPr>
                <w:noProof/>
                <w:webHidden/>
              </w:rPr>
              <w:t>45</w:t>
            </w:r>
            <w:r w:rsidR="00306EAF">
              <w:rPr>
                <w:noProof/>
                <w:webHidden/>
              </w:rPr>
              <w:fldChar w:fldCharType="end"/>
            </w:r>
          </w:hyperlink>
        </w:p>
        <w:p w14:paraId="435AE962" w14:textId="5D7DB5B6" w:rsidR="00306EAF" w:rsidRDefault="00000000">
          <w:pPr>
            <w:pStyle w:val="TOC3"/>
            <w:rPr>
              <w:rFonts w:cstheme="minorBidi"/>
              <w:noProof/>
              <w:kern w:val="2"/>
              <w:sz w:val="24"/>
              <w14:ligatures w14:val="standardContextual"/>
            </w:rPr>
          </w:pPr>
          <w:hyperlink w:anchor="_Toc165293383" w:history="1">
            <w:r w:rsidR="00306EAF" w:rsidRPr="00831B7D">
              <w:rPr>
                <w:rStyle w:val="Hyperlink"/>
                <w:noProof/>
              </w:rPr>
              <w:t>B.1. Materials</w:t>
            </w:r>
            <w:r w:rsidR="00306EAF">
              <w:rPr>
                <w:noProof/>
                <w:webHidden/>
              </w:rPr>
              <w:tab/>
            </w:r>
            <w:r w:rsidR="00306EAF">
              <w:rPr>
                <w:noProof/>
                <w:webHidden/>
              </w:rPr>
              <w:fldChar w:fldCharType="begin"/>
            </w:r>
            <w:r w:rsidR="00306EAF">
              <w:rPr>
                <w:noProof/>
                <w:webHidden/>
              </w:rPr>
              <w:instrText xml:space="preserve"> PAGEREF _Toc165293383 \h </w:instrText>
            </w:r>
            <w:r w:rsidR="00306EAF">
              <w:rPr>
                <w:noProof/>
                <w:webHidden/>
              </w:rPr>
            </w:r>
            <w:r w:rsidR="00306EAF">
              <w:rPr>
                <w:noProof/>
                <w:webHidden/>
              </w:rPr>
              <w:fldChar w:fldCharType="separate"/>
            </w:r>
            <w:r w:rsidR="0021770C">
              <w:rPr>
                <w:noProof/>
                <w:webHidden/>
              </w:rPr>
              <w:t>45</w:t>
            </w:r>
            <w:r w:rsidR="00306EAF">
              <w:rPr>
                <w:noProof/>
                <w:webHidden/>
              </w:rPr>
              <w:fldChar w:fldCharType="end"/>
            </w:r>
          </w:hyperlink>
        </w:p>
        <w:p w14:paraId="11B81C29" w14:textId="2E9EC995" w:rsidR="00306EAF" w:rsidRDefault="00000000">
          <w:pPr>
            <w:pStyle w:val="TOC3"/>
            <w:rPr>
              <w:rFonts w:cstheme="minorBidi"/>
              <w:noProof/>
              <w:kern w:val="2"/>
              <w:sz w:val="24"/>
              <w14:ligatures w14:val="standardContextual"/>
            </w:rPr>
          </w:pPr>
          <w:hyperlink w:anchor="_Toc165293384" w:history="1">
            <w:r w:rsidR="00306EAF" w:rsidRPr="00831B7D">
              <w:rPr>
                <w:rStyle w:val="Hyperlink"/>
                <w:noProof/>
              </w:rPr>
              <w:t>B.2. Methods</w:t>
            </w:r>
            <w:r w:rsidR="00306EAF">
              <w:rPr>
                <w:noProof/>
                <w:webHidden/>
              </w:rPr>
              <w:tab/>
            </w:r>
            <w:r w:rsidR="00306EAF">
              <w:rPr>
                <w:noProof/>
                <w:webHidden/>
              </w:rPr>
              <w:fldChar w:fldCharType="begin"/>
            </w:r>
            <w:r w:rsidR="00306EAF">
              <w:rPr>
                <w:noProof/>
                <w:webHidden/>
              </w:rPr>
              <w:instrText xml:space="preserve"> PAGEREF _Toc165293384 \h </w:instrText>
            </w:r>
            <w:r w:rsidR="00306EAF">
              <w:rPr>
                <w:noProof/>
                <w:webHidden/>
              </w:rPr>
            </w:r>
            <w:r w:rsidR="00306EAF">
              <w:rPr>
                <w:noProof/>
                <w:webHidden/>
              </w:rPr>
              <w:fldChar w:fldCharType="separate"/>
            </w:r>
            <w:r w:rsidR="0021770C">
              <w:rPr>
                <w:noProof/>
                <w:webHidden/>
              </w:rPr>
              <w:t>45</w:t>
            </w:r>
            <w:r w:rsidR="00306EAF">
              <w:rPr>
                <w:noProof/>
                <w:webHidden/>
              </w:rPr>
              <w:fldChar w:fldCharType="end"/>
            </w:r>
          </w:hyperlink>
        </w:p>
        <w:p w14:paraId="5F1D1647" w14:textId="7A39D6F6" w:rsidR="00306EAF" w:rsidRDefault="00000000">
          <w:pPr>
            <w:pStyle w:val="TOC3"/>
            <w:rPr>
              <w:rFonts w:cstheme="minorBidi"/>
              <w:noProof/>
              <w:kern w:val="2"/>
              <w:sz w:val="24"/>
              <w14:ligatures w14:val="standardContextual"/>
            </w:rPr>
          </w:pPr>
          <w:hyperlink w:anchor="_Toc165293385" w:history="1">
            <w:r w:rsidR="00306EAF" w:rsidRPr="00831B7D">
              <w:rPr>
                <w:rStyle w:val="Hyperlink"/>
                <w:noProof/>
                <w:lang w:val="sv-SE"/>
              </w:rPr>
              <w:t>B.3. Results: ELISA on STING KO</w:t>
            </w:r>
            <w:r w:rsidR="00306EAF">
              <w:rPr>
                <w:noProof/>
                <w:webHidden/>
              </w:rPr>
              <w:tab/>
            </w:r>
            <w:r w:rsidR="00306EAF">
              <w:rPr>
                <w:noProof/>
                <w:webHidden/>
              </w:rPr>
              <w:fldChar w:fldCharType="begin"/>
            </w:r>
            <w:r w:rsidR="00306EAF">
              <w:rPr>
                <w:noProof/>
                <w:webHidden/>
              </w:rPr>
              <w:instrText xml:space="preserve"> PAGEREF _Toc165293385 \h </w:instrText>
            </w:r>
            <w:r w:rsidR="00306EAF">
              <w:rPr>
                <w:noProof/>
                <w:webHidden/>
              </w:rPr>
            </w:r>
            <w:r w:rsidR="00306EAF">
              <w:rPr>
                <w:noProof/>
                <w:webHidden/>
              </w:rPr>
              <w:fldChar w:fldCharType="separate"/>
            </w:r>
            <w:r w:rsidR="0021770C">
              <w:rPr>
                <w:noProof/>
                <w:webHidden/>
              </w:rPr>
              <w:t>46</w:t>
            </w:r>
            <w:r w:rsidR="00306EAF">
              <w:rPr>
                <w:noProof/>
                <w:webHidden/>
              </w:rPr>
              <w:fldChar w:fldCharType="end"/>
            </w:r>
          </w:hyperlink>
        </w:p>
        <w:p w14:paraId="79EC8345" w14:textId="390A4F7A" w:rsidR="00306EAF" w:rsidRDefault="00000000">
          <w:pPr>
            <w:pStyle w:val="TOC3"/>
            <w:rPr>
              <w:rFonts w:cstheme="minorBidi"/>
              <w:noProof/>
              <w:kern w:val="2"/>
              <w:sz w:val="24"/>
              <w14:ligatures w14:val="standardContextual"/>
            </w:rPr>
          </w:pPr>
          <w:hyperlink w:anchor="_Toc165293386" w:history="1">
            <w:r w:rsidR="00306EAF" w:rsidRPr="00831B7D">
              <w:rPr>
                <w:rStyle w:val="Hyperlink"/>
                <w:noProof/>
              </w:rPr>
              <w:t>B.4. Discussion and Conclusions</w:t>
            </w:r>
            <w:r w:rsidR="00306EAF">
              <w:rPr>
                <w:noProof/>
                <w:webHidden/>
              </w:rPr>
              <w:tab/>
            </w:r>
            <w:r w:rsidR="00306EAF">
              <w:rPr>
                <w:noProof/>
                <w:webHidden/>
              </w:rPr>
              <w:fldChar w:fldCharType="begin"/>
            </w:r>
            <w:r w:rsidR="00306EAF">
              <w:rPr>
                <w:noProof/>
                <w:webHidden/>
              </w:rPr>
              <w:instrText xml:space="preserve"> PAGEREF _Toc165293386 \h </w:instrText>
            </w:r>
            <w:r w:rsidR="00306EAF">
              <w:rPr>
                <w:noProof/>
                <w:webHidden/>
              </w:rPr>
            </w:r>
            <w:r w:rsidR="00306EAF">
              <w:rPr>
                <w:noProof/>
                <w:webHidden/>
              </w:rPr>
              <w:fldChar w:fldCharType="separate"/>
            </w:r>
            <w:r w:rsidR="0021770C">
              <w:rPr>
                <w:noProof/>
                <w:webHidden/>
              </w:rPr>
              <w:t>47</w:t>
            </w:r>
            <w:r w:rsidR="00306EAF">
              <w:rPr>
                <w:noProof/>
                <w:webHidden/>
              </w:rPr>
              <w:fldChar w:fldCharType="end"/>
            </w:r>
          </w:hyperlink>
        </w:p>
        <w:p w14:paraId="0174FA56" w14:textId="69F0820A" w:rsidR="00306EAF" w:rsidRDefault="00000000">
          <w:pPr>
            <w:pStyle w:val="TOC2"/>
            <w:rPr>
              <w:rFonts w:cstheme="minorBidi"/>
              <w:b w:val="0"/>
              <w:bCs w:val="0"/>
              <w:noProof/>
              <w:kern w:val="2"/>
              <w:sz w:val="24"/>
              <w:szCs w:val="24"/>
              <w14:ligatures w14:val="standardContextual"/>
            </w:rPr>
          </w:pPr>
          <w:hyperlink w:anchor="_Toc165293387" w:history="1">
            <w:r w:rsidR="00306EAF" w:rsidRPr="00831B7D">
              <w:rPr>
                <w:rStyle w:val="Hyperlink"/>
                <w:noProof/>
              </w:rPr>
              <w:t>Appendix D: Cellular Magnification Microscopy Methodology</w:t>
            </w:r>
            <w:r w:rsidR="00306EAF">
              <w:rPr>
                <w:noProof/>
                <w:webHidden/>
              </w:rPr>
              <w:tab/>
            </w:r>
            <w:r w:rsidR="00306EAF">
              <w:rPr>
                <w:noProof/>
                <w:webHidden/>
              </w:rPr>
              <w:fldChar w:fldCharType="begin"/>
            </w:r>
            <w:r w:rsidR="00306EAF">
              <w:rPr>
                <w:noProof/>
                <w:webHidden/>
              </w:rPr>
              <w:instrText xml:space="preserve"> PAGEREF _Toc165293387 \h </w:instrText>
            </w:r>
            <w:r w:rsidR="00306EAF">
              <w:rPr>
                <w:noProof/>
                <w:webHidden/>
              </w:rPr>
            </w:r>
            <w:r w:rsidR="00306EAF">
              <w:rPr>
                <w:noProof/>
                <w:webHidden/>
              </w:rPr>
              <w:fldChar w:fldCharType="separate"/>
            </w:r>
            <w:r w:rsidR="0021770C">
              <w:rPr>
                <w:noProof/>
                <w:webHidden/>
              </w:rPr>
              <w:t>49</w:t>
            </w:r>
            <w:r w:rsidR="00306EAF">
              <w:rPr>
                <w:noProof/>
                <w:webHidden/>
              </w:rPr>
              <w:fldChar w:fldCharType="end"/>
            </w:r>
          </w:hyperlink>
        </w:p>
        <w:p w14:paraId="7FB469EA" w14:textId="50520CFA" w:rsidR="00306EAF" w:rsidRDefault="00000000">
          <w:pPr>
            <w:pStyle w:val="TOC3"/>
            <w:rPr>
              <w:rFonts w:cstheme="minorBidi"/>
              <w:noProof/>
              <w:kern w:val="2"/>
              <w:sz w:val="24"/>
              <w14:ligatures w14:val="standardContextual"/>
            </w:rPr>
          </w:pPr>
          <w:hyperlink w:anchor="_Toc165293388" w:history="1">
            <w:r w:rsidR="00306EAF" w:rsidRPr="00831B7D">
              <w:rPr>
                <w:rStyle w:val="Hyperlink"/>
                <w:noProof/>
              </w:rPr>
              <w:t>D.1. Materials</w:t>
            </w:r>
            <w:r w:rsidR="00306EAF">
              <w:rPr>
                <w:noProof/>
                <w:webHidden/>
              </w:rPr>
              <w:tab/>
            </w:r>
            <w:r w:rsidR="00306EAF">
              <w:rPr>
                <w:noProof/>
                <w:webHidden/>
              </w:rPr>
              <w:fldChar w:fldCharType="begin"/>
            </w:r>
            <w:r w:rsidR="00306EAF">
              <w:rPr>
                <w:noProof/>
                <w:webHidden/>
              </w:rPr>
              <w:instrText xml:space="preserve"> PAGEREF _Toc165293388 \h </w:instrText>
            </w:r>
            <w:r w:rsidR="00306EAF">
              <w:rPr>
                <w:noProof/>
                <w:webHidden/>
              </w:rPr>
            </w:r>
            <w:r w:rsidR="00306EAF">
              <w:rPr>
                <w:noProof/>
                <w:webHidden/>
              </w:rPr>
              <w:fldChar w:fldCharType="separate"/>
            </w:r>
            <w:r w:rsidR="0021770C">
              <w:rPr>
                <w:noProof/>
                <w:webHidden/>
              </w:rPr>
              <w:t>49</w:t>
            </w:r>
            <w:r w:rsidR="00306EAF">
              <w:rPr>
                <w:noProof/>
                <w:webHidden/>
              </w:rPr>
              <w:fldChar w:fldCharType="end"/>
            </w:r>
          </w:hyperlink>
        </w:p>
        <w:p w14:paraId="47502A73" w14:textId="0BF93C8B" w:rsidR="00306EAF" w:rsidRDefault="00000000">
          <w:pPr>
            <w:pStyle w:val="TOC3"/>
            <w:rPr>
              <w:rFonts w:cstheme="minorBidi"/>
              <w:noProof/>
              <w:kern w:val="2"/>
              <w:sz w:val="24"/>
              <w14:ligatures w14:val="standardContextual"/>
            </w:rPr>
          </w:pPr>
          <w:hyperlink w:anchor="_Toc165293389" w:history="1">
            <w:r w:rsidR="00306EAF" w:rsidRPr="00831B7D">
              <w:rPr>
                <w:rStyle w:val="Hyperlink"/>
                <w:noProof/>
              </w:rPr>
              <w:t>D.2. Methods</w:t>
            </w:r>
            <w:r w:rsidR="00306EAF">
              <w:rPr>
                <w:noProof/>
                <w:webHidden/>
              </w:rPr>
              <w:tab/>
            </w:r>
            <w:r w:rsidR="00306EAF">
              <w:rPr>
                <w:noProof/>
                <w:webHidden/>
              </w:rPr>
              <w:fldChar w:fldCharType="begin"/>
            </w:r>
            <w:r w:rsidR="00306EAF">
              <w:rPr>
                <w:noProof/>
                <w:webHidden/>
              </w:rPr>
              <w:instrText xml:space="preserve"> PAGEREF _Toc165293389 \h </w:instrText>
            </w:r>
            <w:r w:rsidR="00306EAF">
              <w:rPr>
                <w:noProof/>
                <w:webHidden/>
              </w:rPr>
            </w:r>
            <w:r w:rsidR="00306EAF">
              <w:rPr>
                <w:noProof/>
                <w:webHidden/>
              </w:rPr>
              <w:fldChar w:fldCharType="separate"/>
            </w:r>
            <w:r w:rsidR="0021770C">
              <w:rPr>
                <w:noProof/>
                <w:webHidden/>
              </w:rPr>
              <w:t>49</w:t>
            </w:r>
            <w:r w:rsidR="00306EAF">
              <w:rPr>
                <w:noProof/>
                <w:webHidden/>
              </w:rPr>
              <w:fldChar w:fldCharType="end"/>
            </w:r>
          </w:hyperlink>
        </w:p>
        <w:p w14:paraId="69794721" w14:textId="1DB979DF" w:rsidR="00306EAF" w:rsidRDefault="00000000">
          <w:pPr>
            <w:pStyle w:val="TOC3"/>
            <w:rPr>
              <w:rFonts w:cstheme="minorBidi"/>
              <w:noProof/>
              <w:kern w:val="2"/>
              <w:sz w:val="24"/>
              <w14:ligatures w14:val="standardContextual"/>
            </w:rPr>
          </w:pPr>
          <w:hyperlink w:anchor="_Toc165293390" w:history="1">
            <w:r w:rsidR="00306EAF" w:rsidRPr="00831B7D">
              <w:rPr>
                <w:rStyle w:val="Hyperlink"/>
                <w:noProof/>
              </w:rPr>
              <w:t>D.3. Results</w:t>
            </w:r>
            <w:r w:rsidR="00306EAF">
              <w:rPr>
                <w:noProof/>
                <w:webHidden/>
              </w:rPr>
              <w:tab/>
            </w:r>
            <w:r w:rsidR="00306EAF">
              <w:rPr>
                <w:noProof/>
                <w:webHidden/>
              </w:rPr>
              <w:fldChar w:fldCharType="begin"/>
            </w:r>
            <w:r w:rsidR="00306EAF">
              <w:rPr>
                <w:noProof/>
                <w:webHidden/>
              </w:rPr>
              <w:instrText xml:space="preserve"> PAGEREF _Toc165293390 \h </w:instrText>
            </w:r>
            <w:r w:rsidR="00306EAF">
              <w:rPr>
                <w:noProof/>
                <w:webHidden/>
              </w:rPr>
            </w:r>
            <w:r w:rsidR="00306EAF">
              <w:rPr>
                <w:noProof/>
                <w:webHidden/>
              </w:rPr>
              <w:fldChar w:fldCharType="separate"/>
            </w:r>
            <w:r w:rsidR="0021770C">
              <w:rPr>
                <w:noProof/>
                <w:webHidden/>
              </w:rPr>
              <w:t>50</w:t>
            </w:r>
            <w:r w:rsidR="00306EAF">
              <w:rPr>
                <w:noProof/>
                <w:webHidden/>
              </w:rPr>
              <w:fldChar w:fldCharType="end"/>
            </w:r>
          </w:hyperlink>
        </w:p>
        <w:p w14:paraId="6CAAB685" w14:textId="61155F63" w:rsidR="00306EAF" w:rsidRDefault="00000000">
          <w:pPr>
            <w:pStyle w:val="TOC3"/>
            <w:rPr>
              <w:rFonts w:cstheme="minorBidi"/>
              <w:noProof/>
              <w:kern w:val="2"/>
              <w:sz w:val="24"/>
              <w14:ligatures w14:val="standardContextual"/>
            </w:rPr>
          </w:pPr>
          <w:hyperlink w:anchor="_Toc165293391" w:history="1">
            <w:r w:rsidR="00306EAF" w:rsidRPr="00831B7D">
              <w:rPr>
                <w:rStyle w:val="Hyperlink"/>
                <w:noProof/>
              </w:rPr>
              <w:t>D.4. Discussion and Conclusions</w:t>
            </w:r>
            <w:r w:rsidR="00306EAF">
              <w:rPr>
                <w:noProof/>
                <w:webHidden/>
              </w:rPr>
              <w:tab/>
            </w:r>
            <w:r w:rsidR="00306EAF">
              <w:rPr>
                <w:noProof/>
                <w:webHidden/>
              </w:rPr>
              <w:fldChar w:fldCharType="begin"/>
            </w:r>
            <w:r w:rsidR="00306EAF">
              <w:rPr>
                <w:noProof/>
                <w:webHidden/>
              </w:rPr>
              <w:instrText xml:space="preserve"> PAGEREF _Toc165293391 \h </w:instrText>
            </w:r>
            <w:r w:rsidR="00306EAF">
              <w:rPr>
                <w:noProof/>
                <w:webHidden/>
              </w:rPr>
            </w:r>
            <w:r w:rsidR="00306EAF">
              <w:rPr>
                <w:noProof/>
                <w:webHidden/>
              </w:rPr>
              <w:fldChar w:fldCharType="separate"/>
            </w:r>
            <w:r w:rsidR="0021770C">
              <w:rPr>
                <w:noProof/>
                <w:webHidden/>
              </w:rPr>
              <w:t>51</w:t>
            </w:r>
            <w:r w:rsidR="00306EAF">
              <w:rPr>
                <w:noProof/>
                <w:webHidden/>
              </w:rPr>
              <w:fldChar w:fldCharType="end"/>
            </w:r>
          </w:hyperlink>
        </w:p>
        <w:p w14:paraId="6C28FDFB" w14:textId="76B9657B" w:rsidR="00306EAF" w:rsidRDefault="00000000">
          <w:pPr>
            <w:pStyle w:val="TOC2"/>
            <w:rPr>
              <w:rFonts w:cstheme="minorBidi"/>
              <w:b w:val="0"/>
              <w:bCs w:val="0"/>
              <w:noProof/>
              <w:kern w:val="2"/>
              <w:sz w:val="24"/>
              <w:szCs w:val="24"/>
              <w14:ligatures w14:val="standardContextual"/>
            </w:rPr>
          </w:pPr>
          <w:hyperlink w:anchor="_Toc165293392" w:history="1">
            <w:r w:rsidR="00306EAF" w:rsidRPr="00831B7D">
              <w:rPr>
                <w:rStyle w:val="Hyperlink"/>
                <w:noProof/>
              </w:rPr>
              <w:t>Appendix E: Macro for Particle Analysis</w:t>
            </w:r>
            <w:r w:rsidR="00306EAF">
              <w:rPr>
                <w:noProof/>
                <w:webHidden/>
              </w:rPr>
              <w:tab/>
            </w:r>
            <w:r w:rsidR="00306EAF">
              <w:rPr>
                <w:noProof/>
                <w:webHidden/>
              </w:rPr>
              <w:fldChar w:fldCharType="begin"/>
            </w:r>
            <w:r w:rsidR="00306EAF">
              <w:rPr>
                <w:noProof/>
                <w:webHidden/>
              </w:rPr>
              <w:instrText xml:space="preserve"> PAGEREF _Toc165293392 \h </w:instrText>
            </w:r>
            <w:r w:rsidR="00306EAF">
              <w:rPr>
                <w:noProof/>
                <w:webHidden/>
              </w:rPr>
            </w:r>
            <w:r w:rsidR="00306EAF">
              <w:rPr>
                <w:noProof/>
                <w:webHidden/>
              </w:rPr>
              <w:fldChar w:fldCharType="separate"/>
            </w:r>
            <w:r w:rsidR="0021770C">
              <w:rPr>
                <w:noProof/>
                <w:webHidden/>
              </w:rPr>
              <w:t>52</w:t>
            </w:r>
            <w:r w:rsidR="00306EAF">
              <w:rPr>
                <w:noProof/>
                <w:webHidden/>
              </w:rPr>
              <w:fldChar w:fldCharType="end"/>
            </w:r>
          </w:hyperlink>
        </w:p>
        <w:p w14:paraId="7BA47526" w14:textId="11BE9CD6" w:rsidR="00306EAF" w:rsidRDefault="00000000">
          <w:pPr>
            <w:pStyle w:val="TOC2"/>
            <w:rPr>
              <w:rFonts w:cstheme="minorBidi"/>
              <w:b w:val="0"/>
              <w:bCs w:val="0"/>
              <w:noProof/>
              <w:kern w:val="2"/>
              <w:sz w:val="24"/>
              <w:szCs w:val="24"/>
              <w14:ligatures w14:val="standardContextual"/>
            </w:rPr>
          </w:pPr>
          <w:hyperlink w:anchor="_Toc165293393" w:history="1">
            <w:r w:rsidR="00306EAF" w:rsidRPr="00831B7D">
              <w:rPr>
                <w:rStyle w:val="Hyperlink"/>
                <w:noProof/>
              </w:rPr>
              <w:t>Appendix F: Cell Size Analysis</w:t>
            </w:r>
            <w:r w:rsidR="00306EAF">
              <w:rPr>
                <w:noProof/>
                <w:webHidden/>
              </w:rPr>
              <w:tab/>
            </w:r>
            <w:r w:rsidR="00306EAF">
              <w:rPr>
                <w:noProof/>
                <w:webHidden/>
              </w:rPr>
              <w:fldChar w:fldCharType="begin"/>
            </w:r>
            <w:r w:rsidR="00306EAF">
              <w:rPr>
                <w:noProof/>
                <w:webHidden/>
              </w:rPr>
              <w:instrText xml:space="preserve"> PAGEREF _Toc165293393 \h </w:instrText>
            </w:r>
            <w:r w:rsidR="00306EAF">
              <w:rPr>
                <w:noProof/>
                <w:webHidden/>
              </w:rPr>
            </w:r>
            <w:r w:rsidR="00306EAF">
              <w:rPr>
                <w:noProof/>
                <w:webHidden/>
              </w:rPr>
              <w:fldChar w:fldCharType="separate"/>
            </w:r>
            <w:r w:rsidR="0021770C">
              <w:rPr>
                <w:noProof/>
                <w:webHidden/>
              </w:rPr>
              <w:t>53</w:t>
            </w:r>
            <w:r w:rsidR="00306EAF">
              <w:rPr>
                <w:noProof/>
                <w:webHidden/>
              </w:rPr>
              <w:fldChar w:fldCharType="end"/>
            </w:r>
          </w:hyperlink>
        </w:p>
        <w:p w14:paraId="6F2F3374" w14:textId="2C70D740" w:rsidR="00306EAF" w:rsidRDefault="00000000">
          <w:pPr>
            <w:pStyle w:val="TOC3"/>
            <w:rPr>
              <w:rFonts w:cstheme="minorBidi"/>
              <w:noProof/>
              <w:kern w:val="2"/>
              <w:sz w:val="24"/>
              <w14:ligatures w14:val="standardContextual"/>
            </w:rPr>
          </w:pPr>
          <w:hyperlink w:anchor="_Toc165293394" w:history="1">
            <w:r w:rsidR="00306EAF" w:rsidRPr="00831B7D">
              <w:rPr>
                <w:rStyle w:val="Hyperlink"/>
                <w:noProof/>
              </w:rPr>
              <w:t>F.1. Methods</w:t>
            </w:r>
            <w:r w:rsidR="00306EAF">
              <w:rPr>
                <w:noProof/>
                <w:webHidden/>
              </w:rPr>
              <w:tab/>
            </w:r>
            <w:r w:rsidR="00306EAF">
              <w:rPr>
                <w:noProof/>
                <w:webHidden/>
              </w:rPr>
              <w:fldChar w:fldCharType="begin"/>
            </w:r>
            <w:r w:rsidR="00306EAF">
              <w:rPr>
                <w:noProof/>
                <w:webHidden/>
              </w:rPr>
              <w:instrText xml:space="preserve"> PAGEREF _Toc165293394 \h </w:instrText>
            </w:r>
            <w:r w:rsidR="00306EAF">
              <w:rPr>
                <w:noProof/>
                <w:webHidden/>
              </w:rPr>
            </w:r>
            <w:r w:rsidR="00306EAF">
              <w:rPr>
                <w:noProof/>
                <w:webHidden/>
              </w:rPr>
              <w:fldChar w:fldCharType="separate"/>
            </w:r>
            <w:r w:rsidR="0021770C">
              <w:rPr>
                <w:noProof/>
                <w:webHidden/>
              </w:rPr>
              <w:t>53</w:t>
            </w:r>
            <w:r w:rsidR="00306EAF">
              <w:rPr>
                <w:noProof/>
                <w:webHidden/>
              </w:rPr>
              <w:fldChar w:fldCharType="end"/>
            </w:r>
          </w:hyperlink>
        </w:p>
        <w:p w14:paraId="00D5E4B4" w14:textId="5ECAB425" w:rsidR="00306EAF" w:rsidRDefault="00000000">
          <w:pPr>
            <w:pStyle w:val="TOC3"/>
            <w:rPr>
              <w:rFonts w:cstheme="minorBidi"/>
              <w:noProof/>
              <w:kern w:val="2"/>
              <w:sz w:val="24"/>
              <w14:ligatures w14:val="standardContextual"/>
            </w:rPr>
          </w:pPr>
          <w:hyperlink w:anchor="_Toc165293395" w:history="1">
            <w:r w:rsidR="00306EAF" w:rsidRPr="00831B7D">
              <w:rPr>
                <w:rStyle w:val="Hyperlink"/>
                <w:noProof/>
              </w:rPr>
              <w:t>F.2. Results</w:t>
            </w:r>
            <w:r w:rsidR="00306EAF">
              <w:rPr>
                <w:noProof/>
                <w:webHidden/>
              </w:rPr>
              <w:tab/>
            </w:r>
            <w:r w:rsidR="00306EAF">
              <w:rPr>
                <w:noProof/>
                <w:webHidden/>
              </w:rPr>
              <w:fldChar w:fldCharType="begin"/>
            </w:r>
            <w:r w:rsidR="00306EAF">
              <w:rPr>
                <w:noProof/>
                <w:webHidden/>
              </w:rPr>
              <w:instrText xml:space="preserve"> PAGEREF _Toc165293395 \h </w:instrText>
            </w:r>
            <w:r w:rsidR="00306EAF">
              <w:rPr>
                <w:noProof/>
                <w:webHidden/>
              </w:rPr>
            </w:r>
            <w:r w:rsidR="00306EAF">
              <w:rPr>
                <w:noProof/>
                <w:webHidden/>
              </w:rPr>
              <w:fldChar w:fldCharType="separate"/>
            </w:r>
            <w:r w:rsidR="0021770C">
              <w:rPr>
                <w:noProof/>
                <w:webHidden/>
              </w:rPr>
              <w:t>54</w:t>
            </w:r>
            <w:r w:rsidR="00306EAF">
              <w:rPr>
                <w:noProof/>
                <w:webHidden/>
              </w:rPr>
              <w:fldChar w:fldCharType="end"/>
            </w:r>
          </w:hyperlink>
        </w:p>
        <w:p w14:paraId="28B36EBC" w14:textId="0D6D8E35" w:rsidR="00306EAF" w:rsidRDefault="00000000">
          <w:pPr>
            <w:pStyle w:val="TOC3"/>
            <w:rPr>
              <w:rFonts w:cstheme="minorBidi"/>
              <w:noProof/>
              <w:kern w:val="2"/>
              <w:sz w:val="24"/>
              <w14:ligatures w14:val="standardContextual"/>
            </w:rPr>
          </w:pPr>
          <w:hyperlink w:anchor="_Toc165293396" w:history="1">
            <w:r w:rsidR="00306EAF" w:rsidRPr="00831B7D">
              <w:rPr>
                <w:rStyle w:val="Hyperlink"/>
                <w:noProof/>
              </w:rPr>
              <w:t>F.3. Discussion and Conclusions</w:t>
            </w:r>
            <w:r w:rsidR="00306EAF">
              <w:rPr>
                <w:noProof/>
                <w:webHidden/>
              </w:rPr>
              <w:tab/>
            </w:r>
            <w:r w:rsidR="00306EAF">
              <w:rPr>
                <w:noProof/>
                <w:webHidden/>
              </w:rPr>
              <w:fldChar w:fldCharType="begin"/>
            </w:r>
            <w:r w:rsidR="00306EAF">
              <w:rPr>
                <w:noProof/>
                <w:webHidden/>
              </w:rPr>
              <w:instrText xml:space="preserve"> PAGEREF _Toc165293396 \h </w:instrText>
            </w:r>
            <w:r w:rsidR="00306EAF">
              <w:rPr>
                <w:noProof/>
                <w:webHidden/>
              </w:rPr>
            </w:r>
            <w:r w:rsidR="00306EAF">
              <w:rPr>
                <w:noProof/>
                <w:webHidden/>
              </w:rPr>
              <w:fldChar w:fldCharType="separate"/>
            </w:r>
            <w:r w:rsidR="0021770C">
              <w:rPr>
                <w:noProof/>
                <w:webHidden/>
              </w:rPr>
              <w:t>54</w:t>
            </w:r>
            <w:r w:rsidR="00306EAF">
              <w:rPr>
                <w:noProof/>
                <w:webHidden/>
              </w:rPr>
              <w:fldChar w:fldCharType="end"/>
            </w:r>
          </w:hyperlink>
        </w:p>
        <w:p w14:paraId="06ABF59F" w14:textId="63D78734" w:rsidR="00306EAF" w:rsidRDefault="00000000">
          <w:pPr>
            <w:pStyle w:val="TOC2"/>
            <w:rPr>
              <w:rFonts w:cstheme="minorBidi"/>
              <w:b w:val="0"/>
              <w:bCs w:val="0"/>
              <w:noProof/>
              <w:kern w:val="2"/>
              <w:sz w:val="24"/>
              <w:szCs w:val="24"/>
              <w14:ligatures w14:val="standardContextual"/>
            </w:rPr>
          </w:pPr>
          <w:hyperlink w:anchor="_Toc165293397" w:history="1">
            <w:r w:rsidR="00306EAF" w:rsidRPr="00831B7D">
              <w:rPr>
                <w:rStyle w:val="Hyperlink"/>
                <w:noProof/>
                <w:lang w:val="fr-FR"/>
              </w:rPr>
              <w:t>Appendix G: ROI Particle Analysis</w:t>
            </w:r>
            <w:r w:rsidR="00306EAF">
              <w:rPr>
                <w:noProof/>
                <w:webHidden/>
              </w:rPr>
              <w:tab/>
            </w:r>
            <w:r w:rsidR="00306EAF">
              <w:rPr>
                <w:noProof/>
                <w:webHidden/>
              </w:rPr>
              <w:fldChar w:fldCharType="begin"/>
            </w:r>
            <w:r w:rsidR="00306EAF">
              <w:rPr>
                <w:noProof/>
                <w:webHidden/>
              </w:rPr>
              <w:instrText xml:space="preserve"> PAGEREF _Toc165293397 \h </w:instrText>
            </w:r>
            <w:r w:rsidR="00306EAF">
              <w:rPr>
                <w:noProof/>
                <w:webHidden/>
              </w:rPr>
            </w:r>
            <w:r w:rsidR="00306EAF">
              <w:rPr>
                <w:noProof/>
                <w:webHidden/>
              </w:rPr>
              <w:fldChar w:fldCharType="separate"/>
            </w:r>
            <w:r w:rsidR="0021770C">
              <w:rPr>
                <w:noProof/>
                <w:webHidden/>
              </w:rPr>
              <w:t>55</w:t>
            </w:r>
            <w:r w:rsidR="00306EAF">
              <w:rPr>
                <w:noProof/>
                <w:webHidden/>
              </w:rPr>
              <w:fldChar w:fldCharType="end"/>
            </w:r>
          </w:hyperlink>
        </w:p>
        <w:p w14:paraId="0DFA9325" w14:textId="4045CF30" w:rsidR="00306EAF" w:rsidRDefault="00000000">
          <w:pPr>
            <w:pStyle w:val="TOC3"/>
            <w:rPr>
              <w:rFonts w:cstheme="minorBidi"/>
              <w:noProof/>
              <w:kern w:val="2"/>
              <w:sz w:val="24"/>
              <w14:ligatures w14:val="standardContextual"/>
            </w:rPr>
          </w:pPr>
          <w:hyperlink w:anchor="_Toc165293398" w:history="1">
            <w:r w:rsidR="00306EAF" w:rsidRPr="00831B7D">
              <w:rPr>
                <w:rStyle w:val="Hyperlink"/>
                <w:noProof/>
                <w:lang w:val="fr-FR"/>
              </w:rPr>
              <w:t>G.1. Methods</w:t>
            </w:r>
            <w:r w:rsidR="00306EAF">
              <w:rPr>
                <w:noProof/>
                <w:webHidden/>
              </w:rPr>
              <w:tab/>
            </w:r>
            <w:r w:rsidR="00306EAF">
              <w:rPr>
                <w:noProof/>
                <w:webHidden/>
              </w:rPr>
              <w:fldChar w:fldCharType="begin"/>
            </w:r>
            <w:r w:rsidR="00306EAF">
              <w:rPr>
                <w:noProof/>
                <w:webHidden/>
              </w:rPr>
              <w:instrText xml:space="preserve"> PAGEREF _Toc165293398 \h </w:instrText>
            </w:r>
            <w:r w:rsidR="00306EAF">
              <w:rPr>
                <w:noProof/>
                <w:webHidden/>
              </w:rPr>
            </w:r>
            <w:r w:rsidR="00306EAF">
              <w:rPr>
                <w:noProof/>
                <w:webHidden/>
              </w:rPr>
              <w:fldChar w:fldCharType="separate"/>
            </w:r>
            <w:r w:rsidR="0021770C">
              <w:rPr>
                <w:noProof/>
                <w:webHidden/>
              </w:rPr>
              <w:t>55</w:t>
            </w:r>
            <w:r w:rsidR="00306EAF">
              <w:rPr>
                <w:noProof/>
                <w:webHidden/>
              </w:rPr>
              <w:fldChar w:fldCharType="end"/>
            </w:r>
          </w:hyperlink>
        </w:p>
        <w:p w14:paraId="60EB9B03" w14:textId="5DE02D3D" w:rsidR="00306EAF" w:rsidRDefault="00000000">
          <w:pPr>
            <w:pStyle w:val="TOC3"/>
            <w:rPr>
              <w:rFonts w:cstheme="minorBidi"/>
              <w:noProof/>
              <w:kern w:val="2"/>
              <w:sz w:val="24"/>
              <w14:ligatures w14:val="standardContextual"/>
            </w:rPr>
          </w:pPr>
          <w:hyperlink w:anchor="_Toc165293399" w:history="1">
            <w:r w:rsidR="00306EAF" w:rsidRPr="00831B7D">
              <w:rPr>
                <w:rStyle w:val="Hyperlink"/>
                <w:noProof/>
              </w:rPr>
              <w:t>G.2. Results and Conclusions</w:t>
            </w:r>
            <w:r w:rsidR="00306EAF">
              <w:rPr>
                <w:noProof/>
                <w:webHidden/>
              </w:rPr>
              <w:tab/>
            </w:r>
            <w:r w:rsidR="00306EAF">
              <w:rPr>
                <w:noProof/>
                <w:webHidden/>
              </w:rPr>
              <w:fldChar w:fldCharType="begin"/>
            </w:r>
            <w:r w:rsidR="00306EAF">
              <w:rPr>
                <w:noProof/>
                <w:webHidden/>
              </w:rPr>
              <w:instrText xml:space="preserve"> PAGEREF _Toc165293399 \h </w:instrText>
            </w:r>
            <w:r w:rsidR="00306EAF">
              <w:rPr>
                <w:noProof/>
                <w:webHidden/>
              </w:rPr>
            </w:r>
            <w:r w:rsidR="00306EAF">
              <w:rPr>
                <w:noProof/>
                <w:webHidden/>
              </w:rPr>
              <w:fldChar w:fldCharType="separate"/>
            </w:r>
            <w:r w:rsidR="0021770C">
              <w:rPr>
                <w:noProof/>
                <w:webHidden/>
              </w:rPr>
              <w:t>55</w:t>
            </w:r>
            <w:r w:rsidR="00306EAF">
              <w:rPr>
                <w:noProof/>
                <w:webHidden/>
              </w:rPr>
              <w:fldChar w:fldCharType="end"/>
            </w:r>
          </w:hyperlink>
        </w:p>
        <w:p w14:paraId="70478320" w14:textId="49A6BCDC" w:rsidR="00BA705B" w:rsidRDefault="00BA705B">
          <w:r>
            <w:rPr>
              <w:b/>
              <w:bCs/>
              <w:noProof/>
            </w:rPr>
            <w:fldChar w:fldCharType="end"/>
          </w:r>
        </w:p>
      </w:sdtContent>
    </w:sdt>
    <w:p w14:paraId="708156F6" w14:textId="237932D2" w:rsidR="00BA705B" w:rsidRDefault="00BA705B" w:rsidP="005524B5">
      <w:pPr>
        <w:pStyle w:val="TOC3"/>
      </w:pPr>
      <w:r>
        <w:br w:type="page"/>
      </w:r>
    </w:p>
    <w:p w14:paraId="6708224D" w14:textId="5F73F0C1" w:rsidR="00F13440" w:rsidRDefault="00F13440" w:rsidP="00F13440">
      <w:pPr>
        <w:pStyle w:val="TOCHeading"/>
      </w:pPr>
      <w:r>
        <w:lastRenderedPageBreak/>
        <w:t xml:space="preserve">List of Tables </w:t>
      </w:r>
    </w:p>
    <w:p w14:paraId="2DDE917D" w14:textId="32F7D9AB" w:rsidR="000D0E1A" w:rsidRDefault="00D9154F">
      <w:pPr>
        <w:pStyle w:val="TableofFigures"/>
        <w:tabs>
          <w:tab w:val="right" w:leader="dot" w:pos="9350"/>
        </w:tabs>
        <w:rPr>
          <w:noProof/>
          <w:kern w:val="2"/>
          <w14:ligatures w14:val="standardContextual"/>
        </w:rPr>
      </w:pPr>
      <w:r>
        <w:fldChar w:fldCharType="begin"/>
      </w:r>
      <w:r>
        <w:instrText xml:space="preserve"> TOC \h \z \c "Table" </w:instrText>
      </w:r>
      <w:r>
        <w:fldChar w:fldCharType="separate"/>
      </w:r>
      <w:hyperlink w:anchor="_Toc165201210" w:history="1">
        <w:r w:rsidR="000D0E1A" w:rsidRPr="009450B9">
          <w:rPr>
            <w:rStyle w:val="Hyperlink"/>
            <w:b/>
            <w:bCs/>
            <w:noProof/>
          </w:rPr>
          <w:t>Table 1: OptiPrep Gradient Preparation</w:t>
        </w:r>
        <w:r w:rsidR="000D0E1A">
          <w:rPr>
            <w:noProof/>
            <w:webHidden/>
          </w:rPr>
          <w:tab/>
        </w:r>
        <w:r w:rsidR="000D0E1A">
          <w:rPr>
            <w:noProof/>
            <w:webHidden/>
          </w:rPr>
          <w:fldChar w:fldCharType="begin"/>
        </w:r>
        <w:r w:rsidR="000D0E1A">
          <w:rPr>
            <w:noProof/>
            <w:webHidden/>
          </w:rPr>
          <w:instrText xml:space="preserve"> PAGEREF _Toc165201210 \h </w:instrText>
        </w:r>
        <w:r w:rsidR="000D0E1A">
          <w:rPr>
            <w:noProof/>
            <w:webHidden/>
          </w:rPr>
        </w:r>
        <w:r w:rsidR="000D0E1A">
          <w:rPr>
            <w:noProof/>
            <w:webHidden/>
          </w:rPr>
          <w:fldChar w:fldCharType="separate"/>
        </w:r>
        <w:r w:rsidR="0021770C">
          <w:rPr>
            <w:noProof/>
            <w:webHidden/>
          </w:rPr>
          <w:t>14</w:t>
        </w:r>
        <w:r w:rsidR="000D0E1A">
          <w:rPr>
            <w:noProof/>
            <w:webHidden/>
          </w:rPr>
          <w:fldChar w:fldCharType="end"/>
        </w:r>
      </w:hyperlink>
    </w:p>
    <w:p w14:paraId="4E80404D" w14:textId="12974012" w:rsidR="000D0E1A" w:rsidRDefault="00000000">
      <w:pPr>
        <w:pStyle w:val="TableofFigures"/>
        <w:tabs>
          <w:tab w:val="right" w:leader="dot" w:pos="9350"/>
        </w:tabs>
        <w:rPr>
          <w:noProof/>
          <w:kern w:val="2"/>
          <w14:ligatures w14:val="standardContextual"/>
        </w:rPr>
      </w:pPr>
      <w:hyperlink w:anchor="_Toc165201211" w:history="1">
        <w:r w:rsidR="000D0E1A" w:rsidRPr="009450B9">
          <w:rPr>
            <w:rStyle w:val="Hyperlink"/>
            <w:b/>
            <w:bCs/>
            <w:noProof/>
          </w:rPr>
          <w:t>Table 2: Standard Curve Preparation for BCA</w:t>
        </w:r>
        <w:r w:rsidR="000D0E1A">
          <w:rPr>
            <w:noProof/>
            <w:webHidden/>
          </w:rPr>
          <w:tab/>
        </w:r>
        <w:r w:rsidR="000D0E1A">
          <w:rPr>
            <w:noProof/>
            <w:webHidden/>
          </w:rPr>
          <w:fldChar w:fldCharType="begin"/>
        </w:r>
        <w:r w:rsidR="000D0E1A">
          <w:rPr>
            <w:noProof/>
            <w:webHidden/>
          </w:rPr>
          <w:instrText xml:space="preserve"> PAGEREF _Toc165201211 \h </w:instrText>
        </w:r>
        <w:r w:rsidR="000D0E1A">
          <w:rPr>
            <w:noProof/>
            <w:webHidden/>
          </w:rPr>
        </w:r>
        <w:r w:rsidR="000D0E1A">
          <w:rPr>
            <w:noProof/>
            <w:webHidden/>
          </w:rPr>
          <w:fldChar w:fldCharType="separate"/>
        </w:r>
        <w:r w:rsidR="0021770C">
          <w:rPr>
            <w:noProof/>
            <w:webHidden/>
          </w:rPr>
          <w:t>16</w:t>
        </w:r>
        <w:r w:rsidR="000D0E1A">
          <w:rPr>
            <w:noProof/>
            <w:webHidden/>
          </w:rPr>
          <w:fldChar w:fldCharType="end"/>
        </w:r>
      </w:hyperlink>
    </w:p>
    <w:p w14:paraId="292FA649" w14:textId="570FEB6A" w:rsidR="000D0E1A" w:rsidRDefault="00000000">
      <w:pPr>
        <w:pStyle w:val="TableofFigures"/>
        <w:tabs>
          <w:tab w:val="right" w:leader="dot" w:pos="9350"/>
        </w:tabs>
        <w:rPr>
          <w:noProof/>
          <w:kern w:val="2"/>
          <w14:ligatures w14:val="standardContextual"/>
        </w:rPr>
      </w:pPr>
      <w:hyperlink w:anchor="_Toc165201212" w:history="1">
        <w:r w:rsidR="000D0E1A" w:rsidRPr="009450B9">
          <w:rPr>
            <w:rStyle w:val="Hyperlink"/>
            <w:b/>
            <w:bCs/>
            <w:noProof/>
          </w:rPr>
          <w:t>Table 3: GC-FITC and STING Particle Overlap Analysis</w:t>
        </w:r>
        <w:r w:rsidR="000D0E1A">
          <w:rPr>
            <w:noProof/>
            <w:webHidden/>
          </w:rPr>
          <w:tab/>
        </w:r>
        <w:r w:rsidR="000D0E1A">
          <w:rPr>
            <w:noProof/>
            <w:webHidden/>
          </w:rPr>
          <w:fldChar w:fldCharType="begin"/>
        </w:r>
        <w:r w:rsidR="000D0E1A">
          <w:rPr>
            <w:noProof/>
            <w:webHidden/>
          </w:rPr>
          <w:instrText xml:space="preserve"> PAGEREF _Toc165201212 \h </w:instrText>
        </w:r>
        <w:r w:rsidR="000D0E1A">
          <w:rPr>
            <w:noProof/>
            <w:webHidden/>
          </w:rPr>
        </w:r>
        <w:r w:rsidR="000D0E1A">
          <w:rPr>
            <w:noProof/>
            <w:webHidden/>
          </w:rPr>
          <w:fldChar w:fldCharType="separate"/>
        </w:r>
        <w:r w:rsidR="0021770C">
          <w:rPr>
            <w:b/>
            <w:bCs/>
            <w:noProof/>
            <w:webHidden/>
          </w:rPr>
          <w:t>Error! Bookmark not defined.</w:t>
        </w:r>
        <w:r w:rsidR="000D0E1A">
          <w:rPr>
            <w:noProof/>
            <w:webHidden/>
          </w:rPr>
          <w:fldChar w:fldCharType="end"/>
        </w:r>
      </w:hyperlink>
    </w:p>
    <w:p w14:paraId="240B0FF8" w14:textId="28D5BDFD" w:rsidR="000D0E1A" w:rsidRDefault="00000000">
      <w:pPr>
        <w:pStyle w:val="TableofFigures"/>
        <w:tabs>
          <w:tab w:val="right" w:leader="dot" w:pos="9350"/>
        </w:tabs>
        <w:rPr>
          <w:noProof/>
          <w:kern w:val="2"/>
          <w14:ligatures w14:val="standardContextual"/>
        </w:rPr>
      </w:pPr>
      <w:hyperlink w:anchor="_Toc165201213" w:history="1">
        <w:r w:rsidR="000D0E1A" w:rsidRPr="009450B9">
          <w:rPr>
            <w:rStyle w:val="Hyperlink"/>
            <w:b/>
            <w:bCs/>
            <w:noProof/>
          </w:rPr>
          <w:t>Table 4: GC Concentration Preparation</w:t>
        </w:r>
        <w:r w:rsidR="000D0E1A">
          <w:rPr>
            <w:noProof/>
            <w:webHidden/>
          </w:rPr>
          <w:tab/>
        </w:r>
        <w:r w:rsidR="000D0E1A">
          <w:rPr>
            <w:noProof/>
            <w:webHidden/>
          </w:rPr>
          <w:fldChar w:fldCharType="begin"/>
        </w:r>
        <w:r w:rsidR="000D0E1A">
          <w:rPr>
            <w:noProof/>
            <w:webHidden/>
          </w:rPr>
          <w:instrText xml:space="preserve"> PAGEREF _Toc165201213 \h </w:instrText>
        </w:r>
        <w:r w:rsidR="000D0E1A">
          <w:rPr>
            <w:noProof/>
            <w:webHidden/>
          </w:rPr>
        </w:r>
        <w:r w:rsidR="000D0E1A">
          <w:rPr>
            <w:noProof/>
            <w:webHidden/>
          </w:rPr>
          <w:fldChar w:fldCharType="separate"/>
        </w:r>
        <w:r w:rsidR="0021770C">
          <w:rPr>
            <w:noProof/>
            <w:webHidden/>
          </w:rPr>
          <w:t>45</w:t>
        </w:r>
        <w:r w:rsidR="000D0E1A">
          <w:rPr>
            <w:noProof/>
            <w:webHidden/>
          </w:rPr>
          <w:fldChar w:fldCharType="end"/>
        </w:r>
      </w:hyperlink>
    </w:p>
    <w:p w14:paraId="57706194" w14:textId="63B06163" w:rsidR="000D0E1A" w:rsidRDefault="00000000">
      <w:pPr>
        <w:pStyle w:val="TableofFigures"/>
        <w:tabs>
          <w:tab w:val="right" w:leader="dot" w:pos="9350"/>
        </w:tabs>
        <w:rPr>
          <w:noProof/>
          <w:kern w:val="2"/>
          <w14:ligatures w14:val="standardContextual"/>
        </w:rPr>
      </w:pPr>
      <w:hyperlink w:anchor="_Toc165201214" w:history="1">
        <w:r w:rsidR="000D0E1A" w:rsidRPr="009450B9">
          <w:rPr>
            <w:rStyle w:val="Hyperlink"/>
            <w:b/>
            <w:bCs/>
            <w:noProof/>
          </w:rPr>
          <w:t>Table 5: ELISA IL-1</w:t>
        </w:r>
        <w:r w:rsidR="000D0E1A" w:rsidRPr="009450B9">
          <w:rPr>
            <w:rStyle w:val="Hyperlink"/>
            <w:b/>
            <w:bCs/>
            <w:noProof/>
          </w:rPr>
          <w:sym w:font="Symbol" w:char="F062"/>
        </w:r>
        <w:r w:rsidR="000D0E1A" w:rsidRPr="009450B9">
          <w:rPr>
            <w:rStyle w:val="Hyperlink"/>
            <w:b/>
            <w:bCs/>
            <w:noProof/>
          </w:rPr>
          <w:t xml:space="preserve"> #2</w:t>
        </w:r>
        <w:r w:rsidR="000D0E1A">
          <w:rPr>
            <w:noProof/>
            <w:webHidden/>
          </w:rPr>
          <w:tab/>
        </w:r>
        <w:r w:rsidR="000D0E1A">
          <w:rPr>
            <w:noProof/>
            <w:webHidden/>
          </w:rPr>
          <w:fldChar w:fldCharType="begin"/>
        </w:r>
        <w:r w:rsidR="000D0E1A">
          <w:rPr>
            <w:noProof/>
            <w:webHidden/>
          </w:rPr>
          <w:instrText xml:space="preserve"> PAGEREF _Toc165201214 \h </w:instrText>
        </w:r>
        <w:r w:rsidR="000D0E1A">
          <w:rPr>
            <w:noProof/>
            <w:webHidden/>
          </w:rPr>
        </w:r>
        <w:r w:rsidR="000D0E1A">
          <w:rPr>
            <w:noProof/>
            <w:webHidden/>
          </w:rPr>
          <w:fldChar w:fldCharType="separate"/>
        </w:r>
        <w:r w:rsidR="0021770C">
          <w:rPr>
            <w:noProof/>
            <w:webHidden/>
          </w:rPr>
          <w:t>46</w:t>
        </w:r>
        <w:r w:rsidR="000D0E1A">
          <w:rPr>
            <w:noProof/>
            <w:webHidden/>
          </w:rPr>
          <w:fldChar w:fldCharType="end"/>
        </w:r>
      </w:hyperlink>
    </w:p>
    <w:p w14:paraId="0D5C455B" w14:textId="6FB18573" w:rsidR="000D0E1A" w:rsidRDefault="00000000">
      <w:pPr>
        <w:pStyle w:val="TableofFigures"/>
        <w:tabs>
          <w:tab w:val="right" w:leader="dot" w:pos="9350"/>
        </w:tabs>
        <w:rPr>
          <w:noProof/>
          <w:kern w:val="2"/>
          <w14:ligatures w14:val="standardContextual"/>
        </w:rPr>
      </w:pPr>
      <w:hyperlink w:anchor="_Toc165201215" w:history="1">
        <w:r w:rsidR="000D0E1A" w:rsidRPr="009450B9">
          <w:rPr>
            <w:rStyle w:val="Hyperlink"/>
            <w:b/>
            <w:bCs/>
            <w:noProof/>
          </w:rPr>
          <w:t xml:space="preserve">Table 6: </w:t>
        </w:r>
        <w:r w:rsidR="000D0E1A" w:rsidRPr="009450B9">
          <w:rPr>
            <w:rStyle w:val="Hyperlink"/>
            <w:b/>
            <w:bCs/>
            <w:noProof/>
            <w:lang w:val="it-IT"/>
          </w:rPr>
          <w:t>ELISA IL-1</w:t>
        </w:r>
        <w:r w:rsidR="000D0E1A" w:rsidRPr="009450B9">
          <w:rPr>
            <w:rStyle w:val="Hyperlink"/>
            <w:b/>
            <w:bCs/>
            <w:noProof/>
          </w:rPr>
          <w:sym w:font="Symbol" w:char="F062"/>
        </w:r>
        <w:r w:rsidR="000D0E1A" w:rsidRPr="009450B9">
          <w:rPr>
            <w:rStyle w:val="Hyperlink"/>
            <w:b/>
            <w:bCs/>
            <w:noProof/>
            <w:lang w:val="it-IT"/>
          </w:rPr>
          <w:t xml:space="preserve"> #3</w:t>
        </w:r>
        <w:r w:rsidR="000D0E1A">
          <w:rPr>
            <w:noProof/>
            <w:webHidden/>
          </w:rPr>
          <w:tab/>
        </w:r>
        <w:r w:rsidR="000D0E1A">
          <w:rPr>
            <w:noProof/>
            <w:webHidden/>
          </w:rPr>
          <w:fldChar w:fldCharType="begin"/>
        </w:r>
        <w:r w:rsidR="000D0E1A">
          <w:rPr>
            <w:noProof/>
            <w:webHidden/>
          </w:rPr>
          <w:instrText xml:space="preserve"> PAGEREF _Toc165201215 \h </w:instrText>
        </w:r>
        <w:r w:rsidR="000D0E1A">
          <w:rPr>
            <w:noProof/>
            <w:webHidden/>
          </w:rPr>
        </w:r>
        <w:r w:rsidR="000D0E1A">
          <w:rPr>
            <w:noProof/>
            <w:webHidden/>
          </w:rPr>
          <w:fldChar w:fldCharType="separate"/>
        </w:r>
        <w:r w:rsidR="0021770C">
          <w:rPr>
            <w:noProof/>
            <w:webHidden/>
          </w:rPr>
          <w:t>46</w:t>
        </w:r>
        <w:r w:rsidR="000D0E1A">
          <w:rPr>
            <w:noProof/>
            <w:webHidden/>
          </w:rPr>
          <w:fldChar w:fldCharType="end"/>
        </w:r>
      </w:hyperlink>
    </w:p>
    <w:p w14:paraId="27DD7EB0" w14:textId="6BE77452" w:rsidR="000D0E1A" w:rsidRDefault="00000000">
      <w:pPr>
        <w:pStyle w:val="TableofFigures"/>
        <w:tabs>
          <w:tab w:val="right" w:leader="dot" w:pos="9350"/>
        </w:tabs>
        <w:rPr>
          <w:noProof/>
          <w:kern w:val="2"/>
          <w14:ligatures w14:val="standardContextual"/>
        </w:rPr>
      </w:pPr>
      <w:hyperlink w:anchor="_Toc165201216" w:history="1">
        <w:r w:rsidR="000D0E1A" w:rsidRPr="009450B9">
          <w:rPr>
            <w:rStyle w:val="Hyperlink"/>
            <w:b/>
            <w:bCs/>
            <w:noProof/>
          </w:rPr>
          <w:t>Table 7: ELISA IL-1</w:t>
        </w:r>
        <w:r w:rsidR="000D0E1A" w:rsidRPr="009450B9">
          <w:rPr>
            <w:rStyle w:val="Hyperlink"/>
            <w:b/>
            <w:bCs/>
            <w:noProof/>
          </w:rPr>
          <w:sym w:font="Symbol" w:char="F062"/>
        </w:r>
        <w:r w:rsidR="000D0E1A" w:rsidRPr="009450B9">
          <w:rPr>
            <w:rStyle w:val="Hyperlink"/>
            <w:b/>
            <w:bCs/>
            <w:noProof/>
          </w:rPr>
          <w:t xml:space="preserve"> #4</w:t>
        </w:r>
        <w:r w:rsidR="000D0E1A">
          <w:rPr>
            <w:noProof/>
            <w:webHidden/>
          </w:rPr>
          <w:tab/>
        </w:r>
        <w:r w:rsidR="000D0E1A">
          <w:rPr>
            <w:noProof/>
            <w:webHidden/>
          </w:rPr>
          <w:fldChar w:fldCharType="begin"/>
        </w:r>
        <w:r w:rsidR="000D0E1A">
          <w:rPr>
            <w:noProof/>
            <w:webHidden/>
          </w:rPr>
          <w:instrText xml:space="preserve"> PAGEREF _Toc165201216 \h </w:instrText>
        </w:r>
        <w:r w:rsidR="000D0E1A">
          <w:rPr>
            <w:noProof/>
            <w:webHidden/>
          </w:rPr>
        </w:r>
        <w:r w:rsidR="000D0E1A">
          <w:rPr>
            <w:noProof/>
            <w:webHidden/>
          </w:rPr>
          <w:fldChar w:fldCharType="separate"/>
        </w:r>
        <w:r w:rsidR="0021770C">
          <w:rPr>
            <w:noProof/>
            <w:webHidden/>
          </w:rPr>
          <w:t>46</w:t>
        </w:r>
        <w:r w:rsidR="000D0E1A">
          <w:rPr>
            <w:noProof/>
            <w:webHidden/>
          </w:rPr>
          <w:fldChar w:fldCharType="end"/>
        </w:r>
      </w:hyperlink>
    </w:p>
    <w:p w14:paraId="7751FC7A" w14:textId="57DEAEBB" w:rsidR="000D0E1A" w:rsidRDefault="00000000">
      <w:pPr>
        <w:pStyle w:val="TableofFigures"/>
        <w:tabs>
          <w:tab w:val="right" w:leader="dot" w:pos="9350"/>
        </w:tabs>
        <w:rPr>
          <w:noProof/>
          <w:kern w:val="2"/>
          <w14:ligatures w14:val="standardContextual"/>
        </w:rPr>
      </w:pPr>
      <w:hyperlink w:anchor="_Toc165201217" w:history="1">
        <w:r w:rsidR="000D0E1A" w:rsidRPr="009450B9">
          <w:rPr>
            <w:rStyle w:val="Hyperlink"/>
            <w:b/>
            <w:bCs/>
            <w:noProof/>
          </w:rPr>
          <w:t>Table 8:ELISA IFN-</w:t>
        </w:r>
        <w:r w:rsidR="000D0E1A" w:rsidRPr="009450B9">
          <w:rPr>
            <w:rStyle w:val="Hyperlink"/>
            <w:b/>
            <w:bCs/>
            <w:noProof/>
          </w:rPr>
          <w:sym w:font="Symbol" w:char="F062"/>
        </w:r>
        <w:r w:rsidR="000D0E1A" w:rsidRPr="009450B9">
          <w:rPr>
            <w:rStyle w:val="Hyperlink"/>
            <w:b/>
            <w:bCs/>
            <w:noProof/>
          </w:rPr>
          <w:t xml:space="preserve"> #1</w:t>
        </w:r>
        <w:r w:rsidR="000D0E1A">
          <w:rPr>
            <w:noProof/>
            <w:webHidden/>
          </w:rPr>
          <w:tab/>
        </w:r>
        <w:r w:rsidR="000D0E1A">
          <w:rPr>
            <w:noProof/>
            <w:webHidden/>
          </w:rPr>
          <w:fldChar w:fldCharType="begin"/>
        </w:r>
        <w:r w:rsidR="000D0E1A">
          <w:rPr>
            <w:noProof/>
            <w:webHidden/>
          </w:rPr>
          <w:instrText xml:space="preserve"> PAGEREF _Toc165201217 \h </w:instrText>
        </w:r>
        <w:r w:rsidR="000D0E1A">
          <w:rPr>
            <w:noProof/>
            <w:webHidden/>
          </w:rPr>
        </w:r>
        <w:r w:rsidR="000D0E1A">
          <w:rPr>
            <w:noProof/>
            <w:webHidden/>
          </w:rPr>
          <w:fldChar w:fldCharType="separate"/>
        </w:r>
        <w:r w:rsidR="0021770C">
          <w:rPr>
            <w:noProof/>
            <w:webHidden/>
          </w:rPr>
          <w:t>47</w:t>
        </w:r>
        <w:r w:rsidR="000D0E1A">
          <w:rPr>
            <w:noProof/>
            <w:webHidden/>
          </w:rPr>
          <w:fldChar w:fldCharType="end"/>
        </w:r>
      </w:hyperlink>
    </w:p>
    <w:p w14:paraId="1F4FCCA8" w14:textId="42D9E28A" w:rsidR="000D0E1A" w:rsidRDefault="00000000">
      <w:pPr>
        <w:pStyle w:val="TableofFigures"/>
        <w:tabs>
          <w:tab w:val="right" w:leader="dot" w:pos="9350"/>
        </w:tabs>
        <w:rPr>
          <w:noProof/>
          <w:kern w:val="2"/>
          <w14:ligatures w14:val="standardContextual"/>
        </w:rPr>
      </w:pPr>
      <w:hyperlink w:anchor="_Toc165201218" w:history="1">
        <w:r w:rsidR="000D0E1A" w:rsidRPr="009450B9">
          <w:rPr>
            <w:rStyle w:val="Hyperlink"/>
            <w:b/>
            <w:bCs/>
            <w:noProof/>
          </w:rPr>
          <w:t>Table 9: ELISA IFN-</w:t>
        </w:r>
        <w:r w:rsidR="000D0E1A" w:rsidRPr="009450B9">
          <w:rPr>
            <w:rStyle w:val="Hyperlink"/>
            <w:b/>
            <w:bCs/>
            <w:noProof/>
          </w:rPr>
          <w:sym w:font="Symbol" w:char="F062"/>
        </w:r>
        <w:r w:rsidR="000D0E1A" w:rsidRPr="009450B9">
          <w:rPr>
            <w:rStyle w:val="Hyperlink"/>
            <w:b/>
            <w:bCs/>
            <w:noProof/>
          </w:rPr>
          <w:t xml:space="preserve"> #2</w:t>
        </w:r>
        <w:r w:rsidR="000D0E1A">
          <w:rPr>
            <w:noProof/>
            <w:webHidden/>
          </w:rPr>
          <w:tab/>
        </w:r>
        <w:r w:rsidR="000D0E1A">
          <w:rPr>
            <w:noProof/>
            <w:webHidden/>
          </w:rPr>
          <w:fldChar w:fldCharType="begin"/>
        </w:r>
        <w:r w:rsidR="000D0E1A">
          <w:rPr>
            <w:noProof/>
            <w:webHidden/>
          </w:rPr>
          <w:instrText xml:space="preserve"> PAGEREF _Toc165201218 \h </w:instrText>
        </w:r>
        <w:r w:rsidR="000D0E1A">
          <w:rPr>
            <w:noProof/>
            <w:webHidden/>
          </w:rPr>
        </w:r>
        <w:r w:rsidR="000D0E1A">
          <w:rPr>
            <w:noProof/>
            <w:webHidden/>
          </w:rPr>
          <w:fldChar w:fldCharType="separate"/>
        </w:r>
        <w:r w:rsidR="0021770C">
          <w:rPr>
            <w:noProof/>
            <w:webHidden/>
          </w:rPr>
          <w:t>47</w:t>
        </w:r>
        <w:r w:rsidR="000D0E1A">
          <w:rPr>
            <w:noProof/>
            <w:webHidden/>
          </w:rPr>
          <w:fldChar w:fldCharType="end"/>
        </w:r>
      </w:hyperlink>
    </w:p>
    <w:p w14:paraId="536B17EE" w14:textId="657C5477" w:rsidR="000D0E1A" w:rsidRDefault="00000000">
      <w:pPr>
        <w:pStyle w:val="TableofFigures"/>
        <w:tabs>
          <w:tab w:val="right" w:leader="dot" w:pos="9350"/>
        </w:tabs>
        <w:rPr>
          <w:noProof/>
          <w:kern w:val="2"/>
          <w14:ligatures w14:val="standardContextual"/>
        </w:rPr>
      </w:pPr>
      <w:hyperlink w:anchor="_Toc165201219" w:history="1">
        <w:r w:rsidR="000D0E1A" w:rsidRPr="009450B9">
          <w:rPr>
            <w:rStyle w:val="Hyperlink"/>
            <w:b/>
            <w:bCs/>
            <w:noProof/>
          </w:rPr>
          <w:t>Table 10: Cell Size Analysis</w:t>
        </w:r>
        <w:r w:rsidR="000D0E1A">
          <w:rPr>
            <w:noProof/>
            <w:webHidden/>
          </w:rPr>
          <w:tab/>
        </w:r>
        <w:r w:rsidR="000D0E1A">
          <w:rPr>
            <w:noProof/>
            <w:webHidden/>
          </w:rPr>
          <w:fldChar w:fldCharType="begin"/>
        </w:r>
        <w:r w:rsidR="000D0E1A">
          <w:rPr>
            <w:noProof/>
            <w:webHidden/>
          </w:rPr>
          <w:instrText xml:space="preserve"> PAGEREF _Toc165201219 \h </w:instrText>
        </w:r>
        <w:r w:rsidR="000D0E1A">
          <w:rPr>
            <w:noProof/>
            <w:webHidden/>
          </w:rPr>
        </w:r>
        <w:r w:rsidR="000D0E1A">
          <w:rPr>
            <w:noProof/>
            <w:webHidden/>
          </w:rPr>
          <w:fldChar w:fldCharType="separate"/>
        </w:r>
        <w:r w:rsidR="0021770C">
          <w:rPr>
            <w:noProof/>
            <w:webHidden/>
          </w:rPr>
          <w:t>54</w:t>
        </w:r>
        <w:r w:rsidR="000D0E1A">
          <w:rPr>
            <w:noProof/>
            <w:webHidden/>
          </w:rPr>
          <w:fldChar w:fldCharType="end"/>
        </w:r>
      </w:hyperlink>
    </w:p>
    <w:p w14:paraId="7049F2FB" w14:textId="4E81E991" w:rsidR="00D9154F" w:rsidRDefault="00D9154F">
      <w:r>
        <w:fldChar w:fldCharType="end"/>
      </w:r>
    </w:p>
    <w:p w14:paraId="4D88E987" w14:textId="77777777" w:rsidR="00D9154F" w:rsidRDefault="00D9154F">
      <w:r>
        <w:br w:type="page"/>
      </w:r>
    </w:p>
    <w:p w14:paraId="712CF405" w14:textId="02B49971" w:rsidR="00F13440" w:rsidRDefault="00F13440" w:rsidP="00F13440">
      <w:pPr>
        <w:pStyle w:val="TOCHeading"/>
      </w:pPr>
      <w:r>
        <w:lastRenderedPageBreak/>
        <w:t xml:space="preserve">List of Figures </w:t>
      </w:r>
    </w:p>
    <w:p w14:paraId="468F2791" w14:textId="2BEA3C02" w:rsidR="000D0E1A" w:rsidRDefault="00D9154F">
      <w:pPr>
        <w:pStyle w:val="TableofFigures"/>
        <w:tabs>
          <w:tab w:val="right" w:leader="dot" w:pos="9350"/>
        </w:tabs>
        <w:rPr>
          <w:noProof/>
          <w:kern w:val="2"/>
          <w14:ligatures w14:val="standardContextual"/>
        </w:rPr>
      </w:pPr>
      <w:r>
        <w:fldChar w:fldCharType="begin"/>
      </w:r>
      <w:r>
        <w:instrText xml:space="preserve"> TOC \h \z \c "Figure" </w:instrText>
      </w:r>
      <w:r>
        <w:fldChar w:fldCharType="separate"/>
      </w:r>
      <w:hyperlink w:anchor="_Toc165201220" w:history="1">
        <w:r w:rsidR="000D0E1A" w:rsidRPr="004A39BB">
          <w:rPr>
            <w:rStyle w:val="Hyperlink"/>
            <w:b/>
            <w:bCs/>
            <w:noProof/>
          </w:rPr>
          <w:t>Figure 1:</w:t>
        </w:r>
        <w:r w:rsidR="000D0E1A" w:rsidRPr="004A39BB">
          <w:rPr>
            <w:rStyle w:val="Hyperlink"/>
            <w:noProof/>
          </w:rPr>
          <w:t xml:space="preserve"> </w:t>
        </w:r>
        <w:r w:rsidR="000D0E1A" w:rsidRPr="004A39BB">
          <w:rPr>
            <w:rStyle w:val="Hyperlink"/>
            <w:b/>
            <w:bCs/>
            <w:noProof/>
          </w:rPr>
          <w:t>Overview of the cGAS-STING pathway</w:t>
        </w:r>
        <w:r w:rsidR="000D0E1A" w:rsidRPr="004A39BB">
          <w:rPr>
            <w:rStyle w:val="Hyperlink"/>
            <w:noProof/>
          </w:rPr>
          <w:t xml:space="preserve"> [26]. Detection and binding</w:t>
        </w:r>
        <w:r w:rsidR="000D0E1A" w:rsidRPr="004A39BB">
          <w:rPr>
            <w:rStyle w:val="Hyperlink"/>
            <w:rFonts w:hint="eastAsia"/>
            <w:noProof/>
          </w:rPr>
          <w:t xml:space="preserve"> of double-stranded DNA results in a conformational change of cGAS to 2</w:t>
        </w:r>
        <w:r w:rsidR="000D0E1A" w:rsidRPr="004A39BB">
          <w:rPr>
            <w:rStyle w:val="Hyperlink"/>
            <w:rFonts w:hint="eastAsia"/>
            <w:noProof/>
          </w:rPr>
          <w:t>′</w:t>
        </w:r>
        <w:r w:rsidR="000D0E1A" w:rsidRPr="004A39BB">
          <w:rPr>
            <w:rStyle w:val="Hyperlink"/>
            <w:rFonts w:hint="eastAsia"/>
            <w:noProof/>
          </w:rPr>
          <w:t>3</w:t>
        </w:r>
        <w:r w:rsidR="000D0E1A" w:rsidRPr="004A39BB">
          <w:rPr>
            <w:rStyle w:val="Hyperlink"/>
            <w:rFonts w:hint="eastAsia"/>
            <w:noProof/>
          </w:rPr>
          <w:t>′</w:t>
        </w:r>
        <w:r w:rsidR="000D0E1A" w:rsidRPr="004A39BB">
          <w:rPr>
            <w:rStyle w:val="Hyperlink"/>
            <w:rFonts w:hint="eastAsia"/>
            <w:noProof/>
          </w:rPr>
          <w:t xml:space="preserve"> cyclic GMP</w:t>
        </w:r>
        <w:r w:rsidR="000D0E1A" w:rsidRPr="004A39BB">
          <w:rPr>
            <w:rStyle w:val="Hyperlink"/>
            <w:rFonts w:hint="eastAsia"/>
            <w:noProof/>
          </w:rPr>
          <w:t>–</w:t>
        </w:r>
        <w:r w:rsidR="000D0E1A" w:rsidRPr="004A39BB">
          <w:rPr>
            <w:rStyle w:val="Hyperlink"/>
            <w:rFonts w:hint="eastAsia"/>
            <w:noProof/>
          </w:rPr>
          <w:t>AMP (cGAMP). cGAMP then binds to stimulator of interferon genes (STING) residentially located in the endoplasmic reticulum. STING then trafficking to the ER</w:t>
        </w:r>
        <w:r w:rsidR="000D0E1A" w:rsidRPr="004A39BB">
          <w:rPr>
            <w:rStyle w:val="Hyperlink"/>
            <w:rFonts w:hint="eastAsia"/>
            <w:noProof/>
          </w:rPr>
          <w:t>–</w:t>
        </w:r>
        <w:r w:rsidR="000D0E1A" w:rsidRPr="004A39BB">
          <w:rPr>
            <w:rStyle w:val="Hyperlink"/>
            <w:rFonts w:hint="eastAsia"/>
            <w:noProof/>
          </w:rPr>
          <w:t>Golgi interm</w:t>
        </w:r>
        <w:r w:rsidR="000D0E1A" w:rsidRPr="004A39BB">
          <w:rPr>
            <w:rStyle w:val="Hyperlink"/>
            <w:noProof/>
          </w:rPr>
          <w:t>ediate compartment (ERGIC) via coatomer protein complex II (COPII). Here STING recruits TANK-binding kinase 1 (TBK1) leading to TBK1 autophosphorylation and STING phosphorylation along with the recruitment of interferon regulatory factor 3 (IRF3). This then enables IRF3 dimerization and translocation to the nucleus to induce the gene expression of type I interferons and other proinflammatory cytokines. Post IRF3 interaction STING traffics to the lysosome for degradation.</w:t>
        </w:r>
        <w:r w:rsidR="000D0E1A">
          <w:rPr>
            <w:noProof/>
            <w:webHidden/>
          </w:rPr>
          <w:tab/>
        </w:r>
        <w:r w:rsidR="000D0E1A">
          <w:rPr>
            <w:noProof/>
            <w:webHidden/>
          </w:rPr>
          <w:fldChar w:fldCharType="begin"/>
        </w:r>
        <w:r w:rsidR="000D0E1A">
          <w:rPr>
            <w:noProof/>
            <w:webHidden/>
          </w:rPr>
          <w:instrText xml:space="preserve"> PAGEREF _Toc165201220 \h </w:instrText>
        </w:r>
        <w:r w:rsidR="000D0E1A">
          <w:rPr>
            <w:noProof/>
            <w:webHidden/>
          </w:rPr>
        </w:r>
        <w:r w:rsidR="000D0E1A">
          <w:rPr>
            <w:noProof/>
            <w:webHidden/>
          </w:rPr>
          <w:fldChar w:fldCharType="separate"/>
        </w:r>
        <w:r w:rsidR="0021770C">
          <w:rPr>
            <w:noProof/>
            <w:webHidden/>
          </w:rPr>
          <w:t>6</w:t>
        </w:r>
        <w:r w:rsidR="000D0E1A">
          <w:rPr>
            <w:noProof/>
            <w:webHidden/>
          </w:rPr>
          <w:fldChar w:fldCharType="end"/>
        </w:r>
      </w:hyperlink>
    </w:p>
    <w:p w14:paraId="7CEDAFB4" w14:textId="0E8084D6" w:rsidR="000D0E1A" w:rsidRDefault="00000000">
      <w:pPr>
        <w:pStyle w:val="TableofFigures"/>
        <w:tabs>
          <w:tab w:val="right" w:leader="dot" w:pos="9350"/>
        </w:tabs>
        <w:rPr>
          <w:noProof/>
          <w:kern w:val="2"/>
          <w14:ligatures w14:val="standardContextual"/>
        </w:rPr>
      </w:pPr>
      <w:hyperlink w:anchor="_Toc165201221" w:history="1">
        <w:r w:rsidR="000D0E1A" w:rsidRPr="004A39BB">
          <w:rPr>
            <w:rStyle w:val="Hyperlink"/>
            <w:b/>
            <w:bCs/>
            <w:noProof/>
          </w:rPr>
          <w:t>Figure 2: Cross talk between the cGAS-STING pathway and NLRP3 mediated cell death</w:t>
        </w:r>
        <w:r w:rsidR="000D0E1A" w:rsidRPr="004A39BB">
          <w:rPr>
            <w:rStyle w:val="Hyperlink"/>
            <w:noProof/>
          </w:rPr>
          <w:t xml:space="preserve"> [40]. The cGAS-STING-NLRP3 begins similarly to the beforementioned STIMG pathway with the detection of foreign DNA leading to STING activation via cGAMP. This then leads to STING trafficking to the lysosome resulting in lysosomal membrane permeabilization (LMP). LMP then leads to lysosome cell death and subsequently potassium efflux into the cell. Potassium efflux then activates the NLRP3 pathway [41] leading to activation of Caspase-1. This then leads to the release of proinflammatory cytokines such as IL-1β.</w:t>
        </w:r>
        <w:r w:rsidR="000D0E1A">
          <w:rPr>
            <w:noProof/>
            <w:webHidden/>
          </w:rPr>
          <w:tab/>
        </w:r>
        <w:r w:rsidR="000D0E1A">
          <w:rPr>
            <w:noProof/>
            <w:webHidden/>
          </w:rPr>
          <w:fldChar w:fldCharType="begin"/>
        </w:r>
        <w:r w:rsidR="000D0E1A">
          <w:rPr>
            <w:noProof/>
            <w:webHidden/>
          </w:rPr>
          <w:instrText xml:space="preserve"> PAGEREF _Toc165201221 \h </w:instrText>
        </w:r>
        <w:r w:rsidR="000D0E1A">
          <w:rPr>
            <w:noProof/>
            <w:webHidden/>
          </w:rPr>
        </w:r>
        <w:r w:rsidR="000D0E1A">
          <w:rPr>
            <w:noProof/>
            <w:webHidden/>
          </w:rPr>
          <w:fldChar w:fldCharType="separate"/>
        </w:r>
        <w:r w:rsidR="0021770C">
          <w:rPr>
            <w:noProof/>
            <w:webHidden/>
          </w:rPr>
          <w:t>7</w:t>
        </w:r>
        <w:r w:rsidR="000D0E1A">
          <w:rPr>
            <w:noProof/>
            <w:webHidden/>
          </w:rPr>
          <w:fldChar w:fldCharType="end"/>
        </w:r>
      </w:hyperlink>
    </w:p>
    <w:p w14:paraId="457A77EA" w14:textId="600F29B8" w:rsidR="000D0E1A" w:rsidRDefault="00000000">
      <w:pPr>
        <w:pStyle w:val="TableofFigures"/>
        <w:tabs>
          <w:tab w:val="right" w:leader="dot" w:pos="9350"/>
        </w:tabs>
        <w:rPr>
          <w:noProof/>
          <w:kern w:val="2"/>
          <w14:ligatures w14:val="standardContextual"/>
        </w:rPr>
      </w:pPr>
      <w:hyperlink w:anchor="_Toc165201222" w:history="1">
        <w:r w:rsidR="000D0E1A" w:rsidRPr="004A39BB">
          <w:rPr>
            <w:rStyle w:val="Hyperlink"/>
            <w:b/>
            <w:bCs/>
            <w:noProof/>
          </w:rPr>
          <w:t>Figure 3:</w:t>
        </w:r>
        <w:r w:rsidR="000D0E1A" w:rsidRPr="004A39BB">
          <w:rPr>
            <w:rStyle w:val="Hyperlink"/>
            <w:noProof/>
          </w:rPr>
          <w:t xml:space="preserve"> </w:t>
        </w:r>
        <w:r w:rsidR="000D0E1A" w:rsidRPr="004A39BB">
          <w:rPr>
            <w:rStyle w:val="Hyperlink"/>
            <w:b/>
            <w:bCs/>
            <w:noProof/>
          </w:rPr>
          <w:t>Heat maps illustrating STING pathway activation in the presence of GC</w:t>
        </w:r>
        <w:r w:rsidR="000D0E1A" w:rsidRPr="004A39BB">
          <w:rPr>
            <w:rStyle w:val="Hyperlink"/>
            <w:noProof/>
          </w:rPr>
          <w:t>. Panel A shows genes associated with the STING pathway and their expression levels within their experimental group. It can be seen that there is a correlation between effected STING pathway genes and GC stimulation. Panel B shows sample to sample distances through variance stabilizing transformation (vsd). The greatest distance is between WT_unstim and WT_GC indicating GC causes large transcriptional profile changes. WT_unstim represents the untreated wild type mice, STINGKO_unstim are STING knockout mice in the untreated control group, WT_GC are wild type mice that received GC vaccination, and STINGKO_GC are STING knockout mice that received GC vaccination. Figure adapted from Hoover et. al [27].</w:t>
        </w:r>
        <w:r w:rsidR="000D0E1A">
          <w:rPr>
            <w:noProof/>
            <w:webHidden/>
          </w:rPr>
          <w:tab/>
        </w:r>
        <w:r w:rsidR="000D0E1A">
          <w:rPr>
            <w:noProof/>
            <w:webHidden/>
          </w:rPr>
          <w:fldChar w:fldCharType="begin"/>
        </w:r>
        <w:r w:rsidR="000D0E1A">
          <w:rPr>
            <w:noProof/>
            <w:webHidden/>
          </w:rPr>
          <w:instrText xml:space="preserve"> PAGEREF _Toc165201222 \h </w:instrText>
        </w:r>
        <w:r w:rsidR="000D0E1A">
          <w:rPr>
            <w:noProof/>
            <w:webHidden/>
          </w:rPr>
        </w:r>
        <w:r w:rsidR="000D0E1A">
          <w:rPr>
            <w:noProof/>
            <w:webHidden/>
          </w:rPr>
          <w:fldChar w:fldCharType="separate"/>
        </w:r>
        <w:r w:rsidR="0021770C">
          <w:rPr>
            <w:noProof/>
            <w:webHidden/>
          </w:rPr>
          <w:t>9</w:t>
        </w:r>
        <w:r w:rsidR="000D0E1A">
          <w:rPr>
            <w:noProof/>
            <w:webHidden/>
          </w:rPr>
          <w:fldChar w:fldCharType="end"/>
        </w:r>
      </w:hyperlink>
    </w:p>
    <w:p w14:paraId="065718AA" w14:textId="324BBBB9" w:rsidR="000D0E1A" w:rsidRDefault="00000000">
      <w:pPr>
        <w:pStyle w:val="TableofFigures"/>
        <w:tabs>
          <w:tab w:val="right" w:leader="dot" w:pos="9350"/>
        </w:tabs>
        <w:rPr>
          <w:noProof/>
          <w:kern w:val="2"/>
          <w14:ligatures w14:val="standardContextual"/>
        </w:rPr>
      </w:pPr>
      <w:hyperlink w:anchor="_Toc165201223" w:history="1">
        <w:r w:rsidR="000D0E1A" w:rsidRPr="004A39BB">
          <w:rPr>
            <w:rStyle w:val="Hyperlink"/>
            <w:b/>
            <w:bCs/>
            <w:noProof/>
          </w:rPr>
          <w:t>Figure 4</w:t>
        </w:r>
        <w:r w:rsidR="000D0E1A" w:rsidRPr="004A39BB">
          <w:rPr>
            <w:rStyle w:val="Hyperlink"/>
            <w:noProof/>
          </w:rPr>
          <w:t xml:space="preserve">: </w:t>
        </w:r>
        <w:r w:rsidR="000D0E1A" w:rsidRPr="004A39BB">
          <w:rPr>
            <w:rStyle w:val="Hyperlink"/>
            <w:b/>
            <w:bCs/>
            <w:noProof/>
          </w:rPr>
          <w:t>Overview of hypothesized STING-GC interactions</w:t>
        </w:r>
        <w:r w:rsidR="000D0E1A" w:rsidRPr="004A39BB">
          <w:rPr>
            <w:rStyle w:val="Hyperlink"/>
            <w:noProof/>
          </w:rPr>
          <w:t>. Here GC enters the DC cell via phagocytosis. After entering the cell, GC directly binds to STING initiating STING trafficking through the cell. Post binding, STING traffics to the lysosome which in turn initiates LMP. This results in lysosomal content leakage and K+ efflux activating the NLRP3 pathway. This pathway results in ICD and the release of proinflammatory cytokines such as IL-1</w:t>
        </w:r>
        <w:r w:rsidR="000D0E1A" w:rsidRPr="004A39BB">
          <w:rPr>
            <w:rStyle w:val="Hyperlink"/>
            <w:noProof/>
            <w:sz w:val="20"/>
            <w:szCs w:val="20"/>
          </w:rPr>
          <w:sym w:font="Symbol" w:char="F062"/>
        </w:r>
        <w:r w:rsidR="000D0E1A" w:rsidRPr="004A39BB">
          <w:rPr>
            <w:rStyle w:val="Hyperlink"/>
            <w:noProof/>
          </w:rPr>
          <w:t>. Activation of the STING pathway also results in the release of proinflammatory cytokines such as type I IFN.</w:t>
        </w:r>
        <w:r w:rsidR="000D0E1A">
          <w:rPr>
            <w:noProof/>
            <w:webHidden/>
          </w:rPr>
          <w:tab/>
        </w:r>
        <w:r w:rsidR="000D0E1A">
          <w:rPr>
            <w:noProof/>
            <w:webHidden/>
          </w:rPr>
          <w:fldChar w:fldCharType="begin"/>
        </w:r>
        <w:r w:rsidR="000D0E1A">
          <w:rPr>
            <w:noProof/>
            <w:webHidden/>
          </w:rPr>
          <w:instrText xml:space="preserve"> PAGEREF _Toc165201223 \h </w:instrText>
        </w:r>
        <w:r w:rsidR="000D0E1A">
          <w:rPr>
            <w:noProof/>
            <w:webHidden/>
          </w:rPr>
        </w:r>
        <w:r w:rsidR="000D0E1A">
          <w:rPr>
            <w:noProof/>
            <w:webHidden/>
          </w:rPr>
          <w:fldChar w:fldCharType="separate"/>
        </w:r>
        <w:r w:rsidR="0021770C">
          <w:rPr>
            <w:noProof/>
            <w:webHidden/>
          </w:rPr>
          <w:t>10</w:t>
        </w:r>
        <w:r w:rsidR="000D0E1A">
          <w:rPr>
            <w:noProof/>
            <w:webHidden/>
          </w:rPr>
          <w:fldChar w:fldCharType="end"/>
        </w:r>
      </w:hyperlink>
    </w:p>
    <w:p w14:paraId="5659DE44" w14:textId="687F2AE9" w:rsidR="000D0E1A" w:rsidRDefault="00000000">
      <w:pPr>
        <w:pStyle w:val="TableofFigures"/>
        <w:tabs>
          <w:tab w:val="right" w:leader="dot" w:pos="9350"/>
        </w:tabs>
        <w:rPr>
          <w:noProof/>
          <w:kern w:val="2"/>
          <w14:ligatures w14:val="standardContextual"/>
        </w:rPr>
      </w:pPr>
      <w:hyperlink w:anchor="_Toc165201224" w:history="1">
        <w:r w:rsidR="000D0E1A" w:rsidRPr="004A39BB">
          <w:rPr>
            <w:rStyle w:val="Hyperlink"/>
            <w:b/>
            <w:bCs/>
            <w:noProof/>
          </w:rPr>
          <w:t xml:space="preserve">Figure 5: Lysosomal isolation procedures. </w:t>
        </w:r>
        <w:r w:rsidR="000D0E1A" w:rsidRPr="004A39BB">
          <w:rPr>
            <w:rStyle w:val="Hyperlink"/>
            <w:noProof/>
          </w:rPr>
          <w:t>The figure above depicts the process of isolating the lysosome from the primary dendritic cells. Overview the steps of adding lysis buffer to the cell pellet, using dounce homogenization as physical disruptions, adding the solution to a density gradient, and isolating the lysosomal band using ultracentrifugation.</w:t>
        </w:r>
        <w:r w:rsidR="000D0E1A">
          <w:rPr>
            <w:noProof/>
            <w:webHidden/>
          </w:rPr>
          <w:tab/>
        </w:r>
        <w:r w:rsidR="000D0E1A">
          <w:rPr>
            <w:noProof/>
            <w:webHidden/>
          </w:rPr>
          <w:fldChar w:fldCharType="begin"/>
        </w:r>
        <w:r w:rsidR="000D0E1A">
          <w:rPr>
            <w:noProof/>
            <w:webHidden/>
          </w:rPr>
          <w:instrText xml:space="preserve"> PAGEREF _Toc165201224 \h </w:instrText>
        </w:r>
        <w:r w:rsidR="000D0E1A">
          <w:rPr>
            <w:noProof/>
            <w:webHidden/>
          </w:rPr>
        </w:r>
        <w:r w:rsidR="000D0E1A">
          <w:rPr>
            <w:noProof/>
            <w:webHidden/>
          </w:rPr>
          <w:fldChar w:fldCharType="separate"/>
        </w:r>
        <w:r w:rsidR="0021770C">
          <w:rPr>
            <w:noProof/>
            <w:webHidden/>
          </w:rPr>
          <w:t>14</w:t>
        </w:r>
        <w:r w:rsidR="000D0E1A">
          <w:rPr>
            <w:noProof/>
            <w:webHidden/>
          </w:rPr>
          <w:fldChar w:fldCharType="end"/>
        </w:r>
      </w:hyperlink>
    </w:p>
    <w:p w14:paraId="50B0AC7F" w14:textId="5A48683B" w:rsidR="000D0E1A" w:rsidRDefault="00000000">
      <w:pPr>
        <w:pStyle w:val="TableofFigures"/>
        <w:tabs>
          <w:tab w:val="right" w:leader="dot" w:pos="9350"/>
        </w:tabs>
        <w:rPr>
          <w:noProof/>
          <w:kern w:val="2"/>
          <w14:ligatures w14:val="standardContextual"/>
        </w:rPr>
      </w:pPr>
      <w:hyperlink w:anchor="_Toc165201225" w:history="1">
        <w:r w:rsidR="000D0E1A" w:rsidRPr="004A39BB">
          <w:rPr>
            <w:rStyle w:val="Hyperlink"/>
            <w:b/>
            <w:bCs/>
            <w:noProof/>
          </w:rPr>
          <w:t>Figure 6: Lysates utilized within the western blot.</w:t>
        </w:r>
        <w:r w:rsidR="000D0E1A" w:rsidRPr="004A39BB">
          <w:rPr>
            <w:rStyle w:val="Hyperlink"/>
            <w:noProof/>
          </w:rPr>
          <w:t xml:space="preserve"> Three out of five lysates created from the subcellular fractionation was used and the final lysate was derived from a lysosomal isolation. Within the subcellular fractionation: CEB= cytoplasmic extraction buffer, MEB= membrane extraction buffer, NEB= nuclear extraction buffer, NEB+ MNase= nuclear extraction buffer + micrococcal nuclease (chromatin-bound fractionation), and PEB= pellet extraction buffer (cytoskeletal proteins). The lysates derived from the NEB + NMase and PEB were not utilized within the western blot.</w:t>
        </w:r>
        <w:r w:rsidR="000D0E1A">
          <w:rPr>
            <w:noProof/>
            <w:webHidden/>
          </w:rPr>
          <w:tab/>
        </w:r>
        <w:r w:rsidR="000D0E1A">
          <w:rPr>
            <w:noProof/>
            <w:webHidden/>
          </w:rPr>
          <w:fldChar w:fldCharType="begin"/>
        </w:r>
        <w:r w:rsidR="000D0E1A">
          <w:rPr>
            <w:noProof/>
            <w:webHidden/>
          </w:rPr>
          <w:instrText xml:space="preserve"> PAGEREF _Toc165201225 \h </w:instrText>
        </w:r>
        <w:r w:rsidR="000D0E1A">
          <w:rPr>
            <w:noProof/>
            <w:webHidden/>
          </w:rPr>
        </w:r>
        <w:r w:rsidR="000D0E1A">
          <w:rPr>
            <w:noProof/>
            <w:webHidden/>
          </w:rPr>
          <w:fldChar w:fldCharType="separate"/>
        </w:r>
        <w:r w:rsidR="0021770C">
          <w:rPr>
            <w:noProof/>
            <w:webHidden/>
          </w:rPr>
          <w:t>15</w:t>
        </w:r>
        <w:r w:rsidR="000D0E1A">
          <w:rPr>
            <w:noProof/>
            <w:webHidden/>
          </w:rPr>
          <w:fldChar w:fldCharType="end"/>
        </w:r>
      </w:hyperlink>
    </w:p>
    <w:p w14:paraId="24D65D27" w14:textId="1A1401C7" w:rsidR="000D0E1A" w:rsidRDefault="00000000">
      <w:pPr>
        <w:pStyle w:val="TableofFigures"/>
        <w:tabs>
          <w:tab w:val="right" w:leader="dot" w:pos="9350"/>
        </w:tabs>
        <w:rPr>
          <w:noProof/>
          <w:kern w:val="2"/>
          <w14:ligatures w14:val="standardContextual"/>
        </w:rPr>
      </w:pPr>
      <w:hyperlink w:anchor="_Toc165201226" w:history="1">
        <w:r w:rsidR="000D0E1A" w:rsidRPr="004A39BB">
          <w:rPr>
            <w:rStyle w:val="Hyperlink"/>
            <w:b/>
            <w:bCs/>
            <w:noProof/>
          </w:rPr>
          <w:t xml:space="preserve">Figure 7: Western blot gel setup. </w:t>
        </w:r>
        <w:r w:rsidR="000D0E1A" w:rsidRPr="004A39BB">
          <w:rPr>
            <w:rStyle w:val="Hyperlink"/>
            <w:noProof/>
          </w:rPr>
          <w:t>The image above depicts the gel setup used for the western blot where samples and controls were run together on the same gels. A 12 well 4-12% gel was utilized and the two gels were run together in the same cassette.</w:t>
        </w:r>
        <w:r w:rsidR="000D0E1A">
          <w:rPr>
            <w:noProof/>
            <w:webHidden/>
          </w:rPr>
          <w:tab/>
        </w:r>
        <w:r w:rsidR="000D0E1A">
          <w:rPr>
            <w:noProof/>
            <w:webHidden/>
          </w:rPr>
          <w:fldChar w:fldCharType="begin"/>
        </w:r>
        <w:r w:rsidR="000D0E1A">
          <w:rPr>
            <w:noProof/>
            <w:webHidden/>
          </w:rPr>
          <w:instrText xml:space="preserve"> PAGEREF _Toc165201226 \h </w:instrText>
        </w:r>
        <w:r w:rsidR="000D0E1A">
          <w:rPr>
            <w:noProof/>
            <w:webHidden/>
          </w:rPr>
        </w:r>
        <w:r w:rsidR="000D0E1A">
          <w:rPr>
            <w:noProof/>
            <w:webHidden/>
          </w:rPr>
          <w:fldChar w:fldCharType="separate"/>
        </w:r>
        <w:r w:rsidR="0021770C">
          <w:rPr>
            <w:noProof/>
            <w:webHidden/>
          </w:rPr>
          <w:t>16</w:t>
        </w:r>
        <w:r w:rsidR="000D0E1A">
          <w:rPr>
            <w:noProof/>
            <w:webHidden/>
          </w:rPr>
          <w:fldChar w:fldCharType="end"/>
        </w:r>
      </w:hyperlink>
    </w:p>
    <w:p w14:paraId="4EC072EA" w14:textId="471CED9E" w:rsidR="000D0E1A" w:rsidRDefault="00000000">
      <w:pPr>
        <w:pStyle w:val="TableofFigures"/>
        <w:tabs>
          <w:tab w:val="right" w:leader="dot" w:pos="9350"/>
        </w:tabs>
        <w:rPr>
          <w:noProof/>
          <w:kern w:val="2"/>
          <w14:ligatures w14:val="standardContextual"/>
        </w:rPr>
      </w:pPr>
      <w:hyperlink w:anchor="_Toc165201227" w:history="1">
        <w:r w:rsidR="000D0E1A" w:rsidRPr="004A39BB">
          <w:rPr>
            <w:rStyle w:val="Hyperlink"/>
            <w:b/>
            <w:bCs/>
            <w:noProof/>
          </w:rPr>
          <w:t>Figure 8:</w:t>
        </w:r>
        <w:r w:rsidR="000D0E1A" w:rsidRPr="004A39BB">
          <w:rPr>
            <w:rStyle w:val="Hyperlink"/>
            <w:noProof/>
          </w:rPr>
          <w:t xml:space="preserve"> </w:t>
        </w:r>
        <w:r w:rsidR="000D0E1A" w:rsidRPr="004A39BB">
          <w:rPr>
            <w:rStyle w:val="Hyperlink"/>
            <w:b/>
            <w:bCs/>
            <w:noProof/>
          </w:rPr>
          <w:t>Qualitative results from western blotting</w:t>
        </w:r>
        <w:r w:rsidR="000D0E1A" w:rsidRPr="004A39BB">
          <w:rPr>
            <w:rStyle w:val="Hyperlink"/>
            <w:noProof/>
          </w:rPr>
          <w:t>. Demonstrates qualitative differences between GC-stimulated and non-stimulated BMDCs. Differences can be seen through dimer expression of STING. STING expression is higher in the lysosomal fraction of stimulated group compared to the control. CEB is the cytoplasmic contents, MEB is the membrane-bound cellular contents, NEB is the nucleic cellular contents, and Lyso is the lysosomal contents of the cell. LAMP 1 and VDAC 1 serve as control proteins for the lysosome and mitochondria respectively.</w:t>
        </w:r>
        <w:r w:rsidR="000D0E1A">
          <w:rPr>
            <w:noProof/>
            <w:webHidden/>
          </w:rPr>
          <w:tab/>
        </w:r>
        <w:r w:rsidR="000D0E1A">
          <w:rPr>
            <w:noProof/>
            <w:webHidden/>
          </w:rPr>
          <w:fldChar w:fldCharType="begin"/>
        </w:r>
        <w:r w:rsidR="000D0E1A">
          <w:rPr>
            <w:noProof/>
            <w:webHidden/>
          </w:rPr>
          <w:instrText xml:space="preserve"> PAGEREF _Toc165201227 \h </w:instrText>
        </w:r>
        <w:r w:rsidR="000D0E1A">
          <w:rPr>
            <w:noProof/>
            <w:webHidden/>
          </w:rPr>
        </w:r>
        <w:r w:rsidR="000D0E1A">
          <w:rPr>
            <w:noProof/>
            <w:webHidden/>
          </w:rPr>
          <w:fldChar w:fldCharType="separate"/>
        </w:r>
        <w:r w:rsidR="0021770C">
          <w:rPr>
            <w:noProof/>
            <w:webHidden/>
          </w:rPr>
          <w:t>18</w:t>
        </w:r>
        <w:r w:rsidR="000D0E1A">
          <w:rPr>
            <w:noProof/>
            <w:webHidden/>
          </w:rPr>
          <w:fldChar w:fldCharType="end"/>
        </w:r>
      </w:hyperlink>
    </w:p>
    <w:p w14:paraId="48055B5E" w14:textId="66F75720" w:rsidR="000D0E1A" w:rsidRDefault="00000000">
      <w:pPr>
        <w:pStyle w:val="TableofFigures"/>
        <w:tabs>
          <w:tab w:val="right" w:leader="dot" w:pos="9350"/>
        </w:tabs>
        <w:rPr>
          <w:noProof/>
          <w:kern w:val="2"/>
          <w14:ligatures w14:val="standardContextual"/>
        </w:rPr>
      </w:pPr>
      <w:hyperlink w:anchor="_Toc165201228" w:history="1">
        <w:r w:rsidR="000D0E1A" w:rsidRPr="004A39BB">
          <w:rPr>
            <w:rStyle w:val="Hyperlink"/>
            <w:b/>
            <w:bCs/>
            <w:noProof/>
          </w:rPr>
          <w:t>Figure 9:Western blot with STING expression and STING dimer expression</w:t>
        </w:r>
        <w:r w:rsidR="000D0E1A" w:rsidRPr="004A39BB">
          <w:rPr>
            <w:rStyle w:val="Hyperlink"/>
            <w:noProof/>
          </w:rPr>
          <w:t>. CEB is the cytoplasmic contents, MEB is the membrane bound cellular contents, NEB is the nucleic cellular contents, and Lyso is the lysosomal contents of the cell. LAMP 1, VDAC 1, HDAC 2, and Beta Actin served as control proteins to show that the lysate isolation for each subcellular component was successful. Note: There have been some reports of low expression of HDAC 2 in the cytoplasm, this can be seen by the slight bandage in the CEB lysates [50].</w:t>
        </w:r>
        <w:r w:rsidR="000D0E1A">
          <w:rPr>
            <w:noProof/>
            <w:webHidden/>
          </w:rPr>
          <w:tab/>
        </w:r>
        <w:r w:rsidR="000D0E1A">
          <w:rPr>
            <w:noProof/>
            <w:webHidden/>
          </w:rPr>
          <w:fldChar w:fldCharType="begin"/>
        </w:r>
        <w:r w:rsidR="000D0E1A">
          <w:rPr>
            <w:noProof/>
            <w:webHidden/>
          </w:rPr>
          <w:instrText xml:space="preserve"> PAGEREF _Toc165201228 \h </w:instrText>
        </w:r>
        <w:r w:rsidR="000D0E1A">
          <w:rPr>
            <w:noProof/>
            <w:webHidden/>
          </w:rPr>
        </w:r>
        <w:r w:rsidR="000D0E1A">
          <w:rPr>
            <w:noProof/>
            <w:webHidden/>
          </w:rPr>
          <w:fldChar w:fldCharType="separate"/>
        </w:r>
        <w:r w:rsidR="0021770C">
          <w:rPr>
            <w:noProof/>
            <w:webHidden/>
          </w:rPr>
          <w:t>19</w:t>
        </w:r>
        <w:r w:rsidR="000D0E1A">
          <w:rPr>
            <w:noProof/>
            <w:webHidden/>
          </w:rPr>
          <w:fldChar w:fldCharType="end"/>
        </w:r>
      </w:hyperlink>
    </w:p>
    <w:p w14:paraId="108EEF41" w14:textId="6BCFE2C3" w:rsidR="000D0E1A" w:rsidRDefault="00000000">
      <w:pPr>
        <w:pStyle w:val="TableofFigures"/>
        <w:tabs>
          <w:tab w:val="right" w:leader="dot" w:pos="9350"/>
        </w:tabs>
        <w:rPr>
          <w:noProof/>
          <w:kern w:val="2"/>
          <w14:ligatures w14:val="standardContextual"/>
        </w:rPr>
      </w:pPr>
      <w:hyperlink w:anchor="_Toc165201229" w:history="1">
        <w:r w:rsidR="000D0E1A" w:rsidRPr="004A39BB">
          <w:rPr>
            <w:rStyle w:val="Hyperlink"/>
            <w:b/>
            <w:bCs/>
            <w:noProof/>
          </w:rPr>
          <w:t>Figure 10</w:t>
        </w:r>
        <w:r w:rsidR="000D0E1A" w:rsidRPr="004A39BB">
          <w:rPr>
            <w:rStyle w:val="Hyperlink"/>
            <w:noProof/>
          </w:rPr>
          <w:t xml:space="preserve">: </w:t>
        </w:r>
        <w:r w:rsidR="000D0E1A" w:rsidRPr="004A39BB">
          <w:rPr>
            <w:rStyle w:val="Hyperlink"/>
            <w:b/>
            <w:bCs/>
            <w:noProof/>
          </w:rPr>
          <w:t>Exposure time effects.</w:t>
        </w:r>
        <w:r w:rsidR="000D0E1A" w:rsidRPr="004A39BB">
          <w:rPr>
            <w:rStyle w:val="Hyperlink"/>
            <w:noProof/>
          </w:rPr>
          <w:t xml:space="preserve"> STING dimer from gel two expression variations based on exposure time. NEB is the nucleic cellular contents, and Lyso is the lysosomal contents of the cell. Differences in control group (CTRL) and stimulated group (STIM) are more apparent during ImageJ analysis in the 1s exposure group compared to the 3s exposure group.</w:t>
        </w:r>
        <w:r w:rsidR="000D0E1A">
          <w:rPr>
            <w:noProof/>
            <w:webHidden/>
          </w:rPr>
          <w:tab/>
        </w:r>
        <w:r w:rsidR="000D0E1A">
          <w:rPr>
            <w:noProof/>
            <w:webHidden/>
          </w:rPr>
          <w:fldChar w:fldCharType="begin"/>
        </w:r>
        <w:r w:rsidR="000D0E1A">
          <w:rPr>
            <w:noProof/>
            <w:webHidden/>
          </w:rPr>
          <w:instrText xml:space="preserve"> PAGEREF _Toc165201229 \h </w:instrText>
        </w:r>
        <w:r w:rsidR="000D0E1A">
          <w:rPr>
            <w:noProof/>
            <w:webHidden/>
          </w:rPr>
        </w:r>
        <w:r w:rsidR="000D0E1A">
          <w:rPr>
            <w:noProof/>
            <w:webHidden/>
          </w:rPr>
          <w:fldChar w:fldCharType="separate"/>
        </w:r>
        <w:r w:rsidR="0021770C">
          <w:rPr>
            <w:noProof/>
            <w:webHidden/>
          </w:rPr>
          <w:t>19</w:t>
        </w:r>
        <w:r w:rsidR="000D0E1A">
          <w:rPr>
            <w:noProof/>
            <w:webHidden/>
          </w:rPr>
          <w:fldChar w:fldCharType="end"/>
        </w:r>
      </w:hyperlink>
    </w:p>
    <w:p w14:paraId="567D5CBD" w14:textId="79587C7C" w:rsidR="000D0E1A" w:rsidRDefault="00000000">
      <w:pPr>
        <w:pStyle w:val="TableofFigures"/>
        <w:tabs>
          <w:tab w:val="right" w:leader="dot" w:pos="9350"/>
        </w:tabs>
        <w:rPr>
          <w:noProof/>
          <w:kern w:val="2"/>
          <w14:ligatures w14:val="standardContextual"/>
        </w:rPr>
      </w:pPr>
      <w:hyperlink w:anchor="_Toc165201230" w:history="1">
        <w:r w:rsidR="000D0E1A" w:rsidRPr="004A39BB">
          <w:rPr>
            <w:rStyle w:val="Hyperlink"/>
            <w:b/>
            <w:bCs/>
            <w:noProof/>
          </w:rPr>
          <w:t>Figure 11</w:t>
        </w:r>
        <w:r w:rsidR="000D0E1A" w:rsidRPr="004A39BB">
          <w:rPr>
            <w:rStyle w:val="Hyperlink"/>
            <w:noProof/>
          </w:rPr>
          <w:t xml:space="preserve">: </w:t>
        </w:r>
        <w:r w:rsidR="000D0E1A" w:rsidRPr="004A39BB">
          <w:rPr>
            <w:rStyle w:val="Hyperlink"/>
            <w:b/>
            <w:bCs/>
            <w:noProof/>
          </w:rPr>
          <w:t>STING expression vs exposure time</w:t>
        </w:r>
        <w:r w:rsidR="000D0E1A" w:rsidRPr="004A39BB">
          <w:rPr>
            <w:rStyle w:val="Hyperlink"/>
            <w:noProof/>
          </w:rPr>
          <w:t>. Differences in detected STING expression integrated density dependent on exposure time. Changes in exposure time changes severity of data trends and whether or not significance can be found between experimental groups. Overall exposure effect is shown with changes in significance highlighted below. Significant changes seen in control (unstimulated) group between the 1s and 3s exposure times. GC stimulated band intensity not significantly affected by exposure time differences.</w:t>
        </w:r>
        <w:r w:rsidR="000D0E1A">
          <w:rPr>
            <w:noProof/>
            <w:webHidden/>
          </w:rPr>
          <w:tab/>
        </w:r>
        <w:r w:rsidR="000D0E1A">
          <w:rPr>
            <w:noProof/>
            <w:webHidden/>
          </w:rPr>
          <w:fldChar w:fldCharType="begin"/>
        </w:r>
        <w:r w:rsidR="000D0E1A">
          <w:rPr>
            <w:noProof/>
            <w:webHidden/>
          </w:rPr>
          <w:instrText xml:space="preserve"> PAGEREF _Toc165201230 \h </w:instrText>
        </w:r>
        <w:r w:rsidR="000D0E1A">
          <w:rPr>
            <w:noProof/>
            <w:webHidden/>
          </w:rPr>
        </w:r>
        <w:r w:rsidR="000D0E1A">
          <w:rPr>
            <w:noProof/>
            <w:webHidden/>
          </w:rPr>
          <w:fldChar w:fldCharType="separate"/>
        </w:r>
        <w:r w:rsidR="0021770C">
          <w:rPr>
            <w:noProof/>
            <w:webHidden/>
          </w:rPr>
          <w:t>20</w:t>
        </w:r>
        <w:r w:rsidR="000D0E1A">
          <w:rPr>
            <w:noProof/>
            <w:webHidden/>
          </w:rPr>
          <w:fldChar w:fldCharType="end"/>
        </w:r>
      </w:hyperlink>
    </w:p>
    <w:p w14:paraId="225BAD7B" w14:textId="42FDCE12" w:rsidR="000D0E1A" w:rsidRDefault="00000000">
      <w:pPr>
        <w:pStyle w:val="TableofFigures"/>
        <w:tabs>
          <w:tab w:val="right" w:leader="dot" w:pos="9350"/>
        </w:tabs>
        <w:rPr>
          <w:noProof/>
          <w:kern w:val="2"/>
          <w14:ligatures w14:val="standardContextual"/>
        </w:rPr>
      </w:pPr>
      <w:hyperlink w:anchor="_Toc165201231" w:history="1">
        <w:r w:rsidR="000D0E1A" w:rsidRPr="004A39BB">
          <w:rPr>
            <w:rStyle w:val="Hyperlink"/>
            <w:b/>
            <w:bCs/>
            <w:noProof/>
          </w:rPr>
          <w:t xml:space="preserve">Figure 12: Western Blotting Lysosomal Isolate Integrated Intensities. </w:t>
        </w:r>
        <w:r w:rsidR="000D0E1A" w:rsidRPr="004A39BB">
          <w:rPr>
            <w:rStyle w:val="Hyperlink"/>
            <w:noProof/>
          </w:rPr>
          <w:t>The control group received no GC stimulation and the stimulated group received 8</w:t>
        </w:r>
        <w:r w:rsidR="000D0E1A" w:rsidRPr="004A39BB">
          <w:rPr>
            <w:rStyle w:val="Hyperlink"/>
            <w:rFonts w:ascii="Calibri" w:hAnsi="Calibri" w:cs="Calibri"/>
            <w:noProof/>
          </w:rPr>
          <w:t>µ</w:t>
        </w:r>
        <w:r w:rsidR="000D0E1A" w:rsidRPr="004A39BB">
          <w:rPr>
            <w:rStyle w:val="Hyperlink"/>
            <w:noProof/>
          </w:rPr>
          <w:t>g/mL of GC for 10 hours prior to sample collection for western blotting. A general trend can be seen here of increased STING presence in the lysosome following stimulation.</w:t>
        </w:r>
        <w:r w:rsidR="000D0E1A">
          <w:rPr>
            <w:noProof/>
            <w:webHidden/>
          </w:rPr>
          <w:tab/>
        </w:r>
        <w:r w:rsidR="000D0E1A">
          <w:rPr>
            <w:noProof/>
            <w:webHidden/>
          </w:rPr>
          <w:fldChar w:fldCharType="begin"/>
        </w:r>
        <w:r w:rsidR="000D0E1A">
          <w:rPr>
            <w:noProof/>
            <w:webHidden/>
          </w:rPr>
          <w:instrText xml:space="preserve"> PAGEREF _Toc165201231 \h </w:instrText>
        </w:r>
        <w:r w:rsidR="000D0E1A">
          <w:rPr>
            <w:noProof/>
            <w:webHidden/>
          </w:rPr>
        </w:r>
        <w:r w:rsidR="000D0E1A">
          <w:rPr>
            <w:noProof/>
            <w:webHidden/>
          </w:rPr>
          <w:fldChar w:fldCharType="separate"/>
        </w:r>
        <w:r w:rsidR="0021770C">
          <w:rPr>
            <w:noProof/>
            <w:webHidden/>
          </w:rPr>
          <w:t>21</w:t>
        </w:r>
        <w:r w:rsidR="000D0E1A">
          <w:rPr>
            <w:noProof/>
            <w:webHidden/>
          </w:rPr>
          <w:fldChar w:fldCharType="end"/>
        </w:r>
      </w:hyperlink>
    </w:p>
    <w:p w14:paraId="321B13F6" w14:textId="697EA513" w:rsidR="000D0E1A" w:rsidRDefault="00000000">
      <w:pPr>
        <w:pStyle w:val="TableofFigures"/>
        <w:tabs>
          <w:tab w:val="right" w:leader="dot" w:pos="9350"/>
        </w:tabs>
        <w:rPr>
          <w:noProof/>
          <w:kern w:val="2"/>
          <w14:ligatures w14:val="standardContextual"/>
        </w:rPr>
      </w:pPr>
      <w:hyperlink w:anchor="_Toc165201232" w:history="1">
        <w:r w:rsidR="000D0E1A" w:rsidRPr="004A39BB">
          <w:rPr>
            <w:rStyle w:val="Hyperlink"/>
            <w:b/>
            <w:bCs/>
            <w:noProof/>
          </w:rPr>
          <w:t>Figure 13: IF procedure on BMDC</w:t>
        </w:r>
        <w:r w:rsidR="000D0E1A" w:rsidRPr="004A39BB">
          <w:rPr>
            <w:rStyle w:val="Hyperlink"/>
            <w:noProof/>
          </w:rPr>
          <w:t>. Overview of the IF procedure for sample loading, BMDCs for plating, and plate setup for GC-FITC stimulation. Coverslips were prepped and placed in a 12 well plate. Cells were derived through hind leg extraction, retrieval on bone marrow, and plating in petri dishes. Cells were differentiated to BMDC through the addition of GM-CSF. BMDC were plated in the prepared well plates and then stimulated with GC-FITC at concentrations 0</w:t>
        </w:r>
        <w:r w:rsidR="000D0E1A" w:rsidRPr="004A39BB">
          <w:rPr>
            <w:rStyle w:val="Hyperlink"/>
            <w:noProof/>
            <w:sz w:val="20"/>
            <w:szCs w:val="20"/>
          </w:rPr>
          <w:sym w:font="Symbol" w:char="F06D"/>
        </w:r>
        <w:r w:rsidR="000D0E1A" w:rsidRPr="004A39BB">
          <w:rPr>
            <w:rStyle w:val="Hyperlink"/>
            <w:noProof/>
          </w:rPr>
          <w:t>g/mL, 4</w:t>
        </w:r>
        <w:r w:rsidR="000D0E1A" w:rsidRPr="004A39BB">
          <w:rPr>
            <w:rStyle w:val="Hyperlink"/>
            <w:noProof/>
            <w:sz w:val="20"/>
            <w:szCs w:val="20"/>
          </w:rPr>
          <w:sym w:font="Symbol" w:char="F06D"/>
        </w:r>
        <w:r w:rsidR="000D0E1A" w:rsidRPr="004A39BB">
          <w:rPr>
            <w:rStyle w:val="Hyperlink"/>
            <w:noProof/>
          </w:rPr>
          <w:t>g/mL, and 8</w:t>
        </w:r>
        <w:r w:rsidR="000D0E1A" w:rsidRPr="004A39BB">
          <w:rPr>
            <w:rStyle w:val="Hyperlink"/>
            <w:noProof/>
            <w:sz w:val="20"/>
            <w:szCs w:val="20"/>
          </w:rPr>
          <w:sym w:font="Symbol" w:char="F06D"/>
        </w:r>
        <w:r w:rsidR="000D0E1A" w:rsidRPr="004A39BB">
          <w:rPr>
            <w:rStyle w:val="Hyperlink"/>
            <w:noProof/>
          </w:rPr>
          <w:t>g/mL. Post staining samples were stained with WGA, STING-AF555, and LAMP1-Cy5 then imaged.</w:t>
        </w:r>
        <w:r w:rsidR="000D0E1A">
          <w:rPr>
            <w:noProof/>
            <w:webHidden/>
          </w:rPr>
          <w:tab/>
        </w:r>
        <w:r w:rsidR="000D0E1A">
          <w:rPr>
            <w:noProof/>
            <w:webHidden/>
          </w:rPr>
          <w:fldChar w:fldCharType="begin"/>
        </w:r>
        <w:r w:rsidR="000D0E1A">
          <w:rPr>
            <w:noProof/>
            <w:webHidden/>
          </w:rPr>
          <w:instrText xml:space="preserve"> PAGEREF _Toc165201232 \h </w:instrText>
        </w:r>
        <w:r w:rsidR="000D0E1A">
          <w:rPr>
            <w:noProof/>
            <w:webHidden/>
          </w:rPr>
        </w:r>
        <w:r w:rsidR="000D0E1A">
          <w:rPr>
            <w:noProof/>
            <w:webHidden/>
          </w:rPr>
          <w:fldChar w:fldCharType="separate"/>
        </w:r>
        <w:r w:rsidR="0021770C">
          <w:rPr>
            <w:noProof/>
            <w:webHidden/>
          </w:rPr>
          <w:t>23</w:t>
        </w:r>
        <w:r w:rsidR="000D0E1A">
          <w:rPr>
            <w:noProof/>
            <w:webHidden/>
          </w:rPr>
          <w:fldChar w:fldCharType="end"/>
        </w:r>
      </w:hyperlink>
    </w:p>
    <w:p w14:paraId="53D99AC2" w14:textId="35EDC626" w:rsidR="000D0E1A" w:rsidRDefault="00000000">
      <w:pPr>
        <w:pStyle w:val="TableofFigures"/>
        <w:tabs>
          <w:tab w:val="right" w:leader="dot" w:pos="9350"/>
        </w:tabs>
        <w:rPr>
          <w:noProof/>
          <w:kern w:val="2"/>
          <w14:ligatures w14:val="standardContextual"/>
        </w:rPr>
      </w:pPr>
      <w:hyperlink w:anchor="_Toc165201233" w:history="1">
        <w:r w:rsidR="000D0E1A" w:rsidRPr="004A39BB">
          <w:rPr>
            <w:rStyle w:val="Hyperlink"/>
            <w:b/>
            <w:bCs/>
            <w:noProof/>
          </w:rPr>
          <w:t>Figure 14:</w:t>
        </w:r>
        <w:r w:rsidR="000D0E1A" w:rsidRPr="004A39BB">
          <w:rPr>
            <w:rStyle w:val="Hyperlink"/>
            <w:noProof/>
          </w:rPr>
          <w:t xml:space="preserve"> </w:t>
        </w:r>
        <w:r w:rsidR="000D0E1A" w:rsidRPr="004A39BB">
          <w:rPr>
            <w:rStyle w:val="Hyperlink"/>
            <w:b/>
            <w:bCs/>
            <w:noProof/>
          </w:rPr>
          <w:t>Setup of the Airy disk and Airyscan detector</w:t>
        </w:r>
        <w:r w:rsidR="000D0E1A" w:rsidRPr="004A39BB">
          <w:rPr>
            <w:rStyle w:val="Hyperlink"/>
            <w:noProof/>
          </w:rPr>
          <w:t>. Each component of the Airyscan setup is shown with the mirror (1), emission filter (2), zoom optics (3), Airy disk (4), and Airyscan detector (5). Shows the 32 honeycomb disk arrangement. Figure reproduced from Huff with copyright permission [55].</w:t>
        </w:r>
        <w:r w:rsidR="000D0E1A">
          <w:rPr>
            <w:noProof/>
            <w:webHidden/>
          </w:rPr>
          <w:tab/>
        </w:r>
        <w:r w:rsidR="000D0E1A">
          <w:rPr>
            <w:noProof/>
            <w:webHidden/>
          </w:rPr>
          <w:fldChar w:fldCharType="begin"/>
        </w:r>
        <w:r w:rsidR="000D0E1A">
          <w:rPr>
            <w:noProof/>
            <w:webHidden/>
          </w:rPr>
          <w:instrText xml:space="preserve"> PAGEREF _Toc165201233 \h </w:instrText>
        </w:r>
        <w:r w:rsidR="000D0E1A">
          <w:rPr>
            <w:noProof/>
            <w:webHidden/>
          </w:rPr>
        </w:r>
        <w:r w:rsidR="000D0E1A">
          <w:rPr>
            <w:noProof/>
            <w:webHidden/>
          </w:rPr>
          <w:fldChar w:fldCharType="separate"/>
        </w:r>
        <w:r w:rsidR="0021770C">
          <w:rPr>
            <w:noProof/>
            <w:webHidden/>
          </w:rPr>
          <w:t>24</w:t>
        </w:r>
        <w:r w:rsidR="000D0E1A">
          <w:rPr>
            <w:noProof/>
            <w:webHidden/>
          </w:rPr>
          <w:fldChar w:fldCharType="end"/>
        </w:r>
      </w:hyperlink>
    </w:p>
    <w:p w14:paraId="5E12EEE0" w14:textId="4F009980" w:rsidR="000D0E1A" w:rsidRDefault="00000000">
      <w:pPr>
        <w:pStyle w:val="TableofFigures"/>
        <w:tabs>
          <w:tab w:val="right" w:leader="dot" w:pos="9350"/>
        </w:tabs>
        <w:rPr>
          <w:noProof/>
          <w:kern w:val="2"/>
          <w14:ligatures w14:val="standardContextual"/>
        </w:rPr>
      </w:pPr>
      <w:hyperlink w:anchor="_Toc165201234" w:history="1">
        <w:r w:rsidR="000D0E1A" w:rsidRPr="004A39BB">
          <w:rPr>
            <w:rStyle w:val="Hyperlink"/>
            <w:b/>
            <w:bCs/>
            <w:noProof/>
          </w:rPr>
          <w:t>Figure 15</w:t>
        </w:r>
        <w:r w:rsidR="000D0E1A" w:rsidRPr="004A39BB">
          <w:rPr>
            <w:rStyle w:val="Hyperlink"/>
            <w:noProof/>
          </w:rPr>
          <w:t xml:space="preserve">: </w:t>
        </w:r>
        <w:r w:rsidR="000D0E1A" w:rsidRPr="004A39BB">
          <w:rPr>
            <w:rStyle w:val="Hyperlink"/>
            <w:b/>
            <w:bCs/>
            <w:noProof/>
          </w:rPr>
          <w:t>Emission wavelengths of stains used in IF procedures</w:t>
        </w:r>
        <w:r w:rsidR="000D0E1A" w:rsidRPr="004A39BB">
          <w:rPr>
            <w:rStyle w:val="Hyperlink"/>
            <w:noProof/>
          </w:rPr>
          <w:t>. Excitation and emission wavelengths of WGA 405, GC-FITC, STING-AF55, and LAMP 1-Cy5.</w:t>
        </w:r>
        <w:r w:rsidR="000D0E1A">
          <w:rPr>
            <w:noProof/>
            <w:webHidden/>
          </w:rPr>
          <w:tab/>
        </w:r>
        <w:r w:rsidR="000D0E1A">
          <w:rPr>
            <w:noProof/>
            <w:webHidden/>
          </w:rPr>
          <w:fldChar w:fldCharType="begin"/>
        </w:r>
        <w:r w:rsidR="000D0E1A">
          <w:rPr>
            <w:noProof/>
            <w:webHidden/>
          </w:rPr>
          <w:instrText xml:space="preserve"> PAGEREF _Toc165201234 \h </w:instrText>
        </w:r>
        <w:r w:rsidR="000D0E1A">
          <w:rPr>
            <w:noProof/>
            <w:webHidden/>
          </w:rPr>
        </w:r>
        <w:r w:rsidR="000D0E1A">
          <w:rPr>
            <w:noProof/>
            <w:webHidden/>
          </w:rPr>
          <w:fldChar w:fldCharType="separate"/>
        </w:r>
        <w:r w:rsidR="0021770C">
          <w:rPr>
            <w:noProof/>
            <w:webHidden/>
          </w:rPr>
          <w:t>24</w:t>
        </w:r>
        <w:r w:rsidR="000D0E1A">
          <w:rPr>
            <w:noProof/>
            <w:webHidden/>
          </w:rPr>
          <w:fldChar w:fldCharType="end"/>
        </w:r>
      </w:hyperlink>
    </w:p>
    <w:p w14:paraId="1762DE85" w14:textId="56D29ED8" w:rsidR="000D0E1A" w:rsidRDefault="00000000">
      <w:pPr>
        <w:pStyle w:val="TableofFigures"/>
        <w:tabs>
          <w:tab w:val="right" w:leader="dot" w:pos="9350"/>
        </w:tabs>
        <w:rPr>
          <w:noProof/>
          <w:kern w:val="2"/>
          <w14:ligatures w14:val="standardContextual"/>
        </w:rPr>
      </w:pPr>
      <w:hyperlink w:anchor="_Toc165201235" w:history="1">
        <w:r w:rsidR="000D0E1A" w:rsidRPr="004A39BB">
          <w:rPr>
            <w:rStyle w:val="Hyperlink"/>
            <w:b/>
            <w:bCs/>
            <w:noProof/>
          </w:rPr>
          <w:t>Figure 16:</w:t>
        </w:r>
        <w:r w:rsidR="000D0E1A" w:rsidRPr="004A39BB">
          <w:rPr>
            <w:rStyle w:val="Hyperlink"/>
            <w:noProof/>
          </w:rPr>
          <w:t xml:space="preserve"> </w:t>
        </w:r>
        <w:r w:rsidR="000D0E1A" w:rsidRPr="004A39BB">
          <w:rPr>
            <w:rStyle w:val="Hyperlink"/>
            <w:b/>
            <w:bCs/>
            <w:noProof/>
          </w:rPr>
          <w:t>Airyscan images of BMDC stimulated with GC-FITC</w:t>
        </w:r>
        <w:r w:rsidR="000D0E1A" w:rsidRPr="004A39BB">
          <w:rPr>
            <w:rStyle w:val="Hyperlink"/>
            <w:noProof/>
          </w:rPr>
          <w:t>. Post fix staining tagging STING protein and LAMP-1. Overlay shows GC-FITC, STING, and LAMP 1 overlap. WGA (wheat germ agglutinin) was used to locate cells and identify cell margins. Cellular swelling can be seen in cells stimulated with GC-FITC. Arrows highlight swollen vesicles within the cells.</w:t>
        </w:r>
        <w:r w:rsidR="000D0E1A">
          <w:rPr>
            <w:noProof/>
            <w:webHidden/>
          </w:rPr>
          <w:tab/>
        </w:r>
        <w:r w:rsidR="000D0E1A">
          <w:rPr>
            <w:noProof/>
            <w:webHidden/>
          </w:rPr>
          <w:fldChar w:fldCharType="begin"/>
        </w:r>
        <w:r w:rsidR="000D0E1A">
          <w:rPr>
            <w:noProof/>
            <w:webHidden/>
          </w:rPr>
          <w:instrText xml:space="preserve"> PAGEREF _Toc165201235 \h </w:instrText>
        </w:r>
        <w:r w:rsidR="000D0E1A">
          <w:rPr>
            <w:noProof/>
            <w:webHidden/>
          </w:rPr>
        </w:r>
        <w:r w:rsidR="000D0E1A">
          <w:rPr>
            <w:noProof/>
            <w:webHidden/>
          </w:rPr>
          <w:fldChar w:fldCharType="separate"/>
        </w:r>
        <w:r w:rsidR="0021770C">
          <w:rPr>
            <w:noProof/>
            <w:webHidden/>
          </w:rPr>
          <w:t>25</w:t>
        </w:r>
        <w:r w:rsidR="000D0E1A">
          <w:rPr>
            <w:noProof/>
            <w:webHidden/>
          </w:rPr>
          <w:fldChar w:fldCharType="end"/>
        </w:r>
      </w:hyperlink>
    </w:p>
    <w:p w14:paraId="46FF514F" w14:textId="3F976ED1" w:rsidR="000D0E1A" w:rsidRDefault="00000000">
      <w:pPr>
        <w:pStyle w:val="TableofFigures"/>
        <w:tabs>
          <w:tab w:val="right" w:leader="dot" w:pos="9350"/>
        </w:tabs>
        <w:rPr>
          <w:noProof/>
          <w:kern w:val="2"/>
          <w14:ligatures w14:val="standardContextual"/>
        </w:rPr>
      </w:pPr>
      <w:hyperlink w:anchor="_Toc165201236" w:history="1">
        <w:r w:rsidR="000D0E1A" w:rsidRPr="004A39BB">
          <w:rPr>
            <w:rStyle w:val="Hyperlink"/>
            <w:b/>
            <w:bCs/>
            <w:noProof/>
          </w:rPr>
          <w:t>Figure 17</w:t>
        </w:r>
        <w:r w:rsidR="000D0E1A" w:rsidRPr="004A39BB">
          <w:rPr>
            <w:rStyle w:val="Hyperlink"/>
            <w:noProof/>
          </w:rPr>
          <w:t xml:space="preserve">: </w:t>
        </w:r>
        <w:r w:rsidR="000D0E1A" w:rsidRPr="004A39BB">
          <w:rPr>
            <w:rStyle w:val="Hyperlink"/>
            <w:b/>
            <w:bCs/>
            <w:noProof/>
          </w:rPr>
          <w:t>Regions of interest (ROIs) showing more detail of GC-STING interactions</w:t>
        </w:r>
        <w:r w:rsidR="000D0E1A" w:rsidRPr="004A39BB">
          <w:rPr>
            <w:rStyle w:val="Hyperlink"/>
            <w:noProof/>
          </w:rPr>
          <w:t>. STING is tagged with AF555 in red, GC is tagged with FITC in green, and LAMP 1 is tagged with Cy5 in magenta. LAAMP 1 is presumably showing lysosomal presence. Cellular swelling can be better visualized where presence of GC can be seen within some of these vesicles. Arrows highlight the swollen vesicles within the cells.</w:t>
        </w:r>
        <w:r w:rsidR="000D0E1A">
          <w:rPr>
            <w:noProof/>
            <w:webHidden/>
          </w:rPr>
          <w:tab/>
        </w:r>
        <w:r w:rsidR="000D0E1A">
          <w:rPr>
            <w:noProof/>
            <w:webHidden/>
          </w:rPr>
          <w:fldChar w:fldCharType="begin"/>
        </w:r>
        <w:r w:rsidR="000D0E1A">
          <w:rPr>
            <w:noProof/>
            <w:webHidden/>
          </w:rPr>
          <w:instrText xml:space="preserve"> PAGEREF _Toc165201236 \h </w:instrText>
        </w:r>
        <w:r w:rsidR="000D0E1A">
          <w:rPr>
            <w:noProof/>
            <w:webHidden/>
          </w:rPr>
        </w:r>
        <w:r w:rsidR="000D0E1A">
          <w:rPr>
            <w:noProof/>
            <w:webHidden/>
          </w:rPr>
          <w:fldChar w:fldCharType="separate"/>
        </w:r>
        <w:r w:rsidR="0021770C">
          <w:rPr>
            <w:noProof/>
            <w:webHidden/>
          </w:rPr>
          <w:t>26</w:t>
        </w:r>
        <w:r w:rsidR="000D0E1A">
          <w:rPr>
            <w:noProof/>
            <w:webHidden/>
          </w:rPr>
          <w:fldChar w:fldCharType="end"/>
        </w:r>
      </w:hyperlink>
    </w:p>
    <w:p w14:paraId="4BDF17FE" w14:textId="536B7C9E" w:rsidR="000D0E1A" w:rsidRDefault="00000000">
      <w:pPr>
        <w:pStyle w:val="TableofFigures"/>
        <w:tabs>
          <w:tab w:val="right" w:leader="dot" w:pos="9350"/>
        </w:tabs>
        <w:rPr>
          <w:noProof/>
          <w:kern w:val="2"/>
          <w14:ligatures w14:val="standardContextual"/>
        </w:rPr>
      </w:pPr>
      <w:hyperlink w:anchor="_Toc165201237" w:history="1">
        <w:r w:rsidR="000D0E1A" w:rsidRPr="004A39BB">
          <w:rPr>
            <w:rStyle w:val="Hyperlink"/>
            <w:b/>
            <w:bCs/>
            <w:noProof/>
          </w:rPr>
          <w:t>Figure 18</w:t>
        </w:r>
        <w:r w:rsidR="000D0E1A" w:rsidRPr="004A39BB">
          <w:rPr>
            <w:rStyle w:val="Hyperlink"/>
            <w:noProof/>
          </w:rPr>
          <w:t xml:space="preserve">: </w:t>
        </w:r>
        <w:r w:rsidR="000D0E1A" w:rsidRPr="004A39BB">
          <w:rPr>
            <w:rStyle w:val="Hyperlink"/>
            <w:b/>
            <w:bCs/>
            <w:noProof/>
          </w:rPr>
          <w:t xml:space="preserve">Particle Analysis Procedures. </w:t>
        </w:r>
        <w:r w:rsidR="000D0E1A" w:rsidRPr="004A39BB">
          <w:rPr>
            <w:rStyle w:val="Hyperlink"/>
            <w:noProof/>
          </w:rPr>
          <w:t>Shows the intermediate images resulting in particle overlap analysis between GC-FITC and STING. The images show how particles were detected by the imageJ program. Thresholding serves to isolate the particles based on intensities (left panels), and the particle analysis map (right panel) served to count the particles present in each channel. The FITC channel analysis provided a threshold value for STING particle mapping. Intensities recorded above this threshold indicated particle overlap.</w:t>
        </w:r>
        <w:r w:rsidR="000D0E1A">
          <w:rPr>
            <w:noProof/>
            <w:webHidden/>
          </w:rPr>
          <w:tab/>
        </w:r>
        <w:r w:rsidR="000D0E1A">
          <w:rPr>
            <w:noProof/>
            <w:webHidden/>
          </w:rPr>
          <w:fldChar w:fldCharType="begin"/>
        </w:r>
        <w:r w:rsidR="000D0E1A">
          <w:rPr>
            <w:noProof/>
            <w:webHidden/>
          </w:rPr>
          <w:instrText xml:space="preserve"> PAGEREF _Toc165201237 \h </w:instrText>
        </w:r>
        <w:r w:rsidR="000D0E1A">
          <w:rPr>
            <w:noProof/>
            <w:webHidden/>
          </w:rPr>
        </w:r>
        <w:r w:rsidR="000D0E1A">
          <w:rPr>
            <w:noProof/>
            <w:webHidden/>
          </w:rPr>
          <w:fldChar w:fldCharType="separate"/>
        </w:r>
        <w:r w:rsidR="0021770C">
          <w:rPr>
            <w:noProof/>
            <w:webHidden/>
          </w:rPr>
          <w:t>27</w:t>
        </w:r>
        <w:r w:rsidR="000D0E1A">
          <w:rPr>
            <w:noProof/>
            <w:webHidden/>
          </w:rPr>
          <w:fldChar w:fldCharType="end"/>
        </w:r>
      </w:hyperlink>
    </w:p>
    <w:p w14:paraId="48A85260" w14:textId="42AE4D50" w:rsidR="000D0E1A" w:rsidRDefault="00000000">
      <w:pPr>
        <w:pStyle w:val="TableofFigures"/>
        <w:tabs>
          <w:tab w:val="right" w:leader="dot" w:pos="9350"/>
        </w:tabs>
        <w:rPr>
          <w:noProof/>
          <w:kern w:val="2"/>
          <w14:ligatures w14:val="standardContextual"/>
        </w:rPr>
      </w:pPr>
      <w:hyperlink w:anchor="_Toc165201238" w:history="1">
        <w:r w:rsidR="000D0E1A" w:rsidRPr="004A39BB">
          <w:rPr>
            <w:rStyle w:val="Hyperlink"/>
            <w:b/>
            <w:bCs/>
            <w:noProof/>
          </w:rPr>
          <w:t>Figure 19:</w:t>
        </w:r>
        <w:r w:rsidR="000D0E1A" w:rsidRPr="004A39BB">
          <w:rPr>
            <w:rStyle w:val="Hyperlink"/>
            <w:noProof/>
          </w:rPr>
          <w:t xml:space="preserve"> </w:t>
        </w:r>
        <w:r w:rsidR="000D0E1A" w:rsidRPr="004A39BB">
          <w:rPr>
            <w:rStyle w:val="Hyperlink"/>
            <w:b/>
            <w:bCs/>
            <w:noProof/>
          </w:rPr>
          <w:t>Lysosomal gene heatmapping</w:t>
        </w:r>
        <w:r w:rsidR="000D0E1A" w:rsidRPr="004A39BB">
          <w:rPr>
            <w:rStyle w:val="Hyperlink"/>
            <w:noProof/>
          </w:rPr>
          <w:t>. Heatmaps illustrating activity of lysosomal and cell death-associated genes in relation to STING pathway activity. In panel A, genes expression associated with cell death and lysosomal death is presented. In panel B, genes upregulated by GC stimulation correlating to STING pathway activity can be seen. Both the heatmaps in panels A and B show both STING knockout (KO) and wild type (WT) genotype groups with conditions of unstimulated (unstim) and GC stimulated (GC). The expression levels of this genes can be seen with dark red illustrating upregulation and dark blue illustrating downregulation.</w:t>
        </w:r>
        <w:r w:rsidR="000D0E1A">
          <w:rPr>
            <w:noProof/>
            <w:webHidden/>
          </w:rPr>
          <w:tab/>
        </w:r>
        <w:r w:rsidR="000D0E1A">
          <w:rPr>
            <w:noProof/>
            <w:webHidden/>
          </w:rPr>
          <w:fldChar w:fldCharType="begin"/>
        </w:r>
        <w:r w:rsidR="000D0E1A">
          <w:rPr>
            <w:noProof/>
            <w:webHidden/>
          </w:rPr>
          <w:instrText xml:space="preserve"> PAGEREF _Toc165201238 \h </w:instrText>
        </w:r>
        <w:r w:rsidR="000D0E1A">
          <w:rPr>
            <w:noProof/>
            <w:webHidden/>
          </w:rPr>
        </w:r>
        <w:r w:rsidR="000D0E1A">
          <w:rPr>
            <w:noProof/>
            <w:webHidden/>
          </w:rPr>
          <w:fldChar w:fldCharType="separate"/>
        </w:r>
        <w:r w:rsidR="0021770C">
          <w:rPr>
            <w:noProof/>
            <w:webHidden/>
          </w:rPr>
          <w:t>30</w:t>
        </w:r>
        <w:r w:rsidR="000D0E1A">
          <w:rPr>
            <w:noProof/>
            <w:webHidden/>
          </w:rPr>
          <w:fldChar w:fldCharType="end"/>
        </w:r>
      </w:hyperlink>
    </w:p>
    <w:p w14:paraId="7C6D0450" w14:textId="203C5C20" w:rsidR="000D0E1A" w:rsidRDefault="00000000">
      <w:pPr>
        <w:pStyle w:val="TableofFigures"/>
        <w:tabs>
          <w:tab w:val="right" w:leader="dot" w:pos="9350"/>
        </w:tabs>
        <w:rPr>
          <w:noProof/>
          <w:kern w:val="2"/>
          <w14:ligatures w14:val="standardContextual"/>
        </w:rPr>
      </w:pPr>
      <w:hyperlink w:anchor="_Toc165201239" w:history="1">
        <w:r w:rsidR="000D0E1A" w:rsidRPr="004A39BB">
          <w:rPr>
            <w:rStyle w:val="Hyperlink"/>
            <w:b/>
            <w:bCs/>
            <w:noProof/>
          </w:rPr>
          <w:t>Figure 20</w:t>
        </w:r>
        <w:r w:rsidR="000D0E1A" w:rsidRPr="004A39BB">
          <w:rPr>
            <w:rStyle w:val="Hyperlink"/>
            <w:noProof/>
          </w:rPr>
          <w:t xml:space="preserve">: </w:t>
        </w:r>
        <w:r w:rsidR="000D0E1A" w:rsidRPr="004A39BB">
          <w:rPr>
            <w:rStyle w:val="Hyperlink"/>
            <w:b/>
            <w:bCs/>
            <w:noProof/>
          </w:rPr>
          <w:t>NLRP3 pathway heatmapping</w:t>
        </w:r>
        <w:r w:rsidR="000D0E1A" w:rsidRPr="004A39BB">
          <w:rPr>
            <w:rStyle w:val="Hyperlink"/>
            <w:noProof/>
          </w:rPr>
          <w:t>. Heatmap illustrating genes known to be associated with the NLRP3 pathway. The data presented includes both STING knockout (KO) and wild type (WT) genotype groups with conditions of unstimulated (unstim) and GC stimulated (GC). The expression levels of this genes can be seen with dark red illustrating upregulation and dark blue illustrating downregulation.</w:t>
        </w:r>
        <w:r w:rsidR="000D0E1A">
          <w:rPr>
            <w:noProof/>
            <w:webHidden/>
          </w:rPr>
          <w:tab/>
        </w:r>
        <w:r w:rsidR="000D0E1A">
          <w:rPr>
            <w:noProof/>
            <w:webHidden/>
          </w:rPr>
          <w:fldChar w:fldCharType="begin"/>
        </w:r>
        <w:r w:rsidR="000D0E1A">
          <w:rPr>
            <w:noProof/>
            <w:webHidden/>
          </w:rPr>
          <w:instrText xml:space="preserve"> PAGEREF _Toc165201239 \h </w:instrText>
        </w:r>
        <w:r w:rsidR="000D0E1A">
          <w:rPr>
            <w:noProof/>
            <w:webHidden/>
          </w:rPr>
        </w:r>
        <w:r w:rsidR="000D0E1A">
          <w:rPr>
            <w:noProof/>
            <w:webHidden/>
          </w:rPr>
          <w:fldChar w:fldCharType="separate"/>
        </w:r>
        <w:r w:rsidR="0021770C">
          <w:rPr>
            <w:noProof/>
            <w:webHidden/>
          </w:rPr>
          <w:t>31</w:t>
        </w:r>
        <w:r w:rsidR="000D0E1A">
          <w:rPr>
            <w:noProof/>
            <w:webHidden/>
          </w:rPr>
          <w:fldChar w:fldCharType="end"/>
        </w:r>
      </w:hyperlink>
    </w:p>
    <w:p w14:paraId="7D4B704A" w14:textId="10226D41" w:rsidR="000D0E1A" w:rsidRDefault="00000000">
      <w:pPr>
        <w:pStyle w:val="TableofFigures"/>
        <w:tabs>
          <w:tab w:val="right" w:leader="dot" w:pos="9350"/>
        </w:tabs>
        <w:rPr>
          <w:noProof/>
          <w:kern w:val="2"/>
          <w14:ligatures w14:val="standardContextual"/>
        </w:rPr>
      </w:pPr>
      <w:hyperlink w:anchor="_Toc165201240" w:history="1">
        <w:r w:rsidR="000D0E1A" w:rsidRPr="004A39BB">
          <w:rPr>
            <w:rStyle w:val="Hyperlink"/>
            <w:b/>
            <w:bCs/>
            <w:noProof/>
          </w:rPr>
          <w:t xml:space="preserve">Figure 21: Western blot illustrating STING KO cell lines. </w:t>
        </w:r>
        <w:r w:rsidR="000D0E1A" w:rsidRPr="004A39BB">
          <w:rPr>
            <w:rStyle w:val="Hyperlink"/>
            <w:noProof/>
          </w:rPr>
          <w:t>LV Cas9 sgLacZ shows expression of STING in a cell line that underwent CRISPR/Cas9 editing without targeting the STING sequencing. LV Cas9 SgSTING1 #1-3 show STING expression in cell lines that underwent CRISPR/Cas9 targeting 3 variations of STING. Histone 3 serves as a control for protein loading, STING 1 shows protein expression, and Cas9 illustrates success of the CRISPR/Cas9 procedures.</w:t>
        </w:r>
        <w:r w:rsidR="000D0E1A">
          <w:rPr>
            <w:noProof/>
            <w:webHidden/>
          </w:rPr>
          <w:tab/>
        </w:r>
        <w:r w:rsidR="000D0E1A">
          <w:rPr>
            <w:noProof/>
            <w:webHidden/>
          </w:rPr>
          <w:fldChar w:fldCharType="begin"/>
        </w:r>
        <w:r w:rsidR="000D0E1A">
          <w:rPr>
            <w:noProof/>
            <w:webHidden/>
          </w:rPr>
          <w:instrText xml:space="preserve"> PAGEREF _Toc165201240 \h </w:instrText>
        </w:r>
        <w:r w:rsidR="000D0E1A">
          <w:rPr>
            <w:noProof/>
            <w:webHidden/>
          </w:rPr>
        </w:r>
        <w:r w:rsidR="000D0E1A">
          <w:rPr>
            <w:noProof/>
            <w:webHidden/>
          </w:rPr>
          <w:fldChar w:fldCharType="separate"/>
        </w:r>
        <w:r w:rsidR="0021770C">
          <w:rPr>
            <w:noProof/>
            <w:webHidden/>
          </w:rPr>
          <w:t>44</w:t>
        </w:r>
        <w:r w:rsidR="000D0E1A">
          <w:rPr>
            <w:noProof/>
            <w:webHidden/>
          </w:rPr>
          <w:fldChar w:fldCharType="end"/>
        </w:r>
      </w:hyperlink>
    </w:p>
    <w:p w14:paraId="521FB10E" w14:textId="2FBD232F" w:rsidR="000D0E1A" w:rsidRDefault="00000000">
      <w:pPr>
        <w:pStyle w:val="TableofFigures"/>
        <w:tabs>
          <w:tab w:val="right" w:leader="dot" w:pos="9350"/>
        </w:tabs>
        <w:rPr>
          <w:noProof/>
          <w:kern w:val="2"/>
          <w14:ligatures w14:val="standardContextual"/>
        </w:rPr>
      </w:pPr>
      <w:hyperlink w:anchor="_Toc165201241" w:history="1">
        <w:r w:rsidR="000D0E1A" w:rsidRPr="004A39BB">
          <w:rPr>
            <w:rStyle w:val="Hyperlink"/>
            <w:b/>
            <w:bCs/>
            <w:noProof/>
          </w:rPr>
          <w:t>Figure 22: First iteration of IL-1</w:t>
        </w:r>
        <w:r w:rsidR="000D0E1A" w:rsidRPr="004A39BB">
          <w:rPr>
            <w:rStyle w:val="Hyperlink"/>
            <w:b/>
            <w:bCs/>
            <w:noProof/>
            <w:sz w:val="20"/>
            <w:szCs w:val="20"/>
          </w:rPr>
          <w:sym w:font="Symbol" w:char="F062"/>
        </w:r>
        <w:r w:rsidR="000D0E1A" w:rsidRPr="004A39BB">
          <w:rPr>
            <w:rStyle w:val="Hyperlink"/>
            <w:b/>
            <w:bCs/>
            <w:noProof/>
          </w:rPr>
          <w:t xml:space="preserve"> ELISA. </w:t>
        </w:r>
        <w:r w:rsidR="000D0E1A" w:rsidRPr="004A39BB">
          <w:rPr>
            <w:rStyle w:val="Hyperlink"/>
            <w:noProof/>
          </w:rPr>
          <w:t>Four different cell lines were utilized, two STING KO lines and two control lines. Six different GC concentrations were tested. The general trend here aligns with prior data collected in our lab.</w:t>
        </w:r>
        <w:r w:rsidR="000D0E1A">
          <w:rPr>
            <w:noProof/>
            <w:webHidden/>
          </w:rPr>
          <w:tab/>
        </w:r>
        <w:r w:rsidR="000D0E1A">
          <w:rPr>
            <w:noProof/>
            <w:webHidden/>
          </w:rPr>
          <w:fldChar w:fldCharType="begin"/>
        </w:r>
        <w:r w:rsidR="000D0E1A">
          <w:rPr>
            <w:noProof/>
            <w:webHidden/>
          </w:rPr>
          <w:instrText xml:space="preserve"> PAGEREF _Toc165201241 \h </w:instrText>
        </w:r>
        <w:r w:rsidR="000D0E1A">
          <w:rPr>
            <w:noProof/>
            <w:webHidden/>
          </w:rPr>
        </w:r>
        <w:r w:rsidR="000D0E1A">
          <w:rPr>
            <w:noProof/>
            <w:webHidden/>
          </w:rPr>
          <w:fldChar w:fldCharType="separate"/>
        </w:r>
        <w:r w:rsidR="0021770C">
          <w:rPr>
            <w:noProof/>
            <w:webHidden/>
          </w:rPr>
          <w:t>45</w:t>
        </w:r>
        <w:r w:rsidR="000D0E1A">
          <w:rPr>
            <w:noProof/>
            <w:webHidden/>
          </w:rPr>
          <w:fldChar w:fldCharType="end"/>
        </w:r>
      </w:hyperlink>
    </w:p>
    <w:p w14:paraId="24D84EC3" w14:textId="1E714A83" w:rsidR="000D0E1A" w:rsidRDefault="00000000">
      <w:pPr>
        <w:pStyle w:val="TableofFigures"/>
        <w:tabs>
          <w:tab w:val="right" w:leader="dot" w:pos="9350"/>
        </w:tabs>
        <w:rPr>
          <w:noProof/>
          <w:kern w:val="2"/>
          <w14:ligatures w14:val="standardContextual"/>
        </w:rPr>
      </w:pPr>
      <w:hyperlink w:anchor="_Toc165201242" w:history="1">
        <w:r w:rsidR="000D0E1A" w:rsidRPr="004A39BB">
          <w:rPr>
            <w:rStyle w:val="Hyperlink"/>
            <w:b/>
            <w:bCs/>
            <w:noProof/>
          </w:rPr>
          <w:t>Figure 23: IL-1</w:t>
        </w:r>
        <w:r w:rsidR="000D0E1A" w:rsidRPr="004A39BB">
          <w:rPr>
            <w:rStyle w:val="Hyperlink"/>
            <w:b/>
            <w:bCs/>
            <w:noProof/>
            <w:sz w:val="20"/>
            <w:szCs w:val="20"/>
          </w:rPr>
          <w:sym w:font="Symbol" w:char="F062"/>
        </w:r>
        <w:r w:rsidR="000D0E1A" w:rsidRPr="004A39BB">
          <w:rPr>
            <w:rStyle w:val="Hyperlink"/>
            <w:b/>
            <w:bCs/>
            <w:noProof/>
          </w:rPr>
          <w:t xml:space="preserve"> ELISA on STING KO STING lines. </w:t>
        </w:r>
        <w:r w:rsidR="000D0E1A" w:rsidRPr="004A39BB">
          <w:rPr>
            <w:rStyle w:val="Hyperlink"/>
            <w:noProof/>
          </w:rPr>
          <w:t>No detectable trend can be seen and most of data falls below the detectable range of protein concentrations. DC 2.4 and 1281 are the control cell lines while 2085 is a 80% KO and 2085 is a 90% KO.</w:t>
        </w:r>
        <w:r w:rsidR="000D0E1A">
          <w:rPr>
            <w:noProof/>
            <w:webHidden/>
          </w:rPr>
          <w:tab/>
        </w:r>
        <w:r w:rsidR="000D0E1A">
          <w:rPr>
            <w:noProof/>
            <w:webHidden/>
          </w:rPr>
          <w:fldChar w:fldCharType="begin"/>
        </w:r>
        <w:r w:rsidR="000D0E1A">
          <w:rPr>
            <w:noProof/>
            <w:webHidden/>
          </w:rPr>
          <w:instrText xml:space="preserve"> PAGEREF _Toc165201242 \h </w:instrText>
        </w:r>
        <w:r w:rsidR="000D0E1A">
          <w:rPr>
            <w:noProof/>
            <w:webHidden/>
          </w:rPr>
        </w:r>
        <w:r w:rsidR="000D0E1A">
          <w:rPr>
            <w:noProof/>
            <w:webHidden/>
          </w:rPr>
          <w:fldChar w:fldCharType="separate"/>
        </w:r>
        <w:r w:rsidR="0021770C">
          <w:rPr>
            <w:noProof/>
            <w:webHidden/>
          </w:rPr>
          <w:t>47</w:t>
        </w:r>
        <w:r w:rsidR="000D0E1A">
          <w:rPr>
            <w:noProof/>
            <w:webHidden/>
          </w:rPr>
          <w:fldChar w:fldCharType="end"/>
        </w:r>
      </w:hyperlink>
    </w:p>
    <w:p w14:paraId="19525F2A" w14:textId="0687F03E" w:rsidR="000D0E1A" w:rsidRDefault="00000000">
      <w:pPr>
        <w:pStyle w:val="TableofFigures"/>
        <w:tabs>
          <w:tab w:val="right" w:leader="dot" w:pos="9350"/>
        </w:tabs>
        <w:rPr>
          <w:noProof/>
          <w:kern w:val="2"/>
          <w14:ligatures w14:val="standardContextual"/>
        </w:rPr>
      </w:pPr>
      <w:hyperlink w:anchor="_Toc165201243" w:history="1">
        <w:r w:rsidR="000D0E1A" w:rsidRPr="004A39BB">
          <w:rPr>
            <w:rStyle w:val="Hyperlink"/>
            <w:b/>
            <w:bCs/>
            <w:noProof/>
          </w:rPr>
          <w:t xml:space="preserve">Figure 24: Cellular Fractionation BCA. </w:t>
        </w:r>
        <w:r w:rsidR="000D0E1A" w:rsidRPr="004A39BB">
          <w:rPr>
            <w:rStyle w:val="Hyperlink"/>
            <w:noProof/>
          </w:rPr>
          <w:t>BCA results from cellular fractionation on DC 2.4 cell line utilizing 10 million and 20 million cells. Higher cell count yielded a larger volume of lysate but maintained protein potency ideal for western blotting applications.</w:t>
        </w:r>
        <w:r w:rsidR="000D0E1A">
          <w:rPr>
            <w:noProof/>
            <w:webHidden/>
          </w:rPr>
          <w:tab/>
        </w:r>
        <w:r w:rsidR="000D0E1A">
          <w:rPr>
            <w:noProof/>
            <w:webHidden/>
          </w:rPr>
          <w:fldChar w:fldCharType="begin"/>
        </w:r>
        <w:r w:rsidR="000D0E1A">
          <w:rPr>
            <w:noProof/>
            <w:webHidden/>
          </w:rPr>
          <w:instrText xml:space="preserve"> PAGEREF _Toc165201243 \h </w:instrText>
        </w:r>
        <w:r w:rsidR="000D0E1A">
          <w:rPr>
            <w:noProof/>
            <w:webHidden/>
          </w:rPr>
        </w:r>
        <w:r w:rsidR="000D0E1A">
          <w:rPr>
            <w:noProof/>
            <w:webHidden/>
          </w:rPr>
          <w:fldChar w:fldCharType="separate"/>
        </w:r>
        <w:r w:rsidR="0021770C">
          <w:rPr>
            <w:noProof/>
            <w:webHidden/>
          </w:rPr>
          <w:t>48</w:t>
        </w:r>
        <w:r w:rsidR="000D0E1A">
          <w:rPr>
            <w:noProof/>
            <w:webHidden/>
          </w:rPr>
          <w:fldChar w:fldCharType="end"/>
        </w:r>
      </w:hyperlink>
    </w:p>
    <w:p w14:paraId="08199D50" w14:textId="4424F69A" w:rsidR="000D0E1A" w:rsidRDefault="00000000">
      <w:pPr>
        <w:pStyle w:val="TableofFigures"/>
        <w:tabs>
          <w:tab w:val="right" w:leader="dot" w:pos="9350"/>
        </w:tabs>
        <w:rPr>
          <w:noProof/>
          <w:kern w:val="2"/>
          <w14:ligatures w14:val="standardContextual"/>
        </w:rPr>
      </w:pPr>
      <w:hyperlink w:anchor="_Toc165201244" w:history="1">
        <w:r w:rsidR="000D0E1A" w:rsidRPr="004A39BB">
          <w:rPr>
            <w:rStyle w:val="Hyperlink"/>
            <w:b/>
            <w:bCs/>
            <w:noProof/>
          </w:rPr>
          <w:t>Figure 25: Unstimulated DC 2.4 Expansion Microscopy</w:t>
        </w:r>
        <w:r w:rsidR="000D0E1A" w:rsidRPr="004A39BB">
          <w:rPr>
            <w:rStyle w:val="Hyperlink"/>
            <w:noProof/>
          </w:rPr>
          <w:t>. Shows antibody staining with STING-AF55 and LAMP1-Cy5. GC-FITC showing GC presence in the cell and NHS ester staining proteins within the cell can also be seen.</w:t>
        </w:r>
        <w:r w:rsidR="000D0E1A">
          <w:rPr>
            <w:noProof/>
            <w:webHidden/>
          </w:rPr>
          <w:tab/>
        </w:r>
        <w:r w:rsidR="000D0E1A">
          <w:rPr>
            <w:noProof/>
            <w:webHidden/>
          </w:rPr>
          <w:fldChar w:fldCharType="begin"/>
        </w:r>
        <w:r w:rsidR="000D0E1A">
          <w:rPr>
            <w:noProof/>
            <w:webHidden/>
          </w:rPr>
          <w:instrText xml:space="preserve"> PAGEREF _Toc165201244 \h </w:instrText>
        </w:r>
        <w:r w:rsidR="000D0E1A">
          <w:rPr>
            <w:noProof/>
            <w:webHidden/>
          </w:rPr>
        </w:r>
        <w:r w:rsidR="000D0E1A">
          <w:rPr>
            <w:noProof/>
            <w:webHidden/>
          </w:rPr>
          <w:fldChar w:fldCharType="separate"/>
        </w:r>
        <w:r w:rsidR="0021770C">
          <w:rPr>
            <w:noProof/>
            <w:webHidden/>
          </w:rPr>
          <w:t>50</w:t>
        </w:r>
        <w:r w:rsidR="000D0E1A">
          <w:rPr>
            <w:noProof/>
            <w:webHidden/>
          </w:rPr>
          <w:fldChar w:fldCharType="end"/>
        </w:r>
      </w:hyperlink>
    </w:p>
    <w:p w14:paraId="59B4AB60" w14:textId="1FEF7C5E" w:rsidR="000D0E1A" w:rsidRDefault="00000000">
      <w:pPr>
        <w:pStyle w:val="TableofFigures"/>
        <w:tabs>
          <w:tab w:val="right" w:leader="dot" w:pos="9350"/>
        </w:tabs>
        <w:rPr>
          <w:noProof/>
          <w:kern w:val="2"/>
          <w14:ligatures w14:val="standardContextual"/>
        </w:rPr>
      </w:pPr>
      <w:hyperlink w:anchor="_Toc165201245" w:history="1">
        <w:r w:rsidR="000D0E1A" w:rsidRPr="004A39BB">
          <w:rPr>
            <w:rStyle w:val="Hyperlink"/>
            <w:b/>
            <w:bCs/>
            <w:noProof/>
          </w:rPr>
          <w:t>Figure 26: 4</w:t>
        </w:r>
        <w:r w:rsidR="000D0E1A" w:rsidRPr="004A39BB">
          <w:rPr>
            <w:rStyle w:val="Hyperlink"/>
            <w:b/>
            <w:bCs/>
            <w:noProof/>
            <w:sz w:val="20"/>
            <w:szCs w:val="20"/>
          </w:rPr>
          <w:sym w:font="Symbol" w:char="F06D"/>
        </w:r>
        <w:r w:rsidR="000D0E1A" w:rsidRPr="004A39BB">
          <w:rPr>
            <w:rStyle w:val="Hyperlink"/>
            <w:b/>
            <w:bCs/>
            <w:noProof/>
          </w:rPr>
          <w:t>g/mL and 8</w:t>
        </w:r>
        <w:r w:rsidR="000D0E1A" w:rsidRPr="004A39BB">
          <w:rPr>
            <w:rStyle w:val="Hyperlink"/>
            <w:b/>
            <w:bCs/>
            <w:noProof/>
            <w:sz w:val="20"/>
            <w:szCs w:val="20"/>
          </w:rPr>
          <w:sym w:font="Symbol" w:char="F06D"/>
        </w:r>
        <w:r w:rsidR="000D0E1A" w:rsidRPr="004A39BB">
          <w:rPr>
            <w:rStyle w:val="Hyperlink"/>
            <w:b/>
            <w:bCs/>
            <w:noProof/>
          </w:rPr>
          <w:t xml:space="preserve">g/mL DC 2.4 Expansion Microscopy. </w:t>
        </w:r>
        <w:r w:rsidR="000D0E1A" w:rsidRPr="004A39BB">
          <w:rPr>
            <w:rStyle w:val="Hyperlink"/>
            <w:noProof/>
          </w:rPr>
          <w:t>Shows antibody staining with STING-AF55 and LAMP1-Cy5. GC-FITC showing GC presence in the cell and NHS ester staining proteins within the cell can also be seen. Two different stimulation concentrations of GC can be seen here.</w:t>
        </w:r>
        <w:r w:rsidR="000D0E1A">
          <w:rPr>
            <w:noProof/>
            <w:webHidden/>
          </w:rPr>
          <w:tab/>
        </w:r>
        <w:r w:rsidR="000D0E1A">
          <w:rPr>
            <w:noProof/>
            <w:webHidden/>
          </w:rPr>
          <w:fldChar w:fldCharType="begin"/>
        </w:r>
        <w:r w:rsidR="000D0E1A">
          <w:rPr>
            <w:noProof/>
            <w:webHidden/>
          </w:rPr>
          <w:instrText xml:space="preserve"> PAGEREF _Toc165201245 \h </w:instrText>
        </w:r>
        <w:r w:rsidR="000D0E1A">
          <w:rPr>
            <w:noProof/>
            <w:webHidden/>
          </w:rPr>
        </w:r>
        <w:r w:rsidR="000D0E1A">
          <w:rPr>
            <w:noProof/>
            <w:webHidden/>
          </w:rPr>
          <w:fldChar w:fldCharType="separate"/>
        </w:r>
        <w:r w:rsidR="0021770C">
          <w:rPr>
            <w:noProof/>
            <w:webHidden/>
          </w:rPr>
          <w:t>50</w:t>
        </w:r>
        <w:r w:rsidR="000D0E1A">
          <w:rPr>
            <w:noProof/>
            <w:webHidden/>
          </w:rPr>
          <w:fldChar w:fldCharType="end"/>
        </w:r>
      </w:hyperlink>
    </w:p>
    <w:p w14:paraId="031F6D40" w14:textId="56410AA7" w:rsidR="000D0E1A" w:rsidRDefault="00000000">
      <w:pPr>
        <w:pStyle w:val="TableofFigures"/>
        <w:tabs>
          <w:tab w:val="right" w:leader="dot" w:pos="9350"/>
        </w:tabs>
        <w:rPr>
          <w:noProof/>
          <w:kern w:val="2"/>
          <w14:ligatures w14:val="standardContextual"/>
        </w:rPr>
      </w:pPr>
      <w:hyperlink w:anchor="_Toc165201246" w:history="1">
        <w:r w:rsidR="000D0E1A" w:rsidRPr="004A39BB">
          <w:rPr>
            <w:rStyle w:val="Hyperlink"/>
            <w:b/>
            <w:bCs/>
            <w:noProof/>
          </w:rPr>
          <w:t>Figure 27: 4</w:t>
        </w:r>
        <w:r w:rsidR="000D0E1A" w:rsidRPr="004A39BB">
          <w:rPr>
            <w:rStyle w:val="Hyperlink"/>
            <w:b/>
            <w:bCs/>
            <w:noProof/>
            <w:sz w:val="20"/>
            <w:szCs w:val="20"/>
          </w:rPr>
          <w:sym w:font="Symbol" w:char="F06D"/>
        </w:r>
        <w:r w:rsidR="000D0E1A" w:rsidRPr="004A39BB">
          <w:rPr>
            <w:rStyle w:val="Hyperlink"/>
            <w:b/>
            <w:bCs/>
            <w:noProof/>
          </w:rPr>
          <w:t xml:space="preserve">g/mL non-expanded DC 2.4 microscopy. </w:t>
        </w:r>
        <w:r w:rsidR="000D0E1A" w:rsidRPr="004A39BB">
          <w:rPr>
            <w:rStyle w:val="Hyperlink"/>
            <w:noProof/>
          </w:rPr>
          <w:t>Shows overlay of nonexpanded sample. STING and LAMP1 expression can be seen (red and magenta respectively). GC-FITC (green) shows GC presence in the cell at a concentration of 4</w:t>
        </w:r>
        <w:r w:rsidR="000D0E1A" w:rsidRPr="004A39BB">
          <w:rPr>
            <w:rStyle w:val="Hyperlink"/>
            <w:noProof/>
            <w:sz w:val="20"/>
            <w:szCs w:val="20"/>
          </w:rPr>
          <w:sym w:font="Symbol" w:char="F06D"/>
        </w:r>
        <w:r w:rsidR="000D0E1A" w:rsidRPr="004A39BB">
          <w:rPr>
            <w:rStyle w:val="Hyperlink"/>
            <w:noProof/>
          </w:rPr>
          <w:t>g/mL. NHS marks the proteins in the cell and can be seen by the blue expression in the image.</w:t>
        </w:r>
        <w:r w:rsidR="000D0E1A">
          <w:rPr>
            <w:noProof/>
            <w:webHidden/>
          </w:rPr>
          <w:tab/>
        </w:r>
        <w:r w:rsidR="000D0E1A">
          <w:rPr>
            <w:noProof/>
            <w:webHidden/>
          </w:rPr>
          <w:fldChar w:fldCharType="begin"/>
        </w:r>
        <w:r w:rsidR="000D0E1A">
          <w:rPr>
            <w:noProof/>
            <w:webHidden/>
          </w:rPr>
          <w:instrText xml:space="preserve"> PAGEREF _Toc165201246 \h </w:instrText>
        </w:r>
        <w:r w:rsidR="000D0E1A">
          <w:rPr>
            <w:noProof/>
            <w:webHidden/>
          </w:rPr>
        </w:r>
        <w:r w:rsidR="000D0E1A">
          <w:rPr>
            <w:noProof/>
            <w:webHidden/>
          </w:rPr>
          <w:fldChar w:fldCharType="separate"/>
        </w:r>
        <w:r w:rsidR="0021770C">
          <w:rPr>
            <w:noProof/>
            <w:webHidden/>
          </w:rPr>
          <w:t>51</w:t>
        </w:r>
        <w:r w:rsidR="000D0E1A">
          <w:rPr>
            <w:noProof/>
            <w:webHidden/>
          </w:rPr>
          <w:fldChar w:fldCharType="end"/>
        </w:r>
      </w:hyperlink>
    </w:p>
    <w:p w14:paraId="67AEEEE3" w14:textId="4E331D41" w:rsidR="000D0E1A" w:rsidRDefault="00000000">
      <w:pPr>
        <w:pStyle w:val="TableofFigures"/>
        <w:tabs>
          <w:tab w:val="right" w:leader="dot" w:pos="9350"/>
        </w:tabs>
        <w:rPr>
          <w:noProof/>
          <w:kern w:val="2"/>
          <w14:ligatures w14:val="standardContextual"/>
        </w:rPr>
      </w:pPr>
      <w:hyperlink w:anchor="_Toc165201247" w:history="1">
        <w:r w:rsidR="000D0E1A" w:rsidRPr="004A39BB">
          <w:rPr>
            <w:rStyle w:val="Hyperlink"/>
            <w:b/>
            <w:bCs/>
            <w:noProof/>
          </w:rPr>
          <w:t>Figure 28:</w:t>
        </w:r>
        <w:r w:rsidR="000D0E1A" w:rsidRPr="004A39BB">
          <w:rPr>
            <w:rStyle w:val="Hyperlink"/>
            <w:noProof/>
          </w:rPr>
          <w:t xml:space="preserve"> </w:t>
        </w:r>
        <w:r w:rsidR="000D0E1A" w:rsidRPr="004A39BB">
          <w:rPr>
            <w:rStyle w:val="Hyperlink"/>
            <w:b/>
            <w:bCs/>
            <w:noProof/>
          </w:rPr>
          <w:t>Code delineating the procedure for GC-FITC and STING overlap</w:t>
        </w:r>
        <w:r w:rsidR="000D0E1A" w:rsidRPr="004A39BB">
          <w:rPr>
            <w:rStyle w:val="Hyperlink"/>
            <w:noProof/>
          </w:rPr>
          <w:t>. The steps of converting the images to 8 bit, thresholding each image, and running particle analysis can be seen.</w:t>
        </w:r>
        <w:r w:rsidR="000D0E1A">
          <w:rPr>
            <w:noProof/>
            <w:webHidden/>
          </w:rPr>
          <w:tab/>
        </w:r>
        <w:r w:rsidR="000D0E1A">
          <w:rPr>
            <w:noProof/>
            <w:webHidden/>
          </w:rPr>
          <w:fldChar w:fldCharType="begin"/>
        </w:r>
        <w:r w:rsidR="000D0E1A">
          <w:rPr>
            <w:noProof/>
            <w:webHidden/>
          </w:rPr>
          <w:instrText xml:space="preserve"> PAGEREF _Toc165201247 \h </w:instrText>
        </w:r>
        <w:r w:rsidR="000D0E1A">
          <w:rPr>
            <w:noProof/>
            <w:webHidden/>
          </w:rPr>
        </w:r>
        <w:r w:rsidR="000D0E1A">
          <w:rPr>
            <w:noProof/>
            <w:webHidden/>
          </w:rPr>
          <w:fldChar w:fldCharType="separate"/>
        </w:r>
        <w:r w:rsidR="0021770C">
          <w:rPr>
            <w:noProof/>
            <w:webHidden/>
          </w:rPr>
          <w:t>52</w:t>
        </w:r>
        <w:r w:rsidR="000D0E1A">
          <w:rPr>
            <w:noProof/>
            <w:webHidden/>
          </w:rPr>
          <w:fldChar w:fldCharType="end"/>
        </w:r>
      </w:hyperlink>
    </w:p>
    <w:p w14:paraId="3D0F74FA" w14:textId="1492396F" w:rsidR="000D0E1A" w:rsidRDefault="00000000">
      <w:pPr>
        <w:pStyle w:val="TableofFigures"/>
        <w:tabs>
          <w:tab w:val="right" w:leader="dot" w:pos="9350"/>
        </w:tabs>
        <w:rPr>
          <w:noProof/>
          <w:kern w:val="2"/>
          <w14:ligatures w14:val="standardContextual"/>
        </w:rPr>
      </w:pPr>
      <w:hyperlink w:anchor="_Toc165201248" w:history="1">
        <w:r w:rsidR="000D0E1A" w:rsidRPr="004A39BB">
          <w:rPr>
            <w:rStyle w:val="Hyperlink"/>
            <w:b/>
            <w:bCs/>
            <w:noProof/>
          </w:rPr>
          <w:t xml:space="preserve">Figure 29: Cell Size Analysis on Unstimulated BMDC. </w:t>
        </w:r>
        <w:r w:rsidR="000D0E1A" w:rsidRPr="004A39BB">
          <w:rPr>
            <w:rStyle w:val="Hyperlink"/>
            <w:noProof/>
          </w:rPr>
          <w:t>Shows freehand cell size analysis on cells within the field of view. Cells were outlined in this manner then cell area was derived using ImageJ.</w:t>
        </w:r>
        <w:r w:rsidR="000D0E1A">
          <w:rPr>
            <w:noProof/>
            <w:webHidden/>
          </w:rPr>
          <w:tab/>
        </w:r>
        <w:r w:rsidR="000D0E1A">
          <w:rPr>
            <w:noProof/>
            <w:webHidden/>
          </w:rPr>
          <w:fldChar w:fldCharType="begin"/>
        </w:r>
        <w:r w:rsidR="000D0E1A">
          <w:rPr>
            <w:noProof/>
            <w:webHidden/>
          </w:rPr>
          <w:instrText xml:space="preserve"> PAGEREF _Toc165201248 \h </w:instrText>
        </w:r>
        <w:r w:rsidR="000D0E1A">
          <w:rPr>
            <w:noProof/>
            <w:webHidden/>
          </w:rPr>
        </w:r>
        <w:r w:rsidR="000D0E1A">
          <w:rPr>
            <w:noProof/>
            <w:webHidden/>
          </w:rPr>
          <w:fldChar w:fldCharType="separate"/>
        </w:r>
        <w:r w:rsidR="0021770C">
          <w:rPr>
            <w:noProof/>
            <w:webHidden/>
          </w:rPr>
          <w:t>53</w:t>
        </w:r>
        <w:r w:rsidR="000D0E1A">
          <w:rPr>
            <w:noProof/>
            <w:webHidden/>
          </w:rPr>
          <w:fldChar w:fldCharType="end"/>
        </w:r>
      </w:hyperlink>
    </w:p>
    <w:p w14:paraId="150764A1" w14:textId="71C2673A" w:rsidR="000D0E1A" w:rsidRDefault="00000000">
      <w:pPr>
        <w:pStyle w:val="TableofFigures"/>
        <w:tabs>
          <w:tab w:val="right" w:leader="dot" w:pos="9350"/>
        </w:tabs>
        <w:rPr>
          <w:noProof/>
          <w:kern w:val="2"/>
          <w14:ligatures w14:val="standardContextual"/>
        </w:rPr>
      </w:pPr>
      <w:hyperlink w:anchor="_Toc165201249" w:history="1">
        <w:r w:rsidR="000D0E1A" w:rsidRPr="004A39BB">
          <w:rPr>
            <w:rStyle w:val="Hyperlink"/>
            <w:b/>
            <w:bCs/>
            <w:noProof/>
          </w:rPr>
          <w:t>Figure 30: Cell Selection for Analysis</w:t>
        </w:r>
        <w:r w:rsidR="000D0E1A" w:rsidRPr="004A39BB">
          <w:rPr>
            <w:rStyle w:val="Hyperlink"/>
            <w:noProof/>
          </w:rPr>
          <w:t>. Cell that phagocytosed GC were chosen for analysis. This can be seen where 4 cells in the GC-FITC channel show GC uptake. These cells were chosen for analysis via freehand ROI.</w:t>
        </w:r>
        <w:r w:rsidR="000D0E1A">
          <w:rPr>
            <w:noProof/>
            <w:webHidden/>
          </w:rPr>
          <w:tab/>
        </w:r>
        <w:r w:rsidR="000D0E1A">
          <w:rPr>
            <w:noProof/>
            <w:webHidden/>
          </w:rPr>
          <w:fldChar w:fldCharType="begin"/>
        </w:r>
        <w:r w:rsidR="000D0E1A">
          <w:rPr>
            <w:noProof/>
            <w:webHidden/>
          </w:rPr>
          <w:instrText xml:space="preserve"> PAGEREF _Toc165201249 \h </w:instrText>
        </w:r>
        <w:r w:rsidR="000D0E1A">
          <w:rPr>
            <w:noProof/>
            <w:webHidden/>
          </w:rPr>
        </w:r>
        <w:r w:rsidR="000D0E1A">
          <w:rPr>
            <w:noProof/>
            <w:webHidden/>
          </w:rPr>
          <w:fldChar w:fldCharType="separate"/>
        </w:r>
        <w:r w:rsidR="0021770C">
          <w:rPr>
            <w:noProof/>
            <w:webHidden/>
          </w:rPr>
          <w:t>53</w:t>
        </w:r>
        <w:r w:rsidR="000D0E1A">
          <w:rPr>
            <w:noProof/>
            <w:webHidden/>
          </w:rPr>
          <w:fldChar w:fldCharType="end"/>
        </w:r>
      </w:hyperlink>
    </w:p>
    <w:p w14:paraId="57AC24BE" w14:textId="5A628162" w:rsidR="000D0E1A" w:rsidRDefault="00000000">
      <w:pPr>
        <w:pStyle w:val="TableofFigures"/>
        <w:tabs>
          <w:tab w:val="right" w:leader="dot" w:pos="9350"/>
        </w:tabs>
        <w:rPr>
          <w:noProof/>
          <w:kern w:val="2"/>
          <w14:ligatures w14:val="standardContextual"/>
        </w:rPr>
      </w:pPr>
      <w:hyperlink w:anchor="_Toc165201250" w:history="1">
        <w:r w:rsidR="000D0E1A" w:rsidRPr="004A39BB">
          <w:rPr>
            <w:rStyle w:val="Hyperlink"/>
            <w:b/>
            <w:bCs/>
            <w:noProof/>
          </w:rPr>
          <w:t>Figure 31</w:t>
        </w:r>
        <w:r w:rsidR="000D0E1A" w:rsidRPr="004A39BB">
          <w:rPr>
            <w:rStyle w:val="Hyperlink"/>
            <w:noProof/>
          </w:rPr>
          <w:t xml:space="preserve">: </w:t>
        </w:r>
        <w:r w:rsidR="000D0E1A" w:rsidRPr="004A39BB">
          <w:rPr>
            <w:rStyle w:val="Hyperlink"/>
            <w:b/>
            <w:bCs/>
            <w:noProof/>
          </w:rPr>
          <w:t>Shows ROI selection criteria</w:t>
        </w:r>
        <w:r w:rsidR="000D0E1A" w:rsidRPr="004A39BB">
          <w:rPr>
            <w:rStyle w:val="Hyperlink"/>
            <w:noProof/>
          </w:rPr>
          <w:t>. Image depicts overlap of BMDC stimulated with 8</w:t>
        </w:r>
        <w:r w:rsidR="000D0E1A" w:rsidRPr="004A39BB">
          <w:rPr>
            <w:rStyle w:val="Hyperlink"/>
            <w:noProof/>
            <w:sz w:val="20"/>
            <w:szCs w:val="20"/>
          </w:rPr>
          <w:sym w:font="Symbol" w:char="F06D"/>
        </w:r>
        <w:r w:rsidR="000D0E1A" w:rsidRPr="004A39BB">
          <w:rPr>
            <w:rStyle w:val="Hyperlink"/>
            <w:noProof/>
          </w:rPr>
          <w:t>g/mL GC-FITC. STING (red), LAMP 1 (magenta), and GC-FITC (green) are overlapped within the image. The selected ROI shows a cell that has good uptake of GC but has not yet undergone cellular swelling.</w:t>
        </w:r>
        <w:r w:rsidR="000D0E1A">
          <w:rPr>
            <w:noProof/>
            <w:webHidden/>
          </w:rPr>
          <w:tab/>
        </w:r>
        <w:r w:rsidR="000D0E1A">
          <w:rPr>
            <w:noProof/>
            <w:webHidden/>
          </w:rPr>
          <w:fldChar w:fldCharType="begin"/>
        </w:r>
        <w:r w:rsidR="000D0E1A">
          <w:rPr>
            <w:noProof/>
            <w:webHidden/>
          </w:rPr>
          <w:instrText xml:space="preserve"> PAGEREF _Toc165201250 \h </w:instrText>
        </w:r>
        <w:r w:rsidR="000D0E1A">
          <w:rPr>
            <w:noProof/>
            <w:webHidden/>
          </w:rPr>
        </w:r>
        <w:r w:rsidR="000D0E1A">
          <w:rPr>
            <w:noProof/>
            <w:webHidden/>
          </w:rPr>
          <w:fldChar w:fldCharType="separate"/>
        </w:r>
        <w:r w:rsidR="0021770C">
          <w:rPr>
            <w:noProof/>
            <w:webHidden/>
          </w:rPr>
          <w:t>55</w:t>
        </w:r>
        <w:r w:rsidR="000D0E1A">
          <w:rPr>
            <w:noProof/>
            <w:webHidden/>
          </w:rPr>
          <w:fldChar w:fldCharType="end"/>
        </w:r>
      </w:hyperlink>
    </w:p>
    <w:p w14:paraId="7E73C42C" w14:textId="020A65F8" w:rsidR="00D9154F" w:rsidRDefault="00D9154F">
      <w:pPr>
        <w:rPr>
          <w:rFonts w:asciiTheme="majorHAnsi" w:eastAsiaTheme="majorEastAsia" w:hAnsiTheme="majorHAnsi" w:cstheme="majorBidi"/>
          <w:color w:val="2F5496" w:themeColor="accent1" w:themeShade="BF"/>
          <w:sz w:val="32"/>
          <w:szCs w:val="32"/>
        </w:rPr>
      </w:pPr>
      <w:r>
        <w:fldChar w:fldCharType="end"/>
      </w:r>
      <w:r>
        <w:br w:type="page"/>
      </w:r>
    </w:p>
    <w:p w14:paraId="05F8B62E" w14:textId="2F62DAE1" w:rsidR="00324AF7" w:rsidRDefault="00BA705B" w:rsidP="00BA705B">
      <w:pPr>
        <w:pStyle w:val="Heading1"/>
      </w:pPr>
      <w:bookmarkStart w:id="0" w:name="_Toc165293334"/>
      <w:r>
        <w:lastRenderedPageBreak/>
        <w:t>Abstract</w:t>
      </w:r>
      <w:bookmarkEnd w:id="0"/>
    </w:p>
    <w:p w14:paraId="67F654F5" w14:textId="77777777" w:rsidR="004C6F14" w:rsidRDefault="004C6F14" w:rsidP="00776F53">
      <w:pPr>
        <w:rPr>
          <w:lang w:eastAsia="en-US"/>
        </w:rPr>
      </w:pPr>
    </w:p>
    <w:p w14:paraId="1092BC22" w14:textId="35D92F3F" w:rsidR="003A30D6" w:rsidRPr="003A30D6" w:rsidRDefault="003A30D6" w:rsidP="00776F53">
      <w:pPr>
        <w:rPr>
          <w:lang w:eastAsia="en-US"/>
        </w:rPr>
      </w:pPr>
      <w:r w:rsidRPr="003A30D6">
        <w:rPr>
          <w:lang w:eastAsia="en-US"/>
        </w:rPr>
        <w:t>N-</w:t>
      </w:r>
      <w:proofErr w:type="spellStart"/>
      <w:r w:rsidRPr="003A30D6">
        <w:rPr>
          <w:lang w:eastAsia="en-US"/>
        </w:rPr>
        <w:t>dihydrogalactochitosan</w:t>
      </w:r>
      <w:proofErr w:type="spellEnd"/>
      <w:r w:rsidRPr="003A30D6">
        <w:rPr>
          <w:lang w:eastAsia="en-US"/>
        </w:rPr>
        <w:t> (Glycated Chitosan, GC) is a promising immunoadjuvant for cancer therapeutics. Synthesized from chitin and galactose, GC stimulates the innate and adaptive antitumor immune responses more potently than its parent molecule, chitosan, giving it great potential for therapeutic applications. However, the cellular mechanisms of GC have yet to be fully investigated. In previous studies, it has been demonstrated that GC has strong interactions with dendritic cells</w:t>
      </w:r>
      <w:r w:rsidR="002824D3">
        <w:rPr>
          <w:lang w:eastAsia="en-US"/>
        </w:rPr>
        <w:t xml:space="preserve"> (DCs)</w:t>
      </w:r>
      <w:r w:rsidRPr="003A30D6">
        <w:rPr>
          <w:lang w:eastAsia="en-US"/>
        </w:rPr>
        <w:t xml:space="preserve"> where interactions of stimulator of interferon genes (STING) and the stimulation of type I IFN are essential for the antitumor response. The activation of </w:t>
      </w:r>
      <w:r w:rsidR="002824D3">
        <w:rPr>
          <w:lang w:eastAsia="en-US"/>
        </w:rPr>
        <w:t>DCs</w:t>
      </w:r>
      <w:r w:rsidRPr="003A30D6">
        <w:rPr>
          <w:lang w:eastAsia="en-US"/>
        </w:rPr>
        <w:t xml:space="preserve"> via the STING pathway has been shown to lead to inflammatory cell death that further </w:t>
      </w:r>
      <w:r w:rsidR="00001369">
        <w:rPr>
          <w:lang w:eastAsia="en-US"/>
        </w:rPr>
        <w:t>enhances</w:t>
      </w:r>
      <w:r w:rsidR="00001369" w:rsidRPr="003A30D6">
        <w:rPr>
          <w:lang w:eastAsia="en-US"/>
        </w:rPr>
        <w:t xml:space="preserve"> </w:t>
      </w:r>
      <w:r w:rsidRPr="003A30D6">
        <w:rPr>
          <w:lang w:eastAsia="en-US"/>
        </w:rPr>
        <w:t xml:space="preserve">the antitumor response and recruitment of antigen presenting cells. Herein we </w:t>
      </w:r>
      <w:r w:rsidR="002824D3">
        <w:rPr>
          <w:lang w:eastAsia="en-US"/>
        </w:rPr>
        <w:t>investigated</w:t>
      </w:r>
      <w:r w:rsidR="002824D3" w:rsidRPr="003A30D6">
        <w:rPr>
          <w:lang w:eastAsia="en-US"/>
        </w:rPr>
        <w:t xml:space="preserve"> </w:t>
      </w:r>
      <w:r w:rsidRPr="003A30D6">
        <w:rPr>
          <w:lang w:eastAsia="en-US"/>
        </w:rPr>
        <w:t>STING</w:t>
      </w:r>
      <w:r w:rsidR="002824D3">
        <w:rPr>
          <w:lang w:eastAsia="en-US"/>
        </w:rPr>
        <w:t>-</w:t>
      </w:r>
      <w:r w:rsidRPr="003A30D6">
        <w:rPr>
          <w:lang w:eastAsia="en-US"/>
        </w:rPr>
        <w:t>GC interactions</w:t>
      </w:r>
      <w:r w:rsidR="009159F9">
        <w:rPr>
          <w:lang w:eastAsia="en-US"/>
        </w:rPr>
        <w:t xml:space="preserve"> </w:t>
      </w:r>
      <w:r w:rsidRPr="003A30D6">
        <w:rPr>
          <w:lang w:eastAsia="en-US"/>
        </w:rPr>
        <w:t xml:space="preserve">within murine </w:t>
      </w:r>
      <w:r w:rsidR="002824D3">
        <w:rPr>
          <w:lang w:eastAsia="en-US"/>
        </w:rPr>
        <w:t xml:space="preserve">DCs, using </w:t>
      </w:r>
      <w:r w:rsidR="00776F53" w:rsidRPr="00776F53">
        <w:rPr>
          <w:lang w:eastAsia="en-US"/>
        </w:rPr>
        <w:t>immunofluorescence</w:t>
      </w:r>
      <w:r w:rsidR="00776F53">
        <w:rPr>
          <w:lang w:eastAsia="en-US"/>
        </w:rPr>
        <w:t xml:space="preserve"> (IF)</w:t>
      </w:r>
      <w:r w:rsidR="009159F9">
        <w:rPr>
          <w:lang w:eastAsia="en-US"/>
        </w:rPr>
        <w:t xml:space="preserve">, </w:t>
      </w:r>
      <w:r w:rsidRPr="003A30D6">
        <w:rPr>
          <w:lang w:eastAsia="en-US"/>
        </w:rPr>
        <w:t>western blotting</w:t>
      </w:r>
      <w:r w:rsidR="009159F9">
        <w:rPr>
          <w:lang w:eastAsia="en-US"/>
        </w:rPr>
        <w:t xml:space="preserve">, and bulk RNA sequencing analysis </w:t>
      </w:r>
      <w:r w:rsidR="002824D3">
        <w:rPr>
          <w:lang w:eastAsia="en-US"/>
        </w:rPr>
        <w:t>to determine</w:t>
      </w:r>
      <w:r w:rsidRPr="003A30D6">
        <w:rPr>
          <w:lang w:eastAsia="en-US"/>
        </w:rPr>
        <w:t xml:space="preserve"> STING</w:t>
      </w:r>
      <w:r w:rsidR="002824D3">
        <w:rPr>
          <w:lang w:eastAsia="en-US"/>
        </w:rPr>
        <w:t>-</w:t>
      </w:r>
      <w:r w:rsidRPr="003A30D6">
        <w:rPr>
          <w:lang w:eastAsia="en-US"/>
        </w:rPr>
        <w:t>GC colocalization</w:t>
      </w:r>
      <w:r w:rsidR="00C84445">
        <w:rPr>
          <w:lang w:eastAsia="en-US"/>
        </w:rPr>
        <w:t xml:space="preserve"> in the lysosome</w:t>
      </w:r>
      <w:r w:rsidRPr="003A30D6">
        <w:rPr>
          <w:lang w:eastAsia="en-US"/>
        </w:rPr>
        <w:t xml:space="preserve">. </w:t>
      </w:r>
      <w:r w:rsidR="002824D3" w:rsidRPr="00C84445">
        <w:rPr>
          <w:lang w:eastAsia="en-US"/>
        </w:rPr>
        <w:t xml:space="preserve">Using </w:t>
      </w:r>
      <w:r w:rsidRPr="00C84445">
        <w:rPr>
          <w:lang w:eastAsia="en-US"/>
        </w:rPr>
        <w:t>the Western blot,</w:t>
      </w:r>
      <w:r w:rsidRPr="003A30D6">
        <w:rPr>
          <w:lang w:eastAsia="en-US"/>
        </w:rPr>
        <w:t xml:space="preserve"> lysates isolating the cellular components of murine dendritic cells allow</w:t>
      </w:r>
      <w:r w:rsidR="002824D3">
        <w:rPr>
          <w:lang w:eastAsia="en-US"/>
        </w:rPr>
        <w:t>ed</w:t>
      </w:r>
      <w:r w:rsidRPr="003A30D6">
        <w:rPr>
          <w:lang w:eastAsia="en-US"/>
        </w:rPr>
        <w:t xml:space="preserve"> for identification of STINGs location following GC stimulation. </w:t>
      </w:r>
      <w:r w:rsidR="009159F9">
        <w:rPr>
          <w:lang w:eastAsia="en-US"/>
        </w:rPr>
        <w:t xml:space="preserve">Within the lysosomal isolate, increased expression of STING </w:t>
      </w:r>
      <w:r w:rsidR="00C84445">
        <w:rPr>
          <w:lang w:eastAsia="en-US"/>
        </w:rPr>
        <w:t>was</w:t>
      </w:r>
      <w:r w:rsidR="002824D3">
        <w:rPr>
          <w:lang w:eastAsia="en-US"/>
        </w:rPr>
        <w:t xml:space="preserve"> observed,</w:t>
      </w:r>
      <w:r w:rsidR="009159F9">
        <w:rPr>
          <w:lang w:eastAsia="en-US"/>
        </w:rPr>
        <w:t xml:space="preserve"> indicating STING trafficking to the lysosome</w:t>
      </w:r>
      <w:r w:rsidR="00C84445">
        <w:rPr>
          <w:lang w:eastAsia="en-US"/>
        </w:rPr>
        <w:t xml:space="preserve"> post GC stimulation</w:t>
      </w:r>
      <w:r w:rsidR="009159F9">
        <w:rPr>
          <w:lang w:eastAsia="en-US"/>
        </w:rPr>
        <w:t xml:space="preserve">. </w:t>
      </w:r>
      <w:r w:rsidR="00776F53">
        <w:rPr>
          <w:lang w:eastAsia="en-US"/>
        </w:rPr>
        <w:t>IF</w:t>
      </w:r>
      <w:r w:rsidR="009159F9" w:rsidRPr="003A30D6">
        <w:rPr>
          <w:lang w:eastAsia="en-US"/>
        </w:rPr>
        <w:t xml:space="preserve"> antibody staining allow</w:t>
      </w:r>
      <w:r w:rsidR="00AD07E0">
        <w:rPr>
          <w:lang w:eastAsia="en-US"/>
        </w:rPr>
        <w:t>ed</w:t>
      </w:r>
      <w:r w:rsidR="009159F9" w:rsidRPr="003A30D6">
        <w:rPr>
          <w:lang w:eastAsia="en-US"/>
        </w:rPr>
        <w:t xml:space="preserve"> visualization of </w:t>
      </w:r>
      <w:r w:rsidR="00C84445">
        <w:rPr>
          <w:lang w:eastAsia="en-US"/>
        </w:rPr>
        <w:t>cellular vesicles</w:t>
      </w:r>
      <w:r w:rsidR="009159F9" w:rsidRPr="003A30D6">
        <w:rPr>
          <w:lang w:eastAsia="en-US"/>
        </w:rPr>
        <w:t>, STING, and GC</w:t>
      </w:r>
      <w:r w:rsidR="009159F9">
        <w:rPr>
          <w:lang w:eastAsia="en-US"/>
        </w:rPr>
        <w:t xml:space="preserve">. </w:t>
      </w:r>
      <w:r w:rsidR="00C84445">
        <w:rPr>
          <w:lang w:eastAsia="en-US"/>
        </w:rPr>
        <w:t>By</w:t>
      </w:r>
      <w:r w:rsidR="009159F9" w:rsidRPr="00C84445">
        <w:rPr>
          <w:lang w:eastAsia="en-US"/>
        </w:rPr>
        <w:t xml:space="preserve"> tagging lysosomal markers (LAMP 1) and STING</w:t>
      </w:r>
      <w:r w:rsidR="00001369" w:rsidRPr="00C84445">
        <w:rPr>
          <w:lang w:eastAsia="en-US"/>
        </w:rPr>
        <w:t>,</w:t>
      </w:r>
      <w:r w:rsidR="009159F9" w:rsidRPr="00C84445">
        <w:rPr>
          <w:lang w:eastAsia="en-US"/>
        </w:rPr>
        <w:t xml:space="preserve"> </w:t>
      </w:r>
      <w:proofErr w:type="gramStart"/>
      <w:r w:rsidR="009159F9" w:rsidRPr="00C84445">
        <w:rPr>
          <w:lang w:eastAsia="en-US"/>
        </w:rPr>
        <w:t>it can be seen that STING</w:t>
      </w:r>
      <w:proofErr w:type="gramEnd"/>
      <w:r w:rsidR="009159F9" w:rsidRPr="00C84445">
        <w:rPr>
          <w:lang w:eastAsia="en-US"/>
        </w:rPr>
        <w:t xml:space="preserve"> and GC are contained within swollen </w:t>
      </w:r>
      <w:r w:rsidR="00716948">
        <w:rPr>
          <w:lang w:eastAsia="en-US"/>
        </w:rPr>
        <w:t>intra</w:t>
      </w:r>
      <w:r w:rsidR="009159F9" w:rsidRPr="00C84445">
        <w:rPr>
          <w:lang w:eastAsia="en-US"/>
        </w:rPr>
        <w:t xml:space="preserve">cellular vesicles indicating cell </w:t>
      </w:r>
      <w:r w:rsidR="00C84445" w:rsidRPr="00C84445">
        <w:rPr>
          <w:lang w:eastAsia="en-US"/>
        </w:rPr>
        <w:t>stress</w:t>
      </w:r>
      <w:r w:rsidR="009159F9" w:rsidRPr="00C84445">
        <w:rPr>
          <w:lang w:eastAsia="en-US"/>
        </w:rPr>
        <w:t>.</w:t>
      </w:r>
      <w:r w:rsidR="009159F9">
        <w:rPr>
          <w:lang w:eastAsia="en-US"/>
        </w:rPr>
        <w:t xml:space="preserve"> Through bulk RNA sequencing analysis of wild type and STING </w:t>
      </w:r>
      <w:r w:rsidR="00AD07E0">
        <w:rPr>
          <w:lang w:eastAsia="en-US"/>
        </w:rPr>
        <w:t>knockout (</w:t>
      </w:r>
      <w:r w:rsidR="009159F9">
        <w:rPr>
          <w:lang w:eastAsia="en-US"/>
        </w:rPr>
        <w:t>KO</w:t>
      </w:r>
      <w:r w:rsidR="00AD07E0">
        <w:rPr>
          <w:lang w:eastAsia="en-US"/>
        </w:rPr>
        <w:t>)</w:t>
      </w:r>
      <w:r w:rsidR="009159F9">
        <w:rPr>
          <w:lang w:eastAsia="en-US"/>
        </w:rPr>
        <w:t xml:space="preserve"> mice, an upregulation of lysosomal genes dependent on STING </w:t>
      </w:r>
      <w:r w:rsidR="00AD07E0">
        <w:rPr>
          <w:lang w:eastAsia="en-US"/>
        </w:rPr>
        <w:t>were</w:t>
      </w:r>
      <w:r w:rsidR="009159F9">
        <w:rPr>
          <w:lang w:eastAsia="en-US"/>
        </w:rPr>
        <w:t xml:space="preserve"> detected indicating </w:t>
      </w:r>
      <w:r w:rsidR="008818FF">
        <w:rPr>
          <w:lang w:eastAsia="en-US"/>
        </w:rPr>
        <w:t>immunogenic cell death (</w:t>
      </w:r>
      <w:r w:rsidR="009159F9">
        <w:rPr>
          <w:lang w:eastAsia="en-US"/>
        </w:rPr>
        <w:t>ICD</w:t>
      </w:r>
      <w:r w:rsidR="008818FF">
        <w:rPr>
          <w:lang w:eastAsia="en-US"/>
        </w:rPr>
        <w:t>)</w:t>
      </w:r>
      <w:r w:rsidR="009159F9">
        <w:rPr>
          <w:lang w:eastAsia="en-US"/>
        </w:rPr>
        <w:t xml:space="preserve"> via lysosomal activity is occurring. </w:t>
      </w:r>
      <w:r w:rsidR="00C84445">
        <w:rPr>
          <w:lang w:eastAsia="en-US"/>
        </w:rPr>
        <w:t xml:space="preserve">Furthermore, upregulation of genes associated with the NLRP3 pathway was visualized post GC stimulation indicating cross talk between GC, STING, and NLRP3 pathway ICD. </w:t>
      </w:r>
      <w:r w:rsidRPr="003A30D6">
        <w:rPr>
          <w:lang w:eastAsia="en-US"/>
        </w:rPr>
        <w:t>Visualizing the GC</w:t>
      </w:r>
      <w:r w:rsidR="00AD07E0">
        <w:rPr>
          <w:lang w:eastAsia="en-US"/>
        </w:rPr>
        <w:t>-</w:t>
      </w:r>
      <w:r w:rsidRPr="003A30D6">
        <w:rPr>
          <w:lang w:eastAsia="en-US"/>
        </w:rPr>
        <w:t xml:space="preserve">STING relation is </w:t>
      </w:r>
      <w:r w:rsidR="008818FF">
        <w:rPr>
          <w:lang w:eastAsia="en-US"/>
        </w:rPr>
        <w:t>an important</w:t>
      </w:r>
      <w:r w:rsidRPr="003A30D6">
        <w:rPr>
          <w:lang w:eastAsia="en-US"/>
        </w:rPr>
        <w:t xml:space="preserve"> step in identifying the cellular mechanisms of GC</w:t>
      </w:r>
      <w:r w:rsidR="00AD07E0">
        <w:rPr>
          <w:lang w:eastAsia="en-US"/>
        </w:rPr>
        <w:t xml:space="preserve">, paving the way </w:t>
      </w:r>
      <w:r w:rsidRPr="003A30D6">
        <w:rPr>
          <w:lang w:eastAsia="en-US"/>
        </w:rPr>
        <w:t xml:space="preserve">for further </w:t>
      </w:r>
      <w:r w:rsidR="00AD07E0">
        <w:rPr>
          <w:lang w:eastAsia="en-US"/>
        </w:rPr>
        <w:t xml:space="preserve">understanding of GC’s immunological mechanism and the </w:t>
      </w:r>
      <w:r w:rsidRPr="003A30D6">
        <w:rPr>
          <w:lang w:eastAsia="en-US"/>
        </w:rPr>
        <w:t>optimization of therapeutic applications</w:t>
      </w:r>
      <w:r w:rsidR="00AD07E0">
        <w:rPr>
          <w:lang w:eastAsia="en-US"/>
        </w:rPr>
        <w:t xml:space="preserve"> using GC as an immunostimulant</w:t>
      </w:r>
      <w:r w:rsidRPr="003A30D6">
        <w:rPr>
          <w:lang w:eastAsia="en-US"/>
        </w:rPr>
        <w:t xml:space="preserve">. </w:t>
      </w:r>
    </w:p>
    <w:p w14:paraId="68481FC4" w14:textId="77777777" w:rsidR="003A30D6" w:rsidRPr="003A30D6" w:rsidRDefault="003A30D6" w:rsidP="003A30D6">
      <w:pPr>
        <w:rPr>
          <w:b/>
          <w:bCs/>
          <w:lang w:eastAsia="en-US"/>
        </w:rPr>
      </w:pPr>
    </w:p>
    <w:p w14:paraId="31F7A3FB" w14:textId="3EAE7D4A" w:rsidR="003A30D6" w:rsidRPr="003A30D6" w:rsidRDefault="003A30D6" w:rsidP="003A30D6">
      <w:pPr>
        <w:rPr>
          <w:lang w:eastAsia="en-US"/>
        </w:rPr>
      </w:pPr>
      <w:r w:rsidRPr="003A30D6">
        <w:rPr>
          <w:b/>
          <w:bCs/>
          <w:lang w:eastAsia="en-US"/>
        </w:rPr>
        <w:t xml:space="preserve">Keywords: </w:t>
      </w:r>
      <w:r w:rsidRPr="003A30D6">
        <w:rPr>
          <w:lang w:eastAsia="en-US"/>
        </w:rPr>
        <w:t>N-</w:t>
      </w:r>
      <w:proofErr w:type="spellStart"/>
      <w:r w:rsidRPr="003A30D6">
        <w:rPr>
          <w:lang w:eastAsia="en-US"/>
        </w:rPr>
        <w:t>dihydrogalactochitosan</w:t>
      </w:r>
      <w:proofErr w:type="spellEnd"/>
      <w:r w:rsidRPr="003A30D6">
        <w:rPr>
          <w:lang w:eastAsia="en-US"/>
        </w:rPr>
        <w:t> (Glycated Chitosan, GC), immuno</w:t>
      </w:r>
      <w:r w:rsidR="00AD07E0">
        <w:rPr>
          <w:lang w:eastAsia="en-US"/>
        </w:rPr>
        <w:t>stimulant/</w:t>
      </w:r>
      <w:r w:rsidRPr="003A30D6">
        <w:rPr>
          <w:lang w:eastAsia="en-US"/>
        </w:rPr>
        <w:t>adjuvant,</w:t>
      </w:r>
      <w:r w:rsidR="00C84445">
        <w:rPr>
          <w:lang w:eastAsia="en-US"/>
        </w:rPr>
        <w:t xml:space="preserve"> immunogenic cell death,</w:t>
      </w:r>
      <w:r w:rsidRPr="003A30D6">
        <w:rPr>
          <w:lang w:eastAsia="en-US"/>
        </w:rPr>
        <w:t xml:space="preserve"> dendritic cells, STING, </w:t>
      </w:r>
      <w:r w:rsidR="00C84445">
        <w:rPr>
          <w:lang w:eastAsia="en-US"/>
        </w:rPr>
        <w:t xml:space="preserve">NLRP3, </w:t>
      </w:r>
      <w:r w:rsidRPr="003A30D6">
        <w:rPr>
          <w:lang w:eastAsia="en-US"/>
        </w:rPr>
        <w:t xml:space="preserve">cellular mechanisms. </w:t>
      </w:r>
    </w:p>
    <w:p w14:paraId="17BE7B72" w14:textId="77777777" w:rsidR="00306EAF" w:rsidRDefault="00306EAF" w:rsidP="00306EAF">
      <w:pPr>
        <w:pStyle w:val="Heading1"/>
        <w:sectPr w:rsidR="00306EAF" w:rsidSect="00D96929">
          <w:headerReference w:type="default" r:id="rId10"/>
          <w:footerReference w:type="default" r:id="rId11"/>
          <w:pgSz w:w="12240" w:h="15840"/>
          <w:pgMar w:top="1440" w:right="1440" w:bottom="1440" w:left="1440" w:header="720" w:footer="720" w:gutter="0"/>
          <w:pgNumType w:fmt="lowerRoman" w:start="4"/>
          <w:cols w:space="720"/>
          <w:docGrid w:linePitch="360"/>
        </w:sectPr>
      </w:pPr>
    </w:p>
    <w:p w14:paraId="29139A25" w14:textId="7BCF6C22" w:rsidR="00D44D35" w:rsidRPr="00D44D35" w:rsidRDefault="005D480A" w:rsidP="00306EAF">
      <w:pPr>
        <w:pStyle w:val="Heading1"/>
        <w:rPr>
          <w:lang w:eastAsia="en-US"/>
        </w:rPr>
      </w:pPr>
      <w:bookmarkStart w:id="1" w:name="_Toc165293335"/>
      <w:r>
        <w:lastRenderedPageBreak/>
        <w:t xml:space="preserve">Chapter 1 </w:t>
      </w:r>
      <w:r w:rsidR="00BA705B">
        <w:t>Introduction</w:t>
      </w:r>
      <w:bookmarkEnd w:id="1"/>
    </w:p>
    <w:p w14:paraId="03BED616" w14:textId="37987932" w:rsidR="00D44D35" w:rsidRDefault="00414D39" w:rsidP="007C094D">
      <w:pPr>
        <w:pStyle w:val="Heading2"/>
      </w:pPr>
      <w:bookmarkStart w:id="2" w:name="_Toc165293336"/>
      <w:r>
        <w:t xml:space="preserve">1.1. </w:t>
      </w:r>
      <w:r w:rsidR="00D44D35">
        <w:t xml:space="preserve">Immunoadjuvants </w:t>
      </w:r>
      <w:r w:rsidR="00D92E09">
        <w:t>and Immunostimulants</w:t>
      </w:r>
      <w:bookmarkEnd w:id="2"/>
      <w:r w:rsidR="00D92E09">
        <w:t xml:space="preserve"> </w:t>
      </w:r>
    </w:p>
    <w:p w14:paraId="5F685616" w14:textId="5C566777" w:rsidR="00D92E09" w:rsidRDefault="00D92E09" w:rsidP="00594D25">
      <w:pPr>
        <w:ind w:firstLine="720"/>
      </w:pPr>
      <w:r>
        <w:t xml:space="preserve">Immunostimulants encompass a diverse groups of chemicals that enhance the immune systems </w:t>
      </w:r>
      <w:r w:rsidR="00594D25">
        <w:t xml:space="preserve">or drive specific immune responses </w:t>
      </w:r>
      <w:r>
        <w:t xml:space="preserve">through cellular interactions </w:t>
      </w:r>
      <w:r>
        <w:fldChar w:fldCharType="begin"/>
      </w:r>
      <w:r>
        <w:instrText xml:space="preserve"> ADDIN ZOTERO_ITEM CSL_CITATION {"citationID":"dShlFcCR","properties":{"formattedCitation":"[1]","plainCitation":"[1]","noteIndex":0},"citationItems":[{"id":1425,"uris":["http://zotero.org/users/13277427/items/4789XNBW"],"itemData":{"id":1425,"type":"webpage","title":"Immunostimulant - an overview | ScienceDirect Topics","URL":"https://www.sciencedirect.com/topics/pharmacology-toxicology-and-pharmaceutical-science/immunostimulant","accessed":{"date-parts":[["2024",3,4]]}}}],"schema":"https://github.com/citation-style-language/schema/raw/master/csl-citation.json"} </w:instrText>
      </w:r>
      <w:r>
        <w:fldChar w:fldCharType="separate"/>
      </w:r>
      <w:r>
        <w:rPr>
          <w:noProof/>
        </w:rPr>
        <w:t>[1]</w:t>
      </w:r>
      <w:r>
        <w:fldChar w:fldCharType="end"/>
      </w:r>
      <w:r>
        <w:t xml:space="preserve">. </w:t>
      </w:r>
      <w:r w:rsidR="00A61A05">
        <w:t>The</w:t>
      </w:r>
      <w:r w:rsidR="00E84DBF">
        <w:t>ir</w:t>
      </w:r>
      <w:r w:rsidR="00A61A05">
        <w:t xml:space="preserve"> use can first traced back to 1891 when William B. Coley injected patients biological toxins as a form of cancer therapy </w:t>
      </w:r>
      <w:r w:rsidR="00A61A05">
        <w:fldChar w:fldCharType="begin"/>
      </w:r>
      <w:r w:rsidR="00A61A05">
        <w:instrText xml:space="preserve"> ADDIN ZOTERO_ITEM CSL_CITATION {"citationID":"hUfdw74u","properties":{"formattedCitation":"[2]","plainCitation":"[2]","noteIndex":0},"citationItems":[{"id":1429,"uris":["http://zotero.org/users/13277427/items/E3V4XRIH"],"itemData":{"id":1429,"type":"article-journal","abstract":"In 1891, William B. Coley injected streptococcal organisms into a patient with inoperable cancer. He thought that the infection he produced would have the side effect of shrinking the malignant tumor. He was successful, and this was one of the first examples of immunotherapy. Over the next forty years, as head of the Bone Tumor Service at Memorial Hospital in New York, Coley injected more than 1000 cancer patients with bacteria or bacterial products. These products became known as Coley's Toxins. He and other doctors who used them reported excellent results, especially in bone and soft-tissue sarcomas., Despite his reported good results, Coley's Toxins came under a great deal of criticism because many doctors did not believe his results. This criticism, along with the development of radiation therapy and chemotherapy, caused Coley's Toxins to gradually disappear from use. However, the modern science of immunology has shown that Coley's principles were correct and that some cancers are sensitive to an enhanced immune system. Because research is very active in this field, William B. Coley, a bone sarcoma surgeon, deserves the title \"Father of Immunotherapy.\"","container-title":"The Iowa Orthopaedic Journal","ISSN":"1541-5457","journalAbbreviation":"Iowa Orthop J","note":"PMID: 16789469\nPMCID: PMC1888599","page":"154-158","source":"PubMed Central","title":"The Toxins of William B. Coley and the Treatment of Bone and Soft-Tissue Sarcomas","volume":"26","author":[{"family":"McCarthy","given":"Edward F"}],"issued":{"date-parts":[["2006"]]}}}],"schema":"https://github.com/citation-style-language/schema/raw/master/csl-citation.json"} </w:instrText>
      </w:r>
      <w:r w:rsidR="00A61A05">
        <w:fldChar w:fldCharType="separate"/>
      </w:r>
      <w:r w:rsidR="00A61A05">
        <w:rPr>
          <w:noProof/>
        </w:rPr>
        <w:t>[2]</w:t>
      </w:r>
      <w:r w:rsidR="00A61A05">
        <w:fldChar w:fldCharType="end"/>
      </w:r>
      <w:r w:rsidR="00A61A05">
        <w:t xml:space="preserve">. His treatment was successful in shrinking malignant tumors and this become one of the first examples of immunotherapy. </w:t>
      </w:r>
      <w:r w:rsidR="00271CA8">
        <w:t xml:space="preserve">There are various types of immunostimulants ranging from </w:t>
      </w:r>
      <w:r w:rsidR="00271CA8" w:rsidRPr="00271CA8">
        <w:t>natural compounds</w:t>
      </w:r>
      <w:r w:rsidR="00271CA8">
        <w:t xml:space="preserve"> to</w:t>
      </w:r>
      <w:r w:rsidR="00271CA8" w:rsidRPr="00271CA8">
        <w:t xml:space="preserve"> synthetic drugs</w:t>
      </w:r>
      <w:r w:rsidR="00271CA8">
        <w:t xml:space="preserve"> </w:t>
      </w:r>
      <w:r w:rsidR="00271CA8" w:rsidRPr="00271CA8">
        <w:t>and vaccines</w:t>
      </w:r>
      <w:r w:rsidR="00271CA8">
        <w:t xml:space="preserve">. </w:t>
      </w:r>
      <w:r w:rsidR="00594D25">
        <w:t xml:space="preserve">Their overall goal is to strengthen the body’s immune response. </w:t>
      </w:r>
      <w:r w:rsidR="00411F4E">
        <w:t xml:space="preserve">Their primary mechanism </w:t>
      </w:r>
      <w:r w:rsidR="00411F4E" w:rsidRPr="009D4467">
        <w:t>involves the activation of key immune cells, notably macrophages and dendritic cells, thus orchestrating a cascade of immunological events</w:t>
      </w:r>
      <w:r w:rsidR="00411F4E">
        <w:t xml:space="preserve"> that resulted in an overall heightened immune response. This is beneficials for health conditions where the immune responses </w:t>
      </w:r>
      <w:proofErr w:type="gramStart"/>
      <w:r w:rsidR="00411F4E">
        <w:t>is</w:t>
      </w:r>
      <w:proofErr w:type="gramEnd"/>
      <w:r w:rsidR="00411F4E">
        <w:t xml:space="preserve"> essential such as infections and cancer malignancies.</w:t>
      </w:r>
    </w:p>
    <w:p w14:paraId="0050E991" w14:textId="185EAB11" w:rsidR="00293757" w:rsidRDefault="00F4671E" w:rsidP="00676568">
      <w:pPr>
        <w:ind w:firstLine="720"/>
      </w:pPr>
      <w:r>
        <w:t>I</w:t>
      </w:r>
      <w:r w:rsidR="00D44D35" w:rsidRPr="00D44D35">
        <w:t xml:space="preserve">mmunoadjuvants </w:t>
      </w:r>
      <w:r w:rsidR="00594D25">
        <w:t xml:space="preserve">are a subcategory within immunostimulants that </w:t>
      </w:r>
      <w:r w:rsidR="00293757" w:rsidRPr="009D4467">
        <w:t xml:space="preserve">stand as </w:t>
      </w:r>
      <w:r w:rsidR="00293757">
        <w:t>vital elements</w:t>
      </w:r>
      <w:r w:rsidR="00293757" w:rsidRPr="009D4467">
        <w:t xml:space="preserve"> within vaccine formulations</w:t>
      </w:r>
      <w:r w:rsidR="00293757">
        <w:t xml:space="preserve">. Immunoadjuvants </w:t>
      </w:r>
      <w:r w:rsidR="00DD53C1">
        <w:t xml:space="preserve">are substances that serve to enhance the immune response in conjugation with specific vaccine antigens </w:t>
      </w:r>
      <w:r w:rsidR="00DD53C1">
        <w:fldChar w:fldCharType="begin"/>
      </w:r>
      <w:r w:rsidR="00757DBE">
        <w:instrText xml:space="preserve"> ADDIN ZOTERO_ITEM CSL_CITATION {"citationID":"M7GIq80l","properties":{"formattedCitation":"[3]","plainCitation":"[3]","noteIndex":0},"citationItems":[{"id":"qmqyikfm/tCcxwc1y","uris":["http://zotero.org/users/13277427/items/EGDC9Q4Q"],"itemData":{"id":1397,"type":"webpage","title":"Immunological Adjuvant - an overview | ScienceDirect Topics","URL":"https://www.sciencedirect.com/topics/medicine-and-dentistry/immunological-adjuvant","accessed":{"date-parts":[["2024",1,7]]}}}],"schema":"https://github.com/citation-style-language/schema/raw/master/csl-citation.json"} </w:instrText>
      </w:r>
      <w:r w:rsidR="00DD53C1">
        <w:fldChar w:fldCharType="separate"/>
      </w:r>
      <w:r w:rsidR="00A61A05">
        <w:rPr>
          <w:noProof/>
        </w:rPr>
        <w:t>[3]</w:t>
      </w:r>
      <w:r w:rsidR="00DD53C1">
        <w:fldChar w:fldCharType="end"/>
      </w:r>
      <w:r w:rsidR="00DD53C1">
        <w:t xml:space="preserve">. They </w:t>
      </w:r>
      <w:r w:rsidR="00DD53C1" w:rsidRPr="00D44D35">
        <w:t>represent</w:t>
      </w:r>
      <w:r w:rsidR="00D44D35" w:rsidRPr="00D44D35">
        <w:t xml:space="preserve"> essential components within immunotherapy and vaccine development, serving to augment the body's immune response toward specific antigens.</w:t>
      </w:r>
      <w:r w:rsidR="00293757" w:rsidRPr="009D4467">
        <w:t xml:space="preserve"> </w:t>
      </w:r>
      <w:r w:rsidR="00293757">
        <w:t xml:space="preserve">Their use can be traced as far back as the 1920s when veterinarian </w:t>
      </w:r>
      <w:r w:rsidR="00293757" w:rsidRPr="008D6EB5">
        <w:t>Gaston Ramon</w:t>
      </w:r>
      <w:r w:rsidR="00293757">
        <w:t xml:space="preserve"> demonstrated that the addition of specific substances to </w:t>
      </w:r>
      <w:r w:rsidR="00293757" w:rsidRPr="008D6EB5">
        <w:t>diphtheria toxoid</w:t>
      </w:r>
      <w:r w:rsidR="00293757">
        <w:t xml:space="preserve"> vaccine lead to an increased formation on antibodies in response to the vaccine and local inflammation indicating increased immune activity </w:t>
      </w:r>
      <w:r w:rsidR="00293757">
        <w:fldChar w:fldCharType="begin"/>
      </w:r>
      <w:r w:rsidR="00A3379A">
        <w:instrText xml:space="preserve"> ADDIN ZOTERO_ITEM CSL_CITATION {"citationID":"GZKXoCQA","properties":{"formattedCitation":"[4], [5]","plainCitation":"[4], [5]","noteIndex":0},"citationItems":[{"id":1419,"uris":["http://zotero.org/users/13277427/items/PHKHV98H"],"itemData":{"id":1419,"type":"article-journal","abstract":"Vaccination is a groundbreaking approach in preventing and controlling infectious diseases. However, the effectiveness of vaccines can be greatly enhanced by the inclusion of adjuvants, which are substances that potentiate and modulate the immune response. This review is based on extensive searches in reputable databases such as Web of Science, PubMed, EMBASE, Scopus, and Google Scholar. The goal of this review is to provide a thorough analysis of the advances in the field of adjuvant research, to trace the evolution, and to understand the effects of the various adjuvants. Historically, alum was the pioneer in the field of adjuvants because it was the first to be approved for use in humans. It served as the foundation for subsequent research and innovation in the field. As science progressed, research shifted to identifying and exploiting the potential of newer adjuvants. One important area of interest is nano formulations. These advanced adjuvants have special properties that can be tailored to enhance the immune response to vaccines. The transition from traditional alum-based adjuvants to nano formulations is indicative of the dynamism and potential of vaccine research. Innovations in adjuvant research, particularly the development of nano formulations, are a promising step toward improving vaccine efficacy and safety. These advances have the potential to redefine the boundaries of vaccination and potentially expand the range of diseases that can be addressed with this approach. There is an optimistic view of the future in which improved vaccine formulations will contribute significantly to improving global health outcomes.","container-title":"Vaccines","DOI":"10.3390/vaccines11111704","ISSN":"2076-393X","issue":"11","journalAbbreviation":"Vaccines","language":"en","page":"1704","source":"DOI.org (Crossref)","title":"Advancements in Vaccine Adjuvants: The Journey from Alum to Nano Formulations","title-short":"Advancements in Vaccine Adjuvants","volume":"11","author":[{"family":"Moni","given":"Sivakumar S."},{"family":"Abdelwahab","given":"Siddig Ibrahim"},{"family":"Jabeen","given":"Aamena"},{"family":"Elmobark","given":"Mohamed Eltaib"},{"family":"Aqaili","given":"Duaa"},{"family":"Ghoal","given":"Gassem"},{"family":"Oraibi","given":"Bassem"},{"family":"Farasani","given":"Abdulla Mohammed"},{"family":"Jerah","given":"Ahmed Ali"},{"family":"Alnajai","given":"Mahdi Mohammed A."},{"family":"Mohammad Alowayni","given":"Abdul Majeed Hamad"}],"issued":{"date-parts":[["2023",11,9]]}}},{"id":1414,"uris":["http://zotero.org/users/13277427/items/P3DE23EU"],"itemData":{"id":1414,"type":"article-journal","abstract":"Novel vaccine strategies include the so-called subunit vaccines, which encompass only the part of the pathogen to which immune recognition results in protection. The high purity of these vaccines make adverse events less likely, but it also makes the vaccines less immunogenic and therefore potentially less effective. Vaccine adjuvants that increase and modulate the immunogenicity of the vaccine are therefore added to solve this problem. Besides aluminum salts, which have been used in vaccines for 90 years, a number of novel vaccine adjuvants have been included in licensed vaccines over the last 30 years. Increasing insight into immunological mechanisms and how to manipulate them has replaced empirical with rational design of adjuvants, leading to vaccine adjuvants with increased and customized immunogenicity profiles without compromising vaccine safety.","container-title":"Human Vaccines &amp; Immunotherapeutics","DOI":"10.1080/21645515.2016.1219003","ISSN":"2164-5515","issue":"10","journalAbbreviation":"Hum Vaccin Immunother","note":"PMID: 27551808\nPMCID: PMC5084984","page":"2709-2711","source":"PubMed Central","title":"Vaccine adjuvants: Why and how","title-short":"Vaccine adjuvants","volume":"12","author":[{"family":"Christensen","given":"Dennis"}],"issued":{"date-parts":[["2016",8,23]]}}}],"schema":"https://github.com/citation-style-language/schema/raw/master/csl-citation.json"} </w:instrText>
      </w:r>
      <w:r w:rsidR="00293757">
        <w:fldChar w:fldCharType="separate"/>
      </w:r>
      <w:r w:rsidR="00A3379A">
        <w:rPr>
          <w:noProof/>
        </w:rPr>
        <w:t>[4], [5]</w:t>
      </w:r>
      <w:r w:rsidR="00293757">
        <w:fldChar w:fldCharType="end"/>
      </w:r>
      <w:r w:rsidR="00293757">
        <w:t xml:space="preserve">. </w:t>
      </w:r>
      <w:r w:rsidR="00293757" w:rsidRPr="009D4467">
        <w:t>Distinguished by their diverse compositions, including aluminum salts (such as alum), oil-in-water emulsions, liposomes, and certain bacterial derivatives, these agents play a fundamental role in fortifying the efficacy of vaccines</w:t>
      </w:r>
      <w:r w:rsidR="00293757">
        <w:t xml:space="preserve"> </w:t>
      </w:r>
      <w:r w:rsidR="00293757">
        <w:fldChar w:fldCharType="begin"/>
      </w:r>
      <w:r w:rsidR="00A3379A">
        <w:instrText xml:space="preserve"> ADDIN ZOTERO_ITEM CSL_CITATION {"citationID":"pSQ4US42","properties":{"formattedCitation":"[6]","plainCitation":"[6]","noteIndex":0},"citationItems":[{"id":1401,"uris":["http://zotero.org/users/13277427/items/4BBBI5DR"],"itemData":{"id":1401,"type":"webpage","abstract":"Vaccine adjuvants boost a person's immune response, providing better protection against disease. Learn which vaccines have them, and how they're monitored for safety by CDC.","language":"en-us","title":"Adjuvants and Vaccines | Vaccine Safety | CDC","URL":"https://www.cdc.gov/vaccinesafety/concerns/adjuvants.html","accessed":{"date-parts":[["2024",1,7]]},"issued":{"date-parts":[["2022",9,27]]}}}],"schema":"https://github.com/citation-style-language/schema/raw/master/csl-citation.json"} </w:instrText>
      </w:r>
      <w:r w:rsidR="00293757">
        <w:fldChar w:fldCharType="separate"/>
      </w:r>
      <w:r w:rsidR="00A3379A">
        <w:rPr>
          <w:noProof/>
        </w:rPr>
        <w:t>[6]</w:t>
      </w:r>
      <w:r w:rsidR="00293757">
        <w:fldChar w:fldCharType="end"/>
      </w:r>
      <w:r w:rsidR="00293757">
        <w:t xml:space="preserve">, </w:t>
      </w:r>
      <w:r w:rsidR="00293757">
        <w:fldChar w:fldCharType="begin"/>
      </w:r>
      <w:r w:rsidR="00293757">
        <w:instrText xml:space="preserve"> ADDIN ZOTERO_ITEM CSL_CITATION {"citationID":"uFgga9IV","properties":{"formattedCitation":"[7]","plainCitation":"[7]","noteIndex":0},"citationItems":[{"id":1411,"uris":["http://zotero.org/users/13277427/items/LI5HCFE8"],"itemData":{"id":1411,"type":"webpage","title":"Immunological Adjuvant - an overview | ScienceDirect Topics","URL":"https://www.sciencedirect.com/topics/medicine-and-dentistry/immunological-adjuvant","accessed":{"date-parts":[["2024",1,9]]}}}],"schema":"https://github.com/citation-style-language/schema/raw/master/csl-citation.json"} </w:instrText>
      </w:r>
      <w:r w:rsidR="00293757">
        <w:fldChar w:fldCharType="separate"/>
      </w:r>
      <w:r w:rsidR="00293757">
        <w:rPr>
          <w:noProof/>
        </w:rPr>
        <w:t>[7]</w:t>
      </w:r>
      <w:r w:rsidR="00293757">
        <w:fldChar w:fldCharType="end"/>
      </w:r>
      <w:r w:rsidR="00293757" w:rsidRPr="009D4467">
        <w:t xml:space="preserve">. Their mechanism </w:t>
      </w:r>
      <w:r w:rsidR="00411F4E">
        <w:t xml:space="preserve">is </w:t>
      </w:r>
      <w:proofErr w:type="gramStart"/>
      <w:r w:rsidR="00411F4E">
        <w:t>similar to</w:t>
      </w:r>
      <w:proofErr w:type="gramEnd"/>
      <w:r w:rsidR="00411F4E">
        <w:t xml:space="preserve"> immunostimulants in that APCs are recruited </w:t>
      </w:r>
      <w:r w:rsidR="00293757" w:rsidRPr="009D4467">
        <w:t>culminat</w:t>
      </w:r>
      <w:r w:rsidR="00411F4E">
        <w:t>ing</w:t>
      </w:r>
      <w:r w:rsidR="00293757" w:rsidRPr="009D4467">
        <w:t xml:space="preserve"> in an amplified and sustained immune reaction. This </w:t>
      </w:r>
      <w:r w:rsidR="00411F4E">
        <w:t>enhanced</w:t>
      </w:r>
      <w:r w:rsidR="00293757" w:rsidRPr="009D4467">
        <w:t xml:space="preserve"> response allows for increased vaccine efficiency by necessitating smaller antigen quantities, a critical advantage in vaccine production and distribution, particularly in resource-constrained settings or during disease outbreaks. </w:t>
      </w:r>
      <w:r w:rsidR="00D44D35" w:rsidRPr="00D44D35">
        <w:t>Their utilization represents a crucial facet of both vaccine design and therapeutic strategies aimed at empowering the body's defenses against various diseases.</w:t>
      </w:r>
    </w:p>
    <w:p w14:paraId="65CACCF6" w14:textId="36C39F9D" w:rsidR="00293757" w:rsidRPr="00E47798" w:rsidRDefault="00E47798" w:rsidP="00E47798">
      <w:pPr>
        <w:ind w:firstLine="720"/>
      </w:pPr>
      <w:r w:rsidRPr="00E47798">
        <w:t xml:space="preserve">Immunostimulants and immunoadjuvants have emerged as promising cancer therapies. Their </w:t>
      </w:r>
      <w:r w:rsidR="00BF3FC9">
        <w:t xml:space="preserve">desirability compared to other treatment modalities </w:t>
      </w:r>
      <w:r w:rsidRPr="00E47798">
        <w:t>is rooted in their ability to amplify the body’s natural defenses against various diseases, including cancer. The use of these agents has been instrumental in enhancing the effectiveness of vaccines and immunotherapies, reducing the required antigen doses, and thereby mitigating potential side effects. Furthermore, advancements in biotechnology and molecular biology have facilitated the development of highly specific and targeted agents, optimizing their efficacy while minimizing adverse reactions </w:t>
      </w:r>
      <w:r>
        <w:fldChar w:fldCharType="begin"/>
      </w:r>
      <w:r w:rsidR="000E5790">
        <w:instrText xml:space="preserve"> ADDIN ZOTERO_ITEM CSL_CITATION {"citationID":"JXUYS0Ej","properties":{"formattedCitation":"[8]","plainCitation":"[8]","noteIndex":0},"citationItems":[{"id":1455,"uris":["http://zotero.org/users/13277427/items/9IZ348LH"],"itemData":{"id":1455,"type":"webpage","abstract":"Challenges and State of the Art: The advanced stage patient   \n\nWith 2-year OS of &lt; 15 %, the prognosis of patients with advanced lung cancer has been invariably poor for decades, irrespective of the chemotherapy that was combined with platinum compounds, as Jürgen Wolf, MD, Department of Internal Medicine I, University Hospital of","container-title":"memoinOncology","language":"en-US","title":"Challenges and State of the Art: The advanced stage patient","title-short":"Challenges and State of the Art","URL":"https://memoinoncology.com/preceptorship-cologne-2018/challenges-and-state-of-the-art-the-advanced-stage-patient/","author":[{"family":"admin","given":""}],"accessed":{"date-parts":[["2024",3,10]]},"issued":{"date-parts":[["2020",4,20]]}}}],"schema":"https://github.com/citation-style-language/schema/raw/master/csl-citation.json"} </w:instrText>
      </w:r>
      <w:r>
        <w:fldChar w:fldCharType="separate"/>
      </w:r>
      <w:r w:rsidR="000E5790">
        <w:rPr>
          <w:noProof/>
        </w:rPr>
        <w:t>[8]</w:t>
      </w:r>
      <w:r>
        <w:fldChar w:fldCharType="end"/>
      </w:r>
      <w:r w:rsidRPr="00E47798">
        <w:t>. As research continues to unfold, the intricate dynamics between these agents and the immune system are expected to offer novel insights, potentially paving the way for innovative therapeutic strategies that are both effective and safe.</w:t>
      </w:r>
    </w:p>
    <w:p w14:paraId="43652280" w14:textId="77777777" w:rsidR="00243321" w:rsidRDefault="00243321" w:rsidP="008D6EB5"/>
    <w:p w14:paraId="09B162BC" w14:textId="313D71FC" w:rsidR="000E6793" w:rsidRDefault="001B5AFC" w:rsidP="001B5AFC">
      <w:pPr>
        <w:pStyle w:val="Heading2"/>
      </w:pPr>
      <w:bookmarkStart w:id="3" w:name="_Toc165293337"/>
      <w:r>
        <w:lastRenderedPageBreak/>
        <w:t xml:space="preserve">1.2. </w:t>
      </w:r>
      <w:r w:rsidR="00293757">
        <w:t>Immunos</w:t>
      </w:r>
      <w:r w:rsidR="00D251BB">
        <w:t>timulants</w:t>
      </w:r>
      <w:r w:rsidR="00D44D35">
        <w:t xml:space="preserve"> </w:t>
      </w:r>
      <w:r w:rsidR="001C21A2">
        <w:t>in</w:t>
      </w:r>
      <w:r w:rsidR="00D44D35">
        <w:t xml:space="preserve"> Cancer Therapy</w:t>
      </w:r>
      <w:bookmarkEnd w:id="3"/>
      <w:r w:rsidR="00D44D35">
        <w:t xml:space="preserve"> </w:t>
      </w:r>
    </w:p>
    <w:p w14:paraId="0986569D" w14:textId="59EFA04B" w:rsidR="001C2D71" w:rsidRDefault="001C2D71" w:rsidP="000E5790">
      <w:pPr>
        <w:ind w:firstLine="720"/>
      </w:pPr>
      <w:r>
        <w:t xml:space="preserve">Cancer is a condition characterized by the uncontrolled proliferation of abnormal cells, with various forms that can manifest throughout the body. </w:t>
      </w:r>
      <w:r w:rsidR="000E5790" w:rsidRPr="000E5790">
        <w:t>Its diverse forms—ranging from solid tumors to hematologic malignancies—can manifest throughout the body</w:t>
      </w:r>
      <w:r w:rsidR="000E5790">
        <w:t xml:space="preserve"> </w:t>
      </w:r>
      <w:r>
        <w:fldChar w:fldCharType="begin"/>
      </w:r>
      <w:r w:rsidR="000E5790">
        <w:instrText xml:space="preserve"> ADDIN ZOTERO_ITEM CSL_CITATION {"citationID":"46Q75i8s","properties":{"formattedCitation":"[9]","plainCitation":"[9]","noteIndex":0},"citationItems":[{"id":1300,"uris":["http://zotero.org/users/local/j1iLDkMj/items/C5QVJUYY","http://zotero.org/users/13277427/items/C5QVJUYY"],"itemData":{"id":1300,"type":"webpage","abstract":"Explanations about what cancer is, how cancer cells differ from normal cells, and genetic changes that cause cancer to grow and spread.","genre":"cgvArticle","language":"en","note":"archive_location: nciglobal,ncienterprise","title":"What Is Cancer? - NCI","title-short":"What Is Cancer?","URL":"https://www.cancer.gov/about-cancer/understanding/what-is-cancer","accessed":{"date-parts":[["2023",10,3]]},"issued":{"date-parts":[["2007",9,17]]}}}],"schema":"https://github.com/citation-style-language/schema/raw/master/csl-citation.json"} </w:instrText>
      </w:r>
      <w:r>
        <w:fldChar w:fldCharType="separate"/>
      </w:r>
      <w:r w:rsidR="000E5790">
        <w:rPr>
          <w:noProof/>
        </w:rPr>
        <w:t>[9]</w:t>
      </w:r>
      <w:r>
        <w:fldChar w:fldCharType="end"/>
      </w:r>
      <w:r>
        <w:t>.</w:t>
      </w:r>
      <w:r w:rsidR="000E5790" w:rsidRPr="000E5790">
        <w:t> </w:t>
      </w:r>
      <w:r>
        <w:t>When cancer metastasizes or spreads, it frequently becomes life-threatening.</w:t>
      </w:r>
      <w:r w:rsidR="005D0BEF">
        <w:t xml:space="preserve"> Metastasis accounts for over 90% of cancer-related deaths </w:t>
      </w:r>
      <w:r w:rsidR="005D0BEF">
        <w:fldChar w:fldCharType="begin"/>
      </w:r>
      <w:r w:rsidR="005D0BEF">
        <w:instrText xml:space="preserve"> ADDIN ZOTERO_ITEM CSL_CITATION {"citationID":"2tZv2upB","properties":{"formattedCitation":"[10]","plainCitation":"[10]","noteIndex":0},"citationItems":[{"id":1503,"uris":["http://zotero.org/users/13277427/items/JFUAWRU3"],"itemData":{"id":1503,"type":"article-journal","abstract":"Despite being the hallmark of cancer that is responsible for the highest number of deaths, very little is known about the biology of metastasis. Metastatic disease typically manifests after a protracted period of undetectable disease following surgery or systemic therapy, owing to relapse or recurrence. In the case of breast cancer, metastatic relapse can occur months to decades after initial diagnosis and treatment. In this review, we provide an overview of the known key factors that influence metastatic recurrence, with the goal of highlighting the critical unanswered questions that still need to be addressed to make a difference in the mortality of breast cancer patients.","container-title":"British Journal of Cancer","DOI":"10.1038/s41416-020-01161-4","ISSN":"1532-1827","issue":"1","journalAbbreviation":"Br J Cancer","language":"en","license":"2020 The Author(s)","note":"publisher: Nature Publishing Group","page":"13-26","source":"www.nature.com","title":"The lingering mysteries of metastatic recurrence in breast cancer","volume":"124","author":[{"family":"Riggio","given":"Alessandra I."},{"family":"Varley","given":"Katherine E."},{"family":"Welm","given":"Alana L."}],"issued":{"date-parts":[["2021",1]]}}}],"schema":"https://github.com/citation-style-language/schema/raw/master/csl-citation.json"} </w:instrText>
      </w:r>
      <w:r w:rsidR="005D0BEF">
        <w:fldChar w:fldCharType="separate"/>
      </w:r>
      <w:r w:rsidR="005D0BEF">
        <w:rPr>
          <w:noProof/>
        </w:rPr>
        <w:t>[10]</w:t>
      </w:r>
      <w:r w:rsidR="005D0BEF">
        <w:fldChar w:fldCharType="end"/>
      </w:r>
      <w:r w:rsidR="005D0BEF">
        <w:t xml:space="preserve">. </w:t>
      </w:r>
      <w:r>
        <w:t xml:space="preserve">In response to this challenge, a range of cancer treatments has been developed, including surgery, chemotherapy, </w:t>
      </w:r>
      <w:r w:rsidR="00B82481">
        <w:t xml:space="preserve">and </w:t>
      </w:r>
      <w:r>
        <w:t>radiation therapy.</w:t>
      </w:r>
      <w:r w:rsidR="000843E3">
        <w:t xml:space="preserve"> However, many of these conventional therapies neglect to aid the patient’s immune system in its antitumor defense, thereby limiting its efficacy. This is where immunotherapies have shown promise in changing the field of cancer therapeutics. </w:t>
      </w:r>
    </w:p>
    <w:p w14:paraId="53D3B671" w14:textId="35357CC2" w:rsidR="00567B67" w:rsidRDefault="001C2D71" w:rsidP="00FA2E88">
      <w:pPr>
        <w:ind w:firstLine="720"/>
      </w:pPr>
      <w:r>
        <w:t>Surgery is commonly employed when a tumor is a compact mass that can be excised with sufficient margins</w:t>
      </w:r>
      <w:r w:rsidR="00C10D1F">
        <w:t xml:space="preserve"> </w:t>
      </w:r>
      <w:r w:rsidR="00C10D1F">
        <w:fldChar w:fldCharType="begin"/>
      </w:r>
      <w:r w:rsidR="00C10D1F">
        <w:instrText xml:space="preserve"> ADDIN ZOTERO_ITEM CSL_CITATION {"citationID":"W87iXP3j","properties":{"formattedCitation":"[11]","plainCitation":"[11]","noteIndex":0},"citationItems":[{"id":1505,"uris":["http://zotero.org/users/13277427/items/SV5V9QFG"],"itemData":{"id":1505,"type":"webpage","abstract":"Surgery, when used to treat cancer, is a procedure in which a surgeon removes cancer from your body. Learn how surgery is performed and different types of surgery.","genre":"cgvArticle","language":"en","note":"archive_location: nciglobal,ncienterprise","title":"Surgery for Cancer - NCI","URL":"https://www.cancer.gov/about-cancer/treatment/types/surgery","accessed":{"date-parts":[["2024",3,12]]},"issued":{"date-parts":[["2015",4,29]]}}}],"schema":"https://github.com/citation-style-language/schema/raw/master/csl-citation.json"} </w:instrText>
      </w:r>
      <w:r w:rsidR="00C10D1F">
        <w:fldChar w:fldCharType="separate"/>
      </w:r>
      <w:r w:rsidR="00C10D1F">
        <w:rPr>
          <w:noProof/>
        </w:rPr>
        <w:t>[11]</w:t>
      </w:r>
      <w:r w:rsidR="00C10D1F">
        <w:fldChar w:fldCharType="end"/>
      </w:r>
      <w:r>
        <w:t>. Nonetheless, complete removal is</w:t>
      </w:r>
      <w:r w:rsidR="007C094D">
        <w:t xml:space="preserve"> not</w:t>
      </w:r>
      <w:r>
        <w:t xml:space="preserve"> always feasible due to factors such as tumor location, size, or metastasis. In such cases, chemotherapy and radiation therapy come into play. </w:t>
      </w:r>
      <w:r w:rsidR="008723B7" w:rsidRPr="008723B7">
        <w:t>Chemotherapy involves administering powerful drugs to target and destroy rapidly dividing cancer cells throughout the body</w:t>
      </w:r>
      <w:r w:rsidR="00FA2E88">
        <w:t xml:space="preserve"> </w:t>
      </w:r>
      <w:r w:rsidR="00FA2E88">
        <w:fldChar w:fldCharType="begin"/>
      </w:r>
      <w:r w:rsidR="00FA2E88">
        <w:instrText xml:space="preserve"> ADDIN ZOTERO_ITEM CSL_CITATION {"citationID":"ZSgCnhek","properties":{"formattedCitation":"[12]","plainCitation":"[12]","noteIndex":0},"citationItems":[{"id":1507,"uris":["http://zotero.org/users/13277427/items/VAQURU3C"],"itemData":{"id":1507,"type":"webpage","abstract":"Chemotherapy works by killing cancer cells and has different effects on different types of cancer. You might have a combination of different chemotherapy drugs.","language":"en","title":"How chemotherapy works","URL":"https://www.cancerresearchuk.org/about-cancer/treatment/chemotherapy/how-chemotherapy-works","accessed":{"date-parts":[["2024",3,12]]}}}],"schema":"https://github.com/citation-style-language/schema/raw/master/csl-citation.json"} </w:instrText>
      </w:r>
      <w:r w:rsidR="00FA2E88">
        <w:fldChar w:fldCharType="separate"/>
      </w:r>
      <w:r w:rsidR="00FA2E88">
        <w:rPr>
          <w:noProof/>
        </w:rPr>
        <w:t>[12]</w:t>
      </w:r>
      <w:r w:rsidR="00FA2E88">
        <w:fldChar w:fldCharType="end"/>
      </w:r>
      <w:r w:rsidR="008723B7" w:rsidRPr="008723B7">
        <w:t xml:space="preserve">. Unfortunately, this approach lacks specificity, affecting healthy cells alongside malignant ones. Consequently, patients often experience systemic side effects such as nausea, hair loss, and compromised immune function. Moreover, chemotherapy’s efficacy varies, and </w:t>
      </w:r>
      <w:r w:rsidR="00F4671E">
        <w:t>complete control of tumors</w:t>
      </w:r>
      <w:r w:rsidR="008723B7" w:rsidRPr="008723B7">
        <w:t xml:space="preserve"> remains</w:t>
      </w:r>
      <w:r w:rsidR="00F4671E">
        <w:t xml:space="preserve"> attainable</w:t>
      </w:r>
      <w:r w:rsidR="008723B7" w:rsidRPr="008723B7">
        <w:t>.</w:t>
      </w:r>
      <w:r w:rsidR="00FA2E88">
        <w:t xml:space="preserve"> </w:t>
      </w:r>
      <w:r w:rsidR="00FC582E" w:rsidRPr="00FC582E">
        <w:t>Radiation therapy, on the other hand, employs high-energy radiation beams to kill cancer cells or slow their growth</w:t>
      </w:r>
      <w:r w:rsidR="004E2975">
        <w:t xml:space="preserve"> </w:t>
      </w:r>
      <w:r w:rsidR="004E2975">
        <w:fldChar w:fldCharType="begin"/>
      </w:r>
      <w:r w:rsidR="004E2975">
        <w:instrText xml:space="preserve"> ADDIN ZOTERO_ITEM CSL_CITATION {"citationID":"HpOUnZbi","properties":{"formattedCitation":"[13]","plainCitation":"[13]","noteIndex":0},"citationItems":[{"id":1628,"uris":["http://zotero.org/users/13277427/items/RZH8T7T2"],"itemData":{"id":1628,"type":"article-journal","abstract":"Radiation therapy (RT) continues to play an important role in the treatment of cancer. Adaptive RT (ART) is a novel method through which RT treatments are evolving. With the ART approach, computed tomography or magnetic resonance (MR) images are obtained as part of the treatment delivery process. This enables the adaptation of the irradiated volume to account for changes in organ and/or tumor position, movement, size, or shape that may occur over the course of treatment. The advantages and challenges of ART maybe somewhat abstract to oncologists and clinicians outside of the specialty of radiation oncology. ART is positioned to affect many different types of cancer. There is a wide spectrum of hypothesized benefits, from small toxicity improvements to meaningful gains in overall survival. The use and application of this novel technology should be understood by the oncologic community at large, such that it can be appropriately contextualized within the landscape of cancer therapies. Likewise, the need to test these advances is pressing. MR-guided ART (MRgART) is an emerging, extended modality of ART that expands upon and further advances the capabilities of ART. MRgART presents unique opportunities to iteratively improve adaptive image guidance. However, although the MRgART adaptive process advances ART to previously unattained levels, it can be more expensive, time-consuming, and complex. In this review, the authors present an overview for clinicians describing the process of ART and specifically MRgART.","container-title":"CA: A Cancer Journal for Clinicians","DOI":"10.3322/caac.21707","ISSN":"1542-4863","issue":"1","language":"en","license":"© 2021 The Authors. CA: A Cancer Journal for Clinicians published by Wiley Periodicals LLC on behalf of American Cancer Society","note":"_eprint: https://onlinelibrary.wiley.com/doi/pdf/10.3322/caac.21707","page":"34-56","source":"Wiley Online Library","title":"Magnetic resonance linear accelerator technology and adaptive radiation therapy: An overview for clinicians","title-short":"Magnetic resonance linear accelerator technology and adaptive radiation therapy","volume":"72","author":[{"family":"Hall","given":"William A."},{"family":"Paulson","given":"Eric"},{"family":"Li","given":"X. Allen"},{"family":"Erickson","given":"Beth"},{"family":"Schultz","given":"Christopher"},{"family":"Tree","given":"Alison"},{"family":"Awan","given":"Musaddiq"},{"family":"Low","given":"Daniel A."},{"family":"McDonald","given":"Brigid A."},{"family":"Salzillo","given":"Travis"},{"family":"Glide-Hurst","given":"Carri K."},{"family":"Kishan","given":"Amar U."},{"family":"Fuller","given":"Clifton D."}],"issued":{"date-parts":[["2022"]]}}}],"schema":"https://github.com/citation-style-language/schema/raw/master/csl-citation.json"} </w:instrText>
      </w:r>
      <w:r w:rsidR="004E2975">
        <w:fldChar w:fldCharType="separate"/>
      </w:r>
      <w:r w:rsidR="004E2975">
        <w:rPr>
          <w:noProof/>
        </w:rPr>
        <w:t>[13]</w:t>
      </w:r>
      <w:r w:rsidR="004E2975">
        <w:fldChar w:fldCharType="end"/>
      </w:r>
      <w:r w:rsidR="00FC582E" w:rsidRPr="00FC582E">
        <w:t xml:space="preserve">. While it can be precisely targeted, it may also affect nearby healthy tissues. Like chemotherapy, radiation therapy faces limitations in fully </w:t>
      </w:r>
      <w:r w:rsidR="00F4671E">
        <w:t>regulating</w:t>
      </w:r>
      <w:r w:rsidR="00F4671E" w:rsidRPr="00FC582E">
        <w:t xml:space="preserve"> </w:t>
      </w:r>
      <w:r w:rsidR="00FC582E" w:rsidRPr="00FC582E">
        <w:t>the complex tumor microenvironment, where immune responses and other factors play pivotal roles.</w:t>
      </w:r>
      <w:r w:rsidR="00FC582E">
        <w:t xml:space="preserve"> </w:t>
      </w:r>
      <w:r>
        <w:t xml:space="preserve">While chemotherapy and radiation therapy target cancer cells, </w:t>
      </w:r>
      <w:r w:rsidR="00FC582E">
        <w:t>these treatments</w:t>
      </w:r>
      <w:r w:rsidR="00FC582E" w:rsidRPr="00FC582E">
        <w:t xml:space="preserve"> overlook the intricate tumor microenvironment.</w:t>
      </w:r>
      <w:r>
        <w:t xml:space="preserve"> This is where the value of immunotherapy becomes evident.</w:t>
      </w:r>
      <w:r w:rsidR="00B41223">
        <w:t xml:space="preserve"> </w:t>
      </w:r>
      <w:r w:rsidR="00B82481">
        <w:t xml:space="preserve">Immunotherapy </w:t>
      </w:r>
      <w:r>
        <w:t xml:space="preserve">harnesses the body's own immune system to combat malignant cells, </w:t>
      </w:r>
      <w:r w:rsidR="00411F4E">
        <w:t xml:space="preserve">properly regulating the tumor microenvironment and </w:t>
      </w:r>
      <w:r>
        <w:t xml:space="preserve">holding the promise of targeted and durable </w:t>
      </w:r>
      <w:r w:rsidR="00E1397A">
        <w:t>outcomes</w:t>
      </w:r>
      <w:r w:rsidR="00411F4E">
        <w:t>.</w:t>
      </w:r>
      <w:r w:rsidR="00B41223">
        <w:t xml:space="preserve"> </w:t>
      </w:r>
    </w:p>
    <w:p w14:paraId="7885C55B" w14:textId="7F933F8F" w:rsidR="001C2D71" w:rsidRDefault="004F5C05" w:rsidP="00314970">
      <w:pPr>
        <w:ind w:firstLine="720"/>
      </w:pPr>
      <w:r w:rsidRPr="004F5C05">
        <w:t>Research indicates that cancer cells can manipulate the immune system, evading its detection and destruction. This immune evasion is a key factor contributing to the development and progression of cancer</w:t>
      </w:r>
      <w:r w:rsidR="00314970">
        <w:t xml:space="preserve"> </w:t>
      </w:r>
      <w:r w:rsidR="00314970">
        <w:fldChar w:fldCharType="begin"/>
      </w:r>
      <w:r w:rsidR="004E2975">
        <w:instrText xml:space="preserve"> ADDIN ZOTERO_ITEM CSL_CITATION {"citationID":"kplkNQwo","properties":{"formattedCitation":"[14]","plainCitation":"[14]","noteIndex":0},"citationItems":[{"id":1511,"uris":["http://zotero.org/users/13277427/items/RW2SZVZL"],"itemData":{"id":1511,"type":"article-journal","abstract":"The incidence of metastatic melanoma has increased over the past three decades,1,2 and the death rate continues to rise faster than the rate with most cancers.3 The World Health Organization (WHO) estimates that worldwide there are 66,000 deaths annually from skin cancer, with approximately 80% due to melanoma.4 In the United States alone, an estimated 8600 persons died from melanoma in 2009.1 The median survival of patients with melanoma who have distant metastases (American Joint Committee on Cancer stage IV) is less than 1 year.5,6 No therapy is approved beyond the first-line therapy for metastatic melanoma, and enrollment . . .","container-title":"New England Journal of Medicine","DOI":"10.1056/NEJMoa1003466","ISSN":"0028-4793","issue":"8","note":"publisher: Massachusetts Medical Society\n_eprint: https://doi.org/10.1056/NEJMoa1003466\nPMID: 20525992","page":"711-723","source":"Taylor and Francis+NEJM","title":"Improved Survival with Ipilimumab in Patients with Metastatic Melanoma","volume":"363","author":[{"family":"Hodi","given":"F. Stephen"},{"family":"O'Day","given":"Steven J."},{"family":"McDermott","given":"David F."},{"family":"Weber","given":"Robert W."},{"family":"Sosman","given":"Jeffrey A."},{"family":"Haanen","given":"John B."},{"family":"Gonzalez","given":"Rene"},{"family":"Robert","given":"Caroline"},{"family":"Schadendorf","given":"Dirk"},{"family":"Hassel","given":"Jessica C."},{"family":"Akerley","given":"Wallace"},{"family":"Eertwegh","given":"Alfons J.M.","non-dropping-particle":"van den"},{"family":"Lutzky","given":"Jose"},{"family":"Lorigan","given":"Paul"},{"family":"Vaubel","given":"Julia M."},{"family":"Linette","given":"Gerald P."},{"family":"Hogg","given":"David"},{"family":"Ottensmeier","given":"Christian H."},{"family":"Lebbé","given":"Celeste"},{"family":"Peschel","given":"Christian"},{"family":"Quirt","given":"Ian"},{"family":"Clark","given":"Joseph I."},{"family":"Wolchok","given":"Jedd D."},{"family":"Weber","given":"Jeffrey S."},{"family":"Tian","given":"Jason"},{"family":"Yellin","given":"Michael J."},{"family":"Nichol","given":"Geoffrey M."},{"family":"Hoos","given":"Axel"},{"family":"Urba","given":"Walter J."}],"issued":{"date-parts":[["2010",8,19]]}}}],"schema":"https://github.com/citation-style-language/schema/raw/master/csl-citation.json"} </w:instrText>
      </w:r>
      <w:r w:rsidR="00314970">
        <w:fldChar w:fldCharType="separate"/>
      </w:r>
      <w:r w:rsidR="004E2975">
        <w:rPr>
          <w:noProof/>
        </w:rPr>
        <w:t>[14]</w:t>
      </w:r>
      <w:r w:rsidR="00314970">
        <w:fldChar w:fldCharType="end"/>
      </w:r>
      <w:r w:rsidR="00314970">
        <w:t xml:space="preserve">. As a result, there </w:t>
      </w:r>
      <w:r w:rsidR="00A546C1">
        <w:t xml:space="preserve">exists </w:t>
      </w:r>
      <w:r w:rsidR="00314970">
        <w:t xml:space="preserve">a need to stimulate the immune system to aid in its recognition and elimination of tumor cells; from this need immunotherapy was born. </w:t>
      </w:r>
      <w:r w:rsidR="00FC582E" w:rsidRPr="00FC582E">
        <w:t xml:space="preserve">The concept behind immunotherapy is elegant: rather than directly attacking the tumor, it empowers the immune system to do the heavy lifting. </w:t>
      </w:r>
      <w:r w:rsidR="00314970" w:rsidRPr="00314970">
        <w:t xml:space="preserve">Checkpoint inhibitors, cancer vaccines, and adoptive T-cell therapies are among the diverse immunotherapeutic approaches that have shown remarkable potential </w:t>
      </w:r>
      <w:r w:rsidR="00314970">
        <w:fldChar w:fldCharType="begin"/>
      </w:r>
      <w:r w:rsidR="004E2975">
        <w:instrText xml:space="preserve"> ADDIN ZOTERO_ITEM CSL_CITATION {"citationID":"sn6H0xCM","properties":{"formattedCitation":"[15]","plainCitation":"[15]","noteIndex":0},"citationItems":[{"id":1513,"uris":["http://zotero.org/users/13277427/items/STVV495C"],"itemData":{"id":1513,"type":"webpage","title":"Cancer immunotherapy comes of age | Nature","URL":"https://www.nature.com/articles/nature10673","accessed":{"date-parts":[["2024",3,12]]}}}],"schema":"https://github.com/citation-style-language/schema/raw/master/csl-citation.json"} </w:instrText>
      </w:r>
      <w:r w:rsidR="00314970">
        <w:fldChar w:fldCharType="separate"/>
      </w:r>
      <w:r w:rsidR="004E2975">
        <w:rPr>
          <w:noProof/>
        </w:rPr>
        <w:t>[15]</w:t>
      </w:r>
      <w:r w:rsidR="00314970">
        <w:fldChar w:fldCharType="end"/>
      </w:r>
      <w:r w:rsidR="00314970" w:rsidRPr="00314970">
        <w:t>. These strategies aim to activate or augment specific components of the immune system, such as T-cells, natural killer cells, and dendritic cells, which play pivotal roles in immune surveillance and response</w:t>
      </w:r>
      <w:r w:rsidR="00314970">
        <w:t xml:space="preserve"> </w:t>
      </w:r>
      <w:r w:rsidR="00314970">
        <w:fldChar w:fldCharType="begin"/>
      </w:r>
      <w:r w:rsidR="004E2975">
        <w:instrText xml:space="preserve"> ADDIN ZOTERO_ITEM CSL_CITATION {"citationID":"gu7MAwWy","properties":{"formattedCitation":"[16]","plainCitation":"[16]","noteIndex":0},"citationItems":[{"id":1514,"uris":["http://zotero.org/users/13277427/items/CM6LMBAC"],"itemData":{"id":1514,"type":"article-journal","abstract":"The genetic and cellular alterations that define cancer provide the immune system with the means to generate T cell responses that recognize and eradicate cancer cells. However, elimination of cancer by T cells is only one step in the Cancer-Immunity Cycle, which manages the delicate balance between the recognition of nonself and the prevention of autoimmunity. Identification of cancer cell T cell inhibitory signals, including PD-L1, has prompted the development of a new class of cancer immunotherapy that specifically hinders immune effector inhibition, reinvigorating and potentially expanding preexisting anticancer immune responses. The presence of suppressive factors in the tumor microenvironment may explain the limited activity observed with previous immune-based therapies and why these therapies may be more effective in combination with agents that target other steps of the cycle. Emerging clinical data suggest that cancer immunotherapy is likely to become a key part of the clinical management of cancer.","container-title":"Immunity","DOI":"10.1016/j.immuni.2013.07.012","ISSN":"1097-4180","issue":"1","journalAbbreviation":"Immunity","language":"eng","note":"PMID: 23890059","page":"1-10","source":"PubMed","title":"Oncology meets immunology: the cancer-immunity cycle","title-short":"Oncology meets immunology","volume":"39","author":[{"family":"Chen","given":"Daniel S."},{"family":"Mellman","given":"Ira"}],"issued":{"date-parts":[["2013",7,25]]}}}],"schema":"https://github.com/citation-style-language/schema/raw/master/csl-citation.json"} </w:instrText>
      </w:r>
      <w:r w:rsidR="00314970">
        <w:fldChar w:fldCharType="separate"/>
      </w:r>
      <w:r w:rsidR="004E2975">
        <w:rPr>
          <w:noProof/>
        </w:rPr>
        <w:t>[16]</w:t>
      </w:r>
      <w:r w:rsidR="00314970">
        <w:fldChar w:fldCharType="end"/>
      </w:r>
      <w:r w:rsidR="00314970" w:rsidRPr="00314970">
        <w:t>.</w:t>
      </w:r>
      <w:r w:rsidR="001C2D71">
        <w:t>Central to this endeavor are immuno</w:t>
      </w:r>
      <w:r w:rsidR="00A77DC4">
        <w:t>stimulants</w:t>
      </w:r>
      <w:r w:rsidR="001C2D71">
        <w:t xml:space="preserve">—bioactive compounds that enhance the immune response to antigens, thereby magnifying the efficacy of vaccines and therapeutic interventions. Among these, </w:t>
      </w:r>
      <w:r w:rsidR="007C094D" w:rsidRPr="000E6793">
        <w:t>N-</w:t>
      </w:r>
      <w:proofErr w:type="spellStart"/>
      <w:r w:rsidR="007C094D" w:rsidRPr="000E6793">
        <w:t>dihydrogalactochitosan</w:t>
      </w:r>
      <w:proofErr w:type="spellEnd"/>
      <w:r w:rsidR="007C094D" w:rsidRPr="000E6793">
        <w:t xml:space="preserve"> (</w:t>
      </w:r>
      <w:r w:rsidR="00AB2990">
        <w:t xml:space="preserve">Glycated Chitosan, </w:t>
      </w:r>
      <w:r w:rsidR="007C094D" w:rsidRPr="000E6793">
        <w:t>GC)</w:t>
      </w:r>
      <w:r w:rsidR="007C094D">
        <w:t xml:space="preserve"> </w:t>
      </w:r>
      <w:r w:rsidR="001C2D71">
        <w:t xml:space="preserve">has emerged as a remarkable candidate, displaying distinctive properties that stimulate the immune system in </w:t>
      </w:r>
      <w:r w:rsidR="00A546C1">
        <w:t xml:space="preserve">several </w:t>
      </w:r>
      <w:r w:rsidR="00B82481">
        <w:t>beneficial</w:t>
      </w:r>
      <w:r w:rsidR="00A546C1">
        <w:t xml:space="preserve"> </w:t>
      </w:r>
      <w:r w:rsidR="001C2D71">
        <w:t>ways.</w:t>
      </w:r>
      <w:r w:rsidR="001861C7">
        <w:t xml:space="preserve"> </w:t>
      </w:r>
    </w:p>
    <w:p w14:paraId="3EF136CF" w14:textId="4A4263B0" w:rsidR="001C2D71" w:rsidRDefault="007C094D" w:rsidP="001C2D71">
      <w:r>
        <w:t xml:space="preserve"> </w:t>
      </w:r>
    </w:p>
    <w:p w14:paraId="4725FCA2" w14:textId="68FC6E1D" w:rsidR="001C2D71" w:rsidRDefault="001B5AFC" w:rsidP="007C094D">
      <w:pPr>
        <w:pStyle w:val="Heading2"/>
      </w:pPr>
      <w:bookmarkStart w:id="4" w:name="_Toc165293338"/>
      <w:r>
        <w:lastRenderedPageBreak/>
        <w:t xml:space="preserve">1.3. </w:t>
      </w:r>
      <w:r w:rsidR="007C094D">
        <w:t>G</w:t>
      </w:r>
      <w:r w:rsidR="000B48A2">
        <w:t xml:space="preserve">lycated </w:t>
      </w:r>
      <w:r w:rsidR="007C094D">
        <w:t>C</w:t>
      </w:r>
      <w:r w:rsidR="000B48A2">
        <w:t>hitosan</w:t>
      </w:r>
      <w:r w:rsidR="007C094D">
        <w:t xml:space="preserve"> as an Immun</w:t>
      </w:r>
      <w:r w:rsidR="00A3379A">
        <w:t>ostimulant</w:t>
      </w:r>
      <w:bookmarkEnd w:id="4"/>
      <w:r w:rsidR="00A016E4">
        <w:t xml:space="preserve"> </w:t>
      </w:r>
    </w:p>
    <w:p w14:paraId="208E243D" w14:textId="5E8BF14C" w:rsidR="00E27C8A" w:rsidRDefault="00E27C8A" w:rsidP="00E27C8A">
      <w:pPr>
        <w:ind w:firstLine="720"/>
      </w:pPr>
      <w:r>
        <w:t>Glycated Chitosan (GC)</w:t>
      </w:r>
      <w:r w:rsidRPr="009A5DD2">
        <w:t xml:space="preserve"> is a mucoadhesive immunostimulatory polymer of β-0-4-linked N-acetylglucosamine that is solubilized by the conjugation of galactose glycans</w:t>
      </w:r>
      <w:r>
        <w:t xml:space="preserve"> </w:t>
      </w:r>
      <w:r>
        <w:fldChar w:fldCharType="begin"/>
      </w:r>
      <w:r w:rsidR="008A5227">
        <w:instrText xml:space="preserve"> ADDIN ZOTERO_ITEM CSL_CITATION {"citationID":"pH0ccIIY","properties":{"formattedCitation":"[17]","plainCitation":"[17]","noteIndex":0},"citationItems":[{"id":1459,"uris":["http://zotero.org/users/13277427/items/SHDQ9GMM"],"itemData":{"id":1459,"type":"article-journal","abstract":"The rapid emergence and global dissemination of SARS-CoV-2 that causes COVID-19 continues to cause an unprecedented global health burden resulting in nearly 7 million deaths. While multiple vaccine countermeasures have been approved for emergency use, additional treatments are still needed due to sluggish vaccine rollout, vaccine hesitancy, and inefficient vaccine-mediated protection. Immunoadjuvant compounds delivered intranasally can guide non-specific innate immune responses during the critical early stages of viral replication, reducing morbidity and mortality. N-dihydro\n              g\n              alacto\n              c\n              hitosan (GC) is a novel mucoadhesive immunostimulatory polymer of β-0-4-linked N-acetylglucosamine that is solubilized by the conjugation of galactose glycans with current applications as a cancer immunotherapeutic. We tested GC as a potential countermeasure for COVID-19. GC was well-tolerated and did not produce histopathologic lesions in the mouse lung. GC administered intranasally before and after SARS-CoV-2 exposure diminished morbidity and mortality in humanized ACE2 receptor expressing mice by up to 75% and reduced infectious virus levels in the upper airway. Fluorescent labeling of GC shows that it is confined to the lumen or superficial mucosa of the nasal cavity, without involvement of adjacent or deeper tissues. Our findings demonstrate a new application for soluble immunoadjuvants such as GC for preventing disease associated with SARS-CoV-2 and may be particularly attractive to persons who are needle-averse.","container-title":"PLOS ONE","DOI":"10.1371/journal.pone.0289139","ISSN":"1932-6203","issue":"8","journalAbbreviation":"PLoS ONE","language":"en","page":"e0289139","source":"DOI.org (Crossref)","title":"N-dihydrogalactochitosan reduces mortality in a lethal mouse model of SARS-CoV-2","volume":"18","author":[{"family":"Weiss","given":"Christopher M."},{"family":"Liu","given":"Hongwei"},{"family":"Ball","given":"Erin E."},{"family":"Hoover","given":"Ashley R."},{"family":"Wong","given":"Talia S."},{"family":"Wong","given":"Chun Fung"},{"family":"Lam","given":"Samuel"},{"family":"Hode","given":"Tomas"},{"family":"Keel","given":"M. Kevin"},{"family":"Levenson","given":"Richard M."},{"family":"Chen","given":"Wei R."},{"family":"Coffey","given":"Lark L."}],"editor":[{"family":"Berber","given":"Engin"}],"issued":{"date-parts":[["2023",8,8]]}}}],"schema":"https://github.com/citation-style-language/schema/raw/master/csl-citation.json"} </w:instrText>
      </w:r>
      <w:r>
        <w:fldChar w:fldCharType="separate"/>
      </w:r>
      <w:r w:rsidR="008A5227">
        <w:rPr>
          <w:noProof/>
        </w:rPr>
        <w:t>[17]</w:t>
      </w:r>
      <w:r>
        <w:fldChar w:fldCharType="end"/>
      </w:r>
      <w:r>
        <w:t>. It has been shown to primarily interact with phagocytic cells, such as dendritic cells and macrophages</w:t>
      </w:r>
      <w:r w:rsidR="006869B2">
        <w:t xml:space="preserve"> </w:t>
      </w:r>
      <w:r w:rsidR="006869B2">
        <w:fldChar w:fldCharType="begin"/>
      </w:r>
      <w:r w:rsidR="006869B2">
        <w:instrText xml:space="preserve"> ADDIN ZOTERO_ITEM CSL_CITATION {"citationID":"AVIErr5W","properties":{"formattedCitation":"[18]","plainCitation":"[18]","noteIndex":0},"citationItems":[{"id":1665,"uris":["http://zotero.org/users/13277427/items/VY8MKUBN"],"itemData":{"id":1665,"type":"article-journal","abstract":"Immunotherapy has become one of the fastest growing areas of cancer research. A promising in situ autologous cancer vaccine (inCVAX) uses a novel immune activator, N-dihydrogalactochitosan (GC), that possesses the ability to stimulate dendritic cells (DC). inCVAX is a combination treatment procedure involving treatment of the tumor with a thermal near-infrared laser to liberate whole cell tumor antigens, followed by injection of GC (a glucosamine polymer with galactose attached to the amino groups) into the treated tumor thereby inducing a systemic antitumor immune response. Regression of both the treated tumor and distant untreated metastases has been observed in both nonclinical and clinical settings following inCVAX. We studied the stimulatory action of GC on relatively immature DCs (DC2.4 cell line) in vitro. GC at 1 mg/mL was a potent stimulator for DC with limited toxicity, giving increased expression of major histocompatibility complex class 2, CD80, and CD11c. Confocal imaging also revealed qualitatively increased uptake of antigen (Texas red-labeled ovalbumin) by DCs after the introduction of GC. To visualize cellular uptake, GC was conjugated with FITC-fluorophore revealing its cellular internalization after 8 hours. In some cases GC was more effective than the toxic TLR4 agonist, lipopolysaccharide. © 2017 Wiley Periodicals, Inc. J Biomed Mater Res Part A: 105A: 963-972, 2017.","container-title":"Journal of Biomedical Materials Research. Part A","DOI":"10.1002/jbm.a.35991","ISSN":"1552-4965","issue":"4","journalAbbreviation":"J Biomed Mater Res A","language":"eng","note":"PMID: 28028922\nPMCID: PMC5328925","page":"963-972","source":"PubMed","title":"N-dihydrogalactochitosan as a potent immune activator for dendritic cells","volume":"105","author":[{"family":"El-Hussein","given":"Ahmed"},{"family":"Lam","given":"Samuel S. K."},{"family":"Raker","given":"Joseph"},{"family":"Chen","given":"Wei R."},{"family":"Hamblin","given":"Michael R."}],"issued":{"date-parts":[["2017",4]]}}}],"schema":"https://github.com/citation-style-language/schema/raw/master/csl-citation.json"} </w:instrText>
      </w:r>
      <w:r w:rsidR="006869B2">
        <w:fldChar w:fldCharType="separate"/>
      </w:r>
      <w:r w:rsidR="006869B2">
        <w:rPr>
          <w:noProof/>
        </w:rPr>
        <w:t>[18]</w:t>
      </w:r>
      <w:r w:rsidR="006869B2">
        <w:fldChar w:fldCharType="end"/>
      </w:r>
      <w:r w:rsidR="006869B2">
        <w:t xml:space="preserve">, </w:t>
      </w:r>
      <w:r w:rsidR="006869B2">
        <w:fldChar w:fldCharType="begin"/>
      </w:r>
      <w:r w:rsidR="006869B2">
        <w:instrText xml:space="preserve"> ADDIN ZOTERO_ITEM CSL_CITATION {"citationID":"UFJwt2Op","properties":{"formattedCitation":"[17]","plainCitation":"[17]","noteIndex":0},"citationItems":[{"id":1459,"uris":["http://zotero.org/users/13277427/items/SHDQ9GMM"],"itemData":{"id":1459,"type":"article-journal","abstract":"The rapid emergence and global dissemination of SARS-CoV-2 that causes COVID-19 continues to cause an unprecedented global health burden resulting in nearly 7 million deaths. While multiple vaccine countermeasures have been approved for emergency use, additional treatments are still needed due to sluggish vaccine rollout, vaccine hesitancy, and inefficient vaccine-mediated protection. Immunoadjuvant compounds delivered intranasally can guide non-specific innate immune responses during the critical early stages of viral replication, reducing morbidity and mortality. N-dihydro\n              g\n              alacto\n              c\n              hitosan (GC) is a novel mucoadhesive immunostimulatory polymer of β-0-4-linked N-acetylglucosamine that is solubilized by the conjugation of galactose glycans with current applications as a cancer immunotherapeutic. We tested GC as a potential countermeasure for COVID-19. GC was well-tolerated and did not produce histopathologic lesions in the mouse lung. GC administered intranasally before and after SARS-CoV-2 exposure diminished morbidity and mortality in humanized ACE2 receptor expressing mice by up to 75% and reduced infectious virus levels in the upper airway. Fluorescent labeling of GC shows that it is confined to the lumen or superficial mucosa of the nasal cavity, without involvement of adjacent or deeper tissues. Our findings demonstrate a new application for soluble immunoadjuvants such as GC for preventing disease associated with SARS-CoV-2 and may be particularly attractive to persons who are needle-averse.","container-title":"PLOS ONE","DOI":"10.1371/journal.pone.0289139","ISSN":"1932-6203","issue":"8","journalAbbreviation":"PLoS ONE","language":"en","page":"e0289139","source":"DOI.org (Crossref)","title":"N-dihydrogalactochitosan reduces mortality in a lethal mouse model of SARS-CoV-2","volume":"18","author":[{"family":"Weiss","given":"Christopher M."},{"family":"Liu","given":"Hongwei"},{"family":"Ball","given":"Erin E."},{"family":"Hoover","given":"Ashley R."},{"family":"Wong","given":"Talia S."},{"family":"Wong","given":"Chun Fung"},{"family":"Lam","given":"Samuel"},{"family":"Hode","given":"Tomas"},{"family":"Keel","given":"M. Kevin"},{"family":"Levenson","given":"Richard M."},{"family":"Chen","given":"Wei R."},{"family":"Coffey","given":"Lark L."}],"editor":[{"family":"Berber","given":"Engin"}],"issued":{"date-parts":[["2023",8,8]]}}}],"schema":"https://github.com/citation-style-language/schema/raw/master/csl-citation.json"} </w:instrText>
      </w:r>
      <w:r w:rsidR="006869B2">
        <w:fldChar w:fldCharType="separate"/>
      </w:r>
      <w:r w:rsidR="006869B2">
        <w:rPr>
          <w:noProof/>
        </w:rPr>
        <w:t>[17]</w:t>
      </w:r>
      <w:r w:rsidR="006869B2">
        <w:fldChar w:fldCharType="end"/>
      </w:r>
      <w:r>
        <w:t>.</w:t>
      </w:r>
    </w:p>
    <w:p w14:paraId="286C5511" w14:textId="35E2515B" w:rsidR="009A5DD2" w:rsidRDefault="007C094D" w:rsidP="009A5DD2">
      <w:pPr>
        <w:ind w:firstLine="720"/>
      </w:pPr>
      <w:r w:rsidRPr="000E6793">
        <w:t>GC</w:t>
      </w:r>
      <w:r>
        <w:t xml:space="preserve"> is synthesized from </w:t>
      </w:r>
      <w:r w:rsidRPr="000E6793">
        <w:t xml:space="preserve">chitosan and galactose </w:t>
      </w:r>
      <w:r>
        <w:t xml:space="preserve">with enhanced immune stimulating properties. Chitosan is a natural polysaccharide derived from Chitin which is primarily found </w:t>
      </w:r>
      <w:r w:rsidR="000B48A2">
        <w:t xml:space="preserve">in </w:t>
      </w:r>
      <w:r>
        <w:t xml:space="preserve">the shells of crabs, crayfish, and other crustaceans. It has a wide range of therapeutical use due to its biocompatibility, non-toxicity, and biodegradability </w:t>
      </w:r>
      <w:r>
        <w:fldChar w:fldCharType="begin"/>
      </w:r>
      <w:r w:rsidR="006869B2">
        <w:instrText xml:space="preserve"> ADDIN ZOTERO_ITEM CSL_CITATION {"citationID":"prS3JFBm","properties":{"formattedCitation":"[19]","plainCitation":"[19]","noteIndex":0},"citationItems":[{"id":1332,"uris":["http://zotero.org/users/local/j1iLDkMj/items/HWPZMXJU","http://zotero.org/users/13277427/items/HWPZMXJU"],"itemData":{"id":1332,"type":"article-journal","abstract":"Cancer has become a main public health issue globally. The conventional treatment measures for cancer include surgery, radiotherapy and chemotherapy. Among the various available treatment measures, chemotherapy is still one of the most important treatments for most cancer patients. However, chemotherapy for most cancers still faces many problems associated with a lot of adverse effects, which limit its therapeutic potency, low survival quality and discount cancer prognosis. In order to decrease these side effects and improve treatment effectiveness and patient’s compliance, more targeted treatments are needed. Sustainable and controlled deliveries of drugs with controllable toxicities are expected to address these hurdles. Chitosan is the second most abundant natural polysaccharide, which has excellent biocompatibility and notable antitumor activity. Its biodegradability, biocompatibility, biodistribution, nontoxicity and immunogenicity free have made chitosan become a widely used polymer in the pharmacology, especially in oncotherapy. Here, we make a brief review of the main achievements in chitosan and its derivatives in pharmacology with a special focus on their agents delivery applications, immunomodulation, signal pathway modulation and antitumor activity to highlight their role in cancer treatment. Despite a large number of successful studies, the commercialization of chitosan copolymers is still a big challenge. The further development of polymerization technology may satisfy the unmet medical needs.","container-title":"Frontiers in Pharmacology","DOI":"10.3389/fphar.2022.888740","ISSN":"1663-9812","journalAbbreviation":"Front Pharmacol","note":"PMID: 35694245\nPMCID: PMC9178414","page":"888740","source":"PubMed Central","title":"Recent Advances in Chitosan and its Derivatives in Cancer Treatment","volume":"13","author":[{"family":"Ding","given":"Jingxian"},{"family":"Guo","given":"Yonghong"}],"issued":{"date-parts":[["2022",4,28]]}}}],"schema":"https://github.com/citation-style-language/schema/raw/master/csl-citation.json"} </w:instrText>
      </w:r>
      <w:r>
        <w:fldChar w:fldCharType="separate"/>
      </w:r>
      <w:r w:rsidR="006869B2">
        <w:rPr>
          <w:noProof/>
        </w:rPr>
        <w:t>[19]</w:t>
      </w:r>
      <w:r>
        <w:fldChar w:fldCharType="end"/>
      </w:r>
      <w:r w:rsidR="009B1460">
        <w:t>.</w:t>
      </w:r>
      <w:r w:rsidR="00BE487A">
        <w:t xml:space="preserve"> </w:t>
      </w:r>
      <w:r w:rsidR="00AB2990">
        <w:t xml:space="preserve">However, Chitosan is largely insoluble in water, greatly limiting its biological applications </w:t>
      </w:r>
      <w:r w:rsidR="00AB2990">
        <w:fldChar w:fldCharType="begin"/>
      </w:r>
      <w:r w:rsidR="006869B2">
        <w:instrText xml:space="preserve"> ADDIN ZOTERO_ITEM CSL_CITATION {"citationID":"oQLCMIaq","properties":{"formattedCitation":"[20]","plainCitation":"[20]","noteIndex":0},"citationItems":[{"id":1464,"uris":["http://zotero.org/users/13277427/items/CE7FMFHN"],"itemData":{"id":1464,"type":"article-journal","abstract":"Chitosan is capable to stimulate immune responses. However, because chitosan is not water soluble, it has limited biological applications. By attaching galactose molecules to the chitosan molecules, a new water-soluble compound, glycated chitosan (GC), was synthesized. GC was designed for immune stimulations in combination with phototherapies in the treatment of metastatic tumors. To investigate the possible toxicity of GC, cultures of normal and tumor cells were incubated with GC of different concentrations and the cell viabilities were determined. For in vivo studies, GC solution was fed or injected to animals and its toxicity was determined through observations of animals and histological examinations of vital organs. No toxic effects of GC were observed in cultured cells or in animal studies. In addition, the immunological effect of GC was investigated through its stimulation of TNFα secretion by macrophages in vitro. In vivo studies showed enhancement of the survival of laser immunotherapy-treated rats bearing metastatic mammary tumors. Our in vitro and in vivo results indicated that GC was a strong immunological stimulant. Its non-toxic nature and immunological activity make GC a potential immunoadjuvant for treatment of metastatic tumors.","container-title":"Immunopharmacology and immunotoxicology","DOI":"10.1080/08923970802629593","ISSN":"0892-3973","issue":"2","journalAbbreviation":"Immunopharmacol Immunotoxicol","note":"PMID: 19514994\nPMCID: PMC6005360","page":"202-208","source":"PubMed Central","title":"Glycated chitosan as a new non-toxic immunological stimulant","volume":"31","author":[{"family":"Song","given":"Sheng"},{"family":"Zhou","given":"Feifan"},{"family":"Nordquist","given":"Robert E."},{"family":"Carubelli","given":"Raoul"},{"family":"Liu","given":"Hong"},{"family":"Chen","given":"Wei R."}],"issued":{"date-parts":[["2009",6]]}}}],"schema":"https://github.com/citation-style-language/schema/raw/master/csl-citation.json"} </w:instrText>
      </w:r>
      <w:r w:rsidR="00AB2990">
        <w:fldChar w:fldCharType="separate"/>
      </w:r>
      <w:r w:rsidR="006869B2">
        <w:rPr>
          <w:noProof/>
        </w:rPr>
        <w:t>[20]</w:t>
      </w:r>
      <w:r w:rsidR="00AB2990">
        <w:fldChar w:fldCharType="end"/>
      </w:r>
      <w:r w:rsidR="00AB2990">
        <w:t xml:space="preserve">. In contrast, GC is water soluble and retains the biological properties of its parent molecule chitosan increasing it suitability for </w:t>
      </w:r>
      <w:r w:rsidR="00AB2990" w:rsidRPr="00AB2990">
        <w:rPr>
          <w:i/>
          <w:iCs/>
        </w:rPr>
        <w:t>in-vivo</w:t>
      </w:r>
      <w:r w:rsidR="00AB2990">
        <w:t xml:space="preserve"> applications</w:t>
      </w:r>
      <w:r w:rsidR="00095C86">
        <w:t xml:space="preserve"> </w:t>
      </w:r>
      <w:r w:rsidR="00095C86">
        <w:fldChar w:fldCharType="begin"/>
      </w:r>
      <w:r w:rsidR="006869B2">
        <w:instrText xml:space="preserve"> ADDIN ZOTERO_ITEM CSL_CITATION {"citationID":"8aF9CY5A","properties":{"formattedCitation":"[20]","plainCitation":"[20]","noteIndex":0},"citationItems":[{"id":1464,"uris":["http://zotero.org/users/13277427/items/CE7FMFHN"],"itemData":{"id":1464,"type":"article-journal","abstract":"Chitosan is capable to stimulate immune responses. However, because chitosan is not water soluble, it has limited biological applications. By attaching galactose molecules to the chitosan molecules, a new water-soluble compound, glycated chitosan (GC), was synthesized. GC was designed for immune stimulations in combination with phototherapies in the treatment of metastatic tumors. To investigate the possible toxicity of GC, cultures of normal and tumor cells were incubated with GC of different concentrations and the cell viabilities were determined. For in vivo studies, GC solution was fed or injected to animals and its toxicity was determined through observations of animals and histological examinations of vital organs. No toxic effects of GC were observed in cultured cells or in animal studies. In addition, the immunological effect of GC was investigated through its stimulation of TNFα secretion by macrophages in vitro. In vivo studies showed enhancement of the survival of laser immunotherapy-treated rats bearing metastatic mammary tumors. Our in vitro and in vivo results indicated that GC was a strong immunological stimulant. Its non-toxic nature and immunological activity make GC a potential immunoadjuvant for treatment of metastatic tumors.","container-title":"Immunopharmacology and immunotoxicology","DOI":"10.1080/08923970802629593","ISSN":"0892-3973","issue":"2","journalAbbreviation":"Immunopharmacol Immunotoxicol","note":"PMID: 19514994\nPMCID: PMC6005360","page":"202-208","source":"PubMed Central","title":"Glycated chitosan as a new non-toxic immunological stimulant","volume":"31","author":[{"family":"Song","given":"Sheng"},{"family":"Zhou","given":"Feifan"},{"family":"Nordquist","given":"Robert E."},{"family":"Carubelli","given":"Raoul"},{"family":"Liu","given":"Hong"},{"family":"Chen","given":"Wei R."}],"issued":{"date-parts":[["2009",6]]}}}],"schema":"https://github.com/citation-style-language/schema/raw/master/csl-citation.json"} </w:instrText>
      </w:r>
      <w:r w:rsidR="00095C86">
        <w:fldChar w:fldCharType="separate"/>
      </w:r>
      <w:r w:rsidR="006869B2">
        <w:rPr>
          <w:noProof/>
        </w:rPr>
        <w:t>[20]</w:t>
      </w:r>
      <w:r w:rsidR="00095C86">
        <w:fldChar w:fldCharType="end"/>
      </w:r>
      <w:r w:rsidR="00AB2990">
        <w:t xml:space="preserve">. </w:t>
      </w:r>
    </w:p>
    <w:p w14:paraId="28E0354F" w14:textId="77777777" w:rsidR="00A3379A" w:rsidRDefault="00A3379A" w:rsidP="00BE487A"/>
    <w:p w14:paraId="78EA7A81" w14:textId="546CEBF7" w:rsidR="004F549A" w:rsidRDefault="001B5AFC" w:rsidP="004F549A">
      <w:pPr>
        <w:pStyle w:val="Heading2"/>
      </w:pPr>
      <w:bookmarkStart w:id="5" w:name="_Toc165293339"/>
      <w:r>
        <w:t>1.4. Dendritic Cell</w:t>
      </w:r>
      <w:r w:rsidR="00BE487A">
        <w:t xml:space="preserve"> Antitumor Response</w:t>
      </w:r>
      <w:bookmarkEnd w:id="5"/>
      <w:r w:rsidR="00BE487A">
        <w:t xml:space="preserve"> </w:t>
      </w:r>
    </w:p>
    <w:p w14:paraId="06C87ABB" w14:textId="284A1E3B" w:rsidR="00BE487A" w:rsidRDefault="001861C7" w:rsidP="00CC0A83">
      <w:pPr>
        <w:ind w:firstLine="720"/>
      </w:pPr>
      <w:r>
        <w:t xml:space="preserve">Dendritic cells (DCs) are </w:t>
      </w:r>
      <w:r w:rsidR="000421BB">
        <w:t xml:space="preserve">professional </w:t>
      </w:r>
      <w:r w:rsidR="00411F4E">
        <w:t xml:space="preserve">antigen presenting cells (APCs) </w:t>
      </w:r>
      <w:r w:rsidR="00107F7D">
        <w:t xml:space="preserve">that serve as a bridge between </w:t>
      </w:r>
      <w:r w:rsidR="000421BB">
        <w:t xml:space="preserve">the </w:t>
      </w:r>
      <w:r w:rsidR="00107F7D">
        <w:t xml:space="preserve">innate and </w:t>
      </w:r>
      <w:r w:rsidR="000421BB">
        <w:t>adaptive arms of the</w:t>
      </w:r>
      <w:r w:rsidR="00107F7D">
        <w:t xml:space="preserve"> immune </w:t>
      </w:r>
      <w:r w:rsidR="000136F8">
        <w:t>system</w:t>
      </w:r>
      <w:r w:rsidR="000421BB">
        <w:t xml:space="preserve"> </w:t>
      </w:r>
      <w:r w:rsidR="00107F7D">
        <w:fldChar w:fldCharType="begin"/>
      </w:r>
      <w:r w:rsidR="006869B2">
        <w:instrText xml:space="preserve"> ADDIN ZOTERO_ITEM CSL_CITATION {"citationID":"GtdVYKFT","properties":{"formattedCitation":"[21]","plainCitation":"[21]","noteIndex":0},"citationItems":[{"id":1467,"uris":["http://zotero.org/users/13277427/items/KX8N7S6E"],"itemData":{"id":1467,"type":"article-journal","abstract":"B and T lymphocytes are the mediators of immunity, but their function is under the control of dendritic cells. Dendritic cells in the periphery capture and process antigens, express lymphocyte co-stimulatory molecules, migrate to lymphoid organs and secrete cytokines to initiate immune responses. They not only activate lymphocytes, they also tolerize T cells to antigens that are innate to the body (self-antigens), thereby minimizing autoimmune reactions. Once a neglected cell type, dendritic cells can now be readily obtained in sufficient quantities to allow molecular and cell biological analysis. With knowledge comes the realization that these cells are a powerful tool for manipulating the immune system.","container-title":"Nature","DOI":"10.1038/32588","ISSN":"0028-0836","issue":"6673","journalAbbreviation":"Nature","language":"eng","note":"PMID: 9521319","page":"245-252","source":"PubMed","title":"Dendritic cells and the control of immunity","volume":"392","author":[{"family":"Banchereau","given":"J."},{"family":"Steinman","given":"R. M."}],"issued":{"date-parts":[["1998",3,19]]}}}],"schema":"https://github.com/citation-style-language/schema/raw/master/csl-citation.json"} </w:instrText>
      </w:r>
      <w:r w:rsidR="00107F7D">
        <w:fldChar w:fldCharType="separate"/>
      </w:r>
      <w:r w:rsidR="006869B2">
        <w:rPr>
          <w:noProof/>
        </w:rPr>
        <w:t>[21]</w:t>
      </w:r>
      <w:r w:rsidR="00107F7D">
        <w:fldChar w:fldCharType="end"/>
      </w:r>
      <w:r w:rsidR="00107F7D">
        <w:t xml:space="preserve">. DCs are known as initiators of immune </w:t>
      </w:r>
      <w:r w:rsidR="000136F8">
        <w:t>response</w:t>
      </w:r>
      <w:r w:rsidR="000421BB">
        <w:t>s</w:t>
      </w:r>
      <w:r w:rsidR="00107F7D">
        <w:t xml:space="preserve">; they are phagocytes that capture and present antigens to T-cells. </w:t>
      </w:r>
    </w:p>
    <w:p w14:paraId="673C7299" w14:textId="39BF393F" w:rsidR="008A705D" w:rsidRPr="008A705D" w:rsidRDefault="008A705D" w:rsidP="00CC0A83">
      <w:pPr>
        <w:ind w:firstLine="720"/>
      </w:pPr>
      <w:r w:rsidRPr="008A705D">
        <w:t xml:space="preserve">DCs serve as </w:t>
      </w:r>
      <w:r w:rsidR="00CC0A83">
        <w:t xml:space="preserve">watchers </w:t>
      </w:r>
      <w:r w:rsidRPr="008A705D">
        <w:t xml:space="preserve">of the immune system, strategically positioned in tissues where they continuously sample their microenvironment for foreign or aberrant antigens. Upon </w:t>
      </w:r>
      <w:r w:rsidR="00CC0A83">
        <w:t>captur</w:t>
      </w:r>
      <w:r w:rsidR="000136F8">
        <w:t>ing</w:t>
      </w:r>
      <w:r w:rsidR="00CC0A83">
        <w:t xml:space="preserve"> the</w:t>
      </w:r>
      <w:r w:rsidR="000136F8">
        <w:t>se</w:t>
      </w:r>
      <w:r w:rsidR="00CC0A83">
        <w:t xml:space="preserve"> antigens via phagocytosis</w:t>
      </w:r>
      <w:r w:rsidR="000136F8">
        <w:t xml:space="preserve"> DCs</w:t>
      </w:r>
      <w:r w:rsidR="00CC0A83">
        <w:t xml:space="preserve"> </w:t>
      </w:r>
      <w:r w:rsidRPr="008A705D">
        <w:t>undergo a process of maturation, characterized by enhanced expression of co-stimulatory molecules and increased cytokine production</w:t>
      </w:r>
      <w:r w:rsidR="00CC0A83">
        <w:t xml:space="preserve"> </w:t>
      </w:r>
      <w:r w:rsidR="00CC0A83">
        <w:fldChar w:fldCharType="begin"/>
      </w:r>
      <w:r w:rsidR="006869B2">
        <w:instrText xml:space="preserve"> ADDIN ZOTERO_ITEM CSL_CITATION {"citationID":"QesqDQPi","properties":{"formattedCitation":"[22]","plainCitation":"[22]","noteIndex":0},"citationItems":[{"id":1517,"uris":["http://zotero.org/users/13277427/items/RZ3AGDLX"],"itemData":{"id":1517,"type":"article-journal","abstract":"Dendritic cells (DCs) are crucial for the initiation and regulation of adaptive immune responses. When encountering immune stimulus such as bacterial and viral infection, parasite invasion and dead cell debris, DCs capture antigens, mature, acquire immunostimulatory activity and transmit the immune information to naïve T cells. Then activated cytotoxic CD8+ T cells directly kill the infected cells, while CD4+ T helper cells release cytokines to aid the activity of other immune cells, and help B cells produce antibodies. Thus, detailed insights into the DC maturation process are necessary for us to understand the working principle of immune system, and develop new medical treatments for infection, cancer and autoimmune disease. This review summarizes the DC maturation process, including environment sensing and antigen sampling by resting DCs, antigen processing and presentation on the cell surface, DC migration, DC-T cell interaction and T cell activation. Application of advanced imaging modalities allows visualization of subcellular and molecular processes in a super-high resolution. The spatiotemporal tracking of DCs position and migration reveals dynamics of DC behavior during infection, shedding novel lights on DC biology.","container-title":"Frontiers in Cellular and Infection Microbiology","DOI":"10.3389/fcimb.2023.1140765","ISSN":"2235-2988","journalAbbreviation":"Front. Cell. Infect. Microbiol.","language":"English","note":"publisher: Frontiers","source":"Frontiers","title":"Insights into dendritic cell maturation during infection with application of advanced imaging techniques","URL":"https://www.frontiersin.org/articles/10.3389/fcimb.2023.1140765","volume":"13","author":[{"family":"Xiao","given":"Qi"},{"family":"Xia","given":"Yuxian"}],"accessed":{"date-parts":[["2024",3,12]]},"issued":{"date-parts":[["2023",3,2]]}}}],"schema":"https://github.com/citation-style-language/schema/raw/master/csl-citation.json"} </w:instrText>
      </w:r>
      <w:r w:rsidR="00CC0A83">
        <w:fldChar w:fldCharType="separate"/>
      </w:r>
      <w:r w:rsidR="006869B2">
        <w:rPr>
          <w:noProof/>
        </w:rPr>
        <w:t>[22]</w:t>
      </w:r>
      <w:r w:rsidR="00CC0A83">
        <w:fldChar w:fldCharType="end"/>
      </w:r>
      <w:r w:rsidRPr="008A705D">
        <w:t>. This maturation process primes DCs to effectively interact with T cells, fostering the development of an adaptive immune response.</w:t>
      </w:r>
      <w:r w:rsidR="00CC0A83">
        <w:t xml:space="preserve"> </w:t>
      </w:r>
      <w:r w:rsidRPr="008A705D">
        <w:t>In the context of tumor immunity, dendritic cells play a crucial role in recognizing and responding to cancer-specific antigens</w:t>
      </w:r>
      <w:r w:rsidR="002A4230">
        <w:t xml:space="preserve"> </w:t>
      </w:r>
      <w:r w:rsidR="002A4230">
        <w:fldChar w:fldCharType="begin"/>
      </w:r>
      <w:r w:rsidR="006869B2">
        <w:instrText xml:space="preserve"> ADDIN ZOTERO_ITEM CSL_CITATION {"citationID":"fBSsmLaX","properties":{"formattedCitation":"[23]","plainCitation":"[23]","noteIndex":0},"citationItems":[{"id":1655,"uris":["http://zotero.org/users/13277427/items/IX2HE8CS"],"itemData":{"id":1655,"type":"article-journal","abstract":"Cancer immunotherapy modulates the immune system, overcomes immune escape and stimulates immune defenses against tumors. Dendritic cells (DCs) are professional promoters of immune responses against tumor antigens with the outstanding ability to coordinate the innate and adaptive immune systems. Evidence suggests that there is a decrease in both the number and function of DCs in cancer patients. Therefore, they represent a strong scaffold for therapeutic interventions. DC vaccination (DCV) is safe, and the antitumoral responses induced are well established in solid tumors. Although the addition of checkpoint inhibitors (CPIs) to chemotherapy has provided new options in the treatment of cancer, they have shown no clinical benefit in immune desert tumors or in those tumors with dysfunctional or exhausted T-cells. In this way, DC-based therapy has demonstrated the ability to modify the tumor microenvironment for immune enriched tumors and to potentiate systemic host immune responses as an active approach to treating cancer patients. Application of DCV in cancer seeks to obtain long-term antitumor responses through an improved T-cell priming by enhancing previous or generating de novo immune responses. To date, DCV has induced immune responses in the peripheral blood of patients without a significant clinical impact on outcome. Thus, improvements in vaccines formulations, selection of patients based on biomarkers and combinations with other antitumoral therapies are needed to enhance patient survival. In this work, we review the role of DCV in different solid tumors with their strengths and weaknesses, and we finally mention new trends to improve the efficacy of this immune strategy.","container-title":"Cancers","DOI":"10.3390/cancers16050981","ISSN":"2072-6694","issue":"5","journalAbbreviation":"Cancers","language":"en","license":"https://creativecommons.org/licenses/by/4.0/","page":"981","source":"DOI.org (Crossref)","title":"Dendritic Cells in Cancer Immunology and Immunotherapy","volume":"16","author":[{"family":"Hato","given":"Laura"},{"family":"Vizcay","given":"Angel"},{"family":"Eguren","given":"Iñaki"},{"family":"Pérez-Gracia","given":"José L."},{"family":"Rodríguez","given":"Javier"},{"family":"Gállego Pérez-Larraya","given":"Jaime"},{"family":"Sarobe","given":"Pablo"},{"family":"Inogés","given":"Susana"},{"family":"Díaz De Cerio","given":"Ascensión López"},{"family":"Santisteban","given":"Marta"}],"issued":{"date-parts":[["2024",2,28]]}}}],"schema":"https://github.com/citation-style-language/schema/raw/master/csl-citation.json"} </w:instrText>
      </w:r>
      <w:r w:rsidR="002A4230">
        <w:fldChar w:fldCharType="separate"/>
      </w:r>
      <w:r w:rsidR="006869B2">
        <w:rPr>
          <w:noProof/>
        </w:rPr>
        <w:t>[23]</w:t>
      </w:r>
      <w:r w:rsidR="002A4230">
        <w:fldChar w:fldCharType="end"/>
      </w:r>
      <w:r w:rsidRPr="008A705D">
        <w:t>. Several studies have highlighted the importance of DCs in capturing antigens derived from tumors, processing them into immunogenic peptides, and presenting these peptides to T cells. This antigen presentation is a pivotal step in the activation of cytotoxic T lymphocytes (CTLs), which are instrumental in the elimination of cancer cells</w:t>
      </w:r>
      <w:r w:rsidR="00095C86">
        <w:t xml:space="preserve"> </w:t>
      </w:r>
      <w:r w:rsidR="00095C86">
        <w:fldChar w:fldCharType="begin"/>
      </w:r>
      <w:r w:rsidR="006869B2">
        <w:instrText xml:space="preserve"> ADDIN ZOTERO_ITEM CSL_CITATION {"citationID":"LuZ962aZ","properties":{"formattedCitation":"[24]","plainCitation":"[24]","noteIndex":0},"citationItems":[{"id":1663,"uris":["http://zotero.org/users/13277427/items/L6BHD2ZG"],"itemData":{"id":1663,"type":"article-journal","abstract":"This comprehensive review delves into the rapidly evolving arena of cancer vaccines. Initially, we examine the intricate constitution of the tumor microenvironment (TME), a dynamic factor that significantly influences tumor heterogeneity. Current research trends focusing on harnessing the TME for effective tumor vaccine treatments are also discussed. We then provide a detailed overview of the current state of research concerning tumor immunity and the mechanisms of tumor vaccines, describing the complex immunological processes involved. Furthermore, we conduct an exhaustive analysis of the contemporary research landscape of tumor vaccines, with a particular focus on peptide vaccines, DNA/RNA-based vaccines, viral-vector-based vaccines, dendritic-cell-based vaccines, and whole-cell-based vaccines. We analyze and summarize these categories of tumor vaccines, highlighting their individual advantages, limitations, and the factors influencing their effectiveness. In our survey of each category, we summarize commonly used tumor vaccines, aiming to provide readers with a more comprehensive understanding of the current state of tumor vaccine research. We then delve into an innovative strategy combining cancer vaccines with other therapies. By studying the effects of combining tumor vaccines with immune checkpoint inhibitors, radiotherapy, chemotherapy, targeted therapy, and oncolytic virotherapy, we establish that this approach can enhance overall treatment efficacy and offset the limitations of single-treatment approaches, offering patients more effective treatment options. Following this, we undertake a meticulous analysis of the entire process of personalized cancer vaccines, elucidating the intricate process from design, through research and production, to clinical application, thus helping readers gain a thorough understanding of its complexities. In conclusion, our exploration of tumor vaccines in this review aims to highlight their promising potential in cancer treatment. As research in this field continues to evolve, it undeniably holds immense promise for improving cancer patient outcomes.","container-title":"Pharmaceuticals","DOI":"10.3390/ph16101384","ISSN":"1424-8247","issue":"10","journalAbbreviation":"Pharmaceuticals","language":"en","license":"https://creativecommons.org/licenses/by/4.0/","page":"1384","source":"DOI.org (Crossref)","title":"Tumor Vaccines: Unleashing the Power of the Immune System to Fight Cancer","title-short":"Tumor Vaccines","volume":"16","author":[{"family":"Liu","given":"Dequan"},{"family":"Che","given":"Xiangyu"},{"family":"Wang","given":"Xiaoxi"},{"family":"Ma","given":"Chuanyu"},{"family":"Wu","given":"Guangzhen"}],"issued":{"date-parts":[["2023",9,29]]}}}],"schema":"https://github.com/citation-style-language/schema/raw/master/csl-citation.json"} </w:instrText>
      </w:r>
      <w:r w:rsidR="00095C86">
        <w:fldChar w:fldCharType="separate"/>
      </w:r>
      <w:r w:rsidR="006869B2">
        <w:rPr>
          <w:noProof/>
        </w:rPr>
        <w:t>[24]</w:t>
      </w:r>
      <w:r w:rsidR="00095C86">
        <w:fldChar w:fldCharType="end"/>
      </w:r>
      <w:r w:rsidRPr="008A705D">
        <w:t>.</w:t>
      </w:r>
    </w:p>
    <w:p w14:paraId="754349EC" w14:textId="25B064F6" w:rsidR="00CC0A83" w:rsidRPr="008A705D" w:rsidRDefault="008A705D" w:rsidP="00095C86">
      <w:pPr>
        <w:ind w:firstLine="720"/>
      </w:pPr>
      <w:r w:rsidRPr="008A705D">
        <w:t>The crosstalk between DCs and other immune cells, such as natural killer cells and B cells, further amplifies the anti-tumor immune response. DCs contribute to the formation of tertiary lymphoid structures within tumors, creating an immunologically active microenvironment that fosters sustained anti-tumor immunity</w:t>
      </w:r>
      <w:r w:rsidR="002A4230">
        <w:t xml:space="preserve"> </w:t>
      </w:r>
      <w:r w:rsidR="002A4230">
        <w:fldChar w:fldCharType="begin"/>
      </w:r>
      <w:r w:rsidR="006869B2">
        <w:instrText xml:space="preserve"> ADDIN ZOTERO_ITEM CSL_CITATION {"citationID":"CxMfsyMq","properties":{"formattedCitation":"[23]","plainCitation":"[23]","noteIndex":0},"citationItems":[{"id":1655,"uris":["http://zotero.org/users/13277427/items/IX2HE8CS"],"itemData":{"id":1655,"type":"article-journal","abstract":"Cancer immunotherapy modulates the immune system, overcomes immune escape and stimulates immune defenses against tumors. Dendritic cells (DCs) are professional promoters of immune responses against tumor antigens with the outstanding ability to coordinate the innate and adaptive immune systems. Evidence suggests that there is a decrease in both the number and function of DCs in cancer patients. Therefore, they represent a strong scaffold for therapeutic interventions. DC vaccination (DCV) is safe, and the antitumoral responses induced are well established in solid tumors. Although the addition of checkpoint inhibitors (CPIs) to chemotherapy has provided new options in the treatment of cancer, they have shown no clinical benefit in immune desert tumors or in those tumors with dysfunctional or exhausted T-cells. In this way, DC-based therapy has demonstrated the ability to modify the tumor microenvironment for immune enriched tumors and to potentiate systemic host immune responses as an active approach to treating cancer patients. Application of DCV in cancer seeks to obtain long-term antitumor responses through an improved T-cell priming by enhancing previous or generating de novo immune responses. To date, DCV has induced immune responses in the peripheral blood of patients without a significant clinical impact on outcome. Thus, improvements in vaccines formulations, selection of patients based on biomarkers and combinations with other antitumoral therapies are needed to enhance patient survival. In this work, we review the role of DCV in different solid tumors with their strengths and weaknesses, and we finally mention new trends to improve the efficacy of this immune strategy.","container-title":"Cancers","DOI":"10.3390/cancers16050981","ISSN":"2072-6694","issue":"5","journalAbbreviation":"Cancers","language":"en","license":"https://creativecommons.org/licenses/by/4.0/","page":"981","source":"DOI.org (Crossref)","title":"Dendritic Cells in Cancer Immunology and Immunotherapy","volume":"16","author":[{"family":"Hato","given":"Laura"},{"family":"Vizcay","given":"Angel"},{"family":"Eguren","given":"Iñaki"},{"family":"Pérez-Gracia","given":"José L."},{"family":"Rodríguez","given":"Javier"},{"family":"Gállego Pérez-Larraya","given":"Jaime"},{"family":"Sarobe","given":"Pablo"},{"family":"Inogés","given":"Susana"},{"family":"Díaz De Cerio","given":"Ascensión López"},{"family":"Santisteban","given":"Marta"}],"issued":{"date-parts":[["2024",2,28]]}}}],"schema":"https://github.com/citation-style-language/schema/raw/master/csl-citation.json"} </w:instrText>
      </w:r>
      <w:r w:rsidR="002A4230">
        <w:fldChar w:fldCharType="separate"/>
      </w:r>
      <w:r w:rsidR="006869B2">
        <w:rPr>
          <w:noProof/>
        </w:rPr>
        <w:t>[23]</w:t>
      </w:r>
      <w:r w:rsidR="002A4230">
        <w:fldChar w:fldCharType="end"/>
      </w:r>
      <w:r w:rsidRPr="008A705D">
        <w:t>. Additionally, DCs participate in the establishment of immunological memory, ensuring a rapid and potent response upon re-exposure to tumor antigens.</w:t>
      </w:r>
      <w:r w:rsidR="00EC5FF9">
        <w:t xml:space="preserve"> </w:t>
      </w:r>
      <w:r w:rsidR="00CC0A83">
        <w:t xml:space="preserve">In the tumor microenvironment, DCs play an active role </w:t>
      </w:r>
      <w:r w:rsidR="00EC5FF9">
        <w:t xml:space="preserve">of </w:t>
      </w:r>
      <w:proofErr w:type="spellStart"/>
      <w:r w:rsidR="00CC0A83">
        <w:t>uptaking</w:t>
      </w:r>
      <w:proofErr w:type="spellEnd"/>
      <w:r w:rsidR="00CC0A83">
        <w:t xml:space="preserve"> tumor DNA</w:t>
      </w:r>
      <w:r w:rsidR="00A4073C">
        <w:t xml:space="preserve"> </w:t>
      </w:r>
      <w:r w:rsidR="00A4073C">
        <w:fldChar w:fldCharType="begin"/>
      </w:r>
      <w:r w:rsidR="006869B2">
        <w:instrText xml:space="preserve"> ADDIN ZOTERO_ITEM CSL_CITATION {"citationID":"A8VMCN6h","properties":{"formattedCitation":"[25]","plainCitation":"[25]","noteIndex":0},"citationItems":[{"id":1657,"uris":["http://zotero.org/users/13277427/items/DGM2VJFW"],"itemData":{"id":1657,"type":"article-journal","abstract":"Dendritic cells (DCs) exhibit a specialized antigen-presenting function and play crucial roles in both innate and adaptive immune responses. Due to their ability to cross-present tumor cell-associated antigens to naïve T cells, DCs are instrumental in the generation of specific T-cell-mediated antitumor effector responses in the control of tumor growth and tumor cell dissemination. Within an immunosuppressive tumor microenvironment, DC antitumor functions can, however, be severely impaired. In this review, we focus on the mechanisms of DC capture and activation by tumor cell antigens and the role of the tumor microenvironment in shaping DC functions, taking advantage of recent studies showing the phenotype acquisition, transcriptional state and functional programs revealed by scRNA-seq analysis. The therapeutic potential of DC-mediated tumor antigen sensing in priming antitumor immunity is also discussed.","container-title":"Cellular and Molecular Immunology","DOI":"10.1038/s41423-023-00990-6","ISSN":"1672-7681","issue":"5","journalAbbreviation":"Cell Mol Immunol","note":"PMID: 36949244\nPMCID: PMC10203372","page":"432-447","source":"PubMed Central","title":"Dendritic cell subsets in cancer immunity and tumor antigen sensing","volume":"20","author":[{"family":"Del Prete","given":"Annalisa"},{"family":"Salvi","given":"Valentina"},{"family":"Soriani","given":"Alessandra"},{"family":"Laffranchi","given":"Mattia"},{"family":"Sozio","given":"Francesca"},{"family":"Bosisio","given":"Daniela"},{"family":"Sozzani","given":"Silvano"}],"issued":{"date-parts":[["2023",5]]}}}],"schema":"https://github.com/citation-style-language/schema/raw/master/csl-citation.json"} </w:instrText>
      </w:r>
      <w:r w:rsidR="00A4073C">
        <w:fldChar w:fldCharType="separate"/>
      </w:r>
      <w:r w:rsidR="006869B2">
        <w:rPr>
          <w:noProof/>
        </w:rPr>
        <w:t>[25]</w:t>
      </w:r>
      <w:r w:rsidR="00A4073C">
        <w:fldChar w:fldCharType="end"/>
      </w:r>
      <w:r w:rsidR="00CC0A83">
        <w:t xml:space="preserve">. </w:t>
      </w:r>
      <w:r w:rsidR="007E04DA">
        <w:t xml:space="preserve">When the DC cell senses the DNA is foreign, </w:t>
      </w:r>
      <w:r w:rsidR="00EC5FF9" w:rsidRPr="00EC5FF9">
        <w:t xml:space="preserve">Simulation of interferon genes (STING) </w:t>
      </w:r>
      <w:r w:rsidR="007E04DA">
        <w:t>is activated. This pathway</w:t>
      </w:r>
      <w:r w:rsidR="00733479">
        <w:t xml:space="preserve"> has emerged as a central facilitator of inflammation at sites of tissue damage, infection, and cellular stress; as such it plays a key role in the immune systems antitumor response </w:t>
      </w:r>
      <w:r w:rsidR="00733479">
        <w:fldChar w:fldCharType="begin"/>
      </w:r>
      <w:r w:rsidR="00733479">
        <w:instrText xml:space="preserve"> ADDIN ZOTERO_ITEM CSL_CITATION {"citationID":"iqiF6KgI","properties":{"formattedCitation":"[26]","plainCitation":"[26]","noteIndex":0},"citationItems":[{"id":1670,"uris":["http://zotero.org/users/13277427/items/QQD7BGJP"],"itemData":{"id":1670,"type":"article-journal","abstract":"The cGAS–STING signalling pathway has emerged as a key mediator of inflammation in the settings of infection, cellular stress and tissue damage. Underlying this broad involvement of the cGAS–STING pathway is its capacity to sense and regulate the cellular response towards microbial and host-derived DNAs, which serve as ubiquitous danger-associated molecules. Insights into the structural and molecular biology of the cGAS–STING pathway have enabled the development of selective small-molecule inhibitors with the potential to target the cGAS–STING axis in a number of inflammatory diseases in humans. Here, we outline the principal elements of the cGAS–STING signalling cascade and discuss the general mechanisms underlying the association of cGAS–STING activity with various autoinflammatory, autoimmune and degenerative diseases. Finally, we outline the chemical nature of recently developed cGAS and STING antagonists and summarize their potential clinical applications.","container-title":"Nature Reviews Immunology","DOI":"10.1038/s41577-021-00524-z","ISSN":"1474-1741","issue":"9","journalAbbreviation":"Nat Rev Immunol","language":"en","license":"2021 Springer Nature Limited","note":"publisher: Nature Publishing Group","page":"548-569","source":"www.nature.com","title":"The cGAS–STING pathway as a therapeutic target in inflammatory diseases","volume":"21","author":[{"family":"Decout","given":"Alexiane"},{"family":"Katz","given":"Jason D."},{"family":"Venkatraman","given":"Shankar"},{"family":"Ablasser","given":"Andrea"}],"issued":{"date-parts":[["2021",9]]}}}],"schema":"https://github.com/citation-style-language/schema/raw/master/csl-citation.json"} </w:instrText>
      </w:r>
      <w:r w:rsidR="00733479">
        <w:fldChar w:fldCharType="separate"/>
      </w:r>
      <w:r w:rsidR="00733479">
        <w:rPr>
          <w:noProof/>
        </w:rPr>
        <w:t>[26]</w:t>
      </w:r>
      <w:r w:rsidR="00733479">
        <w:fldChar w:fldCharType="end"/>
      </w:r>
      <w:r w:rsidR="00733479">
        <w:t xml:space="preserve">. </w:t>
      </w:r>
    </w:p>
    <w:p w14:paraId="6954CB62" w14:textId="77777777" w:rsidR="00D01A52" w:rsidRDefault="00D01A52" w:rsidP="00E2248E">
      <w:pPr>
        <w:pStyle w:val="Heading2"/>
      </w:pPr>
    </w:p>
    <w:p w14:paraId="542467E8" w14:textId="00E842BC" w:rsidR="00E2248E" w:rsidRDefault="00E2248E" w:rsidP="00E2248E">
      <w:pPr>
        <w:pStyle w:val="Heading2"/>
      </w:pPr>
      <w:bookmarkStart w:id="6" w:name="_Toc165293340"/>
      <w:r w:rsidRPr="00E2248E">
        <w:t xml:space="preserve">1.5. </w:t>
      </w:r>
      <w:r w:rsidR="00C21D28">
        <w:t>The Objectives of this Study</w:t>
      </w:r>
      <w:bookmarkEnd w:id="6"/>
      <w:r w:rsidRPr="00E2248E">
        <w:t xml:space="preserve"> </w:t>
      </w:r>
    </w:p>
    <w:p w14:paraId="7D4ABCEA" w14:textId="1231DC11" w:rsidR="00C21D28" w:rsidRDefault="00C21D28" w:rsidP="007E5365">
      <w:pPr>
        <w:ind w:firstLine="720"/>
      </w:pPr>
      <w:r>
        <w:t xml:space="preserve">GC is a novel immunostimulant that primarily interacts with APCs such as dendritic cells. However, the exact mechanism of these interactions remains undiscovered. Our previous </w:t>
      </w:r>
      <w:r>
        <w:lastRenderedPageBreak/>
        <w:t xml:space="preserve">studies have shown that GC </w:t>
      </w:r>
      <w:r w:rsidR="00733479">
        <w:t>interacts</w:t>
      </w:r>
      <w:r>
        <w:t xml:space="preserve"> with the STING mechanism within murine DCs</w:t>
      </w:r>
      <w:r w:rsidR="00733479">
        <w:t xml:space="preserve"> resulting in type I IFN and IL-1</w:t>
      </w:r>
      <w:r w:rsidR="00733479">
        <w:sym w:font="Symbol" w:char="F062"/>
      </w:r>
      <w:r w:rsidR="00733479">
        <w:t xml:space="preserve"> release </w:t>
      </w:r>
      <w:r w:rsidR="00733479">
        <w:fldChar w:fldCharType="begin"/>
      </w:r>
      <w:r w:rsidR="00733479">
        <w:instrText xml:space="preserve"> ADDIN ZOTERO_ITEM CSL_CITATION {"citationID":"8ywM6v2T","properties":{"formattedCitation":"[27]","plainCitation":"[27]","noteIndex":0},"citationItems":[{"id":1588,"uris":["http://zotero.org/users/13277427/items/T5N9545F"],"itemData":{"id":1588,"type":"report","abstract":"Abstract\n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rsidR="00733479">
        <w:fldChar w:fldCharType="separate"/>
      </w:r>
      <w:r w:rsidR="00733479">
        <w:rPr>
          <w:noProof/>
        </w:rPr>
        <w:t>[27]</w:t>
      </w:r>
      <w:r w:rsidR="00733479">
        <w:fldChar w:fldCharType="end"/>
      </w:r>
      <w:r>
        <w:t xml:space="preserve">. </w:t>
      </w:r>
      <w:r w:rsidR="00733479">
        <w:t>The objective of this study is to investigate if these interact</w:t>
      </w:r>
      <w:r w:rsidR="000B2D0C">
        <w:t>ion</w:t>
      </w:r>
      <w:r w:rsidR="00733479">
        <w:t xml:space="preserve">s are the result of direct binding with GC and how this mechanism leads to immunogenic cell death (ICD). </w:t>
      </w:r>
    </w:p>
    <w:p w14:paraId="53909BE8" w14:textId="3759708C" w:rsidR="00E2248E" w:rsidRPr="00E2248E" w:rsidRDefault="00733479" w:rsidP="008E2C3B">
      <w:pPr>
        <w:ind w:firstLine="720"/>
      </w:pPr>
      <w:r>
        <w:t xml:space="preserve">This master’s thesis is organized into </w:t>
      </w:r>
      <w:r w:rsidR="005979B4">
        <w:t>four main sections. First, the overall STING pathway will be highlight</w:t>
      </w:r>
      <w:r w:rsidR="000B2D0C">
        <w:t>ed</w:t>
      </w:r>
      <w:r w:rsidR="005979B4">
        <w:t xml:space="preserve"> where our previous work demonstrates that there is a connection between the STING pathway and uptake of GC by DCs. In the following section, the initial steps of this pathway are demonstrated where western blotting is utilized to illustrate how stimulation with GC leads to increased STING trafficking to the lysosome. This trafficking is known to lead to cellular swelling and death illustrated in the next section through </w:t>
      </w:r>
      <w:r w:rsidR="005979B4" w:rsidRPr="005979B4">
        <w:t>immunofluorescence</w:t>
      </w:r>
      <w:r w:rsidR="005979B4">
        <w:t xml:space="preserve"> tracking GC, STING, and lysosomal activity throughout the cell. The final section </w:t>
      </w:r>
      <w:r w:rsidR="008E2C3B">
        <w:t xml:space="preserve">aims to elucidate the bigger picture, using bulk RNA sequencing to highlight trends of upregulation in genes associated with lysosomal death and the NLRP3 pathway following GC stimulation. </w:t>
      </w:r>
    </w:p>
    <w:p w14:paraId="29AC9D0B" w14:textId="77777777" w:rsidR="003D33E3" w:rsidRDefault="003D33E3">
      <w:pPr>
        <w:rPr>
          <w:rFonts w:asciiTheme="majorHAnsi" w:eastAsiaTheme="majorEastAsia" w:hAnsiTheme="majorHAnsi" w:cstheme="majorBidi"/>
          <w:color w:val="2F5496" w:themeColor="accent1" w:themeShade="BF"/>
          <w:sz w:val="32"/>
          <w:szCs w:val="32"/>
        </w:rPr>
      </w:pPr>
      <w:r>
        <w:br w:type="page"/>
      </w:r>
    </w:p>
    <w:p w14:paraId="5819BD5C" w14:textId="5A31202F" w:rsidR="005D480A" w:rsidRPr="00BE487A" w:rsidRDefault="001B5AFC" w:rsidP="001B5AFC">
      <w:pPr>
        <w:pStyle w:val="Heading1"/>
      </w:pPr>
      <w:bookmarkStart w:id="7" w:name="_Toc165293341"/>
      <w:r>
        <w:lastRenderedPageBreak/>
        <w:t>Chapter 2 STING Pathway</w:t>
      </w:r>
      <w:bookmarkEnd w:id="7"/>
      <w:r>
        <w:t xml:space="preserve"> </w:t>
      </w:r>
    </w:p>
    <w:p w14:paraId="10085E4A" w14:textId="50048A75" w:rsidR="00811425" w:rsidRDefault="00811425" w:rsidP="00811425">
      <w:pPr>
        <w:pStyle w:val="Heading2"/>
      </w:pPr>
      <w:bookmarkStart w:id="8" w:name="_Toc165293342"/>
      <w:r>
        <w:t>2.1. Overview</w:t>
      </w:r>
      <w:bookmarkEnd w:id="8"/>
    </w:p>
    <w:p w14:paraId="15C8A45A" w14:textId="04BE6516" w:rsidR="004A5E2E" w:rsidRPr="0027528B" w:rsidRDefault="0027528B" w:rsidP="00234D75">
      <w:pPr>
        <w:ind w:firstLine="720"/>
      </w:pPr>
      <w:r w:rsidRPr="0027528B">
        <w:t xml:space="preserve">The </w:t>
      </w:r>
      <w:bookmarkStart w:id="9" w:name="_Hlk161401174"/>
      <w:r w:rsidR="00B352CE">
        <w:t xml:space="preserve">STING </w:t>
      </w:r>
      <w:bookmarkEnd w:id="9"/>
      <w:r w:rsidRPr="0027528B">
        <w:t xml:space="preserve">pathway is a crucial component of the innate immune system that plays a vital role in the detection of cytosolic DNA and the initiation of an immune response </w:t>
      </w:r>
      <w:r w:rsidR="00A3379A">
        <w:fldChar w:fldCharType="begin"/>
      </w:r>
      <w:r w:rsidR="00733479">
        <w:instrText xml:space="preserve"> ADDIN ZOTERO_ITEM CSL_CITATION {"citationID":"8wqCBQSN","properties":{"formattedCitation":"[28]","plainCitation":"[28]","noteIndex":0},"citationItems":[{"id":1432,"uris":["http://zotero.org/users/13277427/items/DQS6VQAG"],"itemData":{"id":1432,"type":"article-journal","abstract":"Stimulator of Interferon Genes (STING) is a cytosolic sensor of cyclic dinucleotides (CDNs). The activation of dendritic cells (DC) via the STING pathway, and their subsequent production of type I interferon (IFN) is considered central to eradicating tumours in mouse models. However, this contribution of STING in preclinical murine studies has not translated into positive outcomes of STING agonists in phase I &amp; II clinical trials. We therefore questioned whether a difference in human DC responses could be critical to the lack of STING agonist efficacy in human settings. This study sought to directly compare mouse and human plasmacytoid DCs and conventional DC subset responses upon STING activation. We found all mouse and human DC subsets were potently activated by STING stimulation. As expected, Type I IFNs were produced by both mouse and human plasmacytoid DCs. However, mouse and human plasmacytoid and conventional DCs all produced type III IFNs (i.e., IFN-λs) in response to STING activation. Of particular interest, all human DCs produced large amounts of IFN-λ1, not expressed in the mouse genome. Furthermore, we also found differential cell death responses upon STING activation, observing rapid ablation of mouse, but not human, plasmacytoid DCs. STING-induced cell death in murine plasmacytoid DCs occurred in a cell-intrinsic manner and involved intrinsic apoptosis. These data highlight discordance between STING IFN and cell death responses in mouse and human DCs and caution against extrapolating STING-mediated events in mouse models to equivalent human outcomes.","container-title":"Frontiers in Immunology","ISSN":"1664-3224","source":"Frontiers","title":"Discordance in STING-Induced Activation and Cell Death Between Mouse and Human Dendritic Cell Populations","URL":"https://www.frontiersin.org/journals/immunology/articles/10.3389/fimmu.2022.794776","volume":"13","author":[{"family":"Pang","given":"Ee Shan"},{"family":"Daraj","given":"Ghazal"},{"family":"Balka","given":"Katherine R."},{"family":"De Nardo","given":"Dominic"},{"family":"Macri","given":"Christophe"},{"family":"Hochrein","given":"Hubertus"},{"family":"Masterman","given":"Kelly-Anne"},{"family":"Tan","given":"Peck S."},{"family":"Shoppee","given":"Angus"},{"family":"Magill","given":"Zoe"},{"family":"Jahan","given":"Nazneen"},{"family":"Bafit","given":"Mariam"},{"family":"Zhan","given":"Yifan"},{"family":"Kile","given":"Benjamin T."},{"family":"Lawlor","given":"Kate E."},{"family":"Radford","given":"Kristen J."},{"family":"Wright","given":"Mark D."},{"family":"O’Keeffe","given":"Meredith"}],"accessed":{"date-parts":[["2024",3,4]]},"issued":{"date-parts":[["2022"]]}}}],"schema":"https://github.com/citation-style-language/schema/raw/master/csl-citation.json"} </w:instrText>
      </w:r>
      <w:r w:rsidR="00A3379A">
        <w:fldChar w:fldCharType="separate"/>
      </w:r>
      <w:r w:rsidR="00733479">
        <w:rPr>
          <w:noProof/>
        </w:rPr>
        <w:t>[28]</w:t>
      </w:r>
      <w:r w:rsidR="00A3379A">
        <w:fldChar w:fldCharType="end"/>
      </w:r>
      <w:r w:rsidR="00A3379A">
        <w:t xml:space="preserve">, </w:t>
      </w:r>
      <w:r w:rsidR="00A3379A">
        <w:fldChar w:fldCharType="begin"/>
      </w:r>
      <w:r w:rsidR="00733479">
        <w:instrText xml:space="preserve"> ADDIN ZOTERO_ITEM CSL_CITATION {"citationID":"RTk4kkk0","properties":{"formattedCitation":"[29]","plainCitation":"[29]","noteIndex":0},"citationItems":[{"id":1434,"uris":["http://zotero.org/users/13277427/items/NAFZ5GER"],"itemData":{"id":1434,"type":"article-journal","abstract":"Cyclic GMP-AMP synthetase (cGAS), recognized as the primary DNA sensor within cells, possesses the capability to identify foreign DNA molecules along with free DNA fragments. This identification process facilitates the production of type I IFNs through the activator of the interferon gene (STING) which induces the phosphorylation of downstream transcription factors. This action characterizes the most archetypal biological functionality of the cGAS-STING pathway. When treated with anti-tumor agents, cells experience DNA damage that triggers activation of the cGAS-STING pathway, culminating in the expression of type I IFNs and associated downstream interferon-stimulated genes. cGAS-STING is one of the important innate immune pathways,the role of type I IFNs in the articulation between innate immunity and T-cell antitumour immunity.type I IFNs promote the recruitment and activation of inflammatory cells (including NK cells) at the tumor site.Type I IFNs also can promote the activation and maturation of dendritic cel(DC), improve the antigen presentation of CD4+T lymphocytes, and enhance the cross-presentation of CD8+T lymphocytes to upregulating anti-tumor responses. This review discussed the cGAS-STING signaling and its mechanism and biological function in traditional tumor therapy and immunotherapy.","container-title":"Frontiers in Immunology","ISSN":"1664-3224","source":"Frontiers","title":"GAS-STING: a classical DNA recognition pathways to tumor therapy","title-short":"GAS-STING","URL":"https://www.frontiersin.org/journals/immunology/articles/10.3389/fimmu.2023.1200245","volume":"14","author":[{"family":"Wang","given":"Xinrui"},{"family":"Lin","given":"Meijia"},{"family":"Zhu","given":"Liping"},{"family":"Ye","given":"Zhoujie"}],"accessed":{"date-parts":[["2024",3,4]]},"issued":{"date-parts":[["2023"]]}}}],"schema":"https://github.com/citation-style-language/schema/raw/master/csl-citation.json"} </w:instrText>
      </w:r>
      <w:r w:rsidR="00A3379A">
        <w:fldChar w:fldCharType="separate"/>
      </w:r>
      <w:r w:rsidR="00733479">
        <w:rPr>
          <w:noProof/>
        </w:rPr>
        <w:t>[29]</w:t>
      </w:r>
      <w:r w:rsidR="00A3379A">
        <w:fldChar w:fldCharType="end"/>
      </w:r>
      <w:r w:rsidRPr="0027528B">
        <w:t xml:space="preserve">. </w:t>
      </w:r>
      <w:r w:rsidR="0078563F" w:rsidRPr="0027528B">
        <w:t>In the context of dendritic cells, STING activation can enhance the efficacy of immunotherapy by promoting the activation of dendritic cells and the priming of T cells</w:t>
      </w:r>
      <w:r w:rsidR="0078563F">
        <w:t xml:space="preserve"> </w:t>
      </w:r>
      <w:r w:rsidR="0078563F">
        <w:fldChar w:fldCharType="begin"/>
      </w:r>
      <w:r w:rsidR="00733479">
        <w:instrText xml:space="preserve"> ADDIN ZOTERO_ITEM CSL_CITATION {"citationID":"X9mVTZ1T","properties":{"formattedCitation":"[30]","plainCitation":"[30]","noteIndex":0},"citationItems":[{"id":1519,"uris":["http://zotero.org/users/13277427/items/TLAQUJ69"],"itemData":{"id":1519,"type":"article-journal","container-title":"The Journal of Clinical Investigation","DOI":"10.1172/JCI166031","ISSN":"0021-9738","issue":"7","journalAbbreviation":"J Clin Invest","language":"en","note":"publisher: American Society for Clinical Investigation\nPMID: 0","source":"www.jci.org","title":"Glycolysis drives STING signaling to facilitate dendritic cell antitumor function","URL":"https://www.jci.org/articles/view/166031","volume":"133","author":[{"family":"Hu","given":"Zhilin"},{"family":"Yu","given":"Xiaoyan"},{"family":"Ding","given":"Rui"},{"family":"Liu","given":"Ben"},{"family":"Gu","given":"Chuanjia"},{"family":"Pan","given":"Xiu-Wu"},{"family":"Han","given":"Qiaoqiao"},{"family":"Zhang","given":"Yuerong"},{"family":"Wan","given":"Jie"},{"family":"Cui","given":"Xin-Gang"},{"family":"Sun","given":"Jiayuan"},{"family":"Zou","given":"Qiang"}],"accessed":{"date-parts":[["2024",3,12]]},"issued":{"date-parts":[["2023",4,3]]}}}],"schema":"https://github.com/citation-style-language/schema/raw/master/csl-citation.json"} </w:instrText>
      </w:r>
      <w:r w:rsidR="0078563F">
        <w:fldChar w:fldCharType="separate"/>
      </w:r>
      <w:r w:rsidR="00733479">
        <w:rPr>
          <w:noProof/>
        </w:rPr>
        <w:t>[30]</w:t>
      </w:r>
      <w:r w:rsidR="0078563F">
        <w:fldChar w:fldCharType="end"/>
      </w:r>
      <w:r w:rsidR="0078563F" w:rsidRPr="0027528B">
        <w:t>. A recent study has shown that type 1 conventional dendritic cells (cDC1s) are essential for STING-mediated rejection of multiple established and metastatic murine tumors</w:t>
      </w:r>
      <w:r w:rsidR="0078563F">
        <w:t xml:space="preserve"> </w:t>
      </w:r>
      <w:r w:rsidR="0078563F">
        <w:fldChar w:fldCharType="begin"/>
      </w:r>
      <w:r w:rsidR="00733479">
        <w:instrText xml:space="preserve"> ADDIN ZOTERO_ITEM CSL_CITATION {"citationID":"GkM5YDB7","properties":{"formattedCitation":"[31]","plainCitation":"[31]","noteIndex":0},"citationItems":[{"id":1522,"uris":["http://zotero.org/users/13277427/items/6F9YMFIZ"],"itemData":{"id":1522,"type":"report","abstract":"Abstract\n          \n            Stimulator of interferon genes (STING) is an immune adaptor protein that senses cyclic GMP-AMP (cGAMP) in response to self or microbial cytosolic DNA as a danger signal. STING is ubiquitously expressed in diverse cell populations including cancer cells with distinct cellular functions such as activation of type I interferons, autophagy induction, or triggering apoptosis. It is not well understood whether and which subsets of immune cells, stromal cells, or cancer cells are particularly important for STING-mediated antitumor immunity. Here using a polymeric STING-activating nanoparticle (PolySTING) with a “shock-and-lock” dual activation mechanism, we show type 1 conventional dendritic cell (cDC1) is essential for STING-mediated rejection of multiple established and metastatic murine tumors. STING status in the host but not in the cancer cells (\n            \n              Tmem173\n              -/-\n            \n            ) is important for antitumor efficacy. Specific depletion of cDC1 (\n            \n              Batf3\n              -/-\n            \n            ) or STING deficiency in cDC1 (\n            \n              XCR1\n              cre\n              STING\n              fl/fl\n            \n            ) abolished PolySTING efficacy, whereas depletion of other myeloid cells had little effect. Adoptive transfer of wildtype cDC1 in\n            \n              Batf3\n              -/-\n            \n            mice restored antitumor efficacy while transfer of cDC1 with STING or IRF3 deficiency failed to rescue. PolySTING induced a specific chemokine signature in wildtype but not\n            \n              Batf3\n              -/-\n            \n            mice. Multiplexed immunohistochemistry analysis of STING-activating cDC1s in resected tumors correlates with patient survival while also showing increased expressions after neoadjuvant pembrolizumab therapy in non-small cell lung cancer patients. Therefore, we have defined that a subset of myeloid cells is essential for STING-mediated antitumor immunity with associated biomarkers for prognosis.\n          \n          \n            One Sentence Summary\n            A “shock-and-lock” nanoparticle agonist induces direct STING signaling in type 1 conventional dendritic cells to drive antitumor immunity with defined biomarkers","genre":"preprint","language":"en","note":"DOI: 10.1101/2024.01.02.573934","publisher":"Immunology","source":"DOI.org (Crossref)","title":"STING Licensing of Type I Dendritic Cells Potentiates Antitumor Immunity","URL":"http://biorxiv.org/lookup/doi/10.1101/2024.01.02.573934","author":[{"family":"Wang","given":"Jian"},{"family":"Li","given":"Suxin"},{"family":"Wang","given":"Maggie"},{"family":"Wang","given":"Xu"},{"family":"Chen","given":"Shuqing"},{"family":"Sun","given":"Zhichen"},{"family":"Ren","given":"Xiubao"},{"family":"Huang","given":"Gang"},{"family":"Sumer","given":"Baran D."},{"family":"Yan","given":"Nan"},{"family":"Fu","given":"Yang-Xin"},{"family":"Gao","given":"Jinming"}],"accessed":{"date-parts":[["2024",3,12]]},"issued":{"date-parts":[["2024",1,2]]}}}],"schema":"https://github.com/citation-style-language/schema/raw/master/csl-citation.json"} </w:instrText>
      </w:r>
      <w:r w:rsidR="0078563F">
        <w:fldChar w:fldCharType="separate"/>
      </w:r>
      <w:r w:rsidR="00733479">
        <w:rPr>
          <w:noProof/>
        </w:rPr>
        <w:t>[31]</w:t>
      </w:r>
      <w:r w:rsidR="0078563F">
        <w:fldChar w:fldCharType="end"/>
      </w:r>
      <w:r w:rsidR="0078563F" w:rsidRPr="0027528B">
        <w:t xml:space="preserve">. </w:t>
      </w:r>
      <w:r w:rsidR="00A3379A">
        <w:t xml:space="preserve">This response is crucial </w:t>
      </w:r>
      <w:r w:rsidR="00EC5FF9">
        <w:t>in</w:t>
      </w:r>
      <w:r w:rsidR="00A3379A">
        <w:t xml:space="preserve"> DCs</w:t>
      </w:r>
      <w:r w:rsidR="00EC5FF9">
        <w:t>’</w:t>
      </w:r>
      <w:r w:rsidR="00A3379A">
        <w:t xml:space="preserve"> antitumor response leading to </w:t>
      </w:r>
      <w:r w:rsidR="00234D75">
        <w:t>ICD</w:t>
      </w:r>
      <w:r w:rsidR="00A3379A">
        <w:t xml:space="preserve"> and the production of pro-inflammatory cytokines. </w:t>
      </w:r>
      <w:r w:rsidRPr="0027528B">
        <w:t>Th</w:t>
      </w:r>
      <w:r w:rsidR="00EC5FF9">
        <w:t>is</w:t>
      </w:r>
      <w:r w:rsidRPr="0027528B">
        <w:t xml:space="preserve"> pathway is activated when cyclic GMP-AMP synthase (</w:t>
      </w:r>
      <w:proofErr w:type="spellStart"/>
      <w:r w:rsidRPr="0027528B">
        <w:t>cGAS</w:t>
      </w:r>
      <w:proofErr w:type="spellEnd"/>
      <w:r w:rsidRPr="0027528B">
        <w:t>) recognizes cytosolic DNA and produces cyclic GMP-AMP (</w:t>
      </w:r>
      <w:proofErr w:type="spellStart"/>
      <w:r w:rsidRPr="0027528B">
        <w:t>cGAMP</w:t>
      </w:r>
      <w:proofErr w:type="spellEnd"/>
      <w:r w:rsidRPr="0027528B">
        <w:t>), which then binds to STING</w:t>
      </w:r>
      <w:r w:rsidR="00A3379A">
        <w:t xml:space="preserve"> </w:t>
      </w:r>
      <w:r w:rsidR="00A3379A">
        <w:fldChar w:fldCharType="begin"/>
      </w:r>
      <w:r w:rsidR="00733479">
        <w:instrText xml:space="preserve"> ADDIN ZOTERO_ITEM CSL_CITATION {"citationID":"vQLl1viR","properties":{"formattedCitation":"[29]","plainCitation":"[29]","noteIndex":0},"citationItems":[{"id":1434,"uris":["http://zotero.org/users/13277427/items/NAFZ5GER"],"itemData":{"id":1434,"type":"article-journal","abstract":"Cyclic GMP-AMP synthetase (cGAS), recognized as the primary DNA sensor within cells, possesses the capability to identify foreign DNA molecules along with free DNA fragments. This identification process facilitates the production of type I IFNs through the activator of the interferon gene (STING) which induces the phosphorylation of downstream transcription factors. This action characterizes the most archetypal biological functionality of the cGAS-STING pathway. When treated with anti-tumor agents, cells experience DNA damage that triggers activation of the cGAS-STING pathway, culminating in the expression of type I IFNs and associated downstream interferon-stimulated genes. cGAS-STING is one of the important innate immune pathways,the role of type I IFNs in the articulation between innate immunity and T-cell antitumour immunity.type I IFNs promote the recruitment and activation of inflammatory cells (including NK cells) at the tumor site.Type I IFNs also can promote the activation and maturation of dendritic cel(DC), improve the antigen presentation of CD4+T lymphocytes, and enhance the cross-presentation of CD8+T lymphocytes to upregulating anti-tumor responses. This review discussed the cGAS-STING signaling and its mechanism and biological function in traditional tumor therapy and immunotherapy.","container-title":"Frontiers in Immunology","ISSN":"1664-3224","source":"Frontiers","title":"GAS-STING: a classical DNA recognition pathways to tumor therapy","title-short":"GAS-STING","URL":"https://www.frontiersin.org/journals/immunology/articles/10.3389/fimmu.2023.1200245","volume":"14","author":[{"family":"Wang","given":"Xinrui"},{"family":"Lin","given":"Meijia"},{"family":"Zhu","given":"Liping"},{"family":"Ye","given":"Zhoujie"}],"accessed":{"date-parts":[["2024",3,4]]},"issued":{"date-parts":[["2023"]]}}}],"schema":"https://github.com/citation-style-language/schema/raw/master/csl-citation.json"} </w:instrText>
      </w:r>
      <w:r w:rsidR="00A3379A">
        <w:fldChar w:fldCharType="separate"/>
      </w:r>
      <w:r w:rsidR="00733479">
        <w:rPr>
          <w:noProof/>
        </w:rPr>
        <w:t>[29]</w:t>
      </w:r>
      <w:r w:rsidR="00A3379A">
        <w:fldChar w:fldCharType="end"/>
      </w:r>
      <w:r w:rsidRPr="0027528B">
        <w:t>. This binding leads to the activation of downstream signaling pathways, including the production of type I interferons (IFNs) and other cytokines, which help to activate both innate and adaptive immune responses</w:t>
      </w:r>
      <w:r w:rsidR="00ED6B08">
        <w:t xml:space="preserve"> </w:t>
      </w:r>
      <w:r w:rsidR="00ED6B08">
        <w:fldChar w:fldCharType="begin"/>
      </w:r>
      <w:r w:rsidR="00733479">
        <w:instrText xml:space="preserve"> ADDIN ZOTERO_ITEM CSL_CITATION {"citationID":"OSKGXyCn","properties":{"formattedCitation":"[32]","plainCitation":"[32]","noteIndex":0},"citationItems":[{"id":1643,"uris":["http://zotero.org/users/13277427/items/4IBB7ZVG"],"itemData":{"id":1643,"type":"article-journal","abstract":"Stimulator of interferon genes (STING) was initially described as a sensor of intracellular bacterial and viral DNA and a promising adjuvant target in innate immune cells; more recently STING has also been shown to detect endogenous DNA and play a role in tumor immunity and autoimmune disease development. Thus far STING has been studied in macrophages and dendritic cells. In this study, to our knowledge we provide the first evidence of STING activation in T cells, in which STING agonists not only provoke type I IFN production and IFN-stimulated gene expression, mirroring the response of innate cells, but are also capable of activating cell stress and death pathways. Our results suggest a re-evaluation of STING agonist–based therapies may be necessary to identify the possible effects on the T cell compartment. Conversely, the effects of STING on T cells could potentially be harnessed for therapeutic applications.","container-title":"The Journal of Immunology","DOI":"10.4049/jimmunol.1601999","ISSN":"0022-1767","issue":"2","journalAbbreviation":"The Journal of Immunology","page":"397-402","source":"Silverchair","title":"Cutting Edge: Activation of STING in T Cells Induces Type I IFN Responses and Cell Death","title-short":"Cutting Edge","volume":"199","author":[{"family":"Larkin","given":"Bridget"},{"family":"Ilyukha","given":"Vladimir"},{"family":"Sorokin","given":"Maxim"},{"family":"Buzdin","given":"Anton"},{"family":"Vannier","given":"Edouard"},{"family":"Poltorak","given":"Alexander"}],"issued":{"date-parts":[["2017",7,15]]}}}],"schema":"https://github.com/citation-style-language/schema/raw/master/csl-citation.json"} </w:instrText>
      </w:r>
      <w:r w:rsidR="00ED6B08">
        <w:fldChar w:fldCharType="separate"/>
      </w:r>
      <w:r w:rsidR="00733479">
        <w:rPr>
          <w:noProof/>
        </w:rPr>
        <w:t>[32]</w:t>
      </w:r>
      <w:r w:rsidR="00ED6B08">
        <w:fldChar w:fldCharType="end"/>
      </w:r>
      <w:r w:rsidR="00A3379A">
        <w:t xml:space="preserve">. </w:t>
      </w:r>
    </w:p>
    <w:p w14:paraId="14855D04" w14:textId="3DD1D514" w:rsidR="002D3A85" w:rsidRDefault="0078563F" w:rsidP="006C3D01">
      <w:pPr>
        <w:ind w:firstLine="720"/>
      </w:pPr>
      <w:r w:rsidRPr="00434EB7">
        <w:t>Within the context of their anti-tumor activities, DCs activate STING pathway in response to the detection of cytosolic DNA, a common feature in cancer cells</w:t>
      </w:r>
      <w:r w:rsidR="001776F9">
        <w:t xml:space="preserve"> </w:t>
      </w:r>
      <w:r w:rsidR="001776F9">
        <w:fldChar w:fldCharType="begin"/>
      </w:r>
      <w:r w:rsidR="00733479">
        <w:instrText xml:space="preserve"> ADDIN ZOTERO_ITEM CSL_CITATION {"citationID":"qsR7KCh6","properties":{"formattedCitation":"[33]","plainCitation":"[33]","noteIndex":0},"citationItems":[{"id":1646,"uris":["http://zotero.org/users/13277427/items/NXB4GYMD"],"itemData":{"id":1646,"type":"article-journal","abstract":"Cancer and the immune system are intimately related. Much of the bulk of tumors is comprised of stromal leukocytes with immune functions, which serve to both promote and inhibit tumor growth, invasion and metastasis. The T lymphocytes of the adaptive immune system are essential for tumor immunity, and these T cells are generated by cross-priming against tumor associated antigens. Dendritic cells (DCs) are essential in this process, serving as the cellular link between innate and adaptive immunity. As a prerequisite for priming of adaptive immune responses, DCs must take up tumor antigens, process them and present them in the context of the major histocompatibility complex (MHC). DCs also serve as sensors of innate activation signals from cancer that are necessary for their activation and effective priming of cancer specific T cells. Here we discuss the role of DCs in the sensing of cancer and in priming the adaptive response against tumors. Furthermore, we present the essential role of the Stimulator of Interferon Genes (STING) signaling pathway in producing type I interferons (IFNs) that are essential in this process.","container-title":"Molecular immunology","DOI":"10.1016/j.molimm.2017.12.001","ISSN":"0161-5890","journalAbbreviation":"Mol Immunol","note":"PMID: 29273394\nPMCID: PMC6768428","page":"13-23","source":"PubMed Central","title":"STING, DCs and the link between innate and adaptive tumor immunity","volume":"110","author":[{"family":"Vatner","given":"Ralph E."},{"family":"Janssen","given":"Edith M."}],"issued":{"date-parts":[["2019",6]]}}}],"schema":"https://github.com/citation-style-language/schema/raw/master/csl-citation.json"} </w:instrText>
      </w:r>
      <w:r w:rsidR="001776F9">
        <w:fldChar w:fldCharType="separate"/>
      </w:r>
      <w:r w:rsidR="00733479">
        <w:rPr>
          <w:noProof/>
        </w:rPr>
        <w:t>[33]</w:t>
      </w:r>
      <w:r w:rsidR="001776F9">
        <w:fldChar w:fldCharType="end"/>
      </w:r>
      <w:r w:rsidRPr="00434EB7">
        <w:t xml:space="preserve">. The process begins with DNA sensors, such as </w:t>
      </w:r>
      <w:proofErr w:type="spellStart"/>
      <w:r w:rsidRPr="00434EB7">
        <w:t>cGAS</w:t>
      </w:r>
      <w:proofErr w:type="spellEnd"/>
      <w:r w:rsidRPr="00434EB7">
        <w:t>, recognizing and binding to cytosolic DNA</w:t>
      </w:r>
      <w:r w:rsidR="003A5300">
        <w:t xml:space="preserve"> </w:t>
      </w:r>
      <w:r w:rsidR="003A5300">
        <w:fldChar w:fldCharType="begin"/>
      </w:r>
      <w:r w:rsidR="00733479">
        <w:instrText xml:space="preserve"> ADDIN ZOTERO_ITEM CSL_CITATION {"citationID":"MEA4STsV","properties":{"formattedCitation":"[34]","plainCitation":"[34]","noteIndex":0},"citationItems":[{"id":1650,"uris":["http://zotero.org/users/13277427/items/X2Z3IMGZ"],"itemData":{"id":1650,"type":"article-journal","abstract":"Abstract\n            Sensing invasive cytosolic DNA is an integral component of innate immunity. cGAS was identified in 2013 as the major cytosolic DNA sensor that binds dsDNA to catalyze the synthesis of a special asymmetric c</w:instrText>
      </w:r>
      <w:r w:rsidR="00733479">
        <w:rPr>
          <w:rFonts w:hint="eastAsia"/>
        </w:rPr>
        <w:instrText>yclic-dinucleotide, 2</w:instrText>
      </w:r>
      <w:r w:rsidR="00733479">
        <w:rPr>
          <w:rFonts w:hint="eastAsia"/>
        </w:rPr>
        <w:instrText>′</w:instrText>
      </w:r>
      <w:r w:rsidR="00733479">
        <w:rPr>
          <w:rFonts w:hint="eastAsia"/>
        </w:rPr>
        <w:instrText>3</w:instrText>
      </w:r>
      <w:r w:rsidR="00733479">
        <w:rPr>
          <w:rFonts w:hint="eastAsia"/>
        </w:rPr>
        <w:instrText>′</w:instrText>
      </w:r>
      <w:r w:rsidR="00733479">
        <w:rPr>
          <w:rFonts w:hint="eastAsia"/>
        </w:rPr>
        <w:instrText xml:space="preserve">-cGAMP, as the secondary messenger to bind and activate STING for subsequent production of type I interferons and other immune-modulatory genes. Hyperactivation of cGAS signaling contributes to autoimmune diseases but serves as an </w:instrText>
      </w:r>
      <w:r w:rsidR="00733479">
        <w:instrText xml:space="preserve">adjuvant for anticancer immune therapy. On the other hand, inactivation of cGAS signaling causes deficiency to sense and clear the viral and bacterial infection and creates a tumor-prone immune microenvironment to facilitate tumor evasion of immune surveillance. Thus, cGAS activation is tightly controlled. In this review, we summarize up-to-date multilayers of regulatory mechanisms governing cGAS activation, including cGAS pre- and post-translational regulations, cGAS-binding proteins, and additional cGAS regulators such as ions and small molecules. We will also reveal the pathophysiological function of cGAS and its product cGAMP in human diseases. We hope to provide an up-to-date review for recent research advances of cGAS biology and cGAS-targeted therapies for human diseases.","container-title":"Signal Transduction and Targeted Therapy","DOI":"10.1038/s41392-021-00554-y","ISSN":"2059-3635","issue":"1","journalAbbreviation":"Sig Transduct Target Ther","language":"en","page":"170","source":"DOI.org (Crossref)","title":"Cytosolic DNA sensing by cGAS: regulation, function, and human diseases","title-short":"Cytosolic DNA sensing by cGAS","volume":"6","author":[{"family":"Yu","given":"Le"},{"family":"Liu","given":"Pengda"}],"issued":{"date-parts":[["2021",4,30]]}}}],"schema":"https://github.com/citation-style-language/schema/raw/master/csl-citation.json"} </w:instrText>
      </w:r>
      <w:r w:rsidR="003A5300">
        <w:fldChar w:fldCharType="separate"/>
      </w:r>
      <w:r w:rsidR="00733479">
        <w:rPr>
          <w:noProof/>
        </w:rPr>
        <w:t>[34]</w:t>
      </w:r>
      <w:r w:rsidR="003A5300">
        <w:fldChar w:fldCharType="end"/>
      </w:r>
      <w:r w:rsidRPr="00434EB7">
        <w:t xml:space="preserve">. Subsequently, </w:t>
      </w:r>
      <w:proofErr w:type="spellStart"/>
      <w:r w:rsidRPr="00434EB7">
        <w:t>cGAS</w:t>
      </w:r>
      <w:proofErr w:type="spellEnd"/>
      <w:r w:rsidRPr="00434EB7">
        <w:t xml:space="preserve"> catalyzes the synthesis of cyclic GMP-AMP (</w:t>
      </w:r>
      <w:proofErr w:type="spellStart"/>
      <w:r w:rsidRPr="00434EB7">
        <w:t>cGAMP</w:t>
      </w:r>
      <w:proofErr w:type="spellEnd"/>
      <w:r w:rsidRPr="00434EB7">
        <w:t>), which acts as a second messenger that binds to the STING protein on the endoplasmic reticulum membrane of DCs.</w:t>
      </w:r>
      <w:r w:rsidR="006C3D01">
        <w:t xml:space="preserve"> </w:t>
      </w:r>
      <w:r w:rsidR="00B1630F" w:rsidRPr="00B1630F">
        <w:t xml:space="preserve">This binding induces a conformational change in STING, leading to the activation of the STING pathway. </w:t>
      </w:r>
      <w:r w:rsidR="002D3A85">
        <w:t>Following this change, the STING pathway can have several mechanism</w:t>
      </w:r>
      <w:r w:rsidR="00EC5FF9">
        <w:t>s</w:t>
      </w:r>
      <w:r w:rsidR="002D3A85">
        <w:t>, two of which</w:t>
      </w:r>
      <w:r w:rsidR="00EC5FF9">
        <w:t>,</w:t>
      </w:r>
      <w:r w:rsidR="003A5300">
        <w:t xml:space="preserve"> production of IFN-</w:t>
      </w:r>
      <w:r w:rsidR="003A5300">
        <w:sym w:font="Symbol" w:char="F062"/>
      </w:r>
      <w:r w:rsidR="003A5300">
        <w:t xml:space="preserve"> and STING signaling leading to lysosomal cell death,</w:t>
      </w:r>
      <w:r w:rsidR="002D3A85">
        <w:t xml:space="preserve"> will be highlighted. The first leads to the release of pro-inflammatory cytokines and the second results in immunogenic cell death. </w:t>
      </w:r>
    </w:p>
    <w:p w14:paraId="704CB2F9" w14:textId="77777777" w:rsidR="00811425" w:rsidRDefault="00811425" w:rsidP="006C3D01">
      <w:pPr>
        <w:ind w:firstLine="720"/>
      </w:pPr>
    </w:p>
    <w:p w14:paraId="1A3BFFFD" w14:textId="0A003F9F" w:rsidR="00811425" w:rsidRPr="00811425" w:rsidRDefault="00811425" w:rsidP="00811425">
      <w:pPr>
        <w:pStyle w:val="Heading2"/>
      </w:pPr>
      <w:bookmarkStart w:id="10" w:name="_Toc165293343"/>
      <w:r>
        <w:t>2.2. STING Pathway Leading to Proinflammatory Cytokine Release by DCs</w:t>
      </w:r>
      <w:bookmarkEnd w:id="10"/>
    </w:p>
    <w:p w14:paraId="34F080B9" w14:textId="5EE20235" w:rsidR="00B1630F" w:rsidRDefault="00C7159F" w:rsidP="00C7159F">
      <w:pPr>
        <w:ind w:firstLine="720"/>
      </w:pPr>
      <w:r>
        <w:t xml:space="preserve">The activation of STING leading to the downstream release of </w:t>
      </w:r>
      <w:r w:rsidR="00A937E0">
        <w:t>proinflammatory</w:t>
      </w:r>
      <w:r>
        <w:t xml:space="preserve"> cytokines is one of the most</w:t>
      </w:r>
      <w:r w:rsidR="00413E52">
        <w:t xml:space="preserve"> </w:t>
      </w:r>
      <w:r w:rsidR="00FA268F">
        <w:t>well-known</w:t>
      </w:r>
      <w:r>
        <w:t xml:space="preserve"> </w:t>
      </w:r>
      <w:r w:rsidR="00C56DD9">
        <w:t xml:space="preserve">pathways involving </w:t>
      </w:r>
      <w:proofErr w:type="spellStart"/>
      <w:r w:rsidR="00C56DD9">
        <w:t>cGAS</w:t>
      </w:r>
      <w:proofErr w:type="spellEnd"/>
      <w:r w:rsidR="00C56DD9">
        <w:t>-</w:t>
      </w:r>
      <w:r>
        <w:t>STING</w:t>
      </w:r>
      <w:r w:rsidR="00C56DD9">
        <w:t xml:space="preserve"> signaling</w:t>
      </w:r>
      <w:r>
        <w:t xml:space="preserve">. </w:t>
      </w:r>
      <w:r w:rsidR="00B1630F" w:rsidRPr="0027528B">
        <w:t xml:space="preserve">The activation of STING in </w:t>
      </w:r>
      <w:r w:rsidR="00B7635F">
        <w:t>DC</w:t>
      </w:r>
      <w:r w:rsidR="00B1630F" w:rsidRPr="0027528B">
        <w:t xml:space="preserve">s is mediated by the TBK1-IRF3 </w:t>
      </w:r>
      <w:r w:rsidR="00285A77">
        <w:t>interaction</w:t>
      </w:r>
      <w:r w:rsidR="006C3D01">
        <w:t xml:space="preserve"> </w:t>
      </w:r>
      <w:r w:rsidR="006C3D01">
        <w:fldChar w:fldCharType="begin"/>
      </w:r>
      <w:r w:rsidR="00733479">
        <w:instrText xml:space="preserve"> ADDIN ZOTERO_ITEM CSL_CITATION {"citationID":"eiD0nPuS","properties":{"formattedCitation":"[28]","plainCitation":"[28]","noteIndex":0},"citationItems":[{"id":1432,"uris":["http://zotero.org/users/13277427/items/DQS6VQAG"],"itemData":{"id":1432,"type":"article-journal","abstract":"Stimulator of Interferon Genes (STING) is a cytosolic sensor of cyclic dinucleotides (CDNs). The activation of dendritic cells (DC) via the STING pathway, and their subsequent production of type I interferon (IFN) is considered central to eradicating tumours in mouse models. However, this contribution of STING in preclinical murine studies has not translated into positive outcomes of STING agonists in phase I &amp; II clinical trials. We therefore questioned whether a difference in human DC responses could be critical to the lack of STING agonist efficacy in human settings. This study sought to directly compare mouse and human plasmacytoid DCs and conventional DC subset responses upon STING activation. We found all mouse and human DC subsets were potently activated by STING stimulation. As expected, Type I IFNs were produced by both mouse and human plasmacytoid DCs. However, mouse and human plasmacytoid and conventional DCs all produced type III IFNs (i.e., IFN-λs) in response to STING activation. Of particular interest, all human DCs produced large amounts of IFN-λ1, not expressed in the mouse genome. Furthermore, we also found differential cell death responses upon STING activation, observing rapid ablation of mouse, but not human, plasmacytoid DCs. STING-induced cell death in murine plasmacytoid DCs occurred in a cell-intrinsic manner and involved intrinsic apoptosis. These data highlight discordance between STING IFN and cell death responses in mouse and human DCs and caution against extrapolating STING-mediated events in mouse models to equivalent human outcomes.","container-title":"Frontiers in Immunology","ISSN":"1664-3224","source":"Frontiers","title":"Discordance in STING-Induced Activation and Cell Death Between Mouse and Human Dendritic Cell Populations","URL":"https://www.frontiersin.org/journals/immunology/articles/10.3389/fimmu.2022.794776","volume":"13","author":[{"family":"Pang","given":"Ee Shan"},{"family":"Daraj","given":"Ghazal"},{"family":"Balka","given":"Katherine R."},{"family":"De Nardo","given":"Dominic"},{"family":"Macri","given":"Christophe"},{"family":"Hochrein","given":"Hubertus"},{"family":"Masterman","given":"Kelly-Anne"},{"family":"Tan","given":"Peck S."},{"family":"Shoppee","given":"Angus"},{"family":"Magill","given":"Zoe"},{"family":"Jahan","given":"Nazneen"},{"family":"Bafit","given":"Mariam"},{"family":"Zhan","given":"Yifan"},{"family":"Kile","given":"Benjamin T."},{"family":"Lawlor","given":"Kate E."},{"family":"Radford","given":"Kristen J."},{"family":"Wright","given":"Mark D."},{"family":"O’Keeffe","given":"Meredith"}],"accessed":{"date-parts":[["2024",3,4]]},"issued":{"date-parts":[["2022"]]}}}],"schema":"https://github.com/citation-style-language/schema/raw/master/csl-citation.json"} </w:instrText>
      </w:r>
      <w:r w:rsidR="006C3D01">
        <w:fldChar w:fldCharType="separate"/>
      </w:r>
      <w:r w:rsidR="00733479">
        <w:rPr>
          <w:noProof/>
        </w:rPr>
        <w:t>[28]</w:t>
      </w:r>
      <w:r w:rsidR="006C3D01">
        <w:fldChar w:fldCharType="end"/>
      </w:r>
      <w:r w:rsidR="00B1630F" w:rsidRPr="0027528B">
        <w:t xml:space="preserve">. </w:t>
      </w:r>
      <w:r w:rsidR="00B1630F" w:rsidRPr="00B1630F">
        <w:t xml:space="preserve">Activated STING </w:t>
      </w:r>
      <w:r w:rsidR="00295B10">
        <w:t xml:space="preserve">is incorporated into protein complex II (COPII) vesicles where it </w:t>
      </w:r>
      <w:r w:rsidR="00C56DD9">
        <w:t>traffics</w:t>
      </w:r>
      <w:r w:rsidR="00295B10">
        <w:t xml:space="preserve"> to the ER-Golgi intermediate compartment (ERGIC)</w:t>
      </w:r>
      <w:r w:rsidR="003A5300">
        <w:t xml:space="preserve"> </w:t>
      </w:r>
      <w:r w:rsidR="003A5300">
        <w:fldChar w:fldCharType="begin"/>
      </w:r>
      <w:r w:rsidR="00733479">
        <w:instrText xml:space="preserve"> ADDIN ZOTERO_ITEM CSL_CITATION {"citationID":"KBJxHG8v","properties":{"formattedCitation":"[35]","plainCitation":"[35]","noteIndex":0},"citationItems":[{"id":1652,"uris":["http://zotero.org/users/13277427/items/RBJ6WI55"],"itemData":{"id":1652,"type":"article-journal","abstract":"Type I interferon (IFN) signalling is tightly controlled. Upon recognition of DNA by cyclic GMP-AMP synthase (cGAS), stimulator of interferon genes (STING) translocates along the endoplasmic reticulum (ER)-Golgi axis to induce IFN signalling. Termination is achieved through autophagic degradation or recycling of STING by retrograde Golgi-to-ER transport. Here, we identify the GTPase ADP-ribosylation factor 1 (ARF1) as a crucial negative regulator of cGAS-STING signalling. Heterozygous ARF1 missense mutations cause a previously unrecognized type I interferonopathy associated with enhanced IFN-stimulated gene expression. Disease-associated, GTPase-defective ARF1 increases cGAS-STING dependent type I IFN signalling in cell lines and primary patient cells. Mechanistically, mutated ARF1 perturbs mitochondrial morphology, causing cGAS activation by aberrant mitochondrial DNA release, and leads to accumulation of active STING at the Golgi/ERGIC due to defective retrograde transport. Our data show an unexpected dual role of ARF1 in maintaining cGAS-STING homeostasis, through promotion of mitochondrial integrity and STING recycling., Self-derived DNA may trigger interferon-driven autoinflammation mediated by the cGAS-STING axis. Here, the authors find that mutations in the GTPase ARF1 cause an interferonopathy by promoting aberrant mitochondrial DNA release and impairing STING recycling.","container-title":"Nature Communications","DOI":"10.1038/s41467-023-42150-4","ISSN":"2041-1723","journalAbbreviation":"Nat Commun","note":"PMID: 37914730\nPMCID: PMC10620153","page":"6770","source":"PubMed Central","title":"ARF1 prevents aberrant type I interferon induction by regulating STING activation and recycling","volume":"14","author":[{"family":"Hirschenberger","given":"Maximilian"},{"family":"Lepelley","given":"Alice"},{"family":"Rupp","given":"Ulrich"},{"family":"Klute","given":"Susanne"},{"family":"Hunszinger","given":"Victoria"},{"family":"Koepke","given":"Lennart"},{"family":"Merold","given":"Veronika"},{"family":"Didry-Barca","given":"Blaise"},{"family":"Wondany","given":"Fanny"},{"family":"Bergner","given":"Tim"},{"family":"Moreau","given":"Tatiana"},{"family":"Rodero","given":"Mathieu P."},{"family":"Rösler","given":"Reinhild"},{"family":"Wiese","given":"Sebastian"},{"family":"Volpi","given":"Stefano"},{"family":"Gattorno","given":"Marco"},{"family":"Papa","given":"Riccardo"},{"family":"Lynch","given":"Sally-Ann"},{"family":"Haug","given":"Marte G."},{"family":"Houge","given":"Gunnar"},{"family":"Wigby","given":"Kristen M."},{"family":"Sprague","given":"Jessica"},{"family":"Lenberg","given":"Jerica"},{"family":"Read","given":"Clarissa"},{"family":"Walther","given":"Paul"},{"family":"Michaelis","given":"Jens"},{"family":"Kirchhoff","given":"Frank"},{"family":"Oliveira Mann","given":"Carina C.","non-dropping-particle":"de"},{"family":"Crow","given":"Yanick J."},{"family":"Sparrer","given":"Konstantin M. J."}],"issued":{"date-parts":[["2023",11,1]]}}}],"schema":"https://github.com/citation-style-language/schema/raw/master/csl-citation.json"} </w:instrText>
      </w:r>
      <w:r w:rsidR="003A5300">
        <w:fldChar w:fldCharType="separate"/>
      </w:r>
      <w:r w:rsidR="00733479">
        <w:rPr>
          <w:noProof/>
        </w:rPr>
        <w:t>[35]</w:t>
      </w:r>
      <w:r w:rsidR="003A5300">
        <w:fldChar w:fldCharType="end"/>
      </w:r>
      <w:r w:rsidR="00295B10">
        <w:t xml:space="preserve">. It then </w:t>
      </w:r>
      <w:r w:rsidR="00B1630F" w:rsidRPr="00B1630F">
        <w:t>recruits and activates TBK1, which phosphorylates the transcription factor IRF3. This phosphorylation event prompts IRF3 to translocate to the nucleus and initiate the transcription of genes encoding type I interferons, such as interferon-β (IFN-β). The production of type I interferons and other pro-inflammatory cytokines by DCs, driven by the STING pathway, enhances their antigen-</w:t>
      </w:r>
      <w:r w:rsidR="00285A77" w:rsidRPr="00B1630F">
        <w:t>presenta</w:t>
      </w:r>
      <w:r w:rsidR="00285A77">
        <w:t>tion</w:t>
      </w:r>
      <w:r w:rsidR="00B1630F" w:rsidRPr="00B1630F">
        <w:t xml:space="preserve"> capacity. This activation, in turn, facilitates the cross-presentation of tumor antigens to CD8+ cytotoxic T cells, contributing to the generation of a robust and effective adaptive immune response against the tumor. Harnessing the STING pathway within DCs represents a promising avenue in cancer immunotherapy, offering potential strategies to bolster the anti-tumor immune response and improve therapeutic outcomes.</w:t>
      </w:r>
      <w:r w:rsidR="006F51BD">
        <w:t xml:space="preserve"> </w:t>
      </w:r>
      <w:r w:rsidR="006F51BD" w:rsidRPr="006F51BD">
        <w:rPr>
          <w:b/>
          <w:bCs/>
        </w:rPr>
        <w:t>Figure 1</w:t>
      </w:r>
      <w:r w:rsidR="006F51BD">
        <w:t xml:space="preserve"> illustrates an overview of the </w:t>
      </w:r>
      <w:proofErr w:type="spellStart"/>
      <w:r w:rsidR="006F51BD">
        <w:t>cG</w:t>
      </w:r>
      <w:r w:rsidR="00285A77">
        <w:t>AS</w:t>
      </w:r>
      <w:proofErr w:type="spellEnd"/>
      <w:r w:rsidR="006F51BD">
        <w:t>-STING pa</w:t>
      </w:r>
      <w:r w:rsidR="00B0531B">
        <w:t>thway leading to the production of IFN</w:t>
      </w:r>
      <w:r w:rsidR="00285A77">
        <w:t>-</w:t>
      </w:r>
      <w:r w:rsidR="00B0531B">
        <w:sym w:font="Symbol" w:char="F062"/>
      </w:r>
      <w:r w:rsidR="00B0531B">
        <w:t xml:space="preserve">. </w:t>
      </w:r>
    </w:p>
    <w:p w14:paraId="6E7CD6C0" w14:textId="77777777" w:rsidR="00267E36" w:rsidRDefault="00267E36" w:rsidP="00C7159F">
      <w:pPr>
        <w:ind w:firstLine="720"/>
      </w:pPr>
    </w:p>
    <w:p w14:paraId="5EAE6599" w14:textId="5311342E" w:rsidR="006F51BD" w:rsidRDefault="006F51BD" w:rsidP="00267E36">
      <w:r w:rsidRPr="00FA2C7B">
        <w:rPr>
          <w:noProof/>
        </w:rPr>
        <w:lastRenderedPageBreak/>
        <w:drawing>
          <wp:inline distT="0" distB="0" distL="0" distR="0" wp14:anchorId="560BA6AC" wp14:editId="4608E77E">
            <wp:extent cx="5713304" cy="4941181"/>
            <wp:effectExtent l="0" t="0" r="1905" b="0"/>
            <wp:docPr id="5" name="Picture 4" descr="A diagram of a cell&#10;&#10;Description automatically generated">
              <a:extLst xmlns:a="http://schemas.openxmlformats.org/drawingml/2006/main">
                <a:ext uri="{FF2B5EF4-FFF2-40B4-BE49-F238E27FC236}">
                  <a16:creationId xmlns:a16="http://schemas.microsoft.com/office/drawing/2014/main" id="{DFCF1CA2-19C7-C9FC-FCB4-95D753B111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diagram of a cell&#10;&#10;Description automatically generated">
                      <a:extLst>
                        <a:ext uri="{FF2B5EF4-FFF2-40B4-BE49-F238E27FC236}">
                          <a16:creationId xmlns:a16="http://schemas.microsoft.com/office/drawing/2014/main" id="{DFCF1CA2-19C7-C9FC-FCB4-95D753B11185}"/>
                        </a:ext>
                      </a:extLst>
                    </pic:cNvPr>
                    <pic:cNvPicPr>
                      <a:picLocks noChangeAspect="1"/>
                    </pic:cNvPicPr>
                  </pic:nvPicPr>
                  <pic:blipFill rotWithShape="1">
                    <a:blip r:embed="rId12"/>
                    <a:srcRect l="2993" t="2738" r="1980" b="1928"/>
                    <a:stretch/>
                  </pic:blipFill>
                  <pic:spPr bwMode="auto">
                    <a:xfrm>
                      <a:off x="0" y="0"/>
                      <a:ext cx="5824071" cy="5036979"/>
                    </a:xfrm>
                    <a:prstGeom prst="rect">
                      <a:avLst/>
                    </a:prstGeom>
                    <a:ln>
                      <a:noFill/>
                    </a:ln>
                    <a:extLst>
                      <a:ext uri="{53640926-AAD7-44D8-BBD7-CCE9431645EC}">
                        <a14:shadowObscured xmlns:a14="http://schemas.microsoft.com/office/drawing/2010/main"/>
                      </a:ext>
                    </a:extLst>
                  </pic:spPr>
                </pic:pic>
              </a:graphicData>
            </a:graphic>
          </wp:inline>
        </w:drawing>
      </w:r>
    </w:p>
    <w:p w14:paraId="333DF6E3" w14:textId="66BB6CFE" w:rsidR="0012428B" w:rsidRPr="001D4EBC" w:rsidRDefault="0012428B" w:rsidP="001D4EBC">
      <w:pPr>
        <w:pStyle w:val="Caption"/>
        <w:jc w:val="both"/>
        <w:rPr>
          <w:i w:val="0"/>
          <w:iCs w:val="0"/>
          <w:color w:val="000000" w:themeColor="text1"/>
          <w:sz w:val="20"/>
          <w:szCs w:val="20"/>
        </w:rPr>
      </w:pPr>
      <w:bookmarkStart w:id="11" w:name="_Toc165201220"/>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1</w:t>
      </w:r>
      <w:r w:rsidRPr="001D4EBC">
        <w:rPr>
          <w:b/>
          <w:bCs/>
          <w:i w:val="0"/>
          <w:iCs w:val="0"/>
          <w:color w:val="000000" w:themeColor="text1"/>
          <w:sz w:val="20"/>
          <w:szCs w:val="20"/>
        </w:rPr>
        <w:fldChar w:fldCharType="end"/>
      </w:r>
      <w:r w:rsidR="00A1262E" w:rsidRPr="001D4EBC">
        <w:rPr>
          <w:b/>
          <w:bCs/>
          <w:i w:val="0"/>
          <w:iCs w:val="0"/>
          <w:color w:val="000000" w:themeColor="text1"/>
          <w:sz w:val="20"/>
          <w:szCs w:val="20"/>
        </w:rPr>
        <w:t>:</w:t>
      </w:r>
      <w:r w:rsidR="00A1262E" w:rsidRPr="001D4EBC">
        <w:rPr>
          <w:i w:val="0"/>
          <w:iCs w:val="0"/>
          <w:color w:val="000000" w:themeColor="text1"/>
          <w:sz w:val="20"/>
          <w:szCs w:val="20"/>
        </w:rPr>
        <w:t xml:space="preserve"> </w:t>
      </w:r>
      <w:r w:rsidR="00A1262E" w:rsidRPr="001D4EBC">
        <w:rPr>
          <w:b/>
          <w:bCs/>
          <w:i w:val="0"/>
          <w:iCs w:val="0"/>
          <w:color w:val="000000" w:themeColor="text1"/>
          <w:sz w:val="20"/>
          <w:szCs w:val="20"/>
        </w:rPr>
        <w:t xml:space="preserve">Overview of the </w:t>
      </w:r>
      <w:proofErr w:type="spellStart"/>
      <w:r w:rsidR="00A1262E" w:rsidRPr="001D4EBC">
        <w:rPr>
          <w:b/>
          <w:bCs/>
          <w:i w:val="0"/>
          <w:iCs w:val="0"/>
          <w:color w:val="000000" w:themeColor="text1"/>
          <w:sz w:val="20"/>
          <w:szCs w:val="20"/>
        </w:rPr>
        <w:t>cGAS</w:t>
      </w:r>
      <w:proofErr w:type="spellEnd"/>
      <w:r w:rsidR="00A1262E" w:rsidRPr="001D4EBC">
        <w:rPr>
          <w:b/>
          <w:bCs/>
          <w:i w:val="0"/>
          <w:iCs w:val="0"/>
          <w:color w:val="000000" w:themeColor="text1"/>
          <w:sz w:val="20"/>
          <w:szCs w:val="20"/>
        </w:rPr>
        <w:t>-STING pathway</w:t>
      </w:r>
      <w:r w:rsidR="00DD7F0B" w:rsidRPr="001D4EBC">
        <w:rPr>
          <w:i w:val="0"/>
          <w:iCs w:val="0"/>
          <w:color w:val="000000" w:themeColor="text1"/>
          <w:sz w:val="20"/>
          <w:szCs w:val="20"/>
        </w:rPr>
        <w:t>. Detection and bind</w:t>
      </w:r>
      <w:r w:rsidR="00BA341A" w:rsidRPr="001D4EBC">
        <w:rPr>
          <w:i w:val="0"/>
          <w:iCs w:val="0"/>
          <w:color w:val="000000" w:themeColor="text1"/>
          <w:sz w:val="20"/>
          <w:szCs w:val="20"/>
        </w:rPr>
        <w:t>ing</w:t>
      </w:r>
      <w:r w:rsidR="00DD7F0B" w:rsidRPr="001D4EBC">
        <w:rPr>
          <w:i w:val="0"/>
          <w:iCs w:val="0"/>
          <w:color w:val="000000" w:themeColor="text1"/>
          <w:sz w:val="20"/>
          <w:szCs w:val="20"/>
        </w:rPr>
        <w:t xml:space="preserve"> of double-stranded DNA results in a conformational change of </w:t>
      </w:r>
      <w:proofErr w:type="spellStart"/>
      <w:r w:rsidR="00DD7F0B" w:rsidRPr="001D4EBC">
        <w:rPr>
          <w:i w:val="0"/>
          <w:iCs w:val="0"/>
          <w:color w:val="000000" w:themeColor="text1"/>
          <w:sz w:val="20"/>
          <w:szCs w:val="20"/>
        </w:rPr>
        <w:t>cGAS</w:t>
      </w:r>
      <w:proofErr w:type="spellEnd"/>
      <w:r w:rsidR="00DD7F0B" w:rsidRPr="001D4EBC">
        <w:rPr>
          <w:i w:val="0"/>
          <w:iCs w:val="0"/>
          <w:color w:val="000000" w:themeColor="text1"/>
          <w:sz w:val="20"/>
          <w:szCs w:val="20"/>
        </w:rPr>
        <w:t> to 2′3′ cyclic GMP–AMP (</w:t>
      </w:r>
      <w:proofErr w:type="spellStart"/>
      <w:r w:rsidR="00DD7F0B" w:rsidRPr="001D4EBC">
        <w:rPr>
          <w:i w:val="0"/>
          <w:iCs w:val="0"/>
          <w:color w:val="000000" w:themeColor="text1"/>
          <w:sz w:val="20"/>
          <w:szCs w:val="20"/>
        </w:rPr>
        <w:t>cGAMP</w:t>
      </w:r>
      <w:proofErr w:type="spellEnd"/>
      <w:r w:rsidR="00DD7F0B" w:rsidRPr="001D4EBC">
        <w:rPr>
          <w:i w:val="0"/>
          <w:iCs w:val="0"/>
          <w:color w:val="000000" w:themeColor="text1"/>
          <w:sz w:val="20"/>
          <w:szCs w:val="20"/>
        </w:rPr>
        <w:t xml:space="preserve">). </w:t>
      </w:r>
      <w:proofErr w:type="spellStart"/>
      <w:r w:rsidR="00DD7F0B" w:rsidRPr="001D4EBC">
        <w:rPr>
          <w:i w:val="0"/>
          <w:iCs w:val="0"/>
          <w:color w:val="000000" w:themeColor="text1"/>
          <w:sz w:val="20"/>
          <w:szCs w:val="20"/>
        </w:rPr>
        <w:t>cGAMP</w:t>
      </w:r>
      <w:proofErr w:type="spellEnd"/>
      <w:r w:rsidR="00DD7F0B" w:rsidRPr="001D4EBC">
        <w:rPr>
          <w:i w:val="0"/>
          <w:iCs w:val="0"/>
          <w:color w:val="000000" w:themeColor="text1"/>
          <w:sz w:val="20"/>
          <w:szCs w:val="20"/>
        </w:rPr>
        <w:t xml:space="preserve"> then binds to stimulator of interferon genes (STING) residentially located in the endoplasmic reticulum. STING then trafficking to the ER–Golgi intermediate compartment (ERGIC) via coatomer protein complex II (COPII). Here STING recruits TANK-binding kinase 1 (TBK1) leading to TBK1 autophosphorylation and STING phosphorylation</w:t>
      </w:r>
      <w:r w:rsidR="00780525" w:rsidRPr="001D4EBC">
        <w:rPr>
          <w:i w:val="0"/>
          <w:iCs w:val="0"/>
          <w:color w:val="000000" w:themeColor="text1"/>
          <w:sz w:val="20"/>
          <w:szCs w:val="20"/>
        </w:rPr>
        <w:t xml:space="preserve"> </w:t>
      </w:r>
      <w:r w:rsidR="0002659E" w:rsidRPr="001D4EBC">
        <w:rPr>
          <w:i w:val="0"/>
          <w:iCs w:val="0"/>
          <w:color w:val="000000" w:themeColor="text1"/>
          <w:sz w:val="20"/>
          <w:szCs w:val="20"/>
        </w:rPr>
        <w:t>along</w:t>
      </w:r>
      <w:r w:rsidR="00780525" w:rsidRPr="001D4EBC">
        <w:rPr>
          <w:i w:val="0"/>
          <w:iCs w:val="0"/>
          <w:color w:val="000000" w:themeColor="text1"/>
          <w:sz w:val="20"/>
          <w:szCs w:val="20"/>
        </w:rPr>
        <w:t xml:space="preserve"> with the recruitment of interferon regulatory factor 3 (IRF3). This then enables IRF3 dimerization and translocation to the nucleus to induce the gene expression of type I interferons and other proinflammatory cytokines. Post IRF3 interaction STING traffics to the lysosome for degradation.</w:t>
      </w:r>
      <w:bookmarkEnd w:id="11"/>
      <w:r w:rsidR="00C41E7A">
        <w:rPr>
          <w:i w:val="0"/>
          <w:iCs w:val="0"/>
          <w:color w:val="000000" w:themeColor="text1"/>
          <w:sz w:val="20"/>
          <w:szCs w:val="20"/>
        </w:rPr>
        <w:t xml:space="preserve"> </w:t>
      </w:r>
      <w:r w:rsidR="00BA3F90">
        <w:rPr>
          <w:i w:val="0"/>
          <w:iCs w:val="0"/>
          <w:color w:val="000000" w:themeColor="text1"/>
          <w:sz w:val="20"/>
          <w:szCs w:val="20"/>
        </w:rPr>
        <w:t xml:space="preserve">Reproduced from </w:t>
      </w:r>
      <w:proofErr w:type="spellStart"/>
      <w:r w:rsidR="00BA3F90">
        <w:rPr>
          <w:i w:val="0"/>
          <w:iCs w:val="0"/>
          <w:color w:val="000000" w:themeColor="text1"/>
          <w:sz w:val="20"/>
          <w:szCs w:val="20"/>
        </w:rPr>
        <w:t>Decout</w:t>
      </w:r>
      <w:proofErr w:type="spellEnd"/>
      <w:r w:rsidR="00BA3F90">
        <w:rPr>
          <w:i w:val="0"/>
          <w:iCs w:val="0"/>
          <w:color w:val="000000" w:themeColor="text1"/>
          <w:sz w:val="20"/>
          <w:szCs w:val="20"/>
        </w:rPr>
        <w:t xml:space="preserve"> et. al with permission from Springer Nature </w:t>
      </w:r>
      <w:r w:rsidR="00575790" w:rsidRPr="001D4EBC">
        <w:rPr>
          <w:i w:val="0"/>
          <w:iCs w:val="0"/>
          <w:color w:val="000000" w:themeColor="text1"/>
          <w:sz w:val="20"/>
          <w:szCs w:val="20"/>
        </w:rPr>
        <w:fldChar w:fldCharType="begin"/>
      </w:r>
      <w:r w:rsidR="00575790" w:rsidRPr="001D4EBC">
        <w:rPr>
          <w:i w:val="0"/>
          <w:iCs w:val="0"/>
          <w:color w:val="000000" w:themeColor="text1"/>
          <w:sz w:val="20"/>
          <w:szCs w:val="20"/>
        </w:rPr>
        <w:instrText xml:space="preserve"> ADDIN ZOTERO_ITEM CSL_CITATION {"citationID":"jihHkgT8","properties":{"formattedCitation":"[26]","plainCitation":"[26]","noteIndex":0},"citationItems":[{"id":1670,"uris":["http://zotero.org/users/13277427/items/QQD7BGJP"],"itemData":{"id":1670,"type":"article-journal","abstract":"The cGAS–STING signalling pathway has emerged as a key mediator of inflammation in the settings of infection, cellular stress and tissue damage. Underlying this broad involvement of the cGAS–STING pathway is its capacity to sense and regulate the cellular response towards microbial and host-derived DNAs, which serve as ubiquitous danger-associated molecules. Insights into the structural and molecular biology of the cGAS–STING pathway have enabled the development of selective small-molecule inhibitors with the potential to target the cGAS–STING axis in a number of inflammatory diseases in humans. Here, we outline the principal elements of the cGAS–STING signalling cascade and discuss the general mechanisms underlying the association of cGAS–STING activity with various autoinflammatory, autoimmune and degenerative diseases. Finally, we outline the chemical nature of recently developed cGAS and STING antagonists and summarize their potential clinical applications.","container-title":"Nature Reviews Immunology","DOI":"10.1038/s41577-021-00524-z","ISSN":"1474-1741","issue":"9","journalAbbreviation":"Nat Rev Immunol","language":"en","license":"2021 Springer Nature Limited","note":"publisher: Nature Publishing Group","page":"548-569","source":"www.nature.com","title":"The cGAS–STING pathway as a therapeutic target in inflammatory diseases","volume":"21","author":[{"family":"Decout","given":"Alexiane"},{"family":"Katz","given":"Jason D."},{"family":"Venkatraman","given":"Shankar"},{"family":"Ablasser","given":"Andrea"}],"issued":{"date-parts":[["2021",9]]}}}],"schema":"https://github.com/citation-style-language/schema/raw/master/csl-citation.json"} </w:instrText>
      </w:r>
      <w:r w:rsidR="00575790" w:rsidRPr="001D4EBC">
        <w:rPr>
          <w:i w:val="0"/>
          <w:iCs w:val="0"/>
          <w:color w:val="000000" w:themeColor="text1"/>
          <w:sz w:val="20"/>
          <w:szCs w:val="20"/>
        </w:rPr>
        <w:fldChar w:fldCharType="separate"/>
      </w:r>
      <w:r w:rsidR="00575790" w:rsidRPr="001D4EBC">
        <w:rPr>
          <w:i w:val="0"/>
          <w:iCs w:val="0"/>
          <w:noProof/>
          <w:color w:val="000000" w:themeColor="text1"/>
          <w:sz w:val="20"/>
          <w:szCs w:val="20"/>
        </w:rPr>
        <w:t>[26]</w:t>
      </w:r>
      <w:r w:rsidR="00575790" w:rsidRPr="001D4EBC">
        <w:rPr>
          <w:i w:val="0"/>
          <w:iCs w:val="0"/>
          <w:color w:val="000000" w:themeColor="text1"/>
          <w:sz w:val="20"/>
          <w:szCs w:val="20"/>
        </w:rPr>
        <w:fldChar w:fldCharType="end"/>
      </w:r>
      <w:r w:rsidR="00575790">
        <w:rPr>
          <w:i w:val="0"/>
          <w:iCs w:val="0"/>
          <w:color w:val="000000" w:themeColor="text1"/>
          <w:sz w:val="20"/>
          <w:szCs w:val="20"/>
        </w:rPr>
        <w:t xml:space="preserve">. </w:t>
      </w:r>
    </w:p>
    <w:p w14:paraId="48198B61" w14:textId="39784ACC" w:rsidR="002D0515" w:rsidRDefault="002D3A85" w:rsidP="00910D26">
      <w:pPr>
        <w:ind w:firstLine="720"/>
      </w:pPr>
      <w:r w:rsidRPr="002D3A85">
        <w:t>Upon activation, STING undergoes dynamic subcellular trafficking, moving from the endoplasmic reticulum (ER) to the Golgi apparatus and subsequently to the lysosomes</w:t>
      </w:r>
      <w:r w:rsidR="007E08E6">
        <w:t xml:space="preserve"> </w:t>
      </w:r>
      <w:r w:rsidR="007E08E6">
        <w:fldChar w:fldCharType="begin"/>
      </w:r>
      <w:r w:rsidR="00733479">
        <w:instrText xml:space="preserve"> ADDIN ZOTERO_ITEM CSL_CITATION {"citationID":"0aLO6oa9","properties":{"formattedCitation":"[36]","plainCitation":"[36]","noteIndex":0},"citationItems":[{"id":1537,"uris":["http://zotero.org/users/13277427/items/EQSAFJXB"],"itemData":{"id":1537,"type":"article-journal","abstract":"To effectively defend against microbial pathogens, the host cells mount antiviral innate immune responses by producing interferons (IFNs), and hundreds of IFN-stimulated genes (ISGs). Upon recognition of cytoplasmic viral or bacterial DNAs and abnormal endogenous DNAs, the DNA sensor cGAS synthesizes 2’,3’-cGAMP that induces STING (stimulator of interferon genes) undergoing conformational changes, cellular trafficking, and the activation of downstream factors. Therefore, STING plays a pivotal role in preventing microbial pathogen infection by sensing DNAs during pathogen invasion. This review is dedicated to the recent advances in the dynamic regulations of STING activation, intracellular trafficking, and post-translational modifications (PTMs) by the host and microbial proteins.","container-title":"Frontiers in Immunology","DOI":"10.3389/fimmu.2020.02064","ISSN":"1664-3224","journalAbbreviation":"Front Immunol","note":"PMID: 33133062\nPMCID: PMC7550420","page":"2064","source":"PubMed Central","title":"When STING Meets Viruses: Sensing, Trafficking and Response","title-short":"When STING Meets Viruses","volume":"11","author":[{"family":"Li","given":"Zhaohe"},{"family":"Cai","given":"Siqi"},{"family":"Sun","given":"Yutong"},{"family":"Li","given":"Li"},{"family":"Ding","given":"Siyuan"},{"family":"Wang","given":"Xin"}],"issued":{"date-parts":[["2020",9,29]]}}}],"schema":"https://github.com/citation-style-language/schema/raw/master/csl-citation.json"} </w:instrText>
      </w:r>
      <w:r w:rsidR="007E08E6">
        <w:fldChar w:fldCharType="separate"/>
      </w:r>
      <w:r w:rsidR="00733479">
        <w:rPr>
          <w:noProof/>
        </w:rPr>
        <w:t>[36]</w:t>
      </w:r>
      <w:r w:rsidR="007E08E6">
        <w:fldChar w:fldCharType="end"/>
      </w:r>
      <w:r w:rsidRPr="002D3A85">
        <w:t xml:space="preserve">. </w:t>
      </w:r>
      <w:r w:rsidR="00C7159F" w:rsidRPr="00911E3E">
        <w:t>STING is transported from the ER to the Golgi apparatus by COPII-coated vesicles</w:t>
      </w:r>
      <w:r w:rsidR="00C7159F">
        <w:t xml:space="preserve"> </w:t>
      </w:r>
      <w:r w:rsidR="00C7159F">
        <w:fldChar w:fldCharType="begin"/>
      </w:r>
      <w:r w:rsidR="00733479">
        <w:instrText xml:space="preserve"> ADDIN ZOTERO_ITEM CSL_CITATION {"citationID":"CfaE4Xv5","properties":{"formattedCitation":"[37]","plainCitation":"[37]","noteIndex":0},"citationItems":[{"id":1543,"uris":["http://zotero.org/users/13277427/items/4KVPTCF8"],"itemData":{"id":1543,"type":"webpage","abstract":"Immunotherapies have greatly improved the outcomes of many patients with melanoma. But there is still a need for new approaches for the subset of patients who do not respond well to this type of therapy.","container-title":"News-Medical","language":"en","note":"section: Medical News","title":"Targeting the STING pathway with a combination strategy promotes antitumor activity","URL":"https://www.news-medical.net/news/20230327/Targeting-the-STING-pathway-with-a-combination-strategy-promotes-antitumor-activity.aspx","accessed":{"date-parts":[["2024",3,13]]},"issued":{"date-parts":[["2023",3,27]]}}}],"schema":"https://github.com/citation-style-language/schema/raw/master/csl-citation.json"} </w:instrText>
      </w:r>
      <w:r w:rsidR="00C7159F">
        <w:fldChar w:fldCharType="separate"/>
      </w:r>
      <w:r w:rsidR="00733479">
        <w:rPr>
          <w:noProof/>
        </w:rPr>
        <w:t>[37]</w:t>
      </w:r>
      <w:r w:rsidR="00C7159F">
        <w:fldChar w:fldCharType="end"/>
      </w:r>
      <w:r w:rsidR="00C7159F" w:rsidRPr="00911E3E">
        <w:t>. These vesicles are responsible for the transport of proteins and lipids from the ER to the Golgi apparatus. Once STING reaches the Golgi apparatus, it is transported to the lysosome by a process called autophagy</w:t>
      </w:r>
      <w:r w:rsidR="00FE2745">
        <w:t xml:space="preserve">. </w:t>
      </w:r>
      <w:r w:rsidRPr="002D3A85">
        <w:t>Autophagy, a cellular mechanism responsible for the degradation and recycling of cellular components, emerges as a key player influenced by STING activity</w:t>
      </w:r>
      <w:r w:rsidR="00C7159F">
        <w:t xml:space="preserve"> </w:t>
      </w:r>
      <w:r w:rsidR="00C7159F">
        <w:fldChar w:fldCharType="begin"/>
      </w:r>
      <w:r w:rsidR="00733479">
        <w:instrText xml:space="preserve"> ADDIN ZOTERO_ITEM CSL_CITATION {"citationID":"fElEue4f","properties":{"formattedCitation":"[38]","plainCitation":"[38]","noteIndex":0},"citationItems":[{"id":1540,"uris":["http://zotero.org/users/13277427/items/UXDKTK2W"],"itemData":{"id":1540,"type":"article-journal","abstract":"Robust immune responses are essential for eliminating pathogens but must be metered to avoid prolonged immune activation and potential host damage. Upon recognition of microbial DNA, the cytosolic DNA sensor cyclic GMP-AMP (cGAMP) synthetase (cGAS) produces the second messenger cGAMP to initiate the stimulator of interferon genes (STING) pathway and subsequent interferon (IFN) production. We report that the direct interaction between cGAS and the Beclin-1 autophagy protein not only suppresses cGAMP synthesis to halt IFN production upon double-stranded DNA (dsDNA) stimulation or herpes simplex virus-1 infection, but also enhances autophagy-mediated degradation of cytosolic pathogen DNA to prevent excessive cGAS activation and persistent immune stimulation. Specifically, this interaction releases Rubicon, a negative autophagy regulator, from the Beclin-1 complex, activating phosphatidylinositol 3-kinase class III activity and thereby inducing autophagy to remove cytosolic pathogen DNA. Thus, the cGAS-Beclin-1 interaction shapes innate immune responses by regulating both cGAMP production and autophagy, resulting in well-balanced antimicrobial immune responses.","container-title":"Cell Host &amp; Microbe","DOI":"10.1016/j.chom.2014.01.009","ISSN":"1934-6069","issue":"2","journalAbbreviation":"Cell Host Microbe","language":"eng","note":"PMID: 24528868\nPMCID: PMC3950946","page":"228-238","source":"PubMed","title":"Crosstalk between the cGAS DNA sensor and Beclin-1 autophagy protein shapes innate antimicrobial immune responses","volume":"15","author":[{"family":"Liang","given":"Qiming"},{"family":"Seo","given":"Gil Ju"},{"family":"Choi","given":"Youn Jung"},{"family":"Kwak","given":"Mi-Jeong"},{"family":"Ge","given":"Jianning"},{"family":"Rodgers","given":"Mary A."},{"family":"Shi","given":"Mude"},{"family":"Leslie","given":"Benjamin J."},{"family":"Hopfner","given":"Karl-Peter"},{"family":"Ha","given":"Taekjip"},{"family":"Oh","given":"Byung-Ha"},{"family":"Jung","given":"Jae U."}],"issued":{"date-parts":[["2014",2,12]]}}}],"schema":"https://github.com/citation-style-language/schema/raw/master/csl-citation.json"} </w:instrText>
      </w:r>
      <w:r w:rsidR="00C7159F">
        <w:fldChar w:fldCharType="separate"/>
      </w:r>
      <w:r w:rsidR="00733479">
        <w:rPr>
          <w:noProof/>
        </w:rPr>
        <w:t>[38]</w:t>
      </w:r>
      <w:r w:rsidR="00C7159F">
        <w:fldChar w:fldCharType="end"/>
      </w:r>
      <w:r w:rsidRPr="002D3A85">
        <w:t>. The interplay between STING and autophagy suggests that STING may contribute to the maintenance of cellular homeostasis by regulating autophagic responses, potentially impacting the clearance of damaged organelles and proteins.</w:t>
      </w:r>
      <w:r w:rsidR="00C7159F">
        <w:t xml:space="preserve"> </w:t>
      </w:r>
    </w:p>
    <w:p w14:paraId="7DE33D45" w14:textId="77777777" w:rsidR="007052DE" w:rsidRDefault="007052DE" w:rsidP="00FE2745"/>
    <w:p w14:paraId="51FE353A" w14:textId="28DE9412" w:rsidR="00C7159F" w:rsidRDefault="001A682E" w:rsidP="001904CB">
      <w:pPr>
        <w:jc w:val="center"/>
      </w:pPr>
      <w:r>
        <w:rPr>
          <w:noProof/>
        </w:rPr>
        <w:drawing>
          <wp:inline distT="0" distB="0" distL="0" distR="0" wp14:anchorId="38193DFC" wp14:editId="0375B1CB">
            <wp:extent cx="4332717" cy="4199076"/>
            <wp:effectExtent l="0" t="0" r="0" b="5080"/>
            <wp:docPr id="1707013231" name="Picture 9" descr="A diagram of a cell deat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013231" name="Picture 9" descr="A diagram of a cell death&#10;&#10;Description automatically generated"/>
                    <pic:cNvPicPr/>
                  </pic:nvPicPr>
                  <pic:blipFill rotWithShape="1">
                    <a:blip r:embed="rId13" cstate="print">
                      <a:extLst>
                        <a:ext uri="{28A0092B-C50C-407E-A947-70E740481C1C}">
                          <a14:useLocalDpi xmlns:a14="http://schemas.microsoft.com/office/drawing/2010/main" val="0"/>
                        </a:ext>
                      </a:extLst>
                    </a:blip>
                    <a:srcRect t="3084"/>
                    <a:stretch/>
                  </pic:blipFill>
                  <pic:spPr bwMode="auto">
                    <a:xfrm>
                      <a:off x="0" y="0"/>
                      <a:ext cx="4362763" cy="4228195"/>
                    </a:xfrm>
                    <a:prstGeom prst="rect">
                      <a:avLst/>
                    </a:prstGeom>
                    <a:ln>
                      <a:noFill/>
                    </a:ln>
                    <a:extLst>
                      <a:ext uri="{53640926-AAD7-44D8-BBD7-CCE9431645EC}">
                        <a14:shadowObscured xmlns:a14="http://schemas.microsoft.com/office/drawing/2010/main"/>
                      </a:ext>
                    </a:extLst>
                  </pic:spPr>
                </pic:pic>
              </a:graphicData>
            </a:graphic>
          </wp:inline>
        </w:drawing>
      </w:r>
    </w:p>
    <w:p w14:paraId="68B2D2A6" w14:textId="6186A65B" w:rsidR="002D3A85" w:rsidRPr="001D4EBC" w:rsidRDefault="0012428B" w:rsidP="001D4EBC">
      <w:pPr>
        <w:pStyle w:val="Caption"/>
        <w:jc w:val="both"/>
        <w:rPr>
          <w:i w:val="0"/>
          <w:iCs w:val="0"/>
          <w:color w:val="000000" w:themeColor="text1"/>
          <w:sz w:val="20"/>
          <w:szCs w:val="20"/>
        </w:rPr>
      </w:pPr>
      <w:bookmarkStart w:id="12" w:name="_Toc165201221"/>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2</w:t>
      </w:r>
      <w:r w:rsidRPr="001D4EBC">
        <w:rPr>
          <w:b/>
          <w:bCs/>
          <w:i w:val="0"/>
          <w:iCs w:val="0"/>
          <w:color w:val="000000" w:themeColor="text1"/>
          <w:sz w:val="20"/>
          <w:szCs w:val="20"/>
        </w:rPr>
        <w:fldChar w:fldCharType="end"/>
      </w:r>
      <w:r w:rsidR="00A1262E" w:rsidRPr="001D4EBC">
        <w:rPr>
          <w:b/>
          <w:bCs/>
          <w:i w:val="0"/>
          <w:iCs w:val="0"/>
          <w:color w:val="000000" w:themeColor="text1"/>
          <w:sz w:val="20"/>
          <w:szCs w:val="20"/>
        </w:rPr>
        <w:t xml:space="preserve">: </w:t>
      </w:r>
      <w:r w:rsidR="001D4EBC" w:rsidRPr="001D4EBC">
        <w:rPr>
          <w:b/>
          <w:bCs/>
          <w:i w:val="0"/>
          <w:iCs w:val="0"/>
          <w:color w:val="000000" w:themeColor="text1"/>
          <w:sz w:val="20"/>
          <w:szCs w:val="20"/>
        </w:rPr>
        <w:t>Cross</w:t>
      </w:r>
      <w:r w:rsidR="00FE2745" w:rsidRPr="001D4EBC">
        <w:rPr>
          <w:b/>
          <w:bCs/>
          <w:i w:val="0"/>
          <w:iCs w:val="0"/>
          <w:color w:val="000000" w:themeColor="text1"/>
          <w:sz w:val="20"/>
          <w:szCs w:val="20"/>
        </w:rPr>
        <w:t xml:space="preserve"> talk between the </w:t>
      </w:r>
      <w:proofErr w:type="spellStart"/>
      <w:r w:rsidR="00FE2745" w:rsidRPr="001D4EBC">
        <w:rPr>
          <w:b/>
          <w:bCs/>
          <w:i w:val="0"/>
          <w:iCs w:val="0"/>
          <w:color w:val="000000" w:themeColor="text1"/>
          <w:sz w:val="20"/>
          <w:szCs w:val="20"/>
        </w:rPr>
        <w:t>cGAS</w:t>
      </w:r>
      <w:proofErr w:type="spellEnd"/>
      <w:r w:rsidR="00FE2745" w:rsidRPr="001D4EBC">
        <w:rPr>
          <w:b/>
          <w:bCs/>
          <w:i w:val="0"/>
          <w:iCs w:val="0"/>
          <w:color w:val="000000" w:themeColor="text1"/>
          <w:sz w:val="20"/>
          <w:szCs w:val="20"/>
        </w:rPr>
        <w:t>-STING pathway and NLRP3 mediated cell death</w:t>
      </w:r>
      <w:r w:rsidR="00FE2745" w:rsidRPr="001D4EBC">
        <w:rPr>
          <w:i w:val="0"/>
          <w:iCs w:val="0"/>
          <w:color w:val="000000" w:themeColor="text1"/>
          <w:sz w:val="20"/>
          <w:szCs w:val="20"/>
        </w:rPr>
        <w:t>.</w:t>
      </w:r>
      <w:r w:rsidR="00BA341A" w:rsidRPr="001D4EBC">
        <w:rPr>
          <w:i w:val="0"/>
          <w:iCs w:val="0"/>
          <w:color w:val="000000" w:themeColor="text1"/>
          <w:sz w:val="20"/>
          <w:szCs w:val="20"/>
        </w:rPr>
        <w:t xml:space="preserve"> The cGAS-STING-NLRP3 begins similarly to the beforementioned STIMG pathway with the detection of foreign DNA leading to STING activation via </w:t>
      </w:r>
      <w:proofErr w:type="spellStart"/>
      <w:r w:rsidR="00BA341A" w:rsidRPr="001D4EBC">
        <w:rPr>
          <w:i w:val="0"/>
          <w:iCs w:val="0"/>
          <w:color w:val="000000" w:themeColor="text1"/>
          <w:sz w:val="20"/>
          <w:szCs w:val="20"/>
        </w:rPr>
        <w:t>cGAMP</w:t>
      </w:r>
      <w:proofErr w:type="spellEnd"/>
      <w:r w:rsidR="00BA341A" w:rsidRPr="001D4EBC">
        <w:rPr>
          <w:i w:val="0"/>
          <w:iCs w:val="0"/>
          <w:color w:val="000000" w:themeColor="text1"/>
          <w:sz w:val="20"/>
          <w:szCs w:val="20"/>
        </w:rPr>
        <w:t xml:space="preserve">. This then leads to STING trafficking to the lysosome resulting in lysosomal membrane permeabilization (LMP). LMP then leads to lysosome cell death and subsequently potassium efflux into the cell. Potassium efflux then activates the NLRP3 pathway </w:t>
      </w:r>
      <w:r w:rsidR="00BA341A" w:rsidRPr="001D4EBC">
        <w:rPr>
          <w:i w:val="0"/>
          <w:iCs w:val="0"/>
          <w:color w:val="000000" w:themeColor="text1"/>
          <w:sz w:val="20"/>
          <w:szCs w:val="20"/>
        </w:rPr>
        <w:fldChar w:fldCharType="begin"/>
      </w:r>
      <w:r w:rsidR="00BA341A" w:rsidRPr="001D4EBC">
        <w:rPr>
          <w:i w:val="0"/>
          <w:iCs w:val="0"/>
          <w:color w:val="000000" w:themeColor="text1"/>
          <w:sz w:val="20"/>
          <w:szCs w:val="20"/>
        </w:rPr>
        <w:instrText xml:space="preserve"> ADDIN ZOTERO_ITEM CSL_CITATION {"citationID":"1xazD3Jq","properties":{"formattedCitation":"[41]","plainCitation":"[41]","noteIndex":0},"citationItems":[{"id":1672,"uris":["http://zotero.org/users/13277427/items/3RZQDNA5"],"itemData":{"id":1672,"type":"article-journal","abstract":"The NLRP3 inflammasome is an important component of the innate immune system. However, its mechanism of activation remains largely unknown. We show that NLRP3 activators including bacterial pore-forming toxins, nigericin, ATP and particulate matter caused mitochondrial perturbation or the opening of a large membrane pore; but this was not required for NLRP3 activation. Furthermore, reactive oxygen species generation or a change in cell volume was not necessary for NLRP3 activation. Instead, the only common activity induced by all NLRP3 agonists was the permeation of the cell membrane to K+ and Na+. Notably, reduction of the intracellular K+ concentration was sufficient to activate NLRP3 whereas an increase in intracellular Na+ modulated, but was not strictly required for inflammasome activation. These results provide a unifying model for the activation of the NLRP3 inflammasome in which a drop in cytosolic K+ is the common step that is necessary and sufficient for caspase-1 activation.","container-title":"Immunity","DOI":"10.1016/j.immuni.2013.05.016","ISSN":"1074-7613","issue":"6","journalAbbreviation":"Immunity","note":"PMID: 23809161\nPMCID: PMC3730833","page":"1142-1153","source":"PubMed Central","title":"K+ efflux is the Common Trigger of NLRP3 inflammasome Activation by Bacterial Toxins and Particulate Matter","volume":"38","author":[{"family":"Muñoz-Planillo","given":"Raúl"},{"family":"Kuffa","given":"Peter"},{"family":"Martínez-Colón","given":"Giovanny"},{"family":"Smith","given":"Brenna L."},{"family":"Rajendiran","given":"Thekkelnaycke M."},{"family":"Núñez","given":"Gabriel"}],"issued":{"date-parts":[["2013",6,27]]}}}],"schema":"https://github.com/citation-style-language/schema/raw/master/csl-citation.json"} </w:instrText>
      </w:r>
      <w:r w:rsidR="00BA341A" w:rsidRPr="001D4EBC">
        <w:rPr>
          <w:i w:val="0"/>
          <w:iCs w:val="0"/>
          <w:color w:val="000000" w:themeColor="text1"/>
          <w:sz w:val="20"/>
          <w:szCs w:val="20"/>
        </w:rPr>
        <w:fldChar w:fldCharType="separate"/>
      </w:r>
      <w:r w:rsidR="00BA341A" w:rsidRPr="001D4EBC">
        <w:rPr>
          <w:i w:val="0"/>
          <w:iCs w:val="0"/>
          <w:noProof/>
          <w:color w:val="000000" w:themeColor="text1"/>
          <w:sz w:val="20"/>
          <w:szCs w:val="20"/>
        </w:rPr>
        <w:t>[41]</w:t>
      </w:r>
      <w:r w:rsidR="00BA341A" w:rsidRPr="001D4EBC">
        <w:rPr>
          <w:i w:val="0"/>
          <w:iCs w:val="0"/>
          <w:color w:val="000000" w:themeColor="text1"/>
          <w:sz w:val="20"/>
          <w:szCs w:val="20"/>
        </w:rPr>
        <w:fldChar w:fldCharType="end"/>
      </w:r>
      <w:r w:rsidR="00BA341A" w:rsidRPr="001D4EBC">
        <w:rPr>
          <w:i w:val="0"/>
          <w:iCs w:val="0"/>
          <w:color w:val="000000" w:themeColor="text1"/>
          <w:sz w:val="20"/>
          <w:szCs w:val="20"/>
        </w:rPr>
        <w:t xml:space="preserve"> leading to </w:t>
      </w:r>
      <w:r w:rsidR="007121A3" w:rsidRPr="001D4EBC">
        <w:rPr>
          <w:i w:val="0"/>
          <w:iCs w:val="0"/>
          <w:color w:val="000000" w:themeColor="text1"/>
          <w:sz w:val="20"/>
          <w:szCs w:val="20"/>
        </w:rPr>
        <w:t>activation of Caspase-1. This then leads to the release of proinflammatory cytokines such as IL-1β.</w:t>
      </w:r>
      <w:bookmarkEnd w:id="12"/>
      <w:r w:rsidR="002A05E3">
        <w:rPr>
          <w:i w:val="0"/>
          <w:iCs w:val="0"/>
          <w:color w:val="000000" w:themeColor="text1"/>
          <w:sz w:val="20"/>
          <w:szCs w:val="20"/>
        </w:rPr>
        <w:t xml:space="preserve"> </w:t>
      </w:r>
      <w:r w:rsidR="008750A0">
        <w:rPr>
          <w:i w:val="0"/>
          <w:iCs w:val="0"/>
          <w:color w:val="000000" w:themeColor="text1"/>
          <w:sz w:val="20"/>
          <w:szCs w:val="20"/>
        </w:rPr>
        <w:t xml:space="preserve">Reproduced from </w:t>
      </w:r>
      <w:proofErr w:type="spellStart"/>
      <w:r w:rsidR="008750A0">
        <w:rPr>
          <w:i w:val="0"/>
          <w:iCs w:val="0"/>
          <w:color w:val="000000" w:themeColor="text1"/>
          <w:sz w:val="20"/>
          <w:szCs w:val="20"/>
        </w:rPr>
        <w:t>Gaidt</w:t>
      </w:r>
      <w:proofErr w:type="spellEnd"/>
      <w:r w:rsidR="008750A0">
        <w:rPr>
          <w:i w:val="0"/>
          <w:iCs w:val="0"/>
          <w:color w:val="000000" w:themeColor="text1"/>
          <w:sz w:val="20"/>
          <w:szCs w:val="20"/>
        </w:rPr>
        <w:t xml:space="preserve"> et. al with permission from Elsevier </w:t>
      </w:r>
      <w:r w:rsidR="008750A0" w:rsidRPr="001D4EBC">
        <w:rPr>
          <w:i w:val="0"/>
          <w:iCs w:val="0"/>
          <w:color w:val="000000" w:themeColor="text1"/>
          <w:sz w:val="20"/>
          <w:szCs w:val="20"/>
        </w:rPr>
        <w:fldChar w:fldCharType="begin"/>
      </w:r>
      <w:r w:rsidR="008750A0" w:rsidRPr="001D4EBC">
        <w:rPr>
          <w:i w:val="0"/>
          <w:iCs w:val="0"/>
          <w:color w:val="000000" w:themeColor="text1"/>
          <w:sz w:val="20"/>
          <w:szCs w:val="20"/>
        </w:rPr>
        <w:instrText xml:space="preserve"> ADDIN ZOTERO_ITEM CSL_CITATION {"citationID":"JtO2ThWf","properties":{"formattedCitation":"[40]","plainCitation":"[40]","noteIndex":0},"citationItems":[{"id":1487,"uris":["http://zotero.org/users/13277427/items/DJ27SSZ7"],"itemData":{"id":1487,"type":"article-journal","container-title":"Cell","DOI":"10.1016/j.cell.2017.09.039","ISSN":"00928674","issue":"5","journalAbbreviation":"Cell","language":"en","page":"1110-1124.e18","source":"DOI.org (Crossref)","title":"The DNA Inflammasome in Human Myeloid Cells Is Initiated by a STING-Cell Death Program Upstream of NLRP3","volume":"171","author":[{"family":"Gaidt","given":"Moritz M."},{"family":"Ebert","given":"Thomas S."},{"family":"Chauhan","given":"Dhruv"},{"family":"Ramshorn","given":"Katharina"},{"family":"Pinci","given":"Francesca"},{"family":"Zuber","given":"Sarah"},{"family":"O’Duill","given":"Fionan"},{"family":"Schmid-Burgk","given":"Jonathan L."},{"family":"Hoss","given":"Florian"},{"family":"Buhmann","given":"Raymund"},{"family":"Wittmann","given":"Georg"},{"family":"Latz","given":"Eicke"},{"family":"Subklewe","given":"Marion"},{"family":"Hornung","given":"Veit"}],"issued":{"date-parts":[["2017",11]]}}}],"schema":"https://github.com/citation-style-language/schema/raw/master/csl-citation.json"} </w:instrText>
      </w:r>
      <w:r w:rsidR="008750A0" w:rsidRPr="001D4EBC">
        <w:rPr>
          <w:i w:val="0"/>
          <w:iCs w:val="0"/>
          <w:color w:val="000000" w:themeColor="text1"/>
          <w:sz w:val="20"/>
          <w:szCs w:val="20"/>
        </w:rPr>
        <w:fldChar w:fldCharType="separate"/>
      </w:r>
      <w:r w:rsidR="008750A0" w:rsidRPr="001D4EBC">
        <w:rPr>
          <w:i w:val="0"/>
          <w:iCs w:val="0"/>
          <w:noProof/>
          <w:color w:val="000000" w:themeColor="text1"/>
          <w:sz w:val="20"/>
          <w:szCs w:val="20"/>
        </w:rPr>
        <w:t>[40]</w:t>
      </w:r>
      <w:r w:rsidR="008750A0" w:rsidRPr="001D4EBC">
        <w:rPr>
          <w:i w:val="0"/>
          <w:iCs w:val="0"/>
          <w:color w:val="000000" w:themeColor="text1"/>
          <w:sz w:val="20"/>
          <w:szCs w:val="20"/>
        </w:rPr>
        <w:fldChar w:fldCharType="end"/>
      </w:r>
      <w:r w:rsidR="008750A0">
        <w:rPr>
          <w:i w:val="0"/>
          <w:iCs w:val="0"/>
          <w:color w:val="000000" w:themeColor="text1"/>
          <w:sz w:val="20"/>
          <w:szCs w:val="20"/>
        </w:rPr>
        <w:t>.</w:t>
      </w:r>
    </w:p>
    <w:p w14:paraId="679CF7A7" w14:textId="77777777" w:rsidR="004C6F14" w:rsidRDefault="004C6F14" w:rsidP="004C6F14">
      <w:pPr>
        <w:pStyle w:val="Heading2"/>
      </w:pPr>
      <w:bookmarkStart w:id="13" w:name="_Toc165293344"/>
      <w:r>
        <w:t>2.3. STING Activation Leading to Lysosomal Leakage and Cell Death</w:t>
      </w:r>
      <w:bookmarkEnd w:id="13"/>
      <w:r>
        <w:t xml:space="preserve"> </w:t>
      </w:r>
    </w:p>
    <w:p w14:paraId="6FDA74F9" w14:textId="1B890830" w:rsidR="004C6F14" w:rsidRDefault="004C6F14" w:rsidP="00EA1377">
      <w:pPr>
        <w:ind w:firstLine="720"/>
      </w:pPr>
      <w:r>
        <w:t xml:space="preserve">While STING aids with cell-cell communication through cytokine release, it can also lead to ICD. </w:t>
      </w:r>
      <w:r w:rsidRPr="002D3A85">
        <w:t>Depending on the cellular context and the stage of the immune response, STING exhibits a dynamic localization pattern</w:t>
      </w:r>
      <w:r>
        <w:t xml:space="preserve">. Recently there have been studies demonstrating </w:t>
      </w:r>
      <w:r w:rsidRPr="00FE2745">
        <w:t>crosstalk between the STING and NLRP3 pathways, with evidence suggesting that STING activation can promote NLRP3 inflammasome activation and subsequent pyroptotic cell death</w:t>
      </w:r>
      <w:r>
        <w:t xml:space="preserve"> </w:t>
      </w:r>
      <w:r>
        <w:fldChar w:fldCharType="begin"/>
      </w:r>
      <w:r>
        <w:instrText xml:space="preserve"> ADDIN ZOTERO_ITEM CSL_CITATION {"citationID":"SRpQV0kt","properties":{"formattedCitation":"[39]","plainCitation":"[39]","noteIndex":0},"citationItems":[{"id":1545,"uris":["http://zotero.org/users/13277427/items/TGHNEZEZ"],"itemData":{"id":1545,"type":"article-journal","abstract":"Heavy metal pollution has become a global health challenge. Exposure to heavy metals represents a major health risk. Manganese (Mn) is an essential trace element but also an environmental pollutant. Mn exposure can induce neurotoxicity and lead to neurodegenerative disease. Inflammation and Tau hyperphosphorylation are prominent hallmarks of neurodegenerative diseases induced by Mn exposure. The cyclic GMP-AMP synthase (cGAS)-stimulator of interferon genes (STING) pathway can induce powerful innate immune defense programmes and has emerged as a key mediator of inflammation. In recent years, Mn2+ has been found to be the second activator of the cGAS-STING pathway in addition to double-stranded DNA (dsDNA). NLRP3 activation is upstream of Tau pathology, and NLRP3 activation induces Tau hyperphosphorylation and aggregation. Mn exposure-induced neurotoxicity may be associated with excessive activation of the cGAS-STING signaling pathway, leading to inflammation. The cGAS-STING/NLRP3 axis may be a promising option for revealing the mechanisms of neurotoxicity of Mn exposure in the future.","container-title":"Biomedicine &amp; Pharmacotherapy","DOI":"10.1016/j.biopha.2022.113680","ISSN":"0753-3322","journalAbbreviation":"Biomedicine &amp; Pharmacotherapy","page":"113680","source":"ScienceDirect","title":"The cGAS-STING-mediated NLRP3 inflammasome is involved in the neurotoxicity induced by manganese exposure","volume":"154","author":[{"family":"Liu","given":"Jingjing"},{"family":"Zhang","given":"Xin"},{"family":"Wang","given":"Hui"}],"issued":{"date-parts":[["2022",10,1]]}}}],"schema":"https://github.com/citation-style-language/schema/raw/master/csl-citation.json"} </w:instrText>
      </w:r>
      <w:r>
        <w:fldChar w:fldCharType="separate"/>
      </w:r>
      <w:r>
        <w:rPr>
          <w:noProof/>
        </w:rPr>
        <w:t>[39]</w:t>
      </w:r>
      <w:r>
        <w:fldChar w:fldCharType="end"/>
      </w:r>
      <w:r w:rsidRPr="00FE2745">
        <w:t>.</w:t>
      </w:r>
      <w:r>
        <w:t xml:space="preserve"> </w:t>
      </w:r>
      <w:r w:rsidRPr="00FE2745">
        <w:t>It is proposed that STING-mediated type I interferon production may sensitize cells to NLRP3 inflammasome activation, although the precise molecular mechanisms underlying this crosstalk remain an area of active research.</w:t>
      </w:r>
      <w:r>
        <w:t xml:space="preserve"> </w:t>
      </w:r>
      <w:r w:rsidRPr="00FE2745">
        <w:t>The NLRP3 inflammasome is a multi-protein complex consisting of NLRP3, the adaptor protein ASC (apoptosis-associated speck-like protein containing a caspase recruitment domain), and pro-caspase-1.</w:t>
      </w:r>
      <w:r>
        <w:t xml:space="preserve"> </w:t>
      </w:r>
      <w:r w:rsidRPr="00FE2745">
        <w:t>NLRP3 can be activated by a variety of stimuli, including pathogens, toxins, and cellular stressors, leading to its oligomerization and assembly of the inflammasome complex.</w:t>
      </w:r>
      <w:r>
        <w:t xml:space="preserve"> </w:t>
      </w:r>
      <w:r w:rsidRPr="00FE2745">
        <w:t xml:space="preserve">Once assembled, the NLRP3 inflammasome recruits pro-caspase-1 via ASC, leading to its autocatalytic cleavage and </w:t>
      </w:r>
      <w:r w:rsidRPr="00FE2745">
        <w:lastRenderedPageBreak/>
        <w:t>activation into active caspase-1.</w:t>
      </w:r>
      <w:r>
        <w:t xml:space="preserve"> </w:t>
      </w:r>
      <w:r w:rsidRPr="00FE2745">
        <w:t xml:space="preserve">Activated caspase-1 cleaves </w:t>
      </w:r>
      <w:proofErr w:type="spellStart"/>
      <w:r w:rsidRPr="00FE2745">
        <w:t>gasdermin</w:t>
      </w:r>
      <w:proofErr w:type="spellEnd"/>
      <w:r w:rsidRPr="00FE2745">
        <w:t xml:space="preserve"> D (GSDMD), releasing its N-terminal fragment.</w:t>
      </w:r>
      <w:r>
        <w:t xml:space="preserve"> </w:t>
      </w:r>
      <w:r w:rsidRPr="00FE2745">
        <w:t>The N-terminal fragment of GSDMD forms pores in the plasma membrane, leading to a rapid influx of water and ions, causing cell swelling and lysis.</w:t>
      </w:r>
      <w:r>
        <w:t xml:space="preserve"> T</w:t>
      </w:r>
      <w:r w:rsidRPr="00FE2745">
        <w:t xml:space="preserve">his form of programmed cell death is known as </w:t>
      </w:r>
      <w:proofErr w:type="spellStart"/>
      <w:r w:rsidRPr="00FE2745">
        <w:t>pyroptosis</w:t>
      </w:r>
      <w:proofErr w:type="spellEnd"/>
      <w:r w:rsidRPr="00FE2745">
        <w:t>, and it is characterized by the release of proinflammatory cytokines and damage-associated molecular patterns (DAMPs), which further propagate inflammation and immune responses.</w:t>
      </w:r>
      <w:r>
        <w:t xml:space="preserve"> An outline of the relative mechanism and its upstream activation by STING can be seen in </w:t>
      </w:r>
      <w:r>
        <w:rPr>
          <w:b/>
          <w:bCs/>
        </w:rPr>
        <w:t>Figure 2</w:t>
      </w:r>
      <w:r>
        <w:t xml:space="preserve"> as a STING response to a pathogen. In this study, </w:t>
      </w:r>
      <w:proofErr w:type="spellStart"/>
      <w:r>
        <w:t>Gaidt</w:t>
      </w:r>
      <w:proofErr w:type="spellEnd"/>
      <w:r>
        <w:t xml:space="preserve"> et al. shows STING activation resulting in lysosomal cell death and interactions with the NLRP3 pathways </w:t>
      </w:r>
      <w:r>
        <w:fldChar w:fldCharType="begin"/>
      </w:r>
      <w:r>
        <w:instrText xml:space="preserve"> ADDIN ZOTERO_ITEM CSL_CITATION {"citationID":"0pb0mevd","properties":{"formattedCitation":"[40]","plainCitation":"[40]","noteIndex":0},"citationItems":[{"id":1487,"uris":["http://zotero.org/users/13277427/items/DJ27SSZ7"],"itemData":{"id":1487,"type":"article-journal","container-title":"Cell","DOI":"10.1016/j.cell.2017.09.039","ISSN":"00928674","issue":"5","journalAbbreviation":"Cell","language":"en","page":"1110-1124.e18","source":"DOI.org (Crossref)","title":"The DNA Inflammasome in Human Myeloid Cells Is Initiated by a STING-Cell Death Program Upstream of NLRP3","volume":"171","author":[{"family":"Gaidt","given":"Moritz M."},{"family":"Ebert","given":"Thomas S."},{"family":"Chauhan","given":"Dhruv"},{"family":"Ramshorn","given":"Katharina"},{"family":"Pinci","given":"Francesca"},{"family":"Zuber","given":"Sarah"},{"family":"O’Duill","given":"Fionan"},{"family":"Schmid-Burgk","given":"Jonathan L."},{"family":"Hoss","given":"Florian"},{"family":"Buhmann","given":"Raymund"},{"family":"Wittmann","given":"Georg"},{"family":"Latz","given":"Eicke"},{"family":"Subklewe","given":"Marion"},{"family":"Hornung","given":"Veit"}],"issued":{"date-parts":[["2017",11]]}}}],"schema":"https://github.com/citation-style-language/schema/raw/master/csl-citation.json"} </w:instrText>
      </w:r>
      <w:r>
        <w:fldChar w:fldCharType="separate"/>
      </w:r>
      <w:r>
        <w:rPr>
          <w:noProof/>
        </w:rPr>
        <w:t>[40]</w:t>
      </w:r>
      <w:r>
        <w:fldChar w:fldCharType="end"/>
      </w:r>
      <w:r>
        <w:t xml:space="preserve">. In this mechanism STING traffics to the lysosome after binding with </w:t>
      </w:r>
      <w:proofErr w:type="spellStart"/>
      <w:r>
        <w:t>cGAMP</w:t>
      </w:r>
      <w:proofErr w:type="spellEnd"/>
      <w:r>
        <w:t xml:space="preserve">. This results in lysosome membrane permeabilization and lysosomal cell death. From this, there is an influx of potassium ions which is a known activator of the NLRP3 pathway </w:t>
      </w:r>
      <w:r>
        <w:fldChar w:fldCharType="begin"/>
      </w:r>
      <w:r>
        <w:instrText xml:space="preserve"> ADDIN ZOTERO_ITEM CSL_CITATION {"citationID":"YYlkVyJB","properties":{"formattedCitation":"[41]","plainCitation":"[41]","noteIndex":0},"citationItems":[{"id":1672,"uris":["http://zotero.org/users/13277427/items/3RZQDNA5"],"itemData":{"id":1672,"type":"article-journal","abstract":"The NLRP3 inflammasome is an important component of the innate immune system. However, its mechanism of activation remains largely unknown. We show that NLRP3 activators including bacterial pore-forming toxins, nigericin, ATP and particulate matter caused mitochondrial perturbation or the opening of a large membrane pore; but this was not required for NLRP3 activation. Furthermore, reactive oxygen species generation or a change in cell volume was not necessary for NLRP3 activation. Instead, the only common activity induced by all NLRP3 agonists was the permeation of the cell membrane to K+ and Na+. Notably, reduction of the intracellular K+ concentration was sufficient to activate NLRP3 whereas an increase in intracellular Na+ modulated, but was not strictly required for inflammasome activation. These results provide a unifying model for the activation of the NLRP3 inflammasome in which a drop in cytosolic K+ is the common step that is necessary and sufficient for caspase-1 activation.","container-title":"Immunity","DOI":"10.1016/j.immuni.2013.05.016","ISSN":"1074-7613","issue":"6","journalAbbreviation":"Immunity","note":"PMID: 23809161\nPMCID: PMC3730833","page":"1142-1153","source":"PubMed Central","title":"K+ efflux is the Common Trigger of NLRP3 inflammasome Activation by Bacterial Toxins and Particulate Matter","volume":"38","author":[{"family":"Muñoz-Planillo","given":"Raúl"},{"family":"Kuffa","given":"Peter"},{"family":"Martínez-Colón","given":"Giovanny"},{"family":"Smith","given":"Brenna L."},{"family":"Rajendiran","given":"Thekkelnaycke M."},{"family":"Núñez","given":"Gabriel"}],"issued":{"date-parts":[["2013",6,27]]}}}],"schema":"https://github.com/citation-style-language/schema/raw/master/csl-citation.json"} </w:instrText>
      </w:r>
      <w:r>
        <w:fldChar w:fldCharType="separate"/>
      </w:r>
      <w:r>
        <w:rPr>
          <w:noProof/>
        </w:rPr>
        <w:t>[41]</w:t>
      </w:r>
      <w:r>
        <w:fldChar w:fldCharType="end"/>
      </w:r>
      <w:r>
        <w:t xml:space="preserve">. </w:t>
      </w:r>
      <w:r w:rsidRPr="00911E3E">
        <w:t>The lysosomal cell death caused by STING activation leads to the release of DAMPs</w:t>
      </w:r>
      <w:r>
        <w:t xml:space="preserve"> </w:t>
      </w:r>
      <w:r w:rsidRPr="00911E3E">
        <w:t>and tumor-associated antigens (TAAs) into the extracellular space. These molecules are recognized by the immune system as danger signals, which leads to the activation of the immune system and the elimination of cancer cells</w:t>
      </w:r>
      <w:r>
        <w:t>.</w:t>
      </w:r>
    </w:p>
    <w:p w14:paraId="13588D88" w14:textId="77777777" w:rsidR="004C6F14" w:rsidRDefault="004C6F14" w:rsidP="005407FA">
      <w:pPr>
        <w:pStyle w:val="Heading2"/>
      </w:pPr>
    </w:p>
    <w:p w14:paraId="5A735465" w14:textId="43FA85FC" w:rsidR="00B61D36" w:rsidRDefault="00A50A35" w:rsidP="005407FA">
      <w:pPr>
        <w:pStyle w:val="Heading2"/>
      </w:pPr>
      <w:bookmarkStart w:id="14" w:name="_Toc165293345"/>
      <w:r>
        <w:t>2.</w:t>
      </w:r>
      <w:r w:rsidR="00787319">
        <w:t>4</w:t>
      </w:r>
      <w:r>
        <w:t xml:space="preserve">. </w:t>
      </w:r>
      <w:r w:rsidR="005407FA">
        <w:t>GC STING Interactions</w:t>
      </w:r>
      <w:bookmarkEnd w:id="14"/>
      <w:r w:rsidR="005407FA">
        <w:t xml:space="preserve"> </w:t>
      </w:r>
    </w:p>
    <w:p w14:paraId="5A59B156" w14:textId="6B09605D" w:rsidR="00897397" w:rsidRDefault="00234D75" w:rsidP="0049421A">
      <w:pPr>
        <w:ind w:firstLine="720"/>
        <w:rPr>
          <w:b/>
          <w:bCs/>
        </w:rPr>
      </w:pPr>
      <w:r>
        <w:t>When DCs and macrophages undergo GC stimulation, there is an increase of proinflammatory cytokines. This has been previously confirmed</w:t>
      </w:r>
      <w:r w:rsidR="00721510">
        <w:t xml:space="preserve"> </w:t>
      </w:r>
      <w:r>
        <w:t xml:space="preserve">through </w:t>
      </w:r>
      <w:r w:rsidR="007C634C">
        <w:t>enzyme-linked immunosorbent assay (</w:t>
      </w:r>
      <w:r w:rsidRPr="007C634C">
        <w:t>ELISA</w:t>
      </w:r>
      <w:r w:rsidR="007C634C">
        <w:t>)</w:t>
      </w:r>
      <w:r>
        <w:t>. In</w:t>
      </w:r>
      <w:r w:rsidR="0049421A">
        <w:t xml:space="preserve"> our previous studies</w:t>
      </w:r>
      <w:r>
        <w:t>,</w:t>
      </w:r>
      <w:r w:rsidR="00FE2FBC">
        <w:t xml:space="preserve"> Hoover et</w:t>
      </w:r>
      <w:r w:rsidR="00B01E70">
        <w:t>.</w:t>
      </w:r>
      <w:r w:rsidR="00FE2FBC">
        <w:t xml:space="preserve"> al,</w:t>
      </w:r>
      <w:r>
        <w:t xml:space="preserve"> this was hypothesized to be a result of STING pathway activation</w:t>
      </w:r>
      <w:r w:rsidR="003F58D0">
        <w:t xml:space="preserve"> </w:t>
      </w:r>
      <w:r w:rsidR="003F58D0">
        <w:fldChar w:fldCharType="begin"/>
      </w:r>
      <w:r w:rsidR="00733479">
        <w:instrText xml:space="preserve"> ADDIN ZOTERO_ITEM CSL_CITATION {"citationID":"IMwpjDc5","properties":{"formattedCitation":"[27]","plainCitation":"[27]","noteIndex":0},"citationItems":[{"id":1588,"uris":["http://zotero.org/users/13277427/items/T5N9545F"],"itemData":{"id":1588,"type":"report","abstract":"Abstract\n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rsidR="003F58D0">
        <w:fldChar w:fldCharType="separate"/>
      </w:r>
      <w:r w:rsidR="00733479">
        <w:rPr>
          <w:noProof/>
        </w:rPr>
        <w:t>[27]</w:t>
      </w:r>
      <w:r w:rsidR="003F58D0">
        <w:fldChar w:fldCharType="end"/>
      </w:r>
      <w:r>
        <w:t xml:space="preserve">. </w:t>
      </w:r>
      <w:proofErr w:type="gramStart"/>
      <w:r>
        <w:t xml:space="preserve">In order </w:t>
      </w:r>
      <w:r w:rsidR="001F075A">
        <w:t>to</w:t>
      </w:r>
      <w:proofErr w:type="gramEnd"/>
      <w:r>
        <w:t xml:space="preserve"> further investigate this, Bulk RNA sequencing was conducted on both wild</w:t>
      </w:r>
      <w:r w:rsidR="007C634C">
        <w:t>-</w:t>
      </w:r>
      <w:r>
        <w:t xml:space="preserve">type and STING knockout (KO) </w:t>
      </w:r>
      <w:r w:rsidR="00B01E70">
        <w:t>bone marrow derived dendritic cells (BMDC</w:t>
      </w:r>
      <w:r w:rsidR="009C6626">
        <w:t>s</w:t>
      </w:r>
      <w:r w:rsidR="00B01E70">
        <w:t>)</w:t>
      </w:r>
      <w:r>
        <w:t xml:space="preserve">. The STING KO </w:t>
      </w:r>
      <w:r w:rsidR="009C6626">
        <w:t>BMDCs were derived from mice that</w:t>
      </w:r>
      <w:r>
        <w:t xml:space="preserve"> had been genetically modified to no longer express the STING protein.</w:t>
      </w:r>
      <w:r w:rsidR="003D2B4F">
        <w:t xml:space="preserve"> With endogenous STING removed, patterns in gene expression could be evaluated for STING dependance.</w:t>
      </w:r>
      <w:r w:rsidR="0011729E">
        <w:t xml:space="preserve"> </w:t>
      </w:r>
      <w:r>
        <w:t xml:space="preserve"> Genes associated with the STING pathway were then collected and cross referenced with the data from the bulk RNA sequencing procedures. The heat maps from this analysis can be seen in </w:t>
      </w:r>
      <w:r>
        <w:rPr>
          <w:b/>
          <w:bCs/>
        </w:rPr>
        <w:t xml:space="preserve">Figure 3. </w:t>
      </w:r>
    </w:p>
    <w:p w14:paraId="1CCE83E6" w14:textId="77777777" w:rsidR="004C6F14" w:rsidRDefault="004C6F14" w:rsidP="004C6F14">
      <w:pPr>
        <w:ind w:firstLine="720"/>
      </w:pPr>
      <w:r w:rsidRPr="00470ED4">
        <w:rPr>
          <w:b/>
          <w:bCs/>
        </w:rPr>
        <w:t>Figure 3a</w:t>
      </w:r>
      <w:r>
        <w:t xml:space="preserve"> shows there is an upregulation of genes associated with the STING pathway when mice were administered GC </w:t>
      </w:r>
      <w:r>
        <w:fldChar w:fldCharType="begin"/>
      </w:r>
      <w:r>
        <w:instrText xml:space="preserve"> ADDIN ZOTERO_ITEM CSL_CITATION {"citationID":"MriOMHhh","properties":{"formattedCitation":"[27]","plainCitation":"[27]","noteIndex":0},"citationItems":[{"id":1588,"uris":["http://zotero.org/users/13277427/items/T5N9545F"],"itemData":{"id":1588,"type":"report","abstract":"Abstract\n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fldChar w:fldCharType="separate"/>
      </w:r>
      <w:r>
        <w:rPr>
          <w:noProof/>
        </w:rPr>
        <w:t>[27]</w:t>
      </w:r>
      <w:r>
        <w:fldChar w:fldCharType="end"/>
      </w:r>
      <w:r>
        <w:t>. This indicates that the STING pathway is actively involved in the cell’s response to GC. STING dependency can be seen as much of upregulation is specific to wild type mice</w:t>
      </w:r>
      <w:r>
        <w:sym w:font="Symbol" w:char="F02D"/>
      </w:r>
      <w:r>
        <w:t xml:space="preserve"> there is upregulation within this experimental group when compared to the STING KO group. In </w:t>
      </w:r>
      <w:r>
        <w:rPr>
          <w:b/>
          <w:bCs/>
        </w:rPr>
        <w:t xml:space="preserve">Figure </w:t>
      </w:r>
      <w:r w:rsidRPr="0085513E">
        <w:rPr>
          <w:b/>
          <w:bCs/>
        </w:rPr>
        <w:t>3b</w:t>
      </w:r>
      <w:r>
        <w:t xml:space="preserve"> the experimental groups with the largest distance between them is the wild type unstimulated and wild type GC stimulated. This indicates that GC stimulation results in large transcriptional profile changes within STING associated genes. </w:t>
      </w:r>
      <w:r w:rsidRPr="0085513E">
        <w:t>With</w:t>
      </w:r>
      <w:r>
        <w:t xml:space="preserve"> </w:t>
      </w:r>
      <w:proofErr w:type="gramStart"/>
      <w:r>
        <w:t>both of these</w:t>
      </w:r>
      <w:proofErr w:type="gramEnd"/>
      <w:r>
        <w:t xml:space="preserve"> trends observed, it is hypothesized that the cellular mechanism of this ICD is mediated through the STING pathway. When APCs are stimulated with </w:t>
      </w:r>
      <w:proofErr w:type="gramStart"/>
      <w:r>
        <w:t>GC</w:t>
      </w:r>
      <w:proofErr w:type="gramEnd"/>
      <w:r>
        <w:t xml:space="preserve"> they undergo ICD which in turn further stimulates the immune system recruiting more cells to the site of cell death. This leads into the purpose of this project which is to confirm STING and GC interactions to further elucidate the ICD pathway occurring within DCs post GC stimulation. </w:t>
      </w:r>
    </w:p>
    <w:p w14:paraId="1B6C1D7A" w14:textId="77777777" w:rsidR="004C6F14" w:rsidRDefault="004C6F14" w:rsidP="0049421A">
      <w:pPr>
        <w:ind w:firstLine="720"/>
      </w:pPr>
    </w:p>
    <w:p w14:paraId="49B36B39" w14:textId="1B917D50" w:rsidR="00470B7A" w:rsidRDefault="00470ED4" w:rsidP="00470ED4">
      <w:pPr>
        <w:jc w:val="center"/>
      </w:pPr>
      <w:r>
        <w:rPr>
          <w:noProof/>
        </w:rPr>
        <w:lastRenderedPageBreak/>
        <w:drawing>
          <wp:inline distT="0" distB="0" distL="0" distR="0" wp14:anchorId="529F93B1" wp14:editId="67BCCE16">
            <wp:extent cx="4292868" cy="5519401"/>
            <wp:effectExtent l="0" t="0" r="0" b="5715"/>
            <wp:docPr id="651466732" name="Picture 1"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466732" name="Picture 1" descr="A screenshot of a graph&#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312397" cy="5544510"/>
                    </a:xfrm>
                    <a:prstGeom prst="rect">
                      <a:avLst/>
                    </a:prstGeom>
                  </pic:spPr>
                </pic:pic>
              </a:graphicData>
            </a:graphic>
          </wp:inline>
        </w:drawing>
      </w:r>
    </w:p>
    <w:p w14:paraId="28E3B9EB" w14:textId="6DD73193" w:rsidR="001A682E" w:rsidRDefault="0012428B" w:rsidP="001D4EBC">
      <w:pPr>
        <w:pStyle w:val="Caption"/>
        <w:spacing w:after="0"/>
        <w:jc w:val="both"/>
        <w:rPr>
          <w:i w:val="0"/>
          <w:iCs w:val="0"/>
          <w:color w:val="000000" w:themeColor="text1"/>
          <w:sz w:val="20"/>
          <w:szCs w:val="20"/>
        </w:rPr>
      </w:pPr>
      <w:bookmarkStart w:id="15" w:name="_Toc165201222"/>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3</w:t>
      </w:r>
      <w:r w:rsidRPr="001D4EBC">
        <w:rPr>
          <w:b/>
          <w:bCs/>
          <w:i w:val="0"/>
          <w:iCs w:val="0"/>
          <w:color w:val="000000" w:themeColor="text1"/>
          <w:sz w:val="20"/>
          <w:szCs w:val="20"/>
        </w:rPr>
        <w:fldChar w:fldCharType="end"/>
      </w:r>
      <w:r w:rsidR="00234D75" w:rsidRPr="001D4EBC">
        <w:rPr>
          <w:b/>
          <w:bCs/>
          <w:i w:val="0"/>
          <w:iCs w:val="0"/>
          <w:color w:val="000000" w:themeColor="text1"/>
          <w:sz w:val="20"/>
          <w:szCs w:val="20"/>
        </w:rPr>
        <w:t>:</w:t>
      </w:r>
      <w:r w:rsidR="00234D75" w:rsidRPr="001D4EBC">
        <w:rPr>
          <w:i w:val="0"/>
          <w:iCs w:val="0"/>
          <w:color w:val="000000" w:themeColor="text1"/>
          <w:sz w:val="20"/>
          <w:szCs w:val="20"/>
        </w:rPr>
        <w:t xml:space="preserve"> </w:t>
      </w:r>
      <w:r w:rsidR="00234D75" w:rsidRPr="001D4EBC">
        <w:rPr>
          <w:b/>
          <w:bCs/>
          <w:i w:val="0"/>
          <w:iCs w:val="0"/>
          <w:color w:val="000000" w:themeColor="text1"/>
          <w:sz w:val="20"/>
          <w:szCs w:val="20"/>
        </w:rPr>
        <w:t>Heat maps illustrating STING pathway activation in the presence of GC</w:t>
      </w:r>
      <w:r w:rsidR="003F58D0" w:rsidRPr="001D4EBC">
        <w:rPr>
          <w:i w:val="0"/>
          <w:iCs w:val="0"/>
          <w:color w:val="000000" w:themeColor="text1"/>
          <w:sz w:val="20"/>
          <w:szCs w:val="20"/>
        </w:rPr>
        <w:t>.</w:t>
      </w:r>
      <w:r w:rsidR="00470ED4" w:rsidRPr="001D4EBC">
        <w:rPr>
          <w:i w:val="0"/>
          <w:iCs w:val="0"/>
          <w:color w:val="000000" w:themeColor="text1"/>
          <w:sz w:val="20"/>
          <w:szCs w:val="20"/>
        </w:rPr>
        <w:t xml:space="preserve"> Panel A shows genes associated with the STING pathway and their expression levels within their experimental group. </w:t>
      </w:r>
      <w:proofErr w:type="gramStart"/>
      <w:r w:rsidR="00470ED4" w:rsidRPr="001D4EBC">
        <w:rPr>
          <w:i w:val="0"/>
          <w:iCs w:val="0"/>
          <w:color w:val="000000" w:themeColor="text1"/>
          <w:sz w:val="20"/>
          <w:szCs w:val="20"/>
        </w:rPr>
        <w:t>It can be seen that there</w:t>
      </w:r>
      <w:proofErr w:type="gramEnd"/>
      <w:r w:rsidR="00470ED4" w:rsidRPr="001D4EBC">
        <w:rPr>
          <w:i w:val="0"/>
          <w:iCs w:val="0"/>
          <w:color w:val="000000" w:themeColor="text1"/>
          <w:sz w:val="20"/>
          <w:szCs w:val="20"/>
        </w:rPr>
        <w:t xml:space="preserve"> is a correlation between effected STING pathway genes and GC stimulation. Panel B shows sample to sample distances through variance stabilizing transformation (</w:t>
      </w:r>
      <w:proofErr w:type="spellStart"/>
      <w:r w:rsidR="00470ED4" w:rsidRPr="001D4EBC">
        <w:rPr>
          <w:i w:val="0"/>
          <w:iCs w:val="0"/>
          <w:color w:val="000000" w:themeColor="text1"/>
          <w:sz w:val="20"/>
          <w:szCs w:val="20"/>
        </w:rPr>
        <w:t>vsd</w:t>
      </w:r>
      <w:proofErr w:type="spellEnd"/>
      <w:r w:rsidR="00470ED4" w:rsidRPr="001D4EBC">
        <w:rPr>
          <w:i w:val="0"/>
          <w:iCs w:val="0"/>
          <w:color w:val="000000" w:themeColor="text1"/>
          <w:sz w:val="20"/>
          <w:szCs w:val="20"/>
        </w:rPr>
        <w:t>).</w:t>
      </w:r>
      <w:r w:rsidR="003F58D0" w:rsidRPr="001D4EBC">
        <w:rPr>
          <w:i w:val="0"/>
          <w:iCs w:val="0"/>
          <w:color w:val="000000" w:themeColor="text1"/>
          <w:sz w:val="20"/>
          <w:szCs w:val="20"/>
        </w:rPr>
        <w:t xml:space="preserve"> </w:t>
      </w:r>
      <w:r w:rsidR="00470ED4" w:rsidRPr="001D4EBC">
        <w:rPr>
          <w:i w:val="0"/>
          <w:iCs w:val="0"/>
          <w:color w:val="000000" w:themeColor="text1"/>
          <w:sz w:val="20"/>
          <w:szCs w:val="20"/>
        </w:rPr>
        <w:t xml:space="preserve">The greatest distance is between </w:t>
      </w:r>
      <w:proofErr w:type="spellStart"/>
      <w:r w:rsidR="00470ED4" w:rsidRPr="001D4EBC">
        <w:rPr>
          <w:i w:val="0"/>
          <w:iCs w:val="0"/>
          <w:color w:val="000000" w:themeColor="text1"/>
          <w:sz w:val="20"/>
          <w:szCs w:val="20"/>
        </w:rPr>
        <w:t>WT_unstim</w:t>
      </w:r>
      <w:proofErr w:type="spellEnd"/>
      <w:r w:rsidR="00470ED4" w:rsidRPr="001D4EBC">
        <w:rPr>
          <w:i w:val="0"/>
          <w:iCs w:val="0"/>
          <w:color w:val="000000" w:themeColor="text1"/>
          <w:sz w:val="20"/>
          <w:szCs w:val="20"/>
        </w:rPr>
        <w:t xml:space="preserve"> and WT_GC indicating GC causes </w:t>
      </w:r>
      <w:r w:rsidR="0085513E" w:rsidRPr="001D4EBC">
        <w:rPr>
          <w:i w:val="0"/>
          <w:iCs w:val="0"/>
          <w:color w:val="000000" w:themeColor="text1"/>
          <w:sz w:val="20"/>
          <w:szCs w:val="20"/>
        </w:rPr>
        <w:t xml:space="preserve">large transcriptional profile changes. </w:t>
      </w:r>
      <w:proofErr w:type="spellStart"/>
      <w:r w:rsidR="003F58D0" w:rsidRPr="001D4EBC">
        <w:rPr>
          <w:i w:val="0"/>
          <w:iCs w:val="0"/>
          <w:color w:val="000000" w:themeColor="text1"/>
          <w:sz w:val="20"/>
          <w:szCs w:val="20"/>
        </w:rPr>
        <w:t>WT_unstim</w:t>
      </w:r>
      <w:proofErr w:type="spellEnd"/>
      <w:r w:rsidR="003F58D0" w:rsidRPr="001D4EBC">
        <w:rPr>
          <w:i w:val="0"/>
          <w:iCs w:val="0"/>
          <w:color w:val="000000" w:themeColor="text1"/>
          <w:sz w:val="20"/>
          <w:szCs w:val="20"/>
        </w:rPr>
        <w:t xml:space="preserve"> represent</w:t>
      </w:r>
      <w:r w:rsidR="00470ED4" w:rsidRPr="001D4EBC">
        <w:rPr>
          <w:i w:val="0"/>
          <w:iCs w:val="0"/>
          <w:color w:val="000000" w:themeColor="text1"/>
          <w:sz w:val="20"/>
          <w:szCs w:val="20"/>
        </w:rPr>
        <w:t>s</w:t>
      </w:r>
      <w:r w:rsidR="003F58D0" w:rsidRPr="001D4EBC">
        <w:rPr>
          <w:i w:val="0"/>
          <w:iCs w:val="0"/>
          <w:color w:val="000000" w:themeColor="text1"/>
          <w:sz w:val="20"/>
          <w:szCs w:val="20"/>
        </w:rPr>
        <w:t xml:space="preserve"> the untreated wild type mice, </w:t>
      </w:r>
      <w:proofErr w:type="spellStart"/>
      <w:r w:rsidR="003F58D0" w:rsidRPr="001D4EBC">
        <w:rPr>
          <w:i w:val="0"/>
          <w:iCs w:val="0"/>
          <w:color w:val="000000" w:themeColor="text1"/>
          <w:sz w:val="20"/>
          <w:szCs w:val="20"/>
        </w:rPr>
        <w:t>STINGKO_unstim</w:t>
      </w:r>
      <w:proofErr w:type="spellEnd"/>
      <w:r w:rsidR="003F58D0" w:rsidRPr="001D4EBC">
        <w:rPr>
          <w:i w:val="0"/>
          <w:iCs w:val="0"/>
          <w:color w:val="000000" w:themeColor="text1"/>
          <w:sz w:val="20"/>
          <w:szCs w:val="20"/>
        </w:rPr>
        <w:t xml:space="preserve"> are STING knockout mice in the untreated control group, WT_GC are wild type mice that received GC vaccination, and STINGKO_GC are STING knockout mice that received GC vaccination. </w:t>
      </w:r>
      <w:r w:rsidR="00DC3F61">
        <w:rPr>
          <w:i w:val="0"/>
          <w:iCs w:val="0"/>
          <w:color w:val="000000" w:themeColor="text1"/>
          <w:sz w:val="20"/>
          <w:szCs w:val="20"/>
        </w:rPr>
        <w:t xml:space="preserve">Figure adapted from Hoover et. al </w:t>
      </w:r>
      <w:r w:rsidR="00757DBE">
        <w:rPr>
          <w:i w:val="0"/>
          <w:iCs w:val="0"/>
          <w:color w:val="000000" w:themeColor="text1"/>
          <w:sz w:val="20"/>
          <w:szCs w:val="20"/>
        </w:rPr>
        <w:fldChar w:fldCharType="begin"/>
      </w:r>
      <w:r w:rsidR="00757DBE">
        <w:rPr>
          <w:i w:val="0"/>
          <w:iCs w:val="0"/>
          <w:color w:val="000000" w:themeColor="text1"/>
          <w:sz w:val="20"/>
          <w:szCs w:val="20"/>
        </w:rPr>
        <w:instrText xml:space="preserve"> ADDIN ZOTERO_ITEM CSL_CITATION {"citationID":"ptuCfaxq","properties":{"formattedCitation":"[27]","plainCitation":"[27]","noteIndex":0},"citationItems":[{"id":1588,"uris":["http://zotero.org/users/13277427/items/T5N9545F"],"itemData":{"id":1588,"type":"report","abstract":"Abstract\n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rsidR="00757DBE">
        <w:rPr>
          <w:i w:val="0"/>
          <w:iCs w:val="0"/>
          <w:color w:val="000000" w:themeColor="text1"/>
          <w:sz w:val="20"/>
          <w:szCs w:val="20"/>
        </w:rPr>
        <w:fldChar w:fldCharType="separate"/>
      </w:r>
      <w:r w:rsidR="00757DBE">
        <w:rPr>
          <w:i w:val="0"/>
          <w:iCs w:val="0"/>
          <w:noProof/>
          <w:color w:val="000000" w:themeColor="text1"/>
          <w:sz w:val="20"/>
          <w:szCs w:val="20"/>
        </w:rPr>
        <w:t>[27]</w:t>
      </w:r>
      <w:r w:rsidR="00757DBE">
        <w:rPr>
          <w:i w:val="0"/>
          <w:iCs w:val="0"/>
          <w:color w:val="000000" w:themeColor="text1"/>
          <w:sz w:val="20"/>
          <w:szCs w:val="20"/>
        </w:rPr>
        <w:fldChar w:fldCharType="end"/>
      </w:r>
      <w:r w:rsidR="00757DBE">
        <w:rPr>
          <w:i w:val="0"/>
          <w:iCs w:val="0"/>
          <w:color w:val="000000" w:themeColor="text1"/>
          <w:sz w:val="20"/>
          <w:szCs w:val="20"/>
        </w:rPr>
        <w:t>.</w:t>
      </w:r>
      <w:bookmarkEnd w:id="15"/>
      <w:r w:rsidR="00757DBE">
        <w:rPr>
          <w:i w:val="0"/>
          <w:iCs w:val="0"/>
          <w:color w:val="000000" w:themeColor="text1"/>
          <w:sz w:val="20"/>
          <w:szCs w:val="20"/>
        </w:rPr>
        <w:t xml:space="preserve"> </w:t>
      </w:r>
      <w:r w:rsidR="00DC3F61">
        <w:rPr>
          <w:i w:val="0"/>
          <w:iCs w:val="0"/>
          <w:color w:val="000000" w:themeColor="text1"/>
          <w:sz w:val="20"/>
          <w:szCs w:val="20"/>
        </w:rPr>
        <w:t xml:space="preserve"> </w:t>
      </w:r>
    </w:p>
    <w:p w14:paraId="65F36989" w14:textId="77777777" w:rsidR="00547B3E" w:rsidRDefault="00547B3E" w:rsidP="00234D75"/>
    <w:p w14:paraId="3CB49D33" w14:textId="0C015BFB" w:rsidR="00547B3E" w:rsidRDefault="00A50A35" w:rsidP="00547B3E">
      <w:pPr>
        <w:pStyle w:val="Heading2"/>
      </w:pPr>
      <w:bookmarkStart w:id="16" w:name="_Toc165293346"/>
      <w:r>
        <w:t>2.</w:t>
      </w:r>
      <w:r w:rsidR="000B2D0C">
        <w:t>5</w:t>
      </w:r>
      <w:r>
        <w:t xml:space="preserve">. </w:t>
      </w:r>
      <w:r w:rsidR="00547B3E">
        <w:t>Hypothesis</w:t>
      </w:r>
      <w:r w:rsidR="0049421A">
        <w:t xml:space="preserve"> and Graphical Abstract</w:t>
      </w:r>
      <w:bookmarkEnd w:id="16"/>
      <w:r w:rsidR="00547B3E">
        <w:t xml:space="preserve"> </w:t>
      </w:r>
      <w:r w:rsidR="00547B3E">
        <w:tab/>
      </w:r>
    </w:p>
    <w:p w14:paraId="0734461A" w14:textId="5BAE30E1" w:rsidR="001A682E" w:rsidRDefault="005D4219" w:rsidP="0049421A">
      <w:pPr>
        <w:ind w:firstLine="720"/>
      </w:pPr>
      <w:r>
        <w:t xml:space="preserve">Because </w:t>
      </w:r>
      <w:r w:rsidR="00E04665">
        <w:t xml:space="preserve">the </w:t>
      </w:r>
      <w:r>
        <w:t>STIN</w:t>
      </w:r>
      <w:r w:rsidR="00E04665">
        <w:t>G</w:t>
      </w:r>
      <w:r>
        <w:t xml:space="preserve"> pathway is critical for GC</w:t>
      </w:r>
      <w:r w:rsidR="000B2D0C">
        <w:t>-</w:t>
      </w:r>
      <w:r>
        <w:t xml:space="preserve">induced anti-tumor and anti-viral immune responses, it is important to determine the mechanism of GC through its activation of STING pathway. The hypothesized GC-STING interaction is depicted in </w:t>
      </w:r>
      <w:r w:rsidRPr="00E04665">
        <w:rPr>
          <w:b/>
          <w:bCs/>
        </w:rPr>
        <w:t>Figure 4</w:t>
      </w:r>
      <w:r>
        <w:t xml:space="preserve">. The first step is to </w:t>
      </w:r>
      <w:r w:rsidR="00547B3E">
        <w:t>confirm GC-STING interactions and colocalization in the lysosome</w:t>
      </w:r>
      <w:r w:rsidR="004E081C">
        <w:t xml:space="preserve">. Then, it the </w:t>
      </w:r>
      <w:r w:rsidR="00E04665">
        <w:t xml:space="preserve">long-term </w:t>
      </w:r>
      <w:r w:rsidR="004E081C">
        <w:t xml:space="preserve">purpose of this study to verify </w:t>
      </w:r>
      <w:r w:rsidR="00413E52">
        <w:t xml:space="preserve">the hypothesized GC-STING interactions </w:t>
      </w:r>
      <w:r w:rsidR="004E081C">
        <w:t xml:space="preserve">through </w:t>
      </w:r>
      <w:r w:rsidR="00413E52">
        <w:t>N</w:t>
      </w:r>
      <w:r w:rsidR="007750C8">
        <w:t>L</w:t>
      </w:r>
      <w:r w:rsidR="00413E52">
        <w:t>RP3 pathway</w:t>
      </w:r>
      <w:r w:rsidR="007750C8">
        <w:t xml:space="preserve">, </w:t>
      </w:r>
      <w:r w:rsidR="007750C8">
        <w:lastRenderedPageBreak/>
        <w:t>cell death, and IFN</w:t>
      </w:r>
      <w:r w:rsidR="007750C8" w:rsidRPr="00B1630F">
        <w:t>β</w:t>
      </w:r>
      <w:r w:rsidR="007750C8">
        <w:t xml:space="preserve"> release</w:t>
      </w:r>
      <w:r w:rsidR="004E081C">
        <w:t xml:space="preserve">, as indicated in </w:t>
      </w:r>
      <w:r w:rsidR="004E081C" w:rsidRPr="00E04665">
        <w:rPr>
          <w:b/>
          <w:bCs/>
        </w:rPr>
        <w:t>Figure 4</w:t>
      </w:r>
      <w:r w:rsidR="00413E52">
        <w:t xml:space="preserve">. </w:t>
      </w:r>
      <w:r w:rsidR="00E04665">
        <w:t>This is critical in determining the overall cause of cell death: if cell death is a result of K</w:t>
      </w:r>
      <w:r w:rsidR="00E04665">
        <w:rPr>
          <w:vertAlign w:val="superscript"/>
        </w:rPr>
        <w:t>+</w:t>
      </w:r>
      <w:r w:rsidR="00E04665">
        <w:t xml:space="preserve"> efflux initiating the NLRP3 pathway or if GC leakage itself causes </w:t>
      </w:r>
      <w:r w:rsidR="000B2D0C" w:rsidRPr="000506D6">
        <w:t xml:space="preserve">lysosomal membrane permeabilization </w:t>
      </w:r>
      <w:r w:rsidR="000B2D0C">
        <w:t>(</w:t>
      </w:r>
      <w:r w:rsidR="00E04665">
        <w:t>LMP</w:t>
      </w:r>
      <w:r w:rsidR="000B2D0C">
        <w:t>)</w:t>
      </w:r>
      <w:r w:rsidR="00E04665">
        <w:t xml:space="preserve">. </w:t>
      </w:r>
    </w:p>
    <w:p w14:paraId="66B7D0E6" w14:textId="77777777" w:rsidR="0049421A" w:rsidRDefault="0049421A" w:rsidP="0049421A">
      <w:pPr>
        <w:ind w:firstLine="720"/>
      </w:pPr>
    </w:p>
    <w:p w14:paraId="6E2F62AB" w14:textId="605EFA0F" w:rsidR="0012428B" w:rsidRDefault="001A682E" w:rsidP="0049421A">
      <w:pPr>
        <w:jc w:val="center"/>
      </w:pPr>
      <w:r>
        <w:rPr>
          <w:noProof/>
        </w:rPr>
        <w:drawing>
          <wp:inline distT="0" distB="0" distL="0" distR="0" wp14:anchorId="345779C2" wp14:editId="345734A9">
            <wp:extent cx="5865657" cy="3821230"/>
            <wp:effectExtent l="0" t="0" r="0" b="1905"/>
            <wp:docPr id="1437244545" name="Picture 11" descr="A cell structure with different cell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44545" name="Picture 11" descr="A cell structure with different cells&#10;&#10;Description automatically generated with medium confidence"/>
                    <pic:cNvPicPr/>
                  </pic:nvPicPr>
                  <pic:blipFill rotWithShape="1">
                    <a:blip r:embed="rId15" cstate="print">
                      <a:extLst>
                        <a:ext uri="{28A0092B-C50C-407E-A947-70E740481C1C}">
                          <a14:useLocalDpi xmlns:a14="http://schemas.microsoft.com/office/drawing/2010/main" val="0"/>
                        </a:ext>
                      </a:extLst>
                    </a:blip>
                    <a:srcRect l="3418" t="10197" r="2301" b="2061"/>
                    <a:stretch/>
                  </pic:blipFill>
                  <pic:spPr bwMode="auto">
                    <a:xfrm>
                      <a:off x="0" y="0"/>
                      <a:ext cx="6009793" cy="3915129"/>
                    </a:xfrm>
                    <a:prstGeom prst="rect">
                      <a:avLst/>
                    </a:prstGeom>
                    <a:ln>
                      <a:noFill/>
                    </a:ln>
                    <a:extLst>
                      <a:ext uri="{53640926-AAD7-44D8-BBD7-CCE9431645EC}">
                        <a14:shadowObscured xmlns:a14="http://schemas.microsoft.com/office/drawing/2010/main"/>
                      </a:ext>
                    </a:extLst>
                  </pic:spPr>
                </pic:pic>
              </a:graphicData>
            </a:graphic>
          </wp:inline>
        </w:drawing>
      </w:r>
    </w:p>
    <w:p w14:paraId="192F9B50" w14:textId="5E1F3288" w:rsidR="0049421A" w:rsidRPr="001D4EBC" w:rsidRDefault="0012428B" w:rsidP="001D4EBC">
      <w:pPr>
        <w:pStyle w:val="Caption"/>
        <w:jc w:val="both"/>
        <w:rPr>
          <w:i w:val="0"/>
          <w:iCs w:val="0"/>
          <w:color w:val="000000" w:themeColor="text1"/>
          <w:sz w:val="20"/>
          <w:szCs w:val="20"/>
        </w:rPr>
      </w:pPr>
      <w:bookmarkStart w:id="17" w:name="_Toc165201223"/>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4</w:t>
      </w:r>
      <w:r w:rsidRPr="001D4EBC">
        <w:rPr>
          <w:b/>
          <w:bCs/>
          <w:i w:val="0"/>
          <w:iCs w:val="0"/>
          <w:color w:val="000000" w:themeColor="text1"/>
          <w:sz w:val="20"/>
          <w:szCs w:val="20"/>
        </w:rPr>
        <w:fldChar w:fldCharType="end"/>
      </w:r>
      <w:r w:rsidR="009A0549" w:rsidRPr="001D4EBC">
        <w:rPr>
          <w:i w:val="0"/>
          <w:iCs w:val="0"/>
          <w:color w:val="000000" w:themeColor="text1"/>
          <w:sz w:val="20"/>
          <w:szCs w:val="20"/>
        </w:rPr>
        <w:t xml:space="preserve">: </w:t>
      </w:r>
      <w:r w:rsidR="00E07C3F" w:rsidRPr="001D4EBC">
        <w:rPr>
          <w:b/>
          <w:bCs/>
          <w:i w:val="0"/>
          <w:iCs w:val="0"/>
          <w:color w:val="000000" w:themeColor="text1"/>
          <w:sz w:val="20"/>
          <w:szCs w:val="20"/>
        </w:rPr>
        <w:t>Overview of hypothesized STING-GC interactions</w:t>
      </w:r>
      <w:r w:rsidR="00E04665" w:rsidRPr="001D4EBC">
        <w:rPr>
          <w:i w:val="0"/>
          <w:iCs w:val="0"/>
          <w:color w:val="000000" w:themeColor="text1"/>
          <w:sz w:val="20"/>
          <w:szCs w:val="20"/>
        </w:rPr>
        <w:t>. Here GC enters the DC cell via phagocytosis. After entering the cell, GC directly binds to STING initiating STING trafficking through the cell. Post binding, STING traffics to the lysosome which in turn initiates LMP. This results in lysosomal content leakage and K+ efflux activating the NLRP3 pathway. This pathway results in ICD and the release of proinflammatory cytokines such as IL-1</w:t>
      </w:r>
      <w:r w:rsidR="00E04665" w:rsidRPr="001D4EBC">
        <w:rPr>
          <w:i w:val="0"/>
          <w:iCs w:val="0"/>
          <w:color w:val="000000" w:themeColor="text1"/>
          <w:sz w:val="20"/>
          <w:szCs w:val="20"/>
        </w:rPr>
        <w:sym w:font="Symbol" w:char="F062"/>
      </w:r>
      <w:r w:rsidR="00E04665" w:rsidRPr="001D4EBC">
        <w:rPr>
          <w:i w:val="0"/>
          <w:iCs w:val="0"/>
          <w:color w:val="000000" w:themeColor="text1"/>
          <w:sz w:val="20"/>
          <w:szCs w:val="20"/>
        </w:rPr>
        <w:t>. Activation of the STING pathway also results in the release of proinflammatory cytokines such as type I IFN.</w:t>
      </w:r>
      <w:bookmarkEnd w:id="17"/>
      <w:r w:rsidR="00E04665" w:rsidRPr="001D4EBC">
        <w:rPr>
          <w:i w:val="0"/>
          <w:iCs w:val="0"/>
          <w:color w:val="000000" w:themeColor="text1"/>
          <w:sz w:val="20"/>
          <w:szCs w:val="20"/>
        </w:rPr>
        <w:t xml:space="preserve"> </w:t>
      </w:r>
    </w:p>
    <w:p w14:paraId="0DD05120" w14:textId="00B91B47" w:rsidR="005C193C" w:rsidRDefault="00250F51" w:rsidP="00F4720B">
      <w:pPr>
        <w:ind w:firstLine="720"/>
      </w:pPr>
      <w:r>
        <w:t xml:space="preserve">Our previous work guided the decision for both time </w:t>
      </w:r>
      <w:proofErr w:type="gramStart"/>
      <w:r>
        <w:t>point</w:t>
      </w:r>
      <w:proofErr w:type="gramEnd"/>
      <w:r>
        <w:t xml:space="preserve"> and GC concentration seen throughout the study. </w:t>
      </w:r>
      <w:r w:rsidR="0049421A">
        <w:t>Throughout the study, the 10hr time point will be investigated</w:t>
      </w:r>
      <w:r>
        <w:t xml:space="preserve"> and a stimulation concentration of 8</w:t>
      </w:r>
      <w:r>
        <w:sym w:font="Symbol" w:char="F06D"/>
      </w:r>
      <w:r>
        <w:t>g/mL utilized</w:t>
      </w:r>
      <w:r w:rsidR="0049421A">
        <w:t xml:space="preserve">. In our beforementioned study linking GC uptake to the STING pathway, several time points were investigated. </w:t>
      </w:r>
      <w:r>
        <w:t xml:space="preserve">Flow cytometry was conducted over a 0-24 hour time course was evaluated as well as RNA sequencing collected at the 24 hour time point. Within this </w:t>
      </w:r>
      <w:r w:rsidR="005C193C">
        <w:t>study,</w:t>
      </w:r>
      <w:r>
        <w:t xml:space="preserve"> it was found that </w:t>
      </w:r>
      <w:r w:rsidR="00B01E70">
        <w:t>BMDC</w:t>
      </w:r>
      <w:r>
        <w:t xml:space="preserve"> </w:t>
      </w:r>
      <w:r w:rsidR="005C193C">
        <w:t xml:space="preserve">death </w:t>
      </w:r>
      <w:r>
        <w:t xml:space="preserve">occurred between 10 and 16 hours with </w:t>
      </w:r>
      <w:r w:rsidR="005C193C">
        <w:t>IL-1</w:t>
      </w:r>
      <w:r>
        <w:sym w:font="Symbol" w:char="F062"/>
      </w:r>
      <w:r>
        <w:t xml:space="preserve"> production occurring </w:t>
      </w:r>
      <w:r w:rsidR="005C193C">
        <w:t xml:space="preserve">subsequently at the 16 hour time point </w:t>
      </w:r>
      <w:r>
        <w:fldChar w:fldCharType="begin"/>
      </w:r>
      <w:r w:rsidR="005C193C">
        <w:instrText xml:space="preserve"> ADDIN ZOTERO_ITEM CSL_CITATION {"citationID":"XZkX8ViV","properties":{"formattedCitation":"[27]","plainCitation":"[27]","noteIndex":0},"citationItems":[{"id":1588,"uris":["http://zotero.org/users/13277427/items/T5N9545F"],"itemData":{"id":1588,"type":"report","abstract":"Abstract\n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fldChar w:fldCharType="separate"/>
      </w:r>
      <w:r w:rsidR="005C193C">
        <w:rPr>
          <w:noProof/>
        </w:rPr>
        <w:t>[27]</w:t>
      </w:r>
      <w:r>
        <w:fldChar w:fldCharType="end"/>
      </w:r>
      <w:r w:rsidR="005C193C">
        <w:t>. From this, a time point of 10 hours was chosen to observe GC-STING interactions directly prior to cell death.</w:t>
      </w:r>
    </w:p>
    <w:p w14:paraId="51022CFA" w14:textId="6432D4F8" w:rsidR="00F4720B" w:rsidRDefault="005C193C" w:rsidP="0049421A">
      <w:pPr>
        <w:ind w:firstLine="720"/>
      </w:pPr>
      <w:r>
        <w:t>At low doses GC was found to not induce cell</w:t>
      </w:r>
      <w:r w:rsidR="000B2D0C">
        <w:t xml:space="preserve"> death</w:t>
      </w:r>
      <w:r>
        <w:t xml:space="preserve">, but rather initiates STING-mediated release of type 1 interferons. This was supported in the previous study, </w:t>
      </w:r>
      <w:r w:rsidR="00F4720B">
        <w:t xml:space="preserve">where </w:t>
      </w:r>
      <w:r>
        <w:t>IFN</w:t>
      </w:r>
      <w:r>
        <w:sym w:font="Symbol" w:char="F062"/>
      </w:r>
      <w:r>
        <w:t xml:space="preserve"> </w:t>
      </w:r>
      <w:r w:rsidR="00F4720B">
        <w:t xml:space="preserve">was produced </w:t>
      </w:r>
      <w:r>
        <w:t>at the 6 to 10 hour time points upon stimulation with 0.</w:t>
      </w:r>
      <w:r w:rsidR="00F4720B">
        <w:t>8</w:t>
      </w:r>
      <w:r w:rsidR="00F4720B">
        <w:sym w:font="Symbol" w:char="F06D"/>
      </w:r>
      <w:r w:rsidR="00F4720B">
        <w:t xml:space="preserve">g/mL of GC </w:t>
      </w:r>
      <w:r w:rsidR="00F4720B">
        <w:fldChar w:fldCharType="begin"/>
      </w:r>
      <w:r w:rsidR="00F4720B">
        <w:instrText xml:space="preserve"> ADDIN ZOTERO_ITEM CSL_CITATION {"citationID":"FYxabQ2s","properties":{"formattedCitation":"[27]","plainCitation":"[27]","noteIndex":0},"citationItems":[{"id":1588,"uris":["http://zotero.org/users/13277427/items/T5N9545F"],"itemData":{"id":1588,"type":"report","abstract":"Abstract\n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rsidR="00F4720B">
        <w:fldChar w:fldCharType="separate"/>
      </w:r>
      <w:r w:rsidR="00F4720B">
        <w:rPr>
          <w:noProof/>
        </w:rPr>
        <w:t>[27]</w:t>
      </w:r>
      <w:r w:rsidR="00F4720B">
        <w:fldChar w:fldCharType="end"/>
      </w:r>
      <w:r w:rsidR="00F4720B">
        <w:t>. At this concentration there was no production of IL-1</w:t>
      </w:r>
      <w:r w:rsidR="00F4720B">
        <w:sym w:font="Symbol" w:char="F062"/>
      </w:r>
      <w:r w:rsidR="00F4720B">
        <w:t xml:space="preserve"> and no cell death indicating the production of IL-1</w:t>
      </w:r>
      <w:r w:rsidR="00F4720B">
        <w:sym w:font="Symbol" w:char="F062"/>
      </w:r>
      <w:r w:rsidR="00F4720B">
        <w:t xml:space="preserve"> and IFN</w:t>
      </w:r>
      <w:r w:rsidR="00F4720B">
        <w:sym w:font="Symbol" w:char="F062"/>
      </w:r>
      <w:r w:rsidR="00F4720B">
        <w:t xml:space="preserve"> are independent of one another. IL-1</w:t>
      </w:r>
      <w:r w:rsidR="00F4720B">
        <w:sym w:font="Symbol" w:char="F062"/>
      </w:r>
      <w:r w:rsidR="00F4720B">
        <w:t xml:space="preserve"> began at a concentration of 4</w:t>
      </w:r>
      <w:r w:rsidR="00F4720B">
        <w:sym w:font="Symbol" w:char="F06D"/>
      </w:r>
      <w:r w:rsidR="00F4720B">
        <w:t>g/mL and at 8</w:t>
      </w:r>
      <w:r w:rsidR="00F4720B">
        <w:sym w:font="Symbol" w:char="F06D"/>
      </w:r>
      <w:r w:rsidR="00F4720B">
        <w:t>g/mL IL-1</w:t>
      </w:r>
      <w:r w:rsidR="00F4720B">
        <w:sym w:font="Symbol" w:char="F062"/>
      </w:r>
      <w:r w:rsidR="00F4720B">
        <w:t xml:space="preserve"> production increased further and IFN</w:t>
      </w:r>
      <w:r w:rsidR="00F4720B">
        <w:sym w:font="Symbol" w:char="F062"/>
      </w:r>
      <w:r w:rsidR="00F4720B">
        <w:t xml:space="preserve"> production decreased </w:t>
      </w:r>
      <w:r w:rsidR="00F4720B">
        <w:fldChar w:fldCharType="begin"/>
      </w:r>
      <w:r w:rsidR="008E6520">
        <w:instrText xml:space="preserve"> ADDIN ZOTERO_ITEM CSL_CITATION {"citationID":"d5Am4J3j","properties":{"formattedCitation":"[27]","plainCitation":"[27]","noteIndex":0},"citationItems":[{"id":1588,"uris":["http://zotero.org/users/13277427/items/T5N9545F"],"itemData":{"id":1588,"type":"report","abstract":"Abstract\n          \n            N-dihydrogalactochitosan (GC) is developed for inducing immune responses. Synthesized from chitosan and galactose, GC is a new chemical entity that significantly enhances the immune-stimulating properties of its parental material, chitosan, making it a promising therapeutic agent. When used in combination with antigenic material, GC stimulates innate and adaptive antitumor and antiviral immunities. However, the mechanism of GC has not been fully investigated. Herein we demonstrate that GC drives type I IFN production and IFN responses in antigen presenting cells (APCs) and has superior potency compared to its corresponding chitosan. More importantly, GC drives alternative activation of STING leading to inflammatory cell death that enhances dendritic cell (DC) activation, which triggers a variety of nucleic acid sensing pattern recognition receptors (PRRs) and IL-1β production.\n            In vivo\n            , GC induced a potent response of type I IFN and upregulated genes associated with STING signaling within the tumor microenvironment (TME). Moreover, intratumoral delivery of GC reduced the numbers of M2-like macrophages residing within the TME, while subsequently increasing the number of DCs. Our findings demonstrate GC’s unique ability to activate STING and stimulate a broad type I IFN response which holds therapeutic promise in generating antitumor and antiviral immunities.","genre":"preprint","language":"en","note":"DOI: 10.1101/2022.07.22.501157","publisher":"Cancer Biology","source":"DOI.org (Crossref)","title":"A novel biopolymer synergizes type I IFN and IL-1β production through STING","URL":"http://biorxiv.org/lookup/doi/10.1101/2022.07.22.501157","author":[{"family":"Hoover","given":"Ashley R."},{"family":"Liu","given":"Kaili"},{"family":"Kit Lam","given":"Samuel Siu"},{"family":"Wong","given":"Chun Fung"},{"family":"Medcalf","given":"Alexandra D."},{"family":"Sun","given":"Xiao-Hong"},{"family":"Hode","given":"Tomas"},{"family":"Alleruzzo","given":"Lu"},{"family":"Furrer","given":"Coline"},{"family":"Valerio","given":"Trisha I."},{"family":"Chen","given":"Wei R."}],"accessed":{"date-parts":[["2024",3,14]]},"issued":{"date-parts":[["2022",7,22]]}}}],"schema":"https://github.com/citation-style-language/schema/raw/master/csl-citation.json"} </w:instrText>
      </w:r>
      <w:r w:rsidR="00F4720B">
        <w:fldChar w:fldCharType="separate"/>
      </w:r>
      <w:r w:rsidR="00F4720B">
        <w:rPr>
          <w:noProof/>
        </w:rPr>
        <w:t>[27]</w:t>
      </w:r>
      <w:r w:rsidR="00F4720B">
        <w:fldChar w:fldCharType="end"/>
      </w:r>
      <w:r w:rsidR="00F4720B">
        <w:t xml:space="preserve">. Cell death </w:t>
      </w:r>
      <w:r w:rsidR="00F4720B">
        <w:lastRenderedPageBreak/>
        <w:t>began at the 4</w:t>
      </w:r>
      <w:r w:rsidR="00F4720B">
        <w:sym w:font="Symbol" w:char="F06D"/>
      </w:r>
      <w:r w:rsidR="00F4720B">
        <w:t>g/mL and increased 8</w:t>
      </w:r>
      <w:r w:rsidR="00F4720B">
        <w:sym w:font="Symbol" w:char="F06D"/>
      </w:r>
      <w:r w:rsidR="00F4720B">
        <w:t>g/mL leading to 8</w:t>
      </w:r>
      <w:r w:rsidR="00F4720B">
        <w:sym w:font="Symbol" w:char="F06D"/>
      </w:r>
      <w:r w:rsidR="00F4720B">
        <w:t xml:space="preserve">g/mL GC stimulation being chosen for this study. This would allow the findings to </w:t>
      </w:r>
      <w:r w:rsidR="00D766AA">
        <w:t xml:space="preserve">primarily focus on the cell death induced by GC. </w:t>
      </w:r>
    </w:p>
    <w:p w14:paraId="65CFD925" w14:textId="0CFFE5D0" w:rsidR="001C2D71" w:rsidRPr="00D766AA" w:rsidRDefault="00D766AA" w:rsidP="00D766AA">
      <w:pPr>
        <w:pStyle w:val="Caption"/>
      </w:pPr>
      <w:r>
        <w:rPr>
          <w:b/>
          <w:bCs/>
          <w:i w:val="0"/>
          <w:iCs w:val="0"/>
          <w:color w:val="000000" w:themeColor="text1"/>
          <w:sz w:val="24"/>
          <w:szCs w:val="24"/>
        </w:rPr>
        <w:tab/>
      </w:r>
      <w:r>
        <w:rPr>
          <w:i w:val="0"/>
          <w:iCs w:val="0"/>
          <w:color w:val="000000" w:themeColor="text1"/>
          <w:sz w:val="24"/>
          <w:szCs w:val="24"/>
        </w:rPr>
        <w:t>The following thesis study utilizes the 10</w:t>
      </w:r>
      <w:r w:rsidR="000B2D0C">
        <w:rPr>
          <w:i w:val="0"/>
          <w:iCs w:val="0"/>
          <w:color w:val="000000" w:themeColor="text1"/>
          <w:sz w:val="24"/>
          <w:szCs w:val="24"/>
        </w:rPr>
        <w:t>-</w:t>
      </w:r>
      <w:r>
        <w:rPr>
          <w:i w:val="0"/>
          <w:iCs w:val="0"/>
          <w:color w:val="000000" w:themeColor="text1"/>
          <w:sz w:val="24"/>
          <w:szCs w:val="24"/>
        </w:rPr>
        <w:t>hour time point and a GC concentration of 8</w:t>
      </w:r>
      <w:r w:rsidRPr="00D766AA">
        <w:rPr>
          <w:i w:val="0"/>
          <w:iCs w:val="0"/>
          <w:color w:val="000000" w:themeColor="text1"/>
          <w:sz w:val="24"/>
          <w:szCs w:val="24"/>
        </w:rPr>
        <w:sym w:font="Symbol" w:char="F06D"/>
      </w:r>
      <w:r>
        <w:rPr>
          <w:i w:val="0"/>
          <w:iCs w:val="0"/>
          <w:color w:val="000000" w:themeColor="text1"/>
          <w:sz w:val="24"/>
          <w:szCs w:val="24"/>
        </w:rPr>
        <w:t>g/mL, however, previously a live cell study was initiated. This study was unsuccessful due to limitations in the cell model.</w:t>
      </w:r>
      <w:r w:rsidR="001F2D22">
        <w:rPr>
          <w:i w:val="0"/>
          <w:iCs w:val="0"/>
          <w:color w:val="000000" w:themeColor="text1"/>
          <w:sz w:val="24"/>
          <w:szCs w:val="24"/>
        </w:rPr>
        <w:t xml:space="preserve"> The study utilized the DC 2.4 cell line which was found to no longer be an accurate model for the </w:t>
      </w:r>
      <w:r w:rsidR="001F2D22">
        <w:rPr>
          <w:color w:val="000000" w:themeColor="text1"/>
          <w:sz w:val="24"/>
          <w:szCs w:val="24"/>
        </w:rPr>
        <w:t>in-vivo</w:t>
      </w:r>
      <w:r w:rsidR="001F2D22">
        <w:rPr>
          <w:i w:val="0"/>
          <w:iCs w:val="0"/>
          <w:color w:val="000000" w:themeColor="text1"/>
          <w:sz w:val="24"/>
          <w:szCs w:val="24"/>
        </w:rPr>
        <w:t xml:space="preserve"> conditions. </w:t>
      </w:r>
      <w:r>
        <w:rPr>
          <w:i w:val="0"/>
          <w:iCs w:val="0"/>
          <w:color w:val="000000" w:themeColor="text1"/>
          <w:sz w:val="24"/>
          <w:szCs w:val="24"/>
        </w:rPr>
        <w:t xml:space="preserve">An overview of this study can be found in </w:t>
      </w:r>
      <w:r w:rsidR="009C76B9">
        <w:rPr>
          <w:i w:val="0"/>
          <w:iCs w:val="0"/>
          <w:color w:val="000000" w:themeColor="text1"/>
          <w:sz w:val="24"/>
          <w:szCs w:val="24"/>
        </w:rPr>
        <w:t>the supplementary materials</w:t>
      </w:r>
      <w:r w:rsidR="00167252">
        <w:rPr>
          <w:i w:val="0"/>
          <w:iCs w:val="0"/>
          <w:color w:val="000000" w:themeColor="text1"/>
          <w:sz w:val="24"/>
          <w:szCs w:val="24"/>
        </w:rPr>
        <w:t xml:space="preserve">, </w:t>
      </w:r>
      <w:r w:rsidR="00167252">
        <w:rPr>
          <w:b/>
          <w:bCs/>
          <w:i w:val="0"/>
          <w:iCs w:val="0"/>
          <w:color w:val="000000" w:themeColor="text1"/>
          <w:sz w:val="24"/>
          <w:szCs w:val="24"/>
        </w:rPr>
        <w:t>Appendix A and B</w:t>
      </w:r>
      <w:r w:rsidR="009C76B9">
        <w:rPr>
          <w:i w:val="0"/>
          <w:iCs w:val="0"/>
          <w:color w:val="000000" w:themeColor="text1"/>
          <w:sz w:val="24"/>
          <w:szCs w:val="24"/>
        </w:rPr>
        <w:t xml:space="preserve">. </w:t>
      </w:r>
      <w:r w:rsidR="001F2D22">
        <w:rPr>
          <w:i w:val="0"/>
          <w:iCs w:val="0"/>
          <w:color w:val="000000" w:themeColor="text1"/>
          <w:sz w:val="24"/>
          <w:szCs w:val="24"/>
        </w:rPr>
        <w:t xml:space="preserve">Due to these findings, this study utilizes BMDCs to </w:t>
      </w:r>
      <w:proofErr w:type="gramStart"/>
      <w:r w:rsidR="001F2D22">
        <w:rPr>
          <w:i w:val="0"/>
          <w:iCs w:val="0"/>
          <w:color w:val="000000" w:themeColor="text1"/>
          <w:sz w:val="24"/>
          <w:szCs w:val="24"/>
        </w:rPr>
        <w:t>most closely mimic the native environment</w:t>
      </w:r>
      <w:proofErr w:type="gramEnd"/>
      <w:r w:rsidR="001F2D22">
        <w:rPr>
          <w:i w:val="0"/>
          <w:iCs w:val="0"/>
          <w:color w:val="000000" w:themeColor="text1"/>
          <w:sz w:val="24"/>
          <w:szCs w:val="24"/>
        </w:rPr>
        <w:t xml:space="preserve">. </w:t>
      </w:r>
      <w:r w:rsidR="001C2D71" w:rsidRPr="00D766AA">
        <w:br w:type="page"/>
      </w:r>
    </w:p>
    <w:p w14:paraId="7A526605" w14:textId="146E0359" w:rsidR="00A50A35" w:rsidRDefault="00A50A35" w:rsidP="00A50A35">
      <w:pPr>
        <w:pStyle w:val="Heading1"/>
      </w:pPr>
      <w:bookmarkStart w:id="18" w:name="_Toc165293347"/>
      <w:r w:rsidRPr="00A50A35">
        <w:lastRenderedPageBreak/>
        <w:t>Chapter 3</w:t>
      </w:r>
      <w:r w:rsidR="00365908">
        <w:t>: Glycated Chitosan Induces Increased STING Trafficking to the Lysosome</w:t>
      </w:r>
      <w:bookmarkEnd w:id="18"/>
      <w:r w:rsidR="00365908">
        <w:t xml:space="preserve"> </w:t>
      </w:r>
    </w:p>
    <w:p w14:paraId="55BE7F79" w14:textId="41766B24" w:rsidR="00A50A35" w:rsidRDefault="0041556C" w:rsidP="00A50A35">
      <w:pPr>
        <w:pStyle w:val="Heading2"/>
      </w:pPr>
      <w:bookmarkStart w:id="19" w:name="_Toc165293348"/>
      <w:r>
        <w:t xml:space="preserve">3.1. </w:t>
      </w:r>
      <w:r w:rsidR="00A50A35" w:rsidRPr="00A50A35">
        <w:t>Purpose</w:t>
      </w:r>
      <w:bookmarkEnd w:id="19"/>
    </w:p>
    <w:p w14:paraId="35B7B80B" w14:textId="090DE76E" w:rsidR="0041556C" w:rsidRDefault="00E2248E" w:rsidP="00E2248E">
      <w:pPr>
        <w:ind w:firstLine="720"/>
      </w:pPr>
      <w:r>
        <w:t xml:space="preserve">The purpose of this experimentation is to investigate the effect of GC on STING trafficking to the lysosome. This will be done through western blotting where the lysates tested will be different subcellular components of BMDCs. </w:t>
      </w:r>
    </w:p>
    <w:p w14:paraId="4958C5FC" w14:textId="77777777" w:rsidR="00E2248E" w:rsidRPr="0041556C" w:rsidRDefault="00E2248E" w:rsidP="00E2248E">
      <w:pPr>
        <w:ind w:firstLine="720"/>
      </w:pPr>
    </w:p>
    <w:p w14:paraId="6FBD169A" w14:textId="25776009" w:rsidR="00A50A35" w:rsidRDefault="0041556C" w:rsidP="00A50A35">
      <w:pPr>
        <w:pStyle w:val="Heading2"/>
      </w:pPr>
      <w:bookmarkStart w:id="20" w:name="_Toc165293349"/>
      <w:r>
        <w:t xml:space="preserve">3.2. </w:t>
      </w:r>
      <w:r w:rsidR="00A50A35" w:rsidRPr="00A50A35">
        <w:t>Materials</w:t>
      </w:r>
      <w:bookmarkEnd w:id="20"/>
      <w:r w:rsidR="00A50A35" w:rsidRPr="00A50A35">
        <w:t xml:space="preserve"> </w:t>
      </w:r>
    </w:p>
    <w:p w14:paraId="2FA637FE" w14:textId="440222FE" w:rsidR="00A50A35" w:rsidRDefault="00A50A35" w:rsidP="00A50A35">
      <w:pPr>
        <w:ind w:firstLine="720"/>
      </w:pPr>
      <w:r>
        <w:t xml:space="preserve">Aqueous solution of </w:t>
      </w:r>
      <w:r w:rsidRPr="00FA2C7B">
        <w:t>N-</w:t>
      </w:r>
      <w:proofErr w:type="spellStart"/>
      <w:r w:rsidRPr="00FA2C7B">
        <w:t>dihydrogalactochitosan</w:t>
      </w:r>
      <w:proofErr w:type="spellEnd"/>
      <w:r w:rsidRPr="00FA2C7B">
        <w:t>, also referred to as gl</w:t>
      </w:r>
      <w:r>
        <w:t>ycated</w:t>
      </w:r>
      <w:r w:rsidRPr="00FA2C7B">
        <w:t xml:space="preserve"> chitosan (GC)</w:t>
      </w:r>
      <w:r>
        <w:t>,</w:t>
      </w:r>
      <w:r w:rsidRPr="00FA2C7B">
        <w:t xml:space="preserve"> </w:t>
      </w:r>
      <w:r>
        <w:t xml:space="preserve">(10mg/mL) was provided by </w:t>
      </w:r>
      <w:proofErr w:type="spellStart"/>
      <w:r>
        <w:t>ImmunoPhotonics</w:t>
      </w:r>
      <w:proofErr w:type="spellEnd"/>
      <w:r>
        <w:t>, Inc.</w:t>
      </w:r>
      <w:r w:rsidR="00FC2FF6">
        <w:t xml:space="preserve"> </w:t>
      </w:r>
      <w:r>
        <w:t>Male and female 8</w:t>
      </w:r>
      <w:r w:rsidR="000E5A3F">
        <w:t>-12</w:t>
      </w:r>
      <w:r>
        <w:t xml:space="preserve"> week</w:t>
      </w:r>
      <w:r w:rsidR="000E5A3F">
        <w:t>s</w:t>
      </w:r>
      <w:r>
        <w:t xml:space="preserve"> old </w:t>
      </w:r>
      <w:r w:rsidRPr="00A43A48">
        <w:t>C57BL/6J</w:t>
      </w:r>
      <w:r>
        <w:t xml:space="preserve"> mice were purchased from Jackson Laboratories.</w:t>
      </w:r>
      <w:r w:rsidR="00D803E3">
        <w:t xml:space="preserve"> Sex was varied to eliminate </w:t>
      </w:r>
      <w:r w:rsidR="00AC5BE2">
        <w:t xml:space="preserve">sex-associated immune differences and the age range 8-12 weeks was utilized as it an ideal age range for BMDC generation </w:t>
      </w:r>
      <w:r w:rsidR="00EB5C47">
        <w:fldChar w:fldCharType="begin"/>
      </w:r>
      <w:r w:rsidR="00EB5C47">
        <w:instrText xml:space="preserve"> ADDIN ZOTERO_ITEM CSL_CITATION {"citationID":"qyPlhfrt","properties":{"formattedCitation":"[42]","plainCitation":"[42]","noteIndex":0},"citationItems":[{"id":1708,"uris":["http://zotero.org/users/13277427/items/JWPNYMIU"],"itemData":{"id":1708,"type":"article-journal","abstract":"This study investigates sex-associated systemic innate immune differences by examining bone marrow-derived dendritic cells (BMDCs). BMDC grown from 7-day-old mice show enhanced type-I interferon (IFN) signaling in female compared to male BMDC. Upon respiratory syncytial virus (RSV) infection of 7-day-old mice, a significantly altered phenotype of BMDC at 4 weeks post-infection is observed in a sex-dependent manner. The alterations include heightened Ifnb/ interleukin (Il12a) and enhanced IFNAR1 + expression in BMDC from early-life RSV-infected female mice that leads to increased IFN-γ production by T cells. Phenotypic differences were verified upon pulmonary sensitization whereby EL-RSV male-derived BMDC promoted enhanced T helper 2/17 responses and exacerbated disease upon RSV infection while EL-RSV/F BMDC sensitization was relatively protective. Assay for transposase-accessible chromatin using sequencing analysis (ATAC-seq) demonstrated that EL-RSV/F BMDC had enhanced chromatin accessibility near type-I immune genes with JUN, STAT1/2, and IRF1/8 transcription factors predicted to have binding sites in accessible regions. Importantly, ATAC-seq of human cord blood-derived monocytes displayed a similar sex-associated chromatin landscape with female-derived monocytes having more accessibility in type-I immune genes. These studies enhance our understanding of sex-associated differences in innate immunity by epigenetically controlled transcriptional programs amplified by early-life infection in females via type-I immunity.","container-title":"Mucosal immunology","DOI":"10.1016/j.mucimm.2023.06.002","ISSN":"1933-0219","issue":"5","journalAbbreviation":"Mucosal Immunol","note":"PMID: 37302711\nPMCID: PMC10646734","page":"578-592","source":"PubMed Central","title":"Sex-associated early-life viral innate immune response is transcriptionally associated with chromatin remodeling of type-I IFN-inducible genes","volume":"16","author":[{"family":"Malinczak","given":"Carrie-Anne"},{"family":"Fonseca","given":"Wendy"},{"family":"Mire","given":"Mohamed M."},{"family":"Parolia","given":"Abhijit"},{"family":"Chinnaiyan","given":"Arul"},{"family":"Rasky","given":"Andrew J."},{"family":"Morris","given":"Susan"},{"family":"Yagi","given":"Kazuma"},{"family":"Bermick","given":"Jennifer R."},{"family":"Lukacs","given":"Nicholas W."}],"issued":{"date-parts":[["2023",10]]}}}],"schema":"https://github.com/citation-style-language/schema/raw/master/csl-citation.json"} </w:instrText>
      </w:r>
      <w:r w:rsidR="00EB5C47">
        <w:fldChar w:fldCharType="separate"/>
      </w:r>
      <w:r w:rsidR="00EB5C47">
        <w:rPr>
          <w:noProof/>
        </w:rPr>
        <w:t>[42]</w:t>
      </w:r>
      <w:r w:rsidR="00EB5C47">
        <w:fldChar w:fldCharType="end"/>
      </w:r>
      <w:r w:rsidR="00EB5C47">
        <w:t xml:space="preserve">, </w:t>
      </w:r>
      <w:r w:rsidR="00EB5C47">
        <w:fldChar w:fldCharType="begin"/>
      </w:r>
      <w:r w:rsidR="00EB5C47">
        <w:instrText xml:space="preserve"> ADDIN ZOTERO_ITEM CSL_CITATION {"citationID":"RS6rLv8n","properties":{"formattedCitation":"[43]","plainCitation":"[43]","noteIndex":0},"citationItems":[{"id":1709,"uris":["http://zotero.org/users/13277427/items/FGT9DRQR"],"itemData":{"id":1709,"type":"article-journal","abstract":"12–14 days of culturing of bone marrow (BM) cells containing various growth factors is widely used method for generating dendritic cells (DCs) from suspended cell population. Here we compared flask culture method and commercially available CD11c Positive Selection kit method. Immature BMDCs’ purity of adherent as well as suspended cell population was generated in the decreasing concentration of recombinant-murine granulocyte-macrophage colony-stimulating factor (rmGM-CSF) in nontreated tissue culture flasks. The expression of CD11c, MHCII, CD40, and CD86 was measured by flow cytometry. We found significant difference\n              \n                (\n                P\n                &lt;\n                0.05\n                )\n              \n              between the two methods in the adherent cells population but no significant difference was observed between the suspended cell populations with respect to CD11c+ count. However, CD11c+ was significantly higher in both adhered and suspended cell population by culture method but kit method gave more CD11c+ from suspended cells population only. On the other hand, using both methods, immature DC expressed moderate level of MHC class II molecules as well as low levels of CD40 and CD86. Our findings suggest that widely used culture method gives the best results in terms of yield, viability, and purity of BMDCs from both adherent and suspended cell population whereas kit method works well for suspended cell population.","container-title":"Bone Marrow Research","DOI":"10.1155/2018/3495086","ISSN":"2090-2999, 2090-3006","journalAbbreviation":"Bone Marrow Research","language":"en","license":"http://creativecommons.org/licenses/by/4.0/","page":"1-9","source":"DOI.org (Crossref)","title":"Optimization of &lt;i&gt;Ex Vivo&lt;/i&gt; Murine Bone Marrow Derived Immature Dendritic Cells: A Comparative Analysis of Flask Culture Method and Mouse CD11c Positive Selection Kit Method","title-short":"Optimization of &lt;i&gt;Ex Vivo&lt;/i&gt; Murine Bone Marrow Derived Immature Dendritic Cells","volume":"2018","author":[{"family":"Gosavi","given":"Rahul Ashok"},{"family":"Salwe","given":"Sukeshani"},{"family":"Mukherjee","given":"Sandeepan"},{"family":"Dahake","given":"Ritwik"},{"family":"Kothari","given":"Sweta"},{"family":"Patel","given":"Vainav"},{"family":"Chowdhary","given":"Abhay"},{"family":"Deshmukh","given":"Ranjana A."}],"issued":{"date-parts":[["2018",2,22]]}}}],"schema":"https://github.com/citation-style-language/schema/raw/master/csl-citation.json"} </w:instrText>
      </w:r>
      <w:r w:rsidR="00EB5C47">
        <w:fldChar w:fldCharType="separate"/>
      </w:r>
      <w:r w:rsidR="00EB5C47">
        <w:rPr>
          <w:noProof/>
        </w:rPr>
        <w:t>[43]</w:t>
      </w:r>
      <w:r w:rsidR="00EB5C47">
        <w:fldChar w:fldCharType="end"/>
      </w:r>
      <w:r w:rsidR="00EB5C47">
        <w:t xml:space="preserve">. </w:t>
      </w:r>
    </w:p>
    <w:p w14:paraId="6A7E4972" w14:textId="16BEE411" w:rsidR="00A50A35" w:rsidRPr="00A50A35" w:rsidRDefault="00A50A35" w:rsidP="00A50A35"/>
    <w:p w14:paraId="231EC326" w14:textId="4F03E04D" w:rsidR="00A50A35" w:rsidRDefault="0041556C" w:rsidP="00A50A35">
      <w:pPr>
        <w:pStyle w:val="Heading2"/>
      </w:pPr>
      <w:bookmarkStart w:id="21" w:name="_Toc165293350"/>
      <w:r>
        <w:t xml:space="preserve">3.3. </w:t>
      </w:r>
      <w:r w:rsidR="00A50A35" w:rsidRPr="00A50A35">
        <w:t>Methods</w:t>
      </w:r>
      <w:bookmarkEnd w:id="21"/>
    </w:p>
    <w:p w14:paraId="23CB5E1E" w14:textId="452D3107" w:rsidR="00A50A35" w:rsidRDefault="0041556C" w:rsidP="00A50A35">
      <w:pPr>
        <w:pStyle w:val="Heading3"/>
      </w:pPr>
      <w:bookmarkStart w:id="22" w:name="_Toc165293351"/>
      <w:r>
        <w:t xml:space="preserve">3.3.1. </w:t>
      </w:r>
      <w:r w:rsidR="00A50A35">
        <w:t>Preparation of Bone Marrow Derived Dendritic Cells</w:t>
      </w:r>
      <w:bookmarkEnd w:id="22"/>
      <w:r w:rsidR="00A50A35">
        <w:t xml:space="preserve"> </w:t>
      </w:r>
    </w:p>
    <w:p w14:paraId="4BE66470" w14:textId="424E70BF" w:rsidR="00A50A35" w:rsidRDefault="00A50A35" w:rsidP="0002659E">
      <w:pPr>
        <w:ind w:firstLine="720"/>
      </w:pPr>
      <w:r>
        <w:t>The murine</w:t>
      </w:r>
      <w:r w:rsidRPr="00A43A48">
        <w:t xml:space="preserve"> mesenchymal stem cells</w:t>
      </w:r>
      <w:r>
        <w:t xml:space="preserve"> were extracted from the hind legs of </w:t>
      </w:r>
      <w:r w:rsidRPr="00A43A48">
        <w:t>C57BL/6J</w:t>
      </w:r>
      <w:r>
        <w:t xml:space="preserve"> mice through dissection of the hip bone, femur, and tibia and flushing the bone marrow out of the bone using a syringe and PBS. The red blood cells were then lysed using ACK lysis buffer </w:t>
      </w:r>
      <w:r w:rsidR="0002659E">
        <w:t>(</w:t>
      </w:r>
      <w:proofErr w:type="spellStart"/>
      <w:r w:rsidR="0002659E">
        <w:t>Thermo</w:t>
      </w:r>
      <w:proofErr w:type="spellEnd"/>
      <w:r w:rsidR="0002659E">
        <w:t xml:space="preserve"> Fisher, Cat# </w:t>
      </w:r>
      <w:r w:rsidR="0002659E" w:rsidRPr="0002659E">
        <w:t>A1049201</w:t>
      </w:r>
      <w:r w:rsidR="0002659E">
        <w:t xml:space="preserve">) </w:t>
      </w:r>
      <w:r>
        <w:t xml:space="preserve">and the cells plated at a seeding density of 10E6 cells per plate on 150mm well plates. </w:t>
      </w:r>
      <w:r w:rsidRPr="00F5067F">
        <w:t>Granulocyte-macrophage colony-stimulating factor</w:t>
      </w:r>
      <w:r>
        <w:t xml:space="preserve"> (GM-CSF), a cytokine known to regulate DC homeostasis, was used to differentiate the stem cells to dendritic cells </w:t>
      </w:r>
      <w:r>
        <w:fldChar w:fldCharType="begin"/>
      </w:r>
      <w:r w:rsidR="00EB5C47">
        <w:instrText xml:space="preserve"> ADDIN ZOTERO_ITEM CSL_CITATION {"citationID":"BagRR9DK","properties":{"formattedCitation":"[44]","plainCitation":"[44]","noteIndex":0},"citationItems":[{"id":1436,"uris":["http://zotero.org/users/13277427/items/7IHBFZD3"],"itemData":{"id":1436,"type":"article-journal","abstract":"Dendritic cells (DCs) represent a small and heterogeneous fraction of the hematopoietic system, specialized in antigen capture, processing, and presentation. The different DC subsets act as sentinels throughout the body and perform a key role in the induction of immunogenic as well as tolerogenic immune responses. Because of their limited lifespan, continuous replenishment of DC is required. Whereas the importance of GM-CSF in regulating DC homeostasis has long been underestimated, this cytokine is currently considered a critical factor for DC development under both steady-state and inflammatory conditions. Regulation of cellular actions by GM-CSF depends on the activation of intracellular signaling modules, including JAK/STAT, MAPK, PI3K, and canonical NF-κB. By directing the activity of transcription factors and other cellular effector proteins, these pathways influence differentiation, survival and/or proliferation of uncommitted hematopoietic progenitors, and DC subset–specific precursors, thereby contributing to specific aspects of DC subset development. The specific intracellular events resulting from GM-CSF–induced signaling provide a molecular explanation for GM-CSF–dependent subset distribution as well as clues to the specific characteristics and functions of GM-CSF–differentiated DCs compared with DCs generated by fms-related tyrosine kinase 3 ligand. This knowledge can be used to identify therapeutic targets to improve GM-CSF–dependent DC-based strategies to regulate immunity.","container-title":"Blood","DOI":"10.1182/blood-2011-11-370130","ISSN":"0006-4971","issue":"15","journalAbbreviation":"Blood","page":"3383-3393","source":"Silverchair","title":"Regulation of dendritic cell development by GM-CSF: molecular control and implications for immune homeostasis and therapy","title-short":"Regulation of dendritic cell development by GM-CSF","volume":"119","author":[{"family":"Laar","given":"Lianne","non-dropping-particle":"van de"},{"family":"Coffer","given":"Paul J."},{"family":"Woltman","given":"Andrea M."}],"issued":{"date-parts":[["2012",4,12]]}}}],"schema":"https://github.com/citation-style-language/schema/raw/master/csl-citation.json"} </w:instrText>
      </w:r>
      <w:r>
        <w:fldChar w:fldCharType="separate"/>
      </w:r>
      <w:r w:rsidR="00EB5C47">
        <w:rPr>
          <w:noProof/>
        </w:rPr>
        <w:t>[44]</w:t>
      </w:r>
      <w:r>
        <w:fldChar w:fldCharType="end"/>
      </w:r>
      <w:r>
        <w:t>. An initial concentration of 20ng/mL GM-CSF it utilized on day 0 to promote DC development in vitro (</w:t>
      </w:r>
      <w:proofErr w:type="spellStart"/>
      <w:r>
        <w:t>BioLegend</w:t>
      </w:r>
      <w:proofErr w:type="spellEnd"/>
      <w:r>
        <w:t>, Cat#</w:t>
      </w:r>
      <w:r w:rsidRPr="0046781E">
        <w:t xml:space="preserve"> 576306</w:t>
      </w:r>
      <w:r>
        <w:t>). On day 3, 10mL of fresh RPMI + 20ng/mL GM-CSF med</w:t>
      </w:r>
      <w:r w:rsidR="0002659E">
        <w:t xml:space="preserve"> </w:t>
      </w:r>
      <w:proofErr w:type="spellStart"/>
      <w:r>
        <w:t>ia</w:t>
      </w:r>
      <w:proofErr w:type="spellEnd"/>
      <w:r>
        <w:t xml:space="preserve"> was added. On day 6 the media was fully changed and on day 7 the cells were extracted. Prior to stimulation, primary DC cells are present in the semi-adhere and non-adherent cell population; extraction of cells was facilitate by pipetting up and down, recovering the media, and centrifuging to pellet cells </w:t>
      </w:r>
      <w:r>
        <w:fldChar w:fldCharType="begin"/>
      </w:r>
      <w:r w:rsidR="00EB5C47">
        <w:instrText xml:space="preserve"> ADDIN ZOTERO_ITEM CSL_CITATION {"citationID":"87oj72p1","properties":{"formattedCitation":"[45]","plainCitation":"[45]","noteIndex":0},"citationItems":[{"id":1439,"uris":["http://zotero.org/users/13277427/items/VZK4QLV3"],"itemData":{"id":1439,"type":"article-journal","abstract":"Dendritic cells are highly specialized antigen-presenting cells (APC), which may be isolated or generated from human blood mononuclear cells. Although mature blood dendritic cells normally represent ~0.2% of human blood mononuclear cells, their frequency ...","container-title":"Current protocols in immunology / edited by John E. Coligan ... [et al.]","DOI":"10.1002/0471142735.im0732s99","language":"en","note":"ISBN: 9780471142737\npublisher: NIH Public Access\nPMID: 23129155","page":"Unit7.32","source":"www.ncbi.nlm.nih.gov","title":"ISOLATION AND GENERATION OF HUMAN DENDRITIC CELLS","volume":"0 7","author":[{"family":"Nair","given":"Smita"},{"family":"Archer","given":"Gerald E."},{"family":"Tedder","given":"Thomas F."}],"issued":{"date-parts":[["2012",11]]}}}],"schema":"https://github.com/citation-style-language/schema/raw/master/csl-citation.json"} </w:instrText>
      </w:r>
      <w:r>
        <w:fldChar w:fldCharType="separate"/>
      </w:r>
      <w:r w:rsidR="00EB5C47">
        <w:rPr>
          <w:noProof/>
        </w:rPr>
        <w:t>[45]</w:t>
      </w:r>
      <w:r>
        <w:fldChar w:fldCharType="end"/>
      </w:r>
      <w:r>
        <w:t xml:space="preserve">. The cells were when resuspended in RPMI + 5ng/mL GM-CSF and ready for use. </w:t>
      </w:r>
    </w:p>
    <w:p w14:paraId="60A7F7B9" w14:textId="77777777" w:rsidR="00A50A35" w:rsidRPr="00A43A48" w:rsidRDefault="00A50A35" w:rsidP="00A50A35"/>
    <w:p w14:paraId="26D768A6" w14:textId="3EBE3387" w:rsidR="00A50A35" w:rsidRDefault="0041556C" w:rsidP="00A50A35">
      <w:pPr>
        <w:pStyle w:val="Heading3"/>
      </w:pPr>
      <w:bookmarkStart w:id="23" w:name="_Toc165293352"/>
      <w:r>
        <w:t xml:space="preserve">3.3.2. </w:t>
      </w:r>
      <w:r w:rsidR="00A50A35">
        <w:t>Preparation of Lysates for Western Blot</w:t>
      </w:r>
      <w:bookmarkEnd w:id="23"/>
      <w:r w:rsidR="00A50A35">
        <w:t xml:space="preserve"> </w:t>
      </w:r>
    </w:p>
    <w:p w14:paraId="30D6661F" w14:textId="77777777" w:rsidR="00A50A35" w:rsidRDefault="00A50A35" w:rsidP="00A50A35">
      <w:pPr>
        <w:ind w:firstLine="720"/>
      </w:pPr>
      <w:r>
        <w:t>Western blot lysates were prepared using two different methods. The first method utilized was subcellular fractionation which yielded five lysates, three of which were used. Lysosomal isolation was used to derive the final lysate.</w:t>
      </w:r>
    </w:p>
    <w:p w14:paraId="2C18877C" w14:textId="35F53206" w:rsidR="00A50A35" w:rsidRDefault="00A50A35" w:rsidP="00A50A35">
      <w:r>
        <w:tab/>
      </w:r>
      <w:r w:rsidRPr="00EF6E1A">
        <w:t xml:space="preserve">Prior to fractionation, the BMDCs were harvested via pipetting up and down and collecting the semi adherent and suspended cells. The cells were then reseeded in 150mm well plates at a concentration of 1 million cells/ mL and stimulated with 8ug/mL of GC. The cells were then allowed to stimulate for 10 hours before using EDTA </w:t>
      </w:r>
      <w:r w:rsidR="0002659E">
        <w:t xml:space="preserve">(RPI, Cat# E14000-250.0) </w:t>
      </w:r>
      <w:r w:rsidRPr="00EF6E1A">
        <w:t>to collect the adherent cells to be used in the following protocols.</w:t>
      </w:r>
      <w:r>
        <w:t xml:space="preserve"> </w:t>
      </w:r>
    </w:p>
    <w:p w14:paraId="441259D1" w14:textId="77777777" w:rsidR="00A50A35" w:rsidRDefault="00A50A35" w:rsidP="00A50A35">
      <w:pPr>
        <w:ind w:firstLine="720"/>
      </w:pPr>
      <w:r>
        <w:t xml:space="preserve">The cellular fraction was performed using the </w:t>
      </w:r>
      <w:r w:rsidRPr="00EF6E1A">
        <w:rPr>
          <w:color w:val="000000" w:themeColor="text1"/>
        </w:rPr>
        <w:t xml:space="preserve">Subcellular Protein Fractionation Kit for Cultured Cells </w:t>
      </w:r>
      <w:r>
        <w:rPr>
          <w:color w:val="000000" w:themeColor="text1"/>
        </w:rPr>
        <w:t>(</w:t>
      </w:r>
      <w:proofErr w:type="spellStart"/>
      <w:r>
        <w:rPr>
          <w:color w:val="000000" w:themeColor="text1"/>
        </w:rPr>
        <w:t>T</w:t>
      </w:r>
      <w:r>
        <w:t>hermo</w:t>
      </w:r>
      <w:proofErr w:type="spellEnd"/>
      <w:r>
        <w:t xml:space="preserve"> Fisher, Cat#</w:t>
      </w:r>
      <w:r w:rsidRPr="00EF6E1A">
        <w:rPr>
          <w:color w:val="000000" w:themeColor="text1"/>
        </w:rPr>
        <w:t>78840</w:t>
      </w:r>
      <w:r>
        <w:rPr>
          <w:color w:val="000000" w:themeColor="text1"/>
        </w:rPr>
        <w:t>)</w:t>
      </w:r>
      <w:r>
        <w:t>. The kit produces five lysates where only three of the five lysates were utilized for the western blot. The procedure is as follows. First, 20-60</w:t>
      </w:r>
      <w:r w:rsidRPr="00D65E67">
        <w:t xml:space="preserve"> × 10</w:t>
      </w:r>
      <w:r w:rsidRPr="00D65E67">
        <w:rPr>
          <w:vertAlign w:val="superscript"/>
        </w:rPr>
        <w:t>6</w:t>
      </w:r>
      <w:r w:rsidRPr="00D65E67">
        <w:t xml:space="preserve"> </w:t>
      </w:r>
      <w:r>
        <w:lastRenderedPageBreak/>
        <w:t>BMDC were harvested post 10 hour stimulation with 8</w:t>
      </w:r>
      <w:r>
        <w:sym w:font="Symbol" w:char="F06D"/>
      </w:r>
      <w:r>
        <w:t>g/mL GC and pelleted. Ice cold c</w:t>
      </w:r>
      <w:r w:rsidRPr="00D65E67">
        <w:t xml:space="preserve">ytoplasmic </w:t>
      </w:r>
      <w:r>
        <w:t>e</w:t>
      </w:r>
      <w:r w:rsidRPr="00D65E67">
        <w:t xml:space="preserve">xtraction </w:t>
      </w:r>
      <w:r>
        <w:t>b</w:t>
      </w:r>
      <w:r w:rsidRPr="00D65E67">
        <w:t>uffer (CEB)</w:t>
      </w:r>
      <w:r>
        <w:t xml:space="preserve"> containing protease inhibitors was then added to the pellet and incubated for 10 minutes at 4</w:t>
      </w:r>
      <w:r>
        <w:sym w:font="Symbol" w:char="F0B0"/>
      </w:r>
      <w:r>
        <w:t xml:space="preserve">C with gentle mixing. The sample was then centrifuged at </w:t>
      </w:r>
      <w:r w:rsidRPr="00D65E67">
        <w:t>500g for 5 minutes</w:t>
      </w:r>
      <w:r>
        <w:t xml:space="preserve"> and the supernatant, containing the cells’ cytoplasmic contents, was then collected. Next, the ice cold </w:t>
      </w:r>
      <w:r w:rsidRPr="00D65E67">
        <w:t>membrane extraction buffer (MEB</w:t>
      </w:r>
      <w:r>
        <w:t>) containing protease inhibitors was then added to the pellet, vortexed for 5 seconds, and incubated for 10 minutes at 4</w:t>
      </w:r>
      <w:r>
        <w:sym w:font="Symbol" w:char="F0B0"/>
      </w:r>
      <w:r>
        <w:t>C with gentle mixing. The sample was then centrifuged at 3,000</w:t>
      </w:r>
      <w:r w:rsidRPr="00D65E67">
        <w:t>g for 5 minutes</w:t>
      </w:r>
      <w:r>
        <w:t xml:space="preserve"> and the supernatant, containing the cells’ membrane bound contents, was then collected. Ice cold </w:t>
      </w:r>
      <w:r w:rsidRPr="00D65E67">
        <w:t>nuclear extraction buffer (NEB)</w:t>
      </w:r>
      <w:r>
        <w:t xml:space="preserve"> containing protease inhibitors was then added to the pellet, vortexed on high for 15 seconds, and incubated for 30 minutes at 4</w:t>
      </w:r>
      <w:r>
        <w:sym w:font="Symbol" w:char="F0B0"/>
      </w:r>
      <w:r>
        <w:t>C with gentle mixing. The sample was then centrifuged at 5,000</w:t>
      </w:r>
      <w:r w:rsidRPr="00D65E67">
        <w:t>g for 5 minutes</w:t>
      </w:r>
      <w:r>
        <w:t xml:space="preserve"> and the supernatant, containing the cells’ soluble nuclear contents, was then collected. </w:t>
      </w:r>
      <w:proofErr w:type="gramStart"/>
      <w:r>
        <w:t>In order to</w:t>
      </w:r>
      <w:proofErr w:type="gramEnd"/>
      <w:r>
        <w:t xml:space="preserve"> collect the chromatin-bound nuclear extracts, 5</w:t>
      </w:r>
      <w:r w:rsidRPr="00D65E67">
        <w:t>μL of 100mM CaCl</w:t>
      </w:r>
      <w:r w:rsidRPr="00D65E67">
        <w:rPr>
          <w:vertAlign w:val="superscript"/>
        </w:rPr>
        <w:t>2</w:t>
      </w:r>
      <w:r w:rsidRPr="00D65E67">
        <w:t xml:space="preserve"> and 3μL of </w:t>
      </w:r>
      <w:r>
        <w:t>m</w:t>
      </w:r>
      <w:r w:rsidRPr="00D65E67">
        <w:t xml:space="preserve">icrococcal </w:t>
      </w:r>
      <w:r>
        <w:t>n</w:t>
      </w:r>
      <w:r w:rsidRPr="00D65E67">
        <w:t>uclease per 100μL of room temperature NEB</w:t>
      </w:r>
      <w:r>
        <w:t xml:space="preserve"> with protease inhibitors was used. This solution was added to the cell pellet, vortexed on high for 15 seconds, and incubated in a </w:t>
      </w:r>
      <w:r w:rsidRPr="00E405B1">
        <w:t xml:space="preserve">37°C </w:t>
      </w:r>
      <w:r>
        <w:t>bead</w:t>
      </w:r>
      <w:r w:rsidRPr="00E405B1">
        <w:t xml:space="preserve"> bath for 5 minutes</w:t>
      </w:r>
      <w:r>
        <w:t>. Post incubation, the sample was vortexed on high again for 15 seconds and centrifuged at 16,000</w:t>
      </w:r>
      <w:r w:rsidRPr="00D65E67">
        <w:t>g for 5 minutes</w:t>
      </w:r>
      <w:r>
        <w:t>; the supernatant was then collected. The last lysate was created derived using room temperature p</w:t>
      </w:r>
      <w:r w:rsidRPr="00E405B1">
        <w:t xml:space="preserve">ellet </w:t>
      </w:r>
      <w:r>
        <w:t>e</w:t>
      </w:r>
      <w:r w:rsidRPr="00E405B1">
        <w:t xml:space="preserve">xtraction </w:t>
      </w:r>
      <w:r>
        <w:t>b</w:t>
      </w:r>
      <w:r w:rsidRPr="00E405B1">
        <w:t>uffer (PEB)</w:t>
      </w:r>
      <w:r>
        <w:t xml:space="preserve"> containing protease inhibitors. The PEB solution was added to the sample pellet, vortexed on high for 15 seconds, and allowed to i</w:t>
      </w:r>
      <w:r w:rsidRPr="00E405B1">
        <w:t>ncubate at room temperature for 10 minutes</w:t>
      </w:r>
      <w:r>
        <w:t>. Following incubation, the sample was centrifuged at 16,000</w:t>
      </w:r>
      <w:r w:rsidRPr="00D65E67">
        <w:t>g for 5 minutes</w:t>
      </w:r>
      <w:r>
        <w:t>, and the supernatant, containing the nuclear cytoskeletal proteins, was collected. All the lysates were then stored at -80</w:t>
      </w:r>
      <w:r w:rsidRPr="00E405B1">
        <w:t>°C</w:t>
      </w:r>
      <w:r>
        <w:t xml:space="preserve"> to be later used in the western blot. </w:t>
      </w:r>
    </w:p>
    <w:p w14:paraId="473E6576" w14:textId="58512E2F" w:rsidR="00F46F49" w:rsidRDefault="00A50A35" w:rsidP="00F46F49">
      <w:pPr>
        <w:ind w:firstLine="720"/>
      </w:pPr>
      <w:r>
        <w:t xml:space="preserve">While the subcellular fractionation yields the membrane bound extracts it does not specifically isolate the lysosome: for this a lysosomal enrichment and isolation was used. The protocol and materials were derived from </w:t>
      </w:r>
      <w:r w:rsidRPr="0000662E">
        <w:rPr>
          <w:color w:val="000000" w:themeColor="text1"/>
        </w:rPr>
        <w:t xml:space="preserve">the Lysosome Enrichment Kit for Tissues and Cells </w:t>
      </w:r>
      <w:r>
        <w:t>(</w:t>
      </w:r>
      <w:proofErr w:type="spellStart"/>
      <w:r>
        <w:t>Thermo</w:t>
      </w:r>
      <w:proofErr w:type="spellEnd"/>
      <w:r>
        <w:t xml:space="preserve"> Fisher, Cat#</w:t>
      </w:r>
      <w:r w:rsidRPr="0000662E">
        <w:rPr>
          <w:color w:val="000000" w:themeColor="text1"/>
        </w:rPr>
        <w:t>89839</w:t>
      </w:r>
      <w:r>
        <w:rPr>
          <w:color w:val="000000" w:themeColor="text1"/>
        </w:rPr>
        <w:t>)</w:t>
      </w:r>
      <w:r>
        <w:t>. First, 150-200</w:t>
      </w:r>
      <w:r w:rsidRPr="00D65E67">
        <w:t xml:space="preserve"> × 10</w:t>
      </w:r>
      <w:r w:rsidRPr="00D65E67">
        <w:rPr>
          <w:vertAlign w:val="superscript"/>
        </w:rPr>
        <w:t>6</w:t>
      </w:r>
      <w:r w:rsidRPr="00D65E67">
        <w:t xml:space="preserve"> </w:t>
      </w:r>
      <w:r>
        <w:t>BMDCs were harvested post 10 hour stimulation of with 8</w:t>
      </w:r>
      <w:r>
        <w:sym w:font="Symbol" w:char="F06D"/>
      </w:r>
      <w:r>
        <w:t xml:space="preserve">g/mL GC and pelleted. Next, </w:t>
      </w:r>
      <w:r w:rsidRPr="00AF425D">
        <w:t>800μL of lysosome enrichment reagent A</w:t>
      </w:r>
      <w:r>
        <w:t xml:space="preserve"> supplemented with protease inhibitors was added to the cells and vortexed for 5 minutes</w:t>
      </w:r>
      <w:r w:rsidRPr="00AF425D">
        <w:t xml:space="preserve">. </w:t>
      </w:r>
      <w:r>
        <w:t xml:space="preserve">The solution was then allowed to incubate on ice for precisely 2 minutes then transferred to a </w:t>
      </w:r>
      <w:proofErr w:type="spellStart"/>
      <w:r>
        <w:t>dounce</w:t>
      </w:r>
      <w:proofErr w:type="spellEnd"/>
      <w:r>
        <w:t xml:space="preserve"> homogenizer. Approximately 30 strokes of the </w:t>
      </w:r>
      <w:proofErr w:type="spellStart"/>
      <w:r>
        <w:t>dounce</w:t>
      </w:r>
      <w:proofErr w:type="spellEnd"/>
      <w:r>
        <w:t xml:space="preserve"> homogenizer were performed on ice. Then </w:t>
      </w:r>
      <w:r w:rsidRPr="00AF425D">
        <w:t xml:space="preserve">800μL of lysosome enrichment reagent </w:t>
      </w:r>
      <w:r>
        <w:t>B supplemented with protease inhibitors was added to halt cell lysis. The solution was inverted several times to mix then c</w:t>
      </w:r>
      <w:r w:rsidRPr="00227FC9">
        <w:t>entrifuge</w:t>
      </w:r>
      <w:r>
        <w:t>d</w:t>
      </w:r>
      <w:r w:rsidRPr="00227FC9">
        <w:t xml:space="preserve"> at 500g for 10 minutes at 4°C</w:t>
      </w:r>
      <w:r>
        <w:t>. The supernatant was then collected and added to 500</w:t>
      </w:r>
      <w:r w:rsidRPr="00AF425D">
        <w:t>μL</w:t>
      </w:r>
      <w:r>
        <w:t xml:space="preserve"> </w:t>
      </w:r>
      <w:proofErr w:type="spellStart"/>
      <w:r w:rsidRPr="00227FC9">
        <w:t>OptiPrep</w:t>
      </w:r>
      <w:proofErr w:type="spellEnd"/>
      <w:r w:rsidRPr="00227FC9">
        <w:t xml:space="preserve"> Cell Separation Media to make a final concentration of 15% </w:t>
      </w:r>
      <w:proofErr w:type="spellStart"/>
      <w:r w:rsidRPr="00227FC9">
        <w:t>OptiPrep</w:t>
      </w:r>
      <w:proofErr w:type="spellEnd"/>
      <w:r w:rsidRPr="00227FC9">
        <w:t xml:space="preserve"> </w:t>
      </w:r>
      <w:r>
        <w:t>m</w:t>
      </w:r>
      <w:r w:rsidRPr="00227FC9">
        <w:t>edia</w:t>
      </w:r>
      <w:r>
        <w:t xml:space="preserve"> cell lysate solution. Using two 3.2mL </w:t>
      </w:r>
      <w:proofErr w:type="spellStart"/>
      <w:r>
        <w:t>t</w:t>
      </w:r>
      <w:r w:rsidRPr="006F531F">
        <w:t>hickwall</w:t>
      </w:r>
      <w:proofErr w:type="spellEnd"/>
      <w:r w:rsidRPr="006F531F">
        <w:t xml:space="preserve"> </w:t>
      </w:r>
      <w:r>
        <w:t>p</w:t>
      </w:r>
      <w:r w:rsidRPr="006F531F">
        <w:t xml:space="preserve">olypropylene </w:t>
      </w:r>
      <w:r>
        <w:t>t</w:t>
      </w:r>
      <w:r w:rsidRPr="006F531F">
        <w:t>ube</w:t>
      </w:r>
      <w:r>
        <w:t>s (Beck</w:t>
      </w:r>
      <w:r w:rsidR="00F46F49">
        <w:t>m</w:t>
      </w:r>
      <w:r>
        <w:t>an Coulter, Cat#</w:t>
      </w:r>
      <w:r w:rsidRPr="006F531F">
        <w:t>362333</w:t>
      </w:r>
      <w:r>
        <w:t xml:space="preserve">), a density gradient was then formed in according to descending concentration using the solutions found in </w:t>
      </w:r>
      <w:r w:rsidRPr="00070644">
        <w:rPr>
          <w:b/>
          <w:bCs/>
        </w:rPr>
        <w:t>Table 1</w:t>
      </w:r>
      <w:r>
        <w:t xml:space="preserve">. The cell lysate solution as then added to the top of a density gradient and ultracentrifuged </w:t>
      </w:r>
      <w:r w:rsidRPr="00227FC9">
        <w:t>145,000g for 2 hours at 4°C</w:t>
      </w:r>
      <w:r>
        <w:t xml:space="preserve">. </w:t>
      </w:r>
    </w:p>
    <w:p w14:paraId="47930093" w14:textId="77777777" w:rsidR="00646D67" w:rsidRDefault="00646D67" w:rsidP="00EA1377">
      <w:pPr>
        <w:ind w:firstLine="720"/>
      </w:pPr>
      <w:r>
        <w:t>Post centrifugation, several bands formed in the gradient. The top band, the top 600</w:t>
      </w:r>
      <w:r w:rsidRPr="00AF425D">
        <w:t>μL</w:t>
      </w:r>
      <w:r>
        <w:t xml:space="preserve"> was collected and 1mL of ice cold PBS was added. The solution was then vortexed for 10 seconds centrifuged at </w:t>
      </w:r>
      <w:r w:rsidRPr="006332F5">
        <w:t>1</w:t>
      </w:r>
      <w:r>
        <w:t>7</w:t>
      </w:r>
      <w:r w:rsidRPr="006332F5">
        <w:t>,000g for 30 minutes at 4°C</w:t>
      </w:r>
      <w:r>
        <w:t>. The supernatant was then removed, leaving behind the lysosomal pellet. To this pellet, 100</w:t>
      </w:r>
      <w:r w:rsidRPr="006332F5">
        <w:t xml:space="preserve"> </w:t>
      </w:r>
      <w:proofErr w:type="spellStart"/>
      <w:r w:rsidRPr="00AF425D">
        <w:t>μL</w:t>
      </w:r>
      <w:proofErr w:type="spellEnd"/>
      <w:r>
        <w:t xml:space="preserve"> of 1X RIPA buffer (Millipore Sigma, Cat#20-188) containing protease inhibitors was added and incubated at room temperature for </w:t>
      </w:r>
      <w:r>
        <w:lastRenderedPageBreak/>
        <w:t>10 minutes. The lysate was then stored at -80</w:t>
      </w:r>
      <w:r w:rsidRPr="00E405B1">
        <w:t>°C</w:t>
      </w:r>
      <w:r>
        <w:t xml:space="preserve"> to be later used as a lysate in the western blot. </w:t>
      </w:r>
      <w:r>
        <w:rPr>
          <w:b/>
          <w:bCs/>
        </w:rPr>
        <w:t>Figure 5</w:t>
      </w:r>
      <w:r>
        <w:t xml:space="preserve"> shows an overview of the procedure. </w:t>
      </w:r>
    </w:p>
    <w:p w14:paraId="411DC271" w14:textId="77777777" w:rsidR="00646D67" w:rsidRDefault="00646D67" w:rsidP="00F46F49">
      <w:pPr>
        <w:ind w:firstLine="720"/>
      </w:pPr>
    </w:p>
    <w:p w14:paraId="0072F7F9" w14:textId="77777777" w:rsidR="00F46F49" w:rsidRPr="00F46F49" w:rsidRDefault="00F46F49" w:rsidP="00F46F49">
      <w:pPr>
        <w:ind w:firstLine="720"/>
      </w:pPr>
    </w:p>
    <w:p w14:paraId="3045DE40" w14:textId="6872F2E9" w:rsidR="00A50A35" w:rsidRPr="00A72C13" w:rsidRDefault="00A50A35" w:rsidP="00E43955">
      <w:pPr>
        <w:rPr>
          <w:b/>
          <w:bCs/>
          <w:color w:val="000000" w:themeColor="text1"/>
        </w:rPr>
      </w:pPr>
      <w:bookmarkStart w:id="24" w:name="_Toc165201210"/>
      <w:r w:rsidRPr="00A72C13">
        <w:rPr>
          <w:b/>
          <w:bCs/>
          <w:color w:val="000000" w:themeColor="text1"/>
        </w:rPr>
        <w:t xml:space="preserve">Table </w:t>
      </w:r>
      <w:r w:rsidRPr="00A72C13">
        <w:rPr>
          <w:b/>
          <w:bCs/>
          <w:i/>
          <w:iCs/>
          <w:color w:val="000000" w:themeColor="text1"/>
        </w:rPr>
        <w:fldChar w:fldCharType="begin"/>
      </w:r>
      <w:r w:rsidRPr="00A72C13">
        <w:rPr>
          <w:b/>
          <w:bCs/>
          <w:color w:val="000000" w:themeColor="text1"/>
        </w:rPr>
        <w:instrText xml:space="preserve"> SEQ Table \* ARABIC </w:instrText>
      </w:r>
      <w:r w:rsidRPr="00A72C13">
        <w:rPr>
          <w:b/>
          <w:bCs/>
          <w:i/>
          <w:iCs/>
          <w:color w:val="000000" w:themeColor="text1"/>
        </w:rPr>
        <w:fldChar w:fldCharType="separate"/>
      </w:r>
      <w:r w:rsidR="0021770C">
        <w:rPr>
          <w:b/>
          <w:bCs/>
          <w:noProof/>
          <w:color w:val="000000" w:themeColor="text1"/>
        </w:rPr>
        <w:t>1</w:t>
      </w:r>
      <w:r w:rsidRPr="00A72C13">
        <w:rPr>
          <w:b/>
          <w:bCs/>
          <w:i/>
          <w:iCs/>
          <w:color w:val="000000" w:themeColor="text1"/>
        </w:rPr>
        <w:fldChar w:fldCharType="end"/>
      </w:r>
      <w:r w:rsidRPr="00A72C13">
        <w:rPr>
          <w:b/>
          <w:bCs/>
          <w:color w:val="000000" w:themeColor="text1"/>
        </w:rPr>
        <w:t xml:space="preserve">: </w:t>
      </w:r>
      <w:proofErr w:type="spellStart"/>
      <w:r w:rsidRPr="00A72C13">
        <w:rPr>
          <w:b/>
          <w:bCs/>
          <w:color w:val="000000" w:themeColor="text1"/>
        </w:rPr>
        <w:t>OptiPrep</w:t>
      </w:r>
      <w:proofErr w:type="spellEnd"/>
      <w:r w:rsidRPr="00A72C13">
        <w:rPr>
          <w:b/>
          <w:bCs/>
          <w:color w:val="000000" w:themeColor="text1"/>
        </w:rPr>
        <w:t xml:space="preserve"> Gradient Preparation</w:t>
      </w:r>
      <w:bookmarkEnd w:id="24"/>
    </w:p>
    <w:tbl>
      <w:tblPr>
        <w:tblStyle w:val="TableGrid"/>
        <w:tblW w:w="0" w:type="auto"/>
        <w:tblLayout w:type="fixed"/>
        <w:tblLook w:val="04A0" w:firstRow="1" w:lastRow="0" w:firstColumn="1" w:lastColumn="0" w:noHBand="0" w:noVBand="1"/>
      </w:tblPr>
      <w:tblGrid>
        <w:gridCol w:w="2200"/>
        <w:gridCol w:w="2381"/>
        <w:gridCol w:w="2293"/>
        <w:gridCol w:w="2157"/>
      </w:tblGrid>
      <w:tr w:rsidR="00A50A35" w14:paraId="761BC2B6" w14:textId="77777777" w:rsidTr="00E43955">
        <w:trPr>
          <w:trHeight w:val="571"/>
        </w:trPr>
        <w:tc>
          <w:tcPr>
            <w:tcW w:w="2200" w:type="dxa"/>
            <w:vAlign w:val="center"/>
          </w:tcPr>
          <w:p w14:paraId="036C1419" w14:textId="77777777" w:rsidR="00A50A35" w:rsidRDefault="00A50A35" w:rsidP="00E43955">
            <w:pPr>
              <w:jc w:val="center"/>
            </w:pPr>
            <w:r>
              <w:t>Gradient Percent (%)</w:t>
            </w:r>
          </w:p>
        </w:tc>
        <w:tc>
          <w:tcPr>
            <w:tcW w:w="2381" w:type="dxa"/>
            <w:vAlign w:val="center"/>
          </w:tcPr>
          <w:p w14:paraId="644BA433" w14:textId="77777777" w:rsidR="00A50A35" w:rsidRDefault="00A50A35" w:rsidP="00E43955">
            <w:pPr>
              <w:jc w:val="center"/>
            </w:pPr>
            <w:proofErr w:type="spellStart"/>
            <w:r w:rsidRPr="00227FC9">
              <w:t>OptiPrep</w:t>
            </w:r>
            <w:proofErr w:type="spellEnd"/>
            <w:r w:rsidRPr="00227FC9">
              <w:t xml:space="preserve"> Cell Separation Media</w:t>
            </w:r>
            <w:r>
              <w:t xml:space="preserve"> (</w:t>
            </w:r>
            <w:proofErr w:type="spellStart"/>
            <w:r w:rsidRPr="00AF425D">
              <w:t>μL</w:t>
            </w:r>
            <w:proofErr w:type="spellEnd"/>
            <w:r>
              <w:t>)</w:t>
            </w:r>
          </w:p>
        </w:tc>
        <w:tc>
          <w:tcPr>
            <w:tcW w:w="2293" w:type="dxa"/>
            <w:vAlign w:val="center"/>
          </w:tcPr>
          <w:p w14:paraId="44E71D4E" w14:textId="77777777" w:rsidR="00A50A35" w:rsidRDefault="00A50A35" w:rsidP="00E43955">
            <w:pPr>
              <w:jc w:val="center"/>
            </w:pPr>
            <w:r w:rsidRPr="00227FC9">
              <w:t>Gradient Dilution Buffer</w:t>
            </w:r>
            <w:r>
              <w:t xml:space="preserve"> (</w:t>
            </w:r>
            <w:proofErr w:type="spellStart"/>
            <w:r w:rsidRPr="00AF425D">
              <w:t>μL</w:t>
            </w:r>
            <w:proofErr w:type="spellEnd"/>
            <w:r>
              <w:t>)</w:t>
            </w:r>
          </w:p>
        </w:tc>
        <w:tc>
          <w:tcPr>
            <w:tcW w:w="2157" w:type="dxa"/>
            <w:vAlign w:val="center"/>
          </w:tcPr>
          <w:p w14:paraId="715C1EF0" w14:textId="77777777" w:rsidR="00A50A35" w:rsidRDefault="00A50A35" w:rsidP="00E43955">
            <w:pPr>
              <w:jc w:val="center"/>
            </w:pPr>
            <w:r>
              <w:t>Final Volume</w:t>
            </w:r>
          </w:p>
        </w:tc>
      </w:tr>
      <w:tr w:rsidR="00A50A35" w14:paraId="656D7789" w14:textId="77777777" w:rsidTr="00E43955">
        <w:trPr>
          <w:trHeight w:val="278"/>
        </w:trPr>
        <w:tc>
          <w:tcPr>
            <w:tcW w:w="2200" w:type="dxa"/>
            <w:vAlign w:val="center"/>
          </w:tcPr>
          <w:p w14:paraId="2209C51E" w14:textId="77777777" w:rsidR="00A50A35" w:rsidRDefault="00A50A35" w:rsidP="00E43955">
            <w:pPr>
              <w:jc w:val="center"/>
            </w:pPr>
            <w:r>
              <w:t>17</w:t>
            </w:r>
          </w:p>
        </w:tc>
        <w:tc>
          <w:tcPr>
            <w:tcW w:w="2381" w:type="dxa"/>
            <w:vAlign w:val="center"/>
          </w:tcPr>
          <w:p w14:paraId="6BDBD342" w14:textId="77777777" w:rsidR="00A50A35" w:rsidRDefault="00A50A35" w:rsidP="00E43955">
            <w:pPr>
              <w:jc w:val="center"/>
            </w:pPr>
            <w:r w:rsidRPr="00227FC9">
              <w:t>283.3</w:t>
            </w:r>
          </w:p>
        </w:tc>
        <w:tc>
          <w:tcPr>
            <w:tcW w:w="2293" w:type="dxa"/>
            <w:vAlign w:val="center"/>
          </w:tcPr>
          <w:p w14:paraId="6B447021" w14:textId="77777777" w:rsidR="00A50A35" w:rsidRDefault="00A50A35" w:rsidP="00E43955">
            <w:pPr>
              <w:jc w:val="center"/>
            </w:pPr>
            <w:r>
              <w:t>716.7</w:t>
            </w:r>
          </w:p>
        </w:tc>
        <w:tc>
          <w:tcPr>
            <w:tcW w:w="2157" w:type="dxa"/>
            <w:vAlign w:val="center"/>
          </w:tcPr>
          <w:p w14:paraId="3B8E8412" w14:textId="77777777" w:rsidR="00A50A35" w:rsidRDefault="00A50A35" w:rsidP="00E43955">
            <w:pPr>
              <w:jc w:val="center"/>
            </w:pPr>
            <w:r>
              <w:t>1000</w:t>
            </w:r>
          </w:p>
        </w:tc>
      </w:tr>
      <w:tr w:rsidR="00A50A35" w14:paraId="31CE33D9" w14:textId="77777777" w:rsidTr="00E43955">
        <w:trPr>
          <w:trHeight w:val="278"/>
        </w:trPr>
        <w:tc>
          <w:tcPr>
            <w:tcW w:w="2200" w:type="dxa"/>
            <w:vAlign w:val="center"/>
          </w:tcPr>
          <w:p w14:paraId="338FAA2C" w14:textId="77777777" w:rsidR="00A50A35" w:rsidRDefault="00A50A35" w:rsidP="00E43955">
            <w:pPr>
              <w:jc w:val="center"/>
            </w:pPr>
            <w:r>
              <w:t>20</w:t>
            </w:r>
          </w:p>
        </w:tc>
        <w:tc>
          <w:tcPr>
            <w:tcW w:w="2381" w:type="dxa"/>
            <w:vAlign w:val="center"/>
          </w:tcPr>
          <w:p w14:paraId="298026F0" w14:textId="77777777" w:rsidR="00A50A35" w:rsidRDefault="00A50A35" w:rsidP="00E43955">
            <w:pPr>
              <w:jc w:val="center"/>
            </w:pPr>
            <w:r>
              <w:t>333.3</w:t>
            </w:r>
          </w:p>
        </w:tc>
        <w:tc>
          <w:tcPr>
            <w:tcW w:w="2293" w:type="dxa"/>
            <w:vAlign w:val="center"/>
          </w:tcPr>
          <w:p w14:paraId="34628D92" w14:textId="77777777" w:rsidR="00A50A35" w:rsidRDefault="00A50A35" w:rsidP="00E43955">
            <w:pPr>
              <w:jc w:val="center"/>
            </w:pPr>
            <w:r>
              <w:t>666.7</w:t>
            </w:r>
          </w:p>
        </w:tc>
        <w:tc>
          <w:tcPr>
            <w:tcW w:w="2157" w:type="dxa"/>
            <w:vAlign w:val="center"/>
          </w:tcPr>
          <w:p w14:paraId="43DDDF59" w14:textId="77777777" w:rsidR="00A50A35" w:rsidRDefault="00A50A35" w:rsidP="00E43955">
            <w:pPr>
              <w:jc w:val="center"/>
            </w:pPr>
            <w:r>
              <w:t>1000</w:t>
            </w:r>
          </w:p>
        </w:tc>
      </w:tr>
      <w:tr w:rsidR="00A50A35" w14:paraId="6655FEE5" w14:textId="77777777" w:rsidTr="00E43955">
        <w:trPr>
          <w:trHeight w:val="278"/>
        </w:trPr>
        <w:tc>
          <w:tcPr>
            <w:tcW w:w="2200" w:type="dxa"/>
            <w:vAlign w:val="center"/>
          </w:tcPr>
          <w:p w14:paraId="4EA7CF7E" w14:textId="77777777" w:rsidR="00A50A35" w:rsidRDefault="00A50A35" w:rsidP="00E43955">
            <w:pPr>
              <w:jc w:val="center"/>
            </w:pPr>
            <w:r>
              <w:t>23</w:t>
            </w:r>
          </w:p>
        </w:tc>
        <w:tc>
          <w:tcPr>
            <w:tcW w:w="2381" w:type="dxa"/>
            <w:vAlign w:val="center"/>
          </w:tcPr>
          <w:p w14:paraId="16CFEF71" w14:textId="77777777" w:rsidR="00A50A35" w:rsidRDefault="00A50A35" w:rsidP="00E43955">
            <w:pPr>
              <w:jc w:val="center"/>
            </w:pPr>
            <w:r>
              <w:t>191.7</w:t>
            </w:r>
          </w:p>
        </w:tc>
        <w:tc>
          <w:tcPr>
            <w:tcW w:w="2293" w:type="dxa"/>
            <w:vAlign w:val="center"/>
          </w:tcPr>
          <w:p w14:paraId="42216D49" w14:textId="77777777" w:rsidR="00A50A35" w:rsidRDefault="00A50A35" w:rsidP="00E43955">
            <w:pPr>
              <w:jc w:val="center"/>
            </w:pPr>
            <w:r>
              <w:t>308.3</w:t>
            </w:r>
          </w:p>
        </w:tc>
        <w:tc>
          <w:tcPr>
            <w:tcW w:w="2157" w:type="dxa"/>
            <w:vAlign w:val="center"/>
          </w:tcPr>
          <w:p w14:paraId="176A5BF2" w14:textId="77777777" w:rsidR="00A50A35" w:rsidRDefault="00A50A35" w:rsidP="00E43955">
            <w:pPr>
              <w:jc w:val="center"/>
            </w:pPr>
            <w:r>
              <w:t>500</w:t>
            </w:r>
          </w:p>
        </w:tc>
      </w:tr>
      <w:tr w:rsidR="00A50A35" w14:paraId="3BB72CF0" w14:textId="77777777" w:rsidTr="00E43955">
        <w:trPr>
          <w:trHeight w:val="278"/>
        </w:trPr>
        <w:tc>
          <w:tcPr>
            <w:tcW w:w="2200" w:type="dxa"/>
            <w:vAlign w:val="center"/>
          </w:tcPr>
          <w:p w14:paraId="0C2088F0" w14:textId="77777777" w:rsidR="00A50A35" w:rsidRDefault="00A50A35" w:rsidP="00E43955">
            <w:pPr>
              <w:jc w:val="center"/>
            </w:pPr>
            <w:r>
              <w:t>27</w:t>
            </w:r>
          </w:p>
        </w:tc>
        <w:tc>
          <w:tcPr>
            <w:tcW w:w="2381" w:type="dxa"/>
            <w:vAlign w:val="center"/>
          </w:tcPr>
          <w:p w14:paraId="57320852" w14:textId="77777777" w:rsidR="00A50A35" w:rsidRDefault="00A50A35" w:rsidP="00E43955">
            <w:pPr>
              <w:jc w:val="center"/>
            </w:pPr>
            <w:r>
              <w:t>450</w:t>
            </w:r>
          </w:p>
        </w:tc>
        <w:tc>
          <w:tcPr>
            <w:tcW w:w="2293" w:type="dxa"/>
            <w:vAlign w:val="center"/>
          </w:tcPr>
          <w:p w14:paraId="35762747" w14:textId="77777777" w:rsidR="00A50A35" w:rsidRDefault="00A50A35" w:rsidP="00E43955">
            <w:pPr>
              <w:jc w:val="center"/>
            </w:pPr>
            <w:r>
              <w:t>550</w:t>
            </w:r>
          </w:p>
        </w:tc>
        <w:tc>
          <w:tcPr>
            <w:tcW w:w="2157" w:type="dxa"/>
            <w:vAlign w:val="center"/>
          </w:tcPr>
          <w:p w14:paraId="10CDA171" w14:textId="77777777" w:rsidR="00A50A35" w:rsidRDefault="00A50A35" w:rsidP="00E43955">
            <w:pPr>
              <w:jc w:val="center"/>
            </w:pPr>
            <w:r>
              <w:t>1000</w:t>
            </w:r>
          </w:p>
        </w:tc>
      </w:tr>
      <w:tr w:rsidR="00A50A35" w14:paraId="754E113C" w14:textId="77777777" w:rsidTr="00E43955">
        <w:trPr>
          <w:trHeight w:val="278"/>
        </w:trPr>
        <w:tc>
          <w:tcPr>
            <w:tcW w:w="2200" w:type="dxa"/>
            <w:vAlign w:val="center"/>
          </w:tcPr>
          <w:p w14:paraId="7D43D890" w14:textId="77777777" w:rsidR="00A50A35" w:rsidRDefault="00A50A35" w:rsidP="00E43955">
            <w:pPr>
              <w:jc w:val="center"/>
            </w:pPr>
            <w:r>
              <w:t>30</w:t>
            </w:r>
          </w:p>
        </w:tc>
        <w:tc>
          <w:tcPr>
            <w:tcW w:w="2381" w:type="dxa"/>
            <w:vAlign w:val="center"/>
          </w:tcPr>
          <w:p w14:paraId="2ED8034D" w14:textId="77777777" w:rsidR="00A50A35" w:rsidRDefault="00A50A35" w:rsidP="00E43955">
            <w:pPr>
              <w:jc w:val="center"/>
            </w:pPr>
            <w:r>
              <w:t>250</w:t>
            </w:r>
          </w:p>
        </w:tc>
        <w:tc>
          <w:tcPr>
            <w:tcW w:w="2293" w:type="dxa"/>
            <w:vAlign w:val="center"/>
          </w:tcPr>
          <w:p w14:paraId="30036589" w14:textId="77777777" w:rsidR="00A50A35" w:rsidRDefault="00A50A35" w:rsidP="00E43955">
            <w:pPr>
              <w:jc w:val="center"/>
            </w:pPr>
            <w:r>
              <w:t>250</w:t>
            </w:r>
          </w:p>
        </w:tc>
        <w:tc>
          <w:tcPr>
            <w:tcW w:w="2157" w:type="dxa"/>
            <w:vAlign w:val="center"/>
          </w:tcPr>
          <w:p w14:paraId="0D5AF3F7" w14:textId="77777777" w:rsidR="00A50A35" w:rsidRDefault="00A50A35" w:rsidP="00E43955">
            <w:pPr>
              <w:jc w:val="center"/>
            </w:pPr>
            <w:r>
              <w:t>500</w:t>
            </w:r>
          </w:p>
        </w:tc>
      </w:tr>
    </w:tbl>
    <w:p w14:paraId="4EF82814" w14:textId="77777777" w:rsidR="00A50A35" w:rsidRDefault="00A50A35" w:rsidP="00E43955">
      <w:pPr>
        <w:ind w:firstLine="720"/>
        <w:jc w:val="center"/>
      </w:pPr>
    </w:p>
    <w:p w14:paraId="4FBB9A4E" w14:textId="77777777" w:rsidR="00A50A35" w:rsidRDefault="00A50A35" w:rsidP="00E43955">
      <w:pPr>
        <w:jc w:val="center"/>
      </w:pPr>
    </w:p>
    <w:p w14:paraId="6B1B92A7" w14:textId="77777777" w:rsidR="00A50A35" w:rsidRDefault="00A50A35" w:rsidP="00A50A35">
      <w:pPr>
        <w:jc w:val="center"/>
      </w:pPr>
      <w:r>
        <w:rPr>
          <w:noProof/>
        </w:rPr>
        <w:drawing>
          <wp:inline distT="0" distB="0" distL="0" distR="0" wp14:anchorId="20C02DE1" wp14:editId="30E58A5F">
            <wp:extent cx="5642043" cy="3785630"/>
            <wp:effectExtent l="0" t="0" r="0" b="0"/>
            <wp:docPr id="1495745407" name="Picture 1" descr="A diagram of a test tub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745407" name="Picture 1" descr="A diagram of a test tube&#10;&#10;Description automatically generated"/>
                    <pic:cNvPicPr/>
                  </pic:nvPicPr>
                  <pic:blipFill rotWithShape="1">
                    <a:blip r:embed="rId16" cstate="print">
                      <a:extLst>
                        <a:ext uri="{28A0092B-C50C-407E-A947-70E740481C1C}">
                          <a14:useLocalDpi xmlns:a14="http://schemas.microsoft.com/office/drawing/2010/main" val="0"/>
                        </a:ext>
                      </a:extLst>
                    </a:blip>
                    <a:srcRect l="1772" r="1828" b="7599"/>
                    <a:stretch/>
                  </pic:blipFill>
                  <pic:spPr bwMode="auto">
                    <a:xfrm>
                      <a:off x="0" y="0"/>
                      <a:ext cx="5668130" cy="3803134"/>
                    </a:xfrm>
                    <a:prstGeom prst="rect">
                      <a:avLst/>
                    </a:prstGeom>
                    <a:ln>
                      <a:noFill/>
                    </a:ln>
                    <a:extLst>
                      <a:ext uri="{53640926-AAD7-44D8-BBD7-CCE9431645EC}">
                        <a14:shadowObscured xmlns:a14="http://schemas.microsoft.com/office/drawing/2010/main"/>
                      </a:ext>
                    </a:extLst>
                  </pic:spPr>
                </pic:pic>
              </a:graphicData>
            </a:graphic>
          </wp:inline>
        </w:drawing>
      </w:r>
    </w:p>
    <w:p w14:paraId="1BD5F539" w14:textId="31291066" w:rsidR="00A50A35" w:rsidRDefault="00A50A35" w:rsidP="001D4EBC">
      <w:pPr>
        <w:pStyle w:val="Caption"/>
        <w:jc w:val="both"/>
        <w:rPr>
          <w:i w:val="0"/>
          <w:iCs w:val="0"/>
          <w:color w:val="000000" w:themeColor="text1"/>
          <w:sz w:val="20"/>
          <w:szCs w:val="20"/>
        </w:rPr>
      </w:pPr>
      <w:bookmarkStart w:id="25" w:name="_Toc165201224"/>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5</w:t>
      </w:r>
      <w:r w:rsidRPr="001D4EBC">
        <w:rPr>
          <w:b/>
          <w:bCs/>
          <w:i w:val="0"/>
          <w:iCs w:val="0"/>
          <w:color w:val="000000" w:themeColor="text1"/>
          <w:sz w:val="20"/>
          <w:szCs w:val="20"/>
        </w:rPr>
        <w:fldChar w:fldCharType="end"/>
      </w:r>
      <w:r w:rsidRPr="001D4EBC">
        <w:rPr>
          <w:b/>
          <w:bCs/>
          <w:i w:val="0"/>
          <w:iCs w:val="0"/>
          <w:color w:val="000000" w:themeColor="text1"/>
          <w:sz w:val="20"/>
          <w:szCs w:val="20"/>
        </w:rPr>
        <w:t xml:space="preserve">: </w:t>
      </w:r>
      <w:r w:rsidR="001D4EBC" w:rsidRPr="001D4EBC">
        <w:rPr>
          <w:b/>
          <w:bCs/>
          <w:i w:val="0"/>
          <w:iCs w:val="0"/>
          <w:color w:val="000000" w:themeColor="text1"/>
          <w:sz w:val="20"/>
          <w:szCs w:val="20"/>
        </w:rPr>
        <w:t xml:space="preserve">Lysosomal isolation procedures. </w:t>
      </w:r>
      <w:r w:rsidRPr="001D4EBC">
        <w:rPr>
          <w:i w:val="0"/>
          <w:iCs w:val="0"/>
          <w:color w:val="000000" w:themeColor="text1"/>
          <w:sz w:val="20"/>
          <w:szCs w:val="20"/>
        </w:rPr>
        <w:t xml:space="preserve">The figure above depicts the process of isolating the lysosome from the primary dendritic cells. </w:t>
      </w:r>
      <w:r w:rsidR="001D4EBC" w:rsidRPr="001D4EBC">
        <w:rPr>
          <w:i w:val="0"/>
          <w:iCs w:val="0"/>
          <w:color w:val="000000" w:themeColor="text1"/>
          <w:sz w:val="20"/>
          <w:szCs w:val="20"/>
        </w:rPr>
        <w:t xml:space="preserve">Overview the steps of adding lysis buffer to the cell pellet, using </w:t>
      </w:r>
      <w:proofErr w:type="spellStart"/>
      <w:r w:rsidR="001D4EBC" w:rsidRPr="001D4EBC">
        <w:rPr>
          <w:i w:val="0"/>
          <w:iCs w:val="0"/>
          <w:color w:val="000000" w:themeColor="text1"/>
          <w:sz w:val="20"/>
          <w:szCs w:val="20"/>
        </w:rPr>
        <w:t>dounce</w:t>
      </w:r>
      <w:proofErr w:type="spellEnd"/>
      <w:r w:rsidR="001D4EBC" w:rsidRPr="001D4EBC">
        <w:rPr>
          <w:i w:val="0"/>
          <w:iCs w:val="0"/>
          <w:color w:val="000000" w:themeColor="text1"/>
          <w:sz w:val="20"/>
          <w:szCs w:val="20"/>
        </w:rPr>
        <w:t xml:space="preserve"> homogenization as physical disruptions, adding the solution to a density gradient, and isolating the lysosomal band using ultracentrifugation.</w:t>
      </w:r>
      <w:bookmarkEnd w:id="25"/>
      <w:r w:rsidR="001D4EBC" w:rsidRPr="001D4EBC">
        <w:rPr>
          <w:i w:val="0"/>
          <w:iCs w:val="0"/>
          <w:color w:val="000000" w:themeColor="text1"/>
          <w:sz w:val="20"/>
          <w:szCs w:val="20"/>
        </w:rPr>
        <w:t xml:space="preserve"> </w:t>
      </w:r>
    </w:p>
    <w:p w14:paraId="362DF50F" w14:textId="6FE17ED2" w:rsidR="00AC5074" w:rsidRPr="00AC5074" w:rsidRDefault="00AC5074" w:rsidP="00AC5074">
      <w:r>
        <w:t xml:space="preserve">Optimization of lysate preparation can be found in </w:t>
      </w:r>
      <w:r>
        <w:rPr>
          <w:b/>
          <w:bCs/>
        </w:rPr>
        <w:t>Appendix C</w:t>
      </w:r>
      <w:r>
        <w:t>.</w:t>
      </w:r>
      <w:r>
        <w:rPr>
          <w:b/>
          <w:bCs/>
        </w:rPr>
        <w:t xml:space="preserve"> </w:t>
      </w:r>
      <w:r>
        <w:t xml:space="preserve"> </w:t>
      </w:r>
    </w:p>
    <w:p w14:paraId="4E874D45" w14:textId="5C36C727" w:rsidR="00A50A35" w:rsidRDefault="0041556C" w:rsidP="00A50A35">
      <w:pPr>
        <w:pStyle w:val="Heading3"/>
      </w:pPr>
      <w:bookmarkStart w:id="26" w:name="_Toc165293353"/>
      <w:r>
        <w:t>3.3.</w:t>
      </w:r>
      <w:r w:rsidR="008F53E3">
        <w:t>3</w:t>
      </w:r>
      <w:r>
        <w:t xml:space="preserve">. </w:t>
      </w:r>
      <w:r w:rsidR="00A50A35" w:rsidRPr="009D1BDB">
        <w:t>Western Blot</w:t>
      </w:r>
      <w:bookmarkEnd w:id="26"/>
      <w:r w:rsidR="00A50A35">
        <w:t xml:space="preserve"> </w:t>
      </w:r>
    </w:p>
    <w:p w14:paraId="355A9F39" w14:textId="199E4655" w:rsidR="00351BF0" w:rsidRDefault="00351BF0" w:rsidP="003139B6">
      <w:pPr>
        <w:ind w:firstLine="720"/>
      </w:pPr>
      <w:r w:rsidRPr="00351BF0">
        <w:t xml:space="preserve">Western blotting separates proteins based on their molecular weight through gel electrophoresis, followed by their transfer onto a membrane surface. Subsequently, the membrane is probed with specific antibodies that bind exclusively to the target protein of </w:t>
      </w:r>
      <w:r w:rsidRPr="00351BF0">
        <w:lastRenderedPageBreak/>
        <w:t xml:space="preserve">interest, in this case STING. Additionally, housekeeping antibodies were utilized to confirm successful cellular fractionation within the lysates. Housekeeping proteins are controls within the procedure serving to confirm successful lysate isolations and normalize data during analysis. House-keeping proteins are used as biological controls for WB because they are constitutively expressed in different sub-cellular organelles. Antibodies were conjugated with HRP for detection via the </w:t>
      </w:r>
      <w:r w:rsidRPr="00624447">
        <w:rPr>
          <w:color w:val="000000" w:themeColor="text1"/>
        </w:rPr>
        <w:t>Azure 600 Western Blot Imager</w:t>
      </w:r>
      <w:r w:rsidRPr="00351BF0">
        <w:t>.</w:t>
      </w:r>
      <w:r>
        <w:t xml:space="preserve"> </w:t>
      </w:r>
    </w:p>
    <w:p w14:paraId="37AC3E23" w14:textId="38A45594" w:rsidR="00A50A35" w:rsidRDefault="00A50A35" w:rsidP="00A50A35">
      <w:pPr>
        <w:ind w:firstLine="720"/>
      </w:pPr>
      <w:r>
        <w:t>The lysates used for the western blot include three of the five lysates extracted from the subcellular fractionation and the lysate obtained from the lysosomal isolation</w:t>
      </w:r>
      <w:r w:rsidR="008F53E3">
        <w:t xml:space="preserve"> (seen above in chapter 3.3.2)</w:t>
      </w:r>
      <w:r>
        <w:t xml:space="preserve">. The three lysates used from the subcellular fractionation include the cytoplasmic contents, the membrane bound contents, and the soluble nuclear extracts. </w:t>
      </w:r>
      <w:r w:rsidRPr="00295DB5">
        <w:rPr>
          <w:b/>
          <w:bCs/>
        </w:rPr>
        <w:t xml:space="preserve">Figure </w:t>
      </w:r>
      <w:r w:rsidR="00C37A69">
        <w:rPr>
          <w:b/>
          <w:bCs/>
        </w:rPr>
        <w:t>6</w:t>
      </w:r>
      <w:r>
        <w:t xml:space="preserve"> depicts the lysates analyzed through western blotting. </w:t>
      </w:r>
    </w:p>
    <w:p w14:paraId="65D89808" w14:textId="77777777" w:rsidR="00A50A35" w:rsidRDefault="00A50A35" w:rsidP="003831EE">
      <w:pPr>
        <w:jc w:val="center"/>
      </w:pPr>
      <w:r>
        <w:rPr>
          <w:noProof/>
        </w:rPr>
        <w:drawing>
          <wp:inline distT="0" distB="0" distL="0" distR="0" wp14:anchorId="6E55F410" wp14:editId="743846FD">
            <wp:extent cx="5548745" cy="2696295"/>
            <wp:effectExtent l="0" t="0" r="0" b="0"/>
            <wp:docPr id="1462480930" name="Picture 2" descr="A group of test tubes with different colored liquid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480930" name="Picture 2" descr="A group of test tubes with different colored liquids&#10;&#10;Description automatically generated with medium confidence"/>
                    <pic:cNvPicPr/>
                  </pic:nvPicPr>
                  <pic:blipFill rotWithShape="1">
                    <a:blip r:embed="rId17" cstate="print">
                      <a:extLst>
                        <a:ext uri="{28A0092B-C50C-407E-A947-70E740481C1C}">
                          <a14:useLocalDpi xmlns:a14="http://schemas.microsoft.com/office/drawing/2010/main" val="0"/>
                        </a:ext>
                      </a:extLst>
                    </a:blip>
                    <a:srcRect b="30582"/>
                    <a:stretch/>
                  </pic:blipFill>
                  <pic:spPr bwMode="auto">
                    <a:xfrm>
                      <a:off x="0" y="0"/>
                      <a:ext cx="5571249" cy="2707230"/>
                    </a:xfrm>
                    <a:prstGeom prst="rect">
                      <a:avLst/>
                    </a:prstGeom>
                    <a:ln>
                      <a:noFill/>
                    </a:ln>
                    <a:extLst>
                      <a:ext uri="{53640926-AAD7-44D8-BBD7-CCE9431645EC}">
                        <a14:shadowObscured xmlns:a14="http://schemas.microsoft.com/office/drawing/2010/main"/>
                      </a:ext>
                    </a:extLst>
                  </pic:spPr>
                </pic:pic>
              </a:graphicData>
            </a:graphic>
          </wp:inline>
        </w:drawing>
      </w:r>
    </w:p>
    <w:p w14:paraId="414D6A82" w14:textId="100A638C" w:rsidR="00A50A35" w:rsidRPr="001D4EBC" w:rsidRDefault="00AA697F" w:rsidP="001D4EBC">
      <w:pPr>
        <w:pStyle w:val="Caption"/>
        <w:jc w:val="both"/>
        <w:rPr>
          <w:i w:val="0"/>
          <w:iCs w:val="0"/>
          <w:color w:val="000000" w:themeColor="text1"/>
          <w:sz w:val="20"/>
          <w:szCs w:val="20"/>
        </w:rPr>
      </w:pPr>
      <w:bookmarkStart w:id="27" w:name="_Toc165201225"/>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6</w:t>
      </w:r>
      <w:r w:rsidRPr="001D4EBC">
        <w:rPr>
          <w:b/>
          <w:bCs/>
          <w:i w:val="0"/>
          <w:iCs w:val="0"/>
          <w:color w:val="000000" w:themeColor="text1"/>
          <w:sz w:val="20"/>
          <w:szCs w:val="20"/>
        </w:rPr>
        <w:fldChar w:fldCharType="end"/>
      </w:r>
      <w:r w:rsidR="00A50A35" w:rsidRPr="001D4EBC">
        <w:rPr>
          <w:b/>
          <w:bCs/>
          <w:i w:val="0"/>
          <w:iCs w:val="0"/>
          <w:color w:val="000000" w:themeColor="text1"/>
          <w:sz w:val="20"/>
          <w:szCs w:val="20"/>
        </w:rPr>
        <w:t xml:space="preserve">: </w:t>
      </w:r>
      <w:r w:rsidR="001D4EBC" w:rsidRPr="001D4EBC">
        <w:rPr>
          <w:b/>
          <w:bCs/>
          <w:i w:val="0"/>
          <w:iCs w:val="0"/>
          <w:color w:val="000000" w:themeColor="text1"/>
          <w:sz w:val="20"/>
          <w:szCs w:val="20"/>
        </w:rPr>
        <w:t>L</w:t>
      </w:r>
      <w:r w:rsidR="00A50A35" w:rsidRPr="001D4EBC">
        <w:rPr>
          <w:b/>
          <w:bCs/>
          <w:i w:val="0"/>
          <w:iCs w:val="0"/>
          <w:color w:val="000000" w:themeColor="text1"/>
          <w:sz w:val="20"/>
          <w:szCs w:val="20"/>
        </w:rPr>
        <w:t>ysates utilized within the western blot.</w:t>
      </w:r>
      <w:r w:rsidR="00A50A35" w:rsidRPr="001D4EBC">
        <w:rPr>
          <w:i w:val="0"/>
          <w:iCs w:val="0"/>
          <w:color w:val="000000" w:themeColor="text1"/>
          <w:sz w:val="20"/>
          <w:szCs w:val="20"/>
        </w:rPr>
        <w:t xml:space="preserve"> Three out of five lysates created from the subcellular fractionation was used and the final lysate was derived from a lysosomal isolation. Within the subcellular fractionation: CEB= cytoplasmic extraction buffer, MEB= membrane extraction buffer, NEB= nuclear extraction buffer, NEB+ </w:t>
      </w:r>
      <w:proofErr w:type="spellStart"/>
      <w:r w:rsidR="00A50A35" w:rsidRPr="001D4EBC">
        <w:rPr>
          <w:i w:val="0"/>
          <w:iCs w:val="0"/>
          <w:color w:val="000000" w:themeColor="text1"/>
          <w:sz w:val="20"/>
          <w:szCs w:val="20"/>
        </w:rPr>
        <w:t>MNase</w:t>
      </w:r>
      <w:proofErr w:type="spellEnd"/>
      <w:r w:rsidR="00A50A35" w:rsidRPr="001D4EBC">
        <w:rPr>
          <w:i w:val="0"/>
          <w:iCs w:val="0"/>
          <w:color w:val="000000" w:themeColor="text1"/>
          <w:sz w:val="20"/>
          <w:szCs w:val="20"/>
        </w:rPr>
        <w:t xml:space="preserve">= nuclear extraction buffer + micrococcal nuclease (chromatin-bound fractionation), and PEB= pellet extraction buffer (cytoskeletal proteins). The lysates derived from the NEB + </w:t>
      </w:r>
      <w:proofErr w:type="spellStart"/>
      <w:r w:rsidR="00A50A35" w:rsidRPr="001D4EBC">
        <w:rPr>
          <w:i w:val="0"/>
          <w:iCs w:val="0"/>
          <w:color w:val="000000" w:themeColor="text1"/>
          <w:sz w:val="20"/>
          <w:szCs w:val="20"/>
        </w:rPr>
        <w:t>NMase</w:t>
      </w:r>
      <w:proofErr w:type="spellEnd"/>
      <w:r w:rsidR="00A50A35" w:rsidRPr="001D4EBC">
        <w:rPr>
          <w:i w:val="0"/>
          <w:iCs w:val="0"/>
          <w:color w:val="000000" w:themeColor="text1"/>
          <w:sz w:val="20"/>
          <w:szCs w:val="20"/>
        </w:rPr>
        <w:t xml:space="preserve"> and PEB were not utilized within the western blot.</w:t>
      </w:r>
      <w:bookmarkEnd w:id="27"/>
      <w:r w:rsidR="00A50A35" w:rsidRPr="001D4EBC">
        <w:rPr>
          <w:i w:val="0"/>
          <w:iCs w:val="0"/>
          <w:color w:val="000000" w:themeColor="text1"/>
          <w:sz w:val="20"/>
          <w:szCs w:val="20"/>
        </w:rPr>
        <w:t xml:space="preserve"> </w:t>
      </w:r>
    </w:p>
    <w:p w14:paraId="51FBE3E1" w14:textId="18E42A6E" w:rsidR="00A50A35" w:rsidRDefault="00A50A35" w:rsidP="00A50A35">
      <w:r>
        <w:tab/>
        <w:t xml:space="preserve">Prior to running the western blot, all lysates were quantified using the </w:t>
      </w:r>
      <w:r w:rsidRPr="008F53E3">
        <w:rPr>
          <w:color w:val="000000" w:themeColor="text1"/>
        </w:rPr>
        <w:t xml:space="preserve">pierce BCA protein assay kit </w:t>
      </w:r>
      <w:r w:rsidR="008F53E3" w:rsidRPr="008F53E3">
        <w:rPr>
          <w:color w:val="000000" w:themeColor="text1"/>
        </w:rPr>
        <w:t>(</w:t>
      </w:r>
      <w:proofErr w:type="spellStart"/>
      <w:r w:rsidR="008F53E3" w:rsidRPr="008F53E3">
        <w:rPr>
          <w:color w:val="000000" w:themeColor="text1"/>
        </w:rPr>
        <w:t>Thermo</w:t>
      </w:r>
      <w:proofErr w:type="spellEnd"/>
      <w:r w:rsidR="008F53E3" w:rsidRPr="008F53E3">
        <w:rPr>
          <w:color w:val="000000" w:themeColor="text1"/>
        </w:rPr>
        <w:t xml:space="preserve"> Fisher, Cat#23227)</w:t>
      </w:r>
      <w:r w:rsidRPr="0000662E">
        <w:rPr>
          <w:color w:val="FF0000"/>
        </w:rPr>
        <w:t xml:space="preserve"> </w:t>
      </w:r>
      <w:r>
        <w:t xml:space="preserve">and then adjusted to a final concentration of </w:t>
      </w:r>
      <w:r w:rsidRPr="00295DB5">
        <w:t>0.5-0.75μg/</w:t>
      </w:r>
      <w:proofErr w:type="spellStart"/>
      <w:r w:rsidRPr="00295DB5">
        <w:t>μL</w:t>
      </w:r>
      <w:proofErr w:type="spellEnd"/>
      <w:r w:rsidRPr="00295DB5">
        <w:t>,</w:t>
      </w:r>
      <w:r>
        <w:t xml:space="preserve"> final concentration being dependent on starting lysate concentration. The BCA was conducted as follows. The standards were created as seen in </w:t>
      </w:r>
      <w:r w:rsidRPr="00295DB5">
        <w:rPr>
          <w:b/>
          <w:bCs/>
        </w:rPr>
        <w:t>Table 2</w:t>
      </w:r>
      <w:r>
        <w:t xml:space="preserve"> using the provided stock solution of Albumin and 1X RIPA lysis buffer. The BCA working reagent</w:t>
      </w:r>
      <w:r w:rsidR="00D77C72">
        <w:t xml:space="preserve"> (WR)</w:t>
      </w:r>
      <w:r>
        <w:t xml:space="preserve"> was prepared at a </w:t>
      </w:r>
      <w:r w:rsidRPr="002D1B58">
        <w:t xml:space="preserve">50:1 </w:t>
      </w:r>
      <w:r>
        <w:t xml:space="preserve">ration </w:t>
      </w:r>
      <w:r w:rsidRPr="002D1B58">
        <w:t xml:space="preserve">Reagent </w:t>
      </w:r>
      <w:proofErr w:type="gramStart"/>
      <w:r w:rsidRPr="002D1B58">
        <w:t>A:B</w:t>
      </w:r>
      <w:proofErr w:type="gramEnd"/>
      <w:r w:rsidRPr="002D1B58">
        <w:t xml:space="preserve"> </w:t>
      </w:r>
      <w:r>
        <w:t>using the following formula:</w:t>
      </w:r>
    </w:p>
    <w:p w14:paraId="0CB49534" w14:textId="77777777" w:rsidR="00D77C72" w:rsidRDefault="00D77C72" w:rsidP="00A50A35"/>
    <w:p w14:paraId="573F1A51" w14:textId="1B19BF83" w:rsidR="00D77C72" w:rsidRDefault="00000000" w:rsidP="00A50A35">
      <m:oMathPara>
        <m:oMath>
          <m:d>
            <m:dPr>
              <m:ctrlPr>
                <w:rPr>
                  <w:rFonts w:ascii="Cambria Math" w:hAnsi="Cambria Math"/>
                  <w:i/>
                </w:rPr>
              </m:ctrlPr>
            </m:dPr>
            <m:e>
              <m:r>
                <w:rPr>
                  <w:rFonts w:ascii="Cambria Math" w:hAnsi="Cambria Math"/>
                </w:rPr>
                <m:t>9 standards+# unknowns</m:t>
              </m:r>
            </m:e>
          </m:d>
          <m:r>
            <w:rPr>
              <w:rFonts w:ascii="Cambria Math" w:hAnsi="Cambria Math"/>
            </w:rPr>
            <m:t>× 2 replicates × 200μL=WR total volume (μL)</m:t>
          </m:r>
        </m:oMath>
      </m:oMathPara>
    </w:p>
    <w:p w14:paraId="731A499A" w14:textId="77777777" w:rsidR="00A50A35" w:rsidRDefault="00A50A35" w:rsidP="00D77C72"/>
    <w:p w14:paraId="528696AD" w14:textId="77777777" w:rsidR="00A50A35" w:rsidRDefault="00A50A35" w:rsidP="00A50A35">
      <w:pPr>
        <w:ind w:firstLine="720"/>
      </w:pPr>
      <w:r>
        <w:t>The samples were then plated on a flat bottom well plate using 10</w:t>
      </w:r>
      <w:r w:rsidRPr="002D1B58">
        <w:t xml:space="preserve"> </w:t>
      </w:r>
      <w:proofErr w:type="spellStart"/>
      <w:r w:rsidRPr="00AF425D">
        <w:t>μ</w:t>
      </w:r>
      <w:r>
        <w:t>L</w:t>
      </w:r>
      <w:proofErr w:type="spellEnd"/>
      <w:r>
        <w:t xml:space="preserve"> of each sample/ standard and two replicates. The plate was then placed on the shaker for 30 seconds then allowed to incubate at 37</w:t>
      </w:r>
      <w:r w:rsidRPr="006332F5">
        <w:t>°C</w:t>
      </w:r>
      <w:r>
        <w:t xml:space="preserve"> for 30 minutes. Post incubation, the plate was allowed to cool to room temperature before the absorbance was read at 562nm on a plate reader. The results </w:t>
      </w:r>
      <w:r>
        <w:lastRenderedPageBreak/>
        <w:t xml:space="preserve">were then analyzed through GraphPad Prism where a working range 125–2000 </w:t>
      </w:r>
      <w:proofErr w:type="spellStart"/>
      <w:r>
        <w:t>μg</w:t>
      </w:r>
      <w:proofErr w:type="spellEnd"/>
      <w:r>
        <w:t>/mL was used for the assay.</w:t>
      </w:r>
    </w:p>
    <w:p w14:paraId="104F3CBF" w14:textId="77777777" w:rsidR="00A50A35" w:rsidRDefault="00A50A35" w:rsidP="00A50A35">
      <w:r>
        <w:t xml:space="preserve"> </w:t>
      </w:r>
    </w:p>
    <w:p w14:paraId="4ADA3351" w14:textId="635A7739" w:rsidR="00A50A35" w:rsidRPr="001D4EBC" w:rsidRDefault="00A50A35" w:rsidP="00A50A35">
      <w:pPr>
        <w:pStyle w:val="Caption"/>
        <w:rPr>
          <w:b/>
          <w:bCs/>
          <w:i w:val="0"/>
          <w:iCs w:val="0"/>
          <w:color w:val="000000" w:themeColor="text1"/>
          <w:sz w:val="24"/>
          <w:szCs w:val="24"/>
        </w:rPr>
      </w:pPr>
      <w:bookmarkStart w:id="28" w:name="_Toc165201211"/>
      <w:r w:rsidRPr="001D4EBC">
        <w:rPr>
          <w:b/>
          <w:bCs/>
          <w:i w:val="0"/>
          <w:iCs w:val="0"/>
          <w:color w:val="000000" w:themeColor="text1"/>
          <w:sz w:val="24"/>
          <w:szCs w:val="24"/>
        </w:rPr>
        <w:t xml:space="preserve">Table </w:t>
      </w:r>
      <w:r w:rsidRPr="001D4EBC">
        <w:rPr>
          <w:b/>
          <w:bCs/>
          <w:i w:val="0"/>
          <w:iCs w:val="0"/>
          <w:color w:val="000000" w:themeColor="text1"/>
          <w:sz w:val="24"/>
          <w:szCs w:val="24"/>
        </w:rPr>
        <w:fldChar w:fldCharType="begin"/>
      </w:r>
      <w:r w:rsidRPr="001D4EBC">
        <w:rPr>
          <w:b/>
          <w:bCs/>
          <w:i w:val="0"/>
          <w:iCs w:val="0"/>
          <w:color w:val="000000" w:themeColor="text1"/>
          <w:sz w:val="24"/>
          <w:szCs w:val="24"/>
        </w:rPr>
        <w:instrText xml:space="preserve"> SEQ Table \* ARABIC </w:instrText>
      </w:r>
      <w:r w:rsidRPr="001D4EBC">
        <w:rPr>
          <w:b/>
          <w:bCs/>
          <w:i w:val="0"/>
          <w:iCs w:val="0"/>
          <w:color w:val="000000" w:themeColor="text1"/>
          <w:sz w:val="24"/>
          <w:szCs w:val="24"/>
        </w:rPr>
        <w:fldChar w:fldCharType="separate"/>
      </w:r>
      <w:r w:rsidR="0021770C">
        <w:rPr>
          <w:b/>
          <w:bCs/>
          <w:i w:val="0"/>
          <w:iCs w:val="0"/>
          <w:noProof/>
          <w:color w:val="000000" w:themeColor="text1"/>
          <w:sz w:val="24"/>
          <w:szCs w:val="24"/>
        </w:rPr>
        <w:t>2</w:t>
      </w:r>
      <w:r w:rsidRPr="001D4EBC">
        <w:rPr>
          <w:b/>
          <w:bCs/>
          <w:i w:val="0"/>
          <w:iCs w:val="0"/>
          <w:color w:val="000000" w:themeColor="text1"/>
          <w:sz w:val="24"/>
          <w:szCs w:val="24"/>
        </w:rPr>
        <w:fldChar w:fldCharType="end"/>
      </w:r>
      <w:r w:rsidRPr="001D4EBC">
        <w:rPr>
          <w:b/>
          <w:bCs/>
          <w:i w:val="0"/>
          <w:iCs w:val="0"/>
          <w:color w:val="000000" w:themeColor="text1"/>
          <w:sz w:val="24"/>
          <w:szCs w:val="24"/>
        </w:rPr>
        <w:t>: Standard Curve Preparation for BCA</w:t>
      </w:r>
      <w:bookmarkEnd w:id="28"/>
    </w:p>
    <w:tbl>
      <w:tblPr>
        <w:tblStyle w:val="TableGrid"/>
        <w:tblW w:w="0" w:type="auto"/>
        <w:tblLook w:val="04A0" w:firstRow="1" w:lastRow="0" w:firstColumn="1" w:lastColumn="0" w:noHBand="0" w:noVBand="1"/>
      </w:tblPr>
      <w:tblGrid>
        <w:gridCol w:w="1045"/>
        <w:gridCol w:w="2321"/>
        <w:gridCol w:w="3255"/>
        <w:gridCol w:w="2729"/>
      </w:tblGrid>
      <w:tr w:rsidR="00A50A35" w14:paraId="24382D10" w14:textId="77777777" w:rsidTr="00597E64">
        <w:tc>
          <w:tcPr>
            <w:tcW w:w="0" w:type="auto"/>
            <w:vAlign w:val="center"/>
          </w:tcPr>
          <w:p w14:paraId="2FEF92A7" w14:textId="77777777" w:rsidR="00A50A35" w:rsidRPr="00C53BE6" w:rsidRDefault="00A50A35" w:rsidP="00597E64">
            <w:pPr>
              <w:jc w:val="center"/>
              <w:rPr>
                <w:b/>
                <w:bCs/>
              </w:rPr>
            </w:pPr>
            <w:r w:rsidRPr="00C53BE6">
              <w:rPr>
                <w:b/>
                <w:bCs/>
              </w:rPr>
              <w:t>Solution</w:t>
            </w:r>
          </w:p>
        </w:tc>
        <w:tc>
          <w:tcPr>
            <w:tcW w:w="0" w:type="auto"/>
            <w:vAlign w:val="center"/>
          </w:tcPr>
          <w:p w14:paraId="14D9DD8C" w14:textId="77777777" w:rsidR="00A50A35" w:rsidRPr="00C53BE6" w:rsidRDefault="00A50A35" w:rsidP="00597E64">
            <w:pPr>
              <w:jc w:val="center"/>
              <w:rPr>
                <w:b/>
                <w:bCs/>
              </w:rPr>
            </w:pPr>
            <w:r w:rsidRPr="00C53BE6">
              <w:rPr>
                <w:b/>
                <w:bCs/>
              </w:rPr>
              <w:t>Volume of 1X RIPA buffer (</w:t>
            </w:r>
            <w:proofErr w:type="spellStart"/>
            <w:r w:rsidRPr="00C53BE6">
              <w:rPr>
                <w:b/>
                <w:bCs/>
              </w:rPr>
              <w:t>μL</w:t>
            </w:r>
            <w:proofErr w:type="spellEnd"/>
            <w:r w:rsidRPr="00C53BE6">
              <w:rPr>
                <w:b/>
                <w:bCs/>
              </w:rPr>
              <w:t>)</w:t>
            </w:r>
          </w:p>
        </w:tc>
        <w:tc>
          <w:tcPr>
            <w:tcW w:w="0" w:type="auto"/>
            <w:vAlign w:val="center"/>
          </w:tcPr>
          <w:p w14:paraId="05150547" w14:textId="77777777" w:rsidR="00A50A35" w:rsidRPr="00C53BE6" w:rsidRDefault="00A50A35" w:rsidP="00597E64">
            <w:pPr>
              <w:jc w:val="center"/>
              <w:rPr>
                <w:b/>
                <w:bCs/>
              </w:rPr>
            </w:pPr>
            <w:r w:rsidRPr="00C53BE6">
              <w:rPr>
                <w:b/>
                <w:bCs/>
              </w:rPr>
              <w:t>Albumin Standard (BSA)/ Source of BSA (</w:t>
            </w:r>
            <w:proofErr w:type="spellStart"/>
            <w:r w:rsidRPr="00C53BE6">
              <w:rPr>
                <w:b/>
                <w:bCs/>
              </w:rPr>
              <w:t>μL</w:t>
            </w:r>
            <w:proofErr w:type="spellEnd"/>
            <w:r w:rsidRPr="00C53BE6">
              <w:rPr>
                <w:b/>
                <w:bCs/>
              </w:rPr>
              <w:t>)</w:t>
            </w:r>
          </w:p>
        </w:tc>
        <w:tc>
          <w:tcPr>
            <w:tcW w:w="0" w:type="auto"/>
            <w:vAlign w:val="center"/>
          </w:tcPr>
          <w:p w14:paraId="127817DD" w14:textId="77777777" w:rsidR="00A50A35" w:rsidRPr="00C53BE6" w:rsidRDefault="00A50A35" w:rsidP="00597E64">
            <w:pPr>
              <w:jc w:val="center"/>
              <w:rPr>
                <w:b/>
                <w:bCs/>
              </w:rPr>
            </w:pPr>
            <w:r w:rsidRPr="00C53BE6">
              <w:rPr>
                <w:b/>
                <w:bCs/>
              </w:rPr>
              <w:t>Final BSA concentration (</w:t>
            </w:r>
            <w:proofErr w:type="spellStart"/>
            <w:r w:rsidRPr="00C53BE6">
              <w:rPr>
                <w:b/>
                <w:bCs/>
              </w:rPr>
              <w:t>μg</w:t>
            </w:r>
            <w:proofErr w:type="spellEnd"/>
            <w:r w:rsidRPr="00C53BE6">
              <w:rPr>
                <w:b/>
                <w:bCs/>
              </w:rPr>
              <w:t>/mL)</w:t>
            </w:r>
          </w:p>
        </w:tc>
      </w:tr>
      <w:tr w:rsidR="00A50A35" w14:paraId="375FA529" w14:textId="77777777" w:rsidTr="00597E64">
        <w:tc>
          <w:tcPr>
            <w:tcW w:w="0" w:type="auto"/>
            <w:vAlign w:val="center"/>
          </w:tcPr>
          <w:p w14:paraId="1A2585FF" w14:textId="77777777" w:rsidR="00A50A35" w:rsidRPr="00C53BE6" w:rsidRDefault="00A50A35" w:rsidP="00597E64">
            <w:pPr>
              <w:jc w:val="center"/>
              <w:rPr>
                <w:b/>
                <w:bCs/>
              </w:rPr>
            </w:pPr>
            <w:r w:rsidRPr="00C53BE6">
              <w:rPr>
                <w:b/>
                <w:bCs/>
              </w:rPr>
              <w:t>A</w:t>
            </w:r>
          </w:p>
        </w:tc>
        <w:tc>
          <w:tcPr>
            <w:tcW w:w="0" w:type="auto"/>
            <w:vAlign w:val="center"/>
          </w:tcPr>
          <w:p w14:paraId="2C92508B" w14:textId="77777777" w:rsidR="00A50A35" w:rsidRDefault="00A50A35" w:rsidP="00597E64">
            <w:pPr>
              <w:jc w:val="center"/>
            </w:pPr>
            <w:r>
              <w:t>0</w:t>
            </w:r>
          </w:p>
        </w:tc>
        <w:tc>
          <w:tcPr>
            <w:tcW w:w="0" w:type="auto"/>
            <w:vAlign w:val="center"/>
          </w:tcPr>
          <w:p w14:paraId="0428B439" w14:textId="77777777" w:rsidR="00A50A35" w:rsidRDefault="00A50A35" w:rsidP="00597E64">
            <w:pPr>
              <w:jc w:val="center"/>
            </w:pPr>
            <w:r>
              <w:t xml:space="preserve">300 </w:t>
            </w:r>
            <w:proofErr w:type="gramStart"/>
            <w:r>
              <w:t>stock</w:t>
            </w:r>
            <w:proofErr w:type="gramEnd"/>
          </w:p>
        </w:tc>
        <w:tc>
          <w:tcPr>
            <w:tcW w:w="0" w:type="auto"/>
            <w:vAlign w:val="center"/>
          </w:tcPr>
          <w:p w14:paraId="2896AC60" w14:textId="77777777" w:rsidR="00A50A35" w:rsidRDefault="00A50A35" w:rsidP="00597E64">
            <w:pPr>
              <w:jc w:val="center"/>
            </w:pPr>
            <w:r>
              <w:t>2000</w:t>
            </w:r>
          </w:p>
        </w:tc>
      </w:tr>
      <w:tr w:rsidR="00A50A35" w14:paraId="1FC303B7" w14:textId="77777777" w:rsidTr="00597E64">
        <w:tc>
          <w:tcPr>
            <w:tcW w:w="0" w:type="auto"/>
            <w:vAlign w:val="center"/>
          </w:tcPr>
          <w:p w14:paraId="6B4FD7E7" w14:textId="77777777" w:rsidR="00A50A35" w:rsidRPr="00C53BE6" w:rsidRDefault="00A50A35" w:rsidP="00597E64">
            <w:pPr>
              <w:jc w:val="center"/>
              <w:rPr>
                <w:b/>
                <w:bCs/>
              </w:rPr>
            </w:pPr>
            <w:r w:rsidRPr="00C53BE6">
              <w:rPr>
                <w:b/>
                <w:bCs/>
              </w:rPr>
              <w:t>B</w:t>
            </w:r>
          </w:p>
        </w:tc>
        <w:tc>
          <w:tcPr>
            <w:tcW w:w="0" w:type="auto"/>
            <w:vAlign w:val="center"/>
          </w:tcPr>
          <w:p w14:paraId="711ABA17" w14:textId="77777777" w:rsidR="00A50A35" w:rsidRDefault="00A50A35" w:rsidP="00597E64">
            <w:pPr>
              <w:jc w:val="center"/>
            </w:pPr>
            <w:r>
              <w:t>125</w:t>
            </w:r>
          </w:p>
        </w:tc>
        <w:tc>
          <w:tcPr>
            <w:tcW w:w="0" w:type="auto"/>
            <w:vAlign w:val="center"/>
          </w:tcPr>
          <w:p w14:paraId="29620A41" w14:textId="77777777" w:rsidR="00A50A35" w:rsidRDefault="00A50A35" w:rsidP="00597E64">
            <w:pPr>
              <w:jc w:val="center"/>
            </w:pPr>
            <w:r>
              <w:t xml:space="preserve">375 </w:t>
            </w:r>
            <w:proofErr w:type="gramStart"/>
            <w:r>
              <w:t>stock</w:t>
            </w:r>
            <w:proofErr w:type="gramEnd"/>
          </w:p>
        </w:tc>
        <w:tc>
          <w:tcPr>
            <w:tcW w:w="0" w:type="auto"/>
            <w:vAlign w:val="center"/>
          </w:tcPr>
          <w:p w14:paraId="313029DE" w14:textId="77777777" w:rsidR="00A50A35" w:rsidRDefault="00A50A35" w:rsidP="00597E64">
            <w:pPr>
              <w:jc w:val="center"/>
            </w:pPr>
            <w:r>
              <w:t>1500</w:t>
            </w:r>
          </w:p>
        </w:tc>
      </w:tr>
      <w:tr w:rsidR="00A50A35" w14:paraId="709EC472" w14:textId="77777777" w:rsidTr="00597E64">
        <w:tc>
          <w:tcPr>
            <w:tcW w:w="0" w:type="auto"/>
            <w:vAlign w:val="center"/>
          </w:tcPr>
          <w:p w14:paraId="177243B2" w14:textId="77777777" w:rsidR="00A50A35" w:rsidRPr="00C53BE6" w:rsidRDefault="00A50A35" w:rsidP="00597E64">
            <w:pPr>
              <w:jc w:val="center"/>
              <w:rPr>
                <w:b/>
                <w:bCs/>
              </w:rPr>
            </w:pPr>
            <w:r w:rsidRPr="00C53BE6">
              <w:rPr>
                <w:b/>
                <w:bCs/>
              </w:rPr>
              <w:t>C</w:t>
            </w:r>
          </w:p>
        </w:tc>
        <w:tc>
          <w:tcPr>
            <w:tcW w:w="0" w:type="auto"/>
            <w:vAlign w:val="center"/>
          </w:tcPr>
          <w:p w14:paraId="159BD0B1" w14:textId="77777777" w:rsidR="00A50A35" w:rsidRDefault="00A50A35" w:rsidP="00597E64">
            <w:pPr>
              <w:jc w:val="center"/>
            </w:pPr>
            <w:r>
              <w:t>325</w:t>
            </w:r>
          </w:p>
        </w:tc>
        <w:tc>
          <w:tcPr>
            <w:tcW w:w="0" w:type="auto"/>
            <w:vAlign w:val="center"/>
          </w:tcPr>
          <w:p w14:paraId="15A1E5A7" w14:textId="77777777" w:rsidR="00A50A35" w:rsidRDefault="00A50A35" w:rsidP="00597E64">
            <w:pPr>
              <w:jc w:val="center"/>
            </w:pPr>
            <w:r>
              <w:t xml:space="preserve">325 </w:t>
            </w:r>
            <w:proofErr w:type="gramStart"/>
            <w:r>
              <w:t>stock</w:t>
            </w:r>
            <w:proofErr w:type="gramEnd"/>
          </w:p>
        </w:tc>
        <w:tc>
          <w:tcPr>
            <w:tcW w:w="0" w:type="auto"/>
            <w:vAlign w:val="center"/>
          </w:tcPr>
          <w:p w14:paraId="7EF3F8DA" w14:textId="77777777" w:rsidR="00A50A35" w:rsidRDefault="00A50A35" w:rsidP="00597E64">
            <w:pPr>
              <w:jc w:val="center"/>
            </w:pPr>
            <w:r>
              <w:t>1000</w:t>
            </w:r>
          </w:p>
        </w:tc>
      </w:tr>
      <w:tr w:rsidR="00A50A35" w14:paraId="6CAE92B2" w14:textId="77777777" w:rsidTr="00597E64">
        <w:tc>
          <w:tcPr>
            <w:tcW w:w="0" w:type="auto"/>
            <w:vAlign w:val="center"/>
          </w:tcPr>
          <w:p w14:paraId="15E32FFE" w14:textId="77777777" w:rsidR="00A50A35" w:rsidRPr="00C53BE6" w:rsidRDefault="00A50A35" w:rsidP="00597E64">
            <w:pPr>
              <w:jc w:val="center"/>
              <w:rPr>
                <w:b/>
                <w:bCs/>
              </w:rPr>
            </w:pPr>
            <w:r w:rsidRPr="00C53BE6">
              <w:rPr>
                <w:b/>
                <w:bCs/>
              </w:rPr>
              <w:t>D</w:t>
            </w:r>
          </w:p>
        </w:tc>
        <w:tc>
          <w:tcPr>
            <w:tcW w:w="0" w:type="auto"/>
            <w:vAlign w:val="center"/>
          </w:tcPr>
          <w:p w14:paraId="47B4F060" w14:textId="77777777" w:rsidR="00A50A35" w:rsidRDefault="00A50A35" w:rsidP="00597E64">
            <w:pPr>
              <w:jc w:val="center"/>
            </w:pPr>
            <w:r>
              <w:t>175</w:t>
            </w:r>
          </w:p>
        </w:tc>
        <w:tc>
          <w:tcPr>
            <w:tcW w:w="0" w:type="auto"/>
            <w:vAlign w:val="center"/>
          </w:tcPr>
          <w:p w14:paraId="03766932" w14:textId="77777777" w:rsidR="00A50A35" w:rsidRDefault="00A50A35" w:rsidP="00597E64">
            <w:pPr>
              <w:jc w:val="center"/>
            </w:pPr>
            <w:r>
              <w:t>175 of vial B</w:t>
            </w:r>
          </w:p>
        </w:tc>
        <w:tc>
          <w:tcPr>
            <w:tcW w:w="0" w:type="auto"/>
            <w:vAlign w:val="center"/>
          </w:tcPr>
          <w:p w14:paraId="70AE603A" w14:textId="77777777" w:rsidR="00A50A35" w:rsidRDefault="00A50A35" w:rsidP="00597E64">
            <w:pPr>
              <w:jc w:val="center"/>
            </w:pPr>
            <w:r>
              <w:t>750</w:t>
            </w:r>
          </w:p>
        </w:tc>
      </w:tr>
      <w:tr w:rsidR="00A50A35" w14:paraId="16470968" w14:textId="77777777" w:rsidTr="00597E64">
        <w:tc>
          <w:tcPr>
            <w:tcW w:w="0" w:type="auto"/>
            <w:vAlign w:val="center"/>
          </w:tcPr>
          <w:p w14:paraId="003E99A6" w14:textId="77777777" w:rsidR="00A50A35" w:rsidRPr="00C53BE6" w:rsidRDefault="00A50A35" w:rsidP="00597E64">
            <w:pPr>
              <w:jc w:val="center"/>
              <w:rPr>
                <w:b/>
                <w:bCs/>
              </w:rPr>
            </w:pPr>
            <w:r w:rsidRPr="00C53BE6">
              <w:rPr>
                <w:b/>
                <w:bCs/>
              </w:rPr>
              <w:t>E</w:t>
            </w:r>
          </w:p>
        </w:tc>
        <w:tc>
          <w:tcPr>
            <w:tcW w:w="0" w:type="auto"/>
            <w:vAlign w:val="center"/>
          </w:tcPr>
          <w:p w14:paraId="7C9926D4" w14:textId="77777777" w:rsidR="00A50A35" w:rsidRDefault="00A50A35" w:rsidP="00597E64">
            <w:pPr>
              <w:jc w:val="center"/>
            </w:pPr>
            <w:r>
              <w:t>325</w:t>
            </w:r>
          </w:p>
        </w:tc>
        <w:tc>
          <w:tcPr>
            <w:tcW w:w="0" w:type="auto"/>
            <w:vAlign w:val="center"/>
          </w:tcPr>
          <w:p w14:paraId="1A7395B2" w14:textId="77777777" w:rsidR="00A50A35" w:rsidRDefault="00A50A35" w:rsidP="00597E64">
            <w:pPr>
              <w:jc w:val="center"/>
            </w:pPr>
            <w:r>
              <w:t>325 of vial C</w:t>
            </w:r>
          </w:p>
        </w:tc>
        <w:tc>
          <w:tcPr>
            <w:tcW w:w="0" w:type="auto"/>
            <w:vAlign w:val="center"/>
          </w:tcPr>
          <w:p w14:paraId="5F428722" w14:textId="77777777" w:rsidR="00A50A35" w:rsidRDefault="00A50A35" w:rsidP="00597E64">
            <w:pPr>
              <w:jc w:val="center"/>
            </w:pPr>
            <w:r>
              <w:t>500</w:t>
            </w:r>
          </w:p>
        </w:tc>
      </w:tr>
      <w:tr w:rsidR="00A50A35" w14:paraId="406EF11E" w14:textId="77777777" w:rsidTr="00597E64">
        <w:tc>
          <w:tcPr>
            <w:tcW w:w="0" w:type="auto"/>
            <w:vAlign w:val="center"/>
          </w:tcPr>
          <w:p w14:paraId="3E409D65" w14:textId="77777777" w:rsidR="00A50A35" w:rsidRPr="00C53BE6" w:rsidRDefault="00A50A35" w:rsidP="00597E64">
            <w:pPr>
              <w:jc w:val="center"/>
              <w:rPr>
                <w:b/>
                <w:bCs/>
              </w:rPr>
            </w:pPr>
            <w:r w:rsidRPr="00C53BE6">
              <w:rPr>
                <w:b/>
                <w:bCs/>
              </w:rPr>
              <w:t>F</w:t>
            </w:r>
          </w:p>
        </w:tc>
        <w:tc>
          <w:tcPr>
            <w:tcW w:w="0" w:type="auto"/>
            <w:vAlign w:val="center"/>
          </w:tcPr>
          <w:p w14:paraId="4FE2F186" w14:textId="77777777" w:rsidR="00A50A35" w:rsidRDefault="00A50A35" w:rsidP="00597E64">
            <w:pPr>
              <w:jc w:val="center"/>
            </w:pPr>
            <w:r>
              <w:t>325</w:t>
            </w:r>
          </w:p>
        </w:tc>
        <w:tc>
          <w:tcPr>
            <w:tcW w:w="0" w:type="auto"/>
            <w:vAlign w:val="center"/>
          </w:tcPr>
          <w:p w14:paraId="5058869C" w14:textId="77777777" w:rsidR="00A50A35" w:rsidRDefault="00A50A35" w:rsidP="00597E64">
            <w:pPr>
              <w:jc w:val="center"/>
            </w:pPr>
            <w:r>
              <w:t>325 of vial E</w:t>
            </w:r>
          </w:p>
        </w:tc>
        <w:tc>
          <w:tcPr>
            <w:tcW w:w="0" w:type="auto"/>
            <w:vAlign w:val="center"/>
          </w:tcPr>
          <w:p w14:paraId="6F30DBD8" w14:textId="77777777" w:rsidR="00A50A35" w:rsidRDefault="00A50A35" w:rsidP="00597E64">
            <w:pPr>
              <w:jc w:val="center"/>
            </w:pPr>
            <w:r>
              <w:t>250</w:t>
            </w:r>
          </w:p>
        </w:tc>
      </w:tr>
      <w:tr w:rsidR="00A50A35" w14:paraId="3A812A4E" w14:textId="77777777" w:rsidTr="00597E64">
        <w:tc>
          <w:tcPr>
            <w:tcW w:w="0" w:type="auto"/>
            <w:vAlign w:val="center"/>
          </w:tcPr>
          <w:p w14:paraId="7B24EB47" w14:textId="77777777" w:rsidR="00A50A35" w:rsidRPr="00C53BE6" w:rsidRDefault="00A50A35" w:rsidP="00597E64">
            <w:pPr>
              <w:jc w:val="center"/>
              <w:rPr>
                <w:b/>
                <w:bCs/>
              </w:rPr>
            </w:pPr>
            <w:r w:rsidRPr="00C53BE6">
              <w:rPr>
                <w:b/>
                <w:bCs/>
              </w:rPr>
              <w:t>G</w:t>
            </w:r>
          </w:p>
        </w:tc>
        <w:tc>
          <w:tcPr>
            <w:tcW w:w="0" w:type="auto"/>
            <w:vAlign w:val="center"/>
          </w:tcPr>
          <w:p w14:paraId="52630BC3" w14:textId="77777777" w:rsidR="00A50A35" w:rsidRDefault="00A50A35" w:rsidP="00597E64">
            <w:pPr>
              <w:jc w:val="center"/>
            </w:pPr>
            <w:r>
              <w:t>325</w:t>
            </w:r>
          </w:p>
        </w:tc>
        <w:tc>
          <w:tcPr>
            <w:tcW w:w="0" w:type="auto"/>
            <w:vAlign w:val="center"/>
          </w:tcPr>
          <w:p w14:paraId="3CC7132E" w14:textId="77777777" w:rsidR="00A50A35" w:rsidRDefault="00A50A35" w:rsidP="00597E64">
            <w:pPr>
              <w:jc w:val="center"/>
            </w:pPr>
            <w:r>
              <w:t>325 of vial F</w:t>
            </w:r>
          </w:p>
        </w:tc>
        <w:tc>
          <w:tcPr>
            <w:tcW w:w="0" w:type="auto"/>
            <w:vAlign w:val="center"/>
          </w:tcPr>
          <w:p w14:paraId="3C378F4C" w14:textId="77777777" w:rsidR="00A50A35" w:rsidRDefault="00A50A35" w:rsidP="00597E64">
            <w:pPr>
              <w:jc w:val="center"/>
            </w:pPr>
            <w:r>
              <w:t>125</w:t>
            </w:r>
          </w:p>
        </w:tc>
      </w:tr>
      <w:tr w:rsidR="00A50A35" w14:paraId="56F2D524" w14:textId="77777777" w:rsidTr="00597E64">
        <w:tc>
          <w:tcPr>
            <w:tcW w:w="0" w:type="auto"/>
            <w:vAlign w:val="center"/>
          </w:tcPr>
          <w:p w14:paraId="0840C80F" w14:textId="77777777" w:rsidR="00A50A35" w:rsidRPr="00C53BE6" w:rsidRDefault="00A50A35" w:rsidP="00597E64">
            <w:pPr>
              <w:jc w:val="center"/>
              <w:rPr>
                <w:b/>
                <w:bCs/>
              </w:rPr>
            </w:pPr>
            <w:r w:rsidRPr="00C53BE6">
              <w:rPr>
                <w:b/>
                <w:bCs/>
              </w:rPr>
              <w:t>H</w:t>
            </w:r>
          </w:p>
        </w:tc>
        <w:tc>
          <w:tcPr>
            <w:tcW w:w="0" w:type="auto"/>
            <w:vAlign w:val="center"/>
          </w:tcPr>
          <w:p w14:paraId="38479322" w14:textId="77777777" w:rsidR="00A50A35" w:rsidRDefault="00A50A35" w:rsidP="00597E64">
            <w:pPr>
              <w:jc w:val="center"/>
            </w:pPr>
            <w:r>
              <w:t>400</w:t>
            </w:r>
          </w:p>
        </w:tc>
        <w:tc>
          <w:tcPr>
            <w:tcW w:w="0" w:type="auto"/>
            <w:vAlign w:val="center"/>
          </w:tcPr>
          <w:p w14:paraId="2CE45539" w14:textId="77777777" w:rsidR="00A50A35" w:rsidRDefault="00A50A35" w:rsidP="00597E64">
            <w:pPr>
              <w:jc w:val="center"/>
            </w:pPr>
            <w:r>
              <w:t>100 of vial G</w:t>
            </w:r>
          </w:p>
        </w:tc>
        <w:tc>
          <w:tcPr>
            <w:tcW w:w="0" w:type="auto"/>
            <w:vAlign w:val="center"/>
          </w:tcPr>
          <w:p w14:paraId="4EA62554" w14:textId="77777777" w:rsidR="00A50A35" w:rsidRDefault="00A50A35" w:rsidP="00597E64">
            <w:pPr>
              <w:jc w:val="center"/>
            </w:pPr>
            <w:r>
              <w:t>25</w:t>
            </w:r>
          </w:p>
        </w:tc>
      </w:tr>
      <w:tr w:rsidR="00A50A35" w14:paraId="6772D080" w14:textId="77777777" w:rsidTr="00597E64">
        <w:tc>
          <w:tcPr>
            <w:tcW w:w="0" w:type="auto"/>
            <w:vAlign w:val="center"/>
          </w:tcPr>
          <w:p w14:paraId="3CE7A6D0" w14:textId="77777777" w:rsidR="00A50A35" w:rsidRPr="00C53BE6" w:rsidRDefault="00A50A35" w:rsidP="00597E64">
            <w:pPr>
              <w:jc w:val="center"/>
              <w:rPr>
                <w:b/>
                <w:bCs/>
              </w:rPr>
            </w:pPr>
            <w:r w:rsidRPr="00C53BE6">
              <w:rPr>
                <w:b/>
                <w:bCs/>
              </w:rPr>
              <w:t>I</w:t>
            </w:r>
          </w:p>
        </w:tc>
        <w:tc>
          <w:tcPr>
            <w:tcW w:w="0" w:type="auto"/>
            <w:vAlign w:val="center"/>
          </w:tcPr>
          <w:p w14:paraId="1DF74026" w14:textId="77777777" w:rsidR="00A50A35" w:rsidRDefault="00A50A35" w:rsidP="00597E64">
            <w:pPr>
              <w:jc w:val="center"/>
            </w:pPr>
            <w:r>
              <w:t>400</w:t>
            </w:r>
          </w:p>
        </w:tc>
        <w:tc>
          <w:tcPr>
            <w:tcW w:w="0" w:type="auto"/>
            <w:vAlign w:val="center"/>
          </w:tcPr>
          <w:p w14:paraId="3164A954" w14:textId="77777777" w:rsidR="00A50A35" w:rsidRDefault="00A50A35" w:rsidP="00597E64">
            <w:pPr>
              <w:jc w:val="center"/>
            </w:pPr>
            <w:r>
              <w:t>0</w:t>
            </w:r>
          </w:p>
        </w:tc>
        <w:tc>
          <w:tcPr>
            <w:tcW w:w="0" w:type="auto"/>
            <w:vAlign w:val="center"/>
          </w:tcPr>
          <w:p w14:paraId="7DC0C5D7" w14:textId="77777777" w:rsidR="00A50A35" w:rsidRDefault="00A50A35" w:rsidP="00597E64">
            <w:pPr>
              <w:jc w:val="center"/>
            </w:pPr>
            <w:r>
              <w:t>0</w:t>
            </w:r>
          </w:p>
        </w:tc>
      </w:tr>
    </w:tbl>
    <w:p w14:paraId="3AB5A108" w14:textId="77777777" w:rsidR="00A50A35" w:rsidRDefault="00A50A35" w:rsidP="00A50A35"/>
    <w:p w14:paraId="64EF8446" w14:textId="77777777" w:rsidR="00A50A35" w:rsidRDefault="00A50A35" w:rsidP="00A50A35">
      <w:r>
        <w:t>Lysates were created utilizing protein concentrations yielded from the BCA. Post protein quantification, lysates were created with a concentration of either 0.</w:t>
      </w:r>
      <w:r w:rsidRPr="0000662E">
        <w:t>5</w:t>
      </w:r>
      <w:r>
        <w:t xml:space="preserve"> </w:t>
      </w:r>
      <w:proofErr w:type="spellStart"/>
      <w:r w:rsidRPr="0000662E">
        <w:t>μg</w:t>
      </w:r>
      <w:proofErr w:type="spellEnd"/>
      <w:r w:rsidRPr="0000662E">
        <w:t>/</w:t>
      </w:r>
      <w:proofErr w:type="spellStart"/>
      <w:r w:rsidRPr="0000662E">
        <w:t>μL</w:t>
      </w:r>
      <w:proofErr w:type="spellEnd"/>
      <w:r>
        <w:t xml:space="preserve"> or 0.7</w:t>
      </w:r>
      <w:r w:rsidRPr="0000662E">
        <w:t>5</w:t>
      </w:r>
      <w:r>
        <w:t xml:space="preserve"> </w:t>
      </w:r>
      <w:proofErr w:type="spellStart"/>
      <w:r w:rsidRPr="0000662E">
        <w:t>μg</w:t>
      </w:r>
      <w:proofErr w:type="spellEnd"/>
      <w:r w:rsidRPr="0000662E">
        <w:t>/</w:t>
      </w:r>
      <w:proofErr w:type="spellStart"/>
      <w:r w:rsidRPr="0000662E">
        <w:t>μL</w:t>
      </w:r>
      <w:proofErr w:type="spellEnd"/>
      <w:r>
        <w:t xml:space="preserve">. </w:t>
      </w:r>
      <w:proofErr w:type="spellStart"/>
      <w:r>
        <w:t>Leammli</w:t>
      </w:r>
      <w:proofErr w:type="spellEnd"/>
      <w:r>
        <w:t xml:space="preserve"> Sample buffer (</w:t>
      </w:r>
      <w:proofErr w:type="spellStart"/>
      <w:r>
        <w:t>BioRad</w:t>
      </w:r>
      <w:proofErr w:type="spellEnd"/>
      <w:r>
        <w:t>, cat# 1610747) was added to lysates at a 3:1 ratio and the samples were then heated at 100</w:t>
      </w:r>
      <w:r w:rsidRPr="006332F5">
        <w:t>°C</w:t>
      </w:r>
      <w:r>
        <w:t xml:space="preserve"> for 7 minutes to denature the proteins readying them for gel electrophoresis. Lysates were aliquoted and stored a 20</w:t>
      </w:r>
      <w:r w:rsidRPr="006332F5">
        <w:t>°C</w:t>
      </w:r>
      <w:r>
        <w:t xml:space="preserve"> until ready for use. </w:t>
      </w:r>
    </w:p>
    <w:p w14:paraId="7D0684D1" w14:textId="77777777" w:rsidR="00A50A35" w:rsidRDefault="00A50A35" w:rsidP="00A50A35">
      <w:pPr>
        <w:jc w:val="center"/>
      </w:pPr>
      <w:r>
        <w:rPr>
          <w:noProof/>
        </w:rPr>
        <w:drawing>
          <wp:inline distT="0" distB="0" distL="0" distR="0" wp14:anchorId="574DFC88" wp14:editId="65DDD9FA">
            <wp:extent cx="3255553" cy="3490326"/>
            <wp:effectExtent l="0" t="0" r="0" b="0"/>
            <wp:docPr id="1317511403" name="Picture 3" descr="A close-up of a stack of pap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11403" name="Picture 3" descr="A close-up of a stack of papers&#10;&#10;Description automatically generated"/>
                    <pic:cNvPicPr/>
                  </pic:nvPicPr>
                  <pic:blipFill rotWithShape="1">
                    <a:blip r:embed="rId18" cstate="print">
                      <a:extLst>
                        <a:ext uri="{28A0092B-C50C-407E-A947-70E740481C1C}">
                          <a14:useLocalDpi xmlns:a14="http://schemas.microsoft.com/office/drawing/2010/main" val="0"/>
                        </a:ext>
                      </a:extLst>
                    </a:blip>
                    <a:srcRect l="24208" t="19030" r="29067" b="9406"/>
                    <a:stretch/>
                  </pic:blipFill>
                  <pic:spPr bwMode="auto">
                    <a:xfrm>
                      <a:off x="0" y="0"/>
                      <a:ext cx="3259179" cy="3494213"/>
                    </a:xfrm>
                    <a:prstGeom prst="rect">
                      <a:avLst/>
                    </a:prstGeom>
                    <a:ln>
                      <a:noFill/>
                    </a:ln>
                    <a:extLst>
                      <a:ext uri="{53640926-AAD7-44D8-BBD7-CCE9431645EC}">
                        <a14:shadowObscured xmlns:a14="http://schemas.microsoft.com/office/drawing/2010/main"/>
                      </a:ext>
                    </a:extLst>
                  </pic:spPr>
                </pic:pic>
              </a:graphicData>
            </a:graphic>
          </wp:inline>
        </w:drawing>
      </w:r>
    </w:p>
    <w:p w14:paraId="03D232C6" w14:textId="267E3883" w:rsidR="00A50A35" w:rsidRPr="001D4EBC" w:rsidRDefault="00AA697F" w:rsidP="001D4EBC">
      <w:pPr>
        <w:pStyle w:val="Caption"/>
        <w:jc w:val="both"/>
        <w:rPr>
          <w:i w:val="0"/>
          <w:iCs w:val="0"/>
          <w:color w:val="000000" w:themeColor="text1"/>
          <w:sz w:val="20"/>
          <w:szCs w:val="20"/>
        </w:rPr>
      </w:pPr>
      <w:bookmarkStart w:id="29" w:name="_Toc165201226"/>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7</w:t>
      </w:r>
      <w:r w:rsidRPr="001D4EBC">
        <w:rPr>
          <w:b/>
          <w:bCs/>
          <w:i w:val="0"/>
          <w:iCs w:val="0"/>
          <w:color w:val="000000" w:themeColor="text1"/>
          <w:sz w:val="20"/>
          <w:szCs w:val="20"/>
        </w:rPr>
        <w:fldChar w:fldCharType="end"/>
      </w:r>
      <w:r w:rsidR="00A50A35" w:rsidRPr="001D4EBC">
        <w:rPr>
          <w:b/>
          <w:bCs/>
          <w:i w:val="0"/>
          <w:iCs w:val="0"/>
          <w:color w:val="000000" w:themeColor="text1"/>
          <w:sz w:val="20"/>
          <w:szCs w:val="20"/>
        </w:rPr>
        <w:t xml:space="preserve">: </w:t>
      </w:r>
      <w:r w:rsidR="001D4EBC" w:rsidRPr="001D4EBC">
        <w:rPr>
          <w:b/>
          <w:bCs/>
          <w:i w:val="0"/>
          <w:iCs w:val="0"/>
          <w:color w:val="000000" w:themeColor="text1"/>
          <w:sz w:val="20"/>
          <w:szCs w:val="20"/>
        </w:rPr>
        <w:t xml:space="preserve">Western blot gel setup. </w:t>
      </w:r>
      <w:r w:rsidR="00A50A35" w:rsidRPr="001D4EBC">
        <w:rPr>
          <w:i w:val="0"/>
          <w:iCs w:val="0"/>
          <w:color w:val="000000" w:themeColor="text1"/>
          <w:sz w:val="20"/>
          <w:szCs w:val="20"/>
        </w:rPr>
        <w:t xml:space="preserve">The image above depicts the gel setup used for the western blot where samples and controls were run together on the same gels. A 12 well 4-12% gel was </w:t>
      </w:r>
      <w:proofErr w:type="gramStart"/>
      <w:r w:rsidR="00A50A35" w:rsidRPr="001D4EBC">
        <w:rPr>
          <w:i w:val="0"/>
          <w:iCs w:val="0"/>
          <w:color w:val="000000" w:themeColor="text1"/>
          <w:sz w:val="20"/>
          <w:szCs w:val="20"/>
        </w:rPr>
        <w:t>utilized</w:t>
      </w:r>
      <w:proofErr w:type="gramEnd"/>
      <w:r w:rsidR="00A50A35" w:rsidRPr="001D4EBC">
        <w:rPr>
          <w:i w:val="0"/>
          <w:iCs w:val="0"/>
          <w:color w:val="000000" w:themeColor="text1"/>
          <w:sz w:val="20"/>
          <w:szCs w:val="20"/>
        </w:rPr>
        <w:t xml:space="preserve"> and the two gels were run together in the same cassette.</w:t>
      </w:r>
      <w:bookmarkEnd w:id="29"/>
      <w:r w:rsidR="00A50A35" w:rsidRPr="001D4EBC">
        <w:rPr>
          <w:i w:val="0"/>
          <w:iCs w:val="0"/>
          <w:color w:val="000000" w:themeColor="text1"/>
          <w:sz w:val="20"/>
          <w:szCs w:val="20"/>
        </w:rPr>
        <w:t xml:space="preserve"> </w:t>
      </w:r>
    </w:p>
    <w:p w14:paraId="7A79500C" w14:textId="77777777" w:rsidR="00646D67" w:rsidRDefault="00646D67" w:rsidP="00646D67">
      <w:pPr>
        <w:ind w:firstLine="720"/>
      </w:pPr>
      <w:r>
        <w:lastRenderedPageBreak/>
        <w:t xml:space="preserve">The western blot gel set up was as follows. Two gels were utilized with the control and stimulated group having two replicates each. The control and experimental group for each lysate was tested within the same gel. Four lysate types and two experimental groups were utilized. The full gel setup can be seen in </w:t>
      </w:r>
      <w:r w:rsidRPr="00393244">
        <w:rPr>
          <w:b/>
          <w:bCs/>
        </w:rPr>
        <w:t xml:space="preserve">Figure </w:t>
      </w:r>
      <w:r>
        <w:rPr>
          <w:b/>
          <w:bCs/>
        </w:rPr>
        <w:t>7</w:t>
      </w:r>
      <w:r>
        <w:t xml:space="preserve">. </w:t>
      </w:r>
    </w:p>
    <w:p w14:paraId="765AF223" w14:textId="3F78FD57" w:rsidR="00C37A69" w:rsidRPr="00C6476F" w:rsidRDefault="00A50A35" w:rsidP="00C37A69">
      <w:pPr>
        <w:ind w:firstLine="720"/>
      </w:pPr>
      <w:r>
        <w:t>Samples were run using 15</w:t>
      </w:r>
      <w:r>
        <w:sym w:font="Symbol" w:char="F06D"/>
      </w:r>
      <w:r>
        <w:t xml:space="preserve">g of protein. The lysates were loaded into the gel per </w:t>
      </w:r>
      <w:r w:rsidRPr="00393244">
        <w:rPr>
          <w:b/>
          <w:bCs/>
        </w:rPr>
        <w:t xml:space="preserve">Figure </w:t>
      </w:r>
      <w:r w:rsidR="00C37A69">
        <w:rPr>
          <w:b/>
          <w:bCs/>
        </w:rPr>
        <w:t>7</w:t>
      </w:r>
      <w:r>
        <w:t>. The gels utilized were 4-12% 12 well gels (</w:t>
      </w:r>
      <w:proofErr w:type="spellStart"/>
      <w:r>
        <w:t>GenScript</w:t>
      </w:r>
      <w:proofErr w:type="spellEnd"/>
      <w:r>
        <w:t xml:space="preserve">, Cat#M00653). The gel was allowed to run in the electrophoresis chamber for 30 minutes at 60V until the samples had traveled through the stacking gel. Once the samples had made it through the stacking gel the voltage was set to </w:t>
      </w:r>
      <w:r w:rsidR="00552BE4">
        <w:t>120V,</w:t>
      </w:r>
      <w:r>
        <w:t xml:space="preserve"> and the gels were allowed to run for 1.5 hours until the samples had run to the bottom of the gel. Note that, the electrophoresis chamber was stopped before the samples ran all the way through the gel. Running buffer used was Tris-MOPS-SDS Running Buffer Powder reconstituted in 1L of </w:t>
      </w:r>
      <w:proofErr w:type="spellStart"/>
      <w:r>
        <w:t>Nanopure</w:t>
      </w:r>
      <w:proofErr w:type="spellEnd"/>
      <w:r>
        <w:t xml:space="preserve"> water (</w:t>
      </w:r>
      <w:proofErr w:type="spellStart"/>
      <w:r>
        <w:t>GenScript</w:t>
      </w:r>
      <w:proofErr w:type="spellEnd"/>
      <w:r>
        <w:t xml:space="preserve">, Cat#M00138). Post running, the gel was set up for transfer. The transfer stack is as follows: sponge, filter paper, gel, PVDF membrane, filter paper, and sponge. </w:t>
      </w:r>
      <w:r w:rsidRPr="00C37A69">
        <w:t>The stack was encased in gel holder cassettes with the gels towards black end of the cassette and membrane towards the clear side. The cassettes were then place</w:t>
      </w:r>
      <w:r w:rsidR="00C37A69">
        <w:t xml:space="preserve"> in the electrophoreses chamber and</w:t>
      </w:r>
      <w:r>
        <w:t xml:space="preserve"> transfer was run for 1 hour at 100V on ice</w:t>
      </w:r>
      <w:r w:rsidR="00C37A69">
        <w:t>.</w:t>
      </w:r>
      <w:r>
        <w:t xml:space="preserve"> </w:t>
      </w:r>
      <w:r w:rsidR="00C37A69">
        <w:t>Transfer was run in</w:t>
      </w:r>
      <w:r>
        <w:t xml:space="preserve"> </w:t>
      </w:r>
      <w:r w:rsidR="00C37A69">
        <w:t>T</w:t>
      </w:r>
      <w:r>
        <w:t xml:space="preserve">ransfer Buffer Powder reconstituted in 0.9L </w:t>
      </w:r>
      <w:proofErr w:type="spellStart"/>
      <w:r>
        <w:t>Nanopure</w:t>
      </w:r>
      <w:proofErr w:type="spellEnd"/>
      <w:r>
        <w:t xml:space="preserve"> water and 100mL 99% Methanol (</w:t>
      </w:r>
      <w:proofErr w:type="spellStart"/>
      <w:r>
        <w:t>GenScript</w:t>
      </w:r>
      <w:proofErr w:type="spellEnd"/>
      <w:r>
        <w:t>, Cat#M00139). After transfer, the membranes were removed from the transfer stack and placed in blocking buffer for 30 minutes at room temperature. The membranes were then stained for the following proteins in the order they are listed: STING 1</w:t>
      </w:r>
      <w:r>
        <w:sym w:font="Symbol" w:char="F0B0"/>
      </w:r>
      <w:r>
        <w:t xml:space="preserve"> Rabbit </w:t>
      </w:r>
      <w:proofErr w:type="spellStart"/>
      <w:r>
        <w:t>mAb</w:t>
      </w:r>
      <w:proofErr w:type="spellEnd"/>
      <w:r>
        <w:t xml:space="preserve"> (1:1000) (Cell Signaling, Cat#13647S), STING 2</w:t>
      </w:r>
      <w:r>
        <w:sym w:font="Symbol" w:char="F0B0"/>
      </w:r>
      <w:r>
        <w:t xml:space="preserve"> Anti-Rabbit HRP (1:10,000) (</w:t>
      </w:r>
      <w:proofErr w:type="spellStart"/>
      <w:r>
        <w:t>Thermo</w:t>
      </w:r>
      <w:proofErr w:type="spellEnd"/>
      <w:r>
        <w:t xml:space="preserve"> Fisher, Cat#31458), HDAC2 (1:2500) (</w:t>
      </w:r>
      <w:proofErr w:type="spellStart"/>
      <w:r>
        <w:t>Biolegend</w:t>
      </w:r>
      <w:proofErr w:type="spellEnd"/>
      <w:r>
        <w:t>, Cat#680105), VDAC (1:2500) (Abcam, Cat#AB185063), LAMP 1</w:t>
      </w:r>
      <w:r>
        <w:sym w:font="Symbol" w:char="F0B0"/>
      </w:r>
      <w:r>
        <w:t xml:space="preserve"> (1:1000) (</w:t>
      </w:r>
      <w:proofErr w:type="spellStart"/>
      <w:r>
        <w:t>Thermo</w:t>
      </w:r>
      <w:proofErr w:type="spellEnd"/>
      <w:r>
        <w:t xml:space="preserve"> Fisher, Cat#14107182), LAMP 1 2</w:t>
      </w:r>
      <w:r>
        <w:sym w:font="Symbol" w:char="F0B0"/>
      </w:r>
      <w:r>
        <w:t xml:space="preserve"> Anti-Rat HRP (1:5000) (</w:t>
      </w:r>
      <w:proofErr w:type="spellStart"/>
      <w:r>
        <w:t>NovusBio</w:t>
      </w:r>
      <w:proofErr w:type="spellEnd"/>
      <w:r>
        <w:t>, Cat#NB7115), and Beta Actin (1:2000) (</w:t>
      </w:r>
      <w:proofErr w:type="spellStart"/>
      <w:r>
        <w:t>Thermo</w:t>
      </w:r>
      <w:proofErr w:type="spellEnd"/>
      <w:r>
        <w:t xml:space="preserve"> Fisher, Cat#MA5-15739-HRP). </w:t>
      </w:r>
      <w:r w:rsidR="00C37A69">
        <w:t xml:space="preserve">STING was the target protein while other proteins utilized served as housekeeping control staining. HDAC 2 is an enzyme primarily located in the nucleus and therefore was used as a control for the nucleic lysate </w:t>
      </w:r>
      <w:r w:rsidR="00C37A69">
        <w:fldChar w:fldCharType="begin"/>
      </w:r>
      <w:r w:rsidR="00EB5C47">
        <w:instrText xml:space="preserve"> ADDIN ZOTERO_ITEM CSL_CITATION {"citationID":"V1Z98ewD","properties":{"formattedCitation":"[46]","plainCitation":"[46]","noteIndex":0},"citationItems":[{"id":1531,"uris":["http://zotero.org/users/13277427/items/VP3QKPRF"],"itemData":{"id":1531,"type":"webpage","abstract":"Gene target information for HDAC2 - histone deacetylase 2 (human). Find diseases associated with this biological target and compounds tested against it in bioassay experiments.","language":"en","title":"HDAC2 - histone deacetylase 2 (human)","URL":"https://pubchem.ncbi.nlm.nih.gov/gene/HDAC2/human","author":[{"family":"PubChem","given":""}],"accessed":{"date-parts":[["2024",3,12]]}}}],"schema":"https://github.com/citation-style-language/schema/raw/master/csl-citation.json"} </w:instrText>
      </w:r>
      <w:r w:rsidR="00C37A69">
        <w:fldChar w:fldCharType="separate"/>
      </w:r>
      <w:r w:rsidR="00EB5C47">
        <w:rPr>
          <w:noProof/>
        </w:rPr>
        <w:t>[46]</w:t>
      </w:r>
      <w:r w:rsidR="00C37A69">
        <w:fldChar w:fldCharType="end"/>
      </w:r>
      <w:r w:rsidR="00C37A69">
        <w:t xml:space="preserve">. </w:t>
      </w:r>
      <w:r w:rsidR="00C37A69">
        <w:rPr>
          <w:color w:val="000000" w:themeColor="text1"/>
        </w:rPr>
        <w:t xml:space="preserve">VDAC 1 is the most abundant protein on the outer layer of the mitochondria and therefore was used as the housekeeping protein for the MEB lysate containing membrane bound cellular components </w:t>
      </w:r>
      <w:r w:rsidR="00C37A69">
        <w:rPr>
          <w:color w:val="000000" w:themeColor="text1"/>
        </w:rPr>
        <w:fldChar w:fldCharType="begin"/>
      </w:r>
      <w:r w:rsidR="00EB5C47">
        <w:rPr>
          <w:color w:val="000000" w:themeColor="text1"/>
        </w:rPr>
        <w:instrText xml:space="preserve"> ADDIN ZOTERO_ITEM CSL_CITATION {"citationID":"cHsD82XA","properties":{"formattedCitation":"[47]","plainCitation":"[47]","noteIndex":0},"citationItems":[{"id":1590,"uris":["http://zotero.org/users/13277427/items/MGH4RK4B"],"itemData":{"id":1590,"type":"article-journal","abstract":"Mitochondria are the key source of ATP that fuels cellular functions, and they are also central in cellular signaling, cell division and apoptosis. Dysfunction of mitochondria has been implicated in a wide range of diseases, including neurodegenerative and cardiac diseases, and various types of cancer. One of the key proteins that regulate mitochondrial function is the voltage-dependent anion channel 1 (VDAC1), the most abundant protein on the outer membrane of mitochondria. VDAC1 is the gatekeeper for the passages of metabolites, nucleotides, and ions; it plays a crucial role in regulating apoptosis due to its interaction with apoptotic and anti-apoptotic proteins, namely members of the Bcl-2 family of proteins and hexokinase. Therefore, regulation of VDAC1 is crucial not only for metabolic functions of mitochondria, but also for cell survival. In fact, multiple lines of evidence have confirmed the involvement of VDAC1 in several diseases. Consequently, modulation or dysregulation of VDAC1 function can potentially attenuate or exacerbate pathophysiological conditions. Understanding the role of VDAC1 in health and disease could lead to selective protection of cells in different tissues and diverse diseases. The purpose of this review is to discuss the role of VDAC1 in the pathogenesis of diseases and as a potentially effective target for therapeutic management of various pathologies.","container-title":"Frontiers in Physiology","DOI":"10.3389/fphys.2017.00460","ISSN":"1664-042X","journalAbbreviation":"Front Physiol","note":"PMID: 28713289\nPMCID: PMC5491678","page":"460","source":"PubMed Central","title":"Mitochondrial VDAC1: A Key Gatekeeper as Potential Therapeutic Target","title-short":"Mitochondrial VDAC1","volume":"8","author":[{"family":"Camara","given":"Amadou K. S."},{"family":"Zhou","given":"YiFan"},{"family":"Wen","given":"Po-Chao"},{"family":"Tajkhorshid","given":"Emad"},{"family":"Kwok","given":"Wai-Meng"}],"issued":{"date-parts":[["2017",6,30]]}}}],"schema":"https://github.com/citation-style-language/schema/raw/master/csl-citation.json"} </w:instrText>
      </w:r>
      <w:r w:rsidR="00C37A69">
        <w:rPr>
          <w:color w:val="000000" w:themeColor="text1"/>
        </w:rPr>
        <w:fldChar w:fldCharType="separate"/>
      </w:r>
      <w:r w:rsidR="00EB5C47">
        <w:rPr>
          <w:noProof/>
          <w:color w:val="000000" w:themeColor="text1"/>
        </w:rPr>
        <w:t>[47]</w:t>
      </w:r>
      <w:r w:rsidR="00C37A69">
        <w:rPr>
          <w:color w:val="000000" w:themeColor="text1"/>
        </w:rPr>
        <w:fldChar w:fldCharType="end"/>
      </w:r>
      <w:r w:rsidR="00C37A69">
        <w:rPr>
          <w:color w:val="000000" w:themeColor="text1"/>
        </w:rPr>
        <w:t xml:space="preserve">. Lysosomal associated membrane protein 1 (LAMP 1) constitutes a large portion of the lysosomal membrane making it a suitable control for the lysosomal isolate </w:t>
      </w:r>
      <w:r w:rsidR="00C37A69">
        <w:rPr>
          <w:color w:val="000000" w:themeColor="text1"/>
        </w:rPr>
        <w:fldChar w:fldCharType="begin"/>
      </w:r>
      <w:r w:rsidR="00EB5C47">
        <w:rPr>
          <w:color w:val="000000" w:themeColor="text1"/>
        </w:rPr>
        <w:instrText xml:space="preserve"> ADDIN ZOTERO_ITEM CSL_CITATION {"citationID":"9RYKubQx","properties":{"formattedCitation":"[48]","plainCitation":"[48]","noteIndex":0},"citationItems":[{"id":1555,"uris":["http://zotero.org/users/13277427/items/P4838ELH"],"itemData":{"id":1555,"type":"webpage","title":"LAMP1 - an overview | ScienceDirect Topics","URL":"https://www.sciencedirect.com/topics/biochemistry-genetics-and-molecular-biology/lamp1","accessed":{"date-parts":[["2024",3,14]]}}}],"schema":"https://github.com/citation-style-language/schema/raw/master/csl-citation.json"} </w:instrText>
      </w:r>
      <w:r w:rsidR="00C37A69">
        <w:rPr>
          <w:color w:val="000000" w:themeColor="text1"/>
        </w:rPr>
        <w:fldChar w:fldCharType="separate"/>
      </w:r>
      <w:r w:rsidR="00EB5C47">
        <w:rPr>
          <w:noProof/>
          <w:color w:val="000000" w:themeColor="text1"/>
        </w:rPr>
        <w:t>[48]</w:t>
      </w:r>
      <w:r w:rsidR="00C37A69">
        <w:rPr>
          <w:color w:val="000000" w:themeColor="text1"/>
        </w:rPr>
        <w:fldChar w:fldCharType="end"/>
      </w:r>
      <w:r w:rsidR="00C37A69">
        <w:rPr>
          <w:color w:val="000000" w:themeColor="text1"/>
        </w:rPr>
        <w:t xml:space="preserve">. </w:t>
      </w:r>
      <w:r w:rsidR="00C37A69" w:rsidRPr="00C37A69">
        <w:rPr>
          <w:color w:val="000000" w:themeColor="text1"/>
        </w:rPr>
        <w:t xml:space="preserve">Beta Actin is largely expressed throughout the cell and is a commonly used control protein for western blotting, making it an optimal choice as the housekeeping protein for the CEB cytoplasmic cellular content lysate </w:t>
      </w:r>
      <w:r w:rsidR="00C37A69" w:rsidRPr="00C37A69">
        <w:rPr>
          <w:color w:val="000000" w:themeColor="text1"/>
        </w:rPr>
        <w:fldChar w:fldCharType="begin"/>
      </w:r>
      <w:r w:rsidR="00EB5C47">
        <w:rPr>
          <w:color w:val="000000" w:themeColor="text1"/>
        </w:rPr>
        <w:instrText xml:space="preserve"> ADDIN ZOTERO_ITEM CSL_CITATION {"citationID":"ZC9hPJbg","properties":{"formattedCitation":"[49]","plainCitation":"[49]","noteIndex":0},"citationItems":[{"id":1597,"uris":["http://zotero.org/users/13277427/items/7IKV2LTH"],"itemData":{"id":1597,"type":"webpage","title":"Beta-actin Loading Control | OriGene","URL":"https://www.origene.com/products/antibodies/primary-antibodies/loading-control-antibodies/beta-actin-loading-control","accessed":{"date-parts":[["2024",3,14]]}}}],"schema":"https://github.com/citation-style-language/schema/raw/master/csl-citation.json"} </w:instrText>
      </w:r>
      <w:r w:rsidR="00C37A69" w:rsidRPr="00C37A69">
        <w:rPr>
          <w:color w:val="000000" w:themeColor="text1"/>
        </w:rPr>
        <w:fldChar w:fldCharType="separate"/>
      </w:r>
      <w:r w:rsidR="00EB5C47">
        <w:rPr>
          <w:noProof/>
          <w:color w:val="000000" w:themeColor="text1"/>
        </w:rPr>
        <w:t>[49]</w:t>
      </w:r>
      <w:r w:rsidR="00C37A69" w:rsidRPr="00C37A69">
        <w:rPr>
          <w:color w:val="000000" w:themeColor="text1"/>
        </w:rPr>
        <w:fldChar w:fldCharType="end"/>
      </w:r>
      <w:r w:rsidR="00C37A69" w:rsidRPr="00C37A69">
        <w:rPr>
          <w:color w:val="000000" w:themeColor="text1"/>
        </w:rPr>
        <w:t>.</w:t>
      </w:r>
      <w:r w:rsidR="00C37A69">
        <w:rPr>
          <w:color w:val="000000" w:themeColor="text1"/>
        </w:rPr>
        <w:t xml:space="preserve"> </w:t>
      </w:r>
    </w:p>
    <w:p w14:paraId="0DB2D5C9" w14:textId="65860481" w:rsidR="00A50A35" w:rsidRPr="00C37A69" w:rsidRDefault="00A50A35" w:rsidP="00C37A69">
      <w:pPr>
        <w:ind w:firstLine="720"/>
      </w:pPr>
      <w:r>
        <w:t>Primaries and HRP conjugates incubated overnight at 4</w:t>
      </w:r>
      <w:r>
        <w:sym w:font="Symbol" w:char="F0B0"/>
      </w:r>
      <w:r>
        <w:t xml:space="preserve">C. Secondaries were incubated for 1hr at room temperature on a shaker. Between primary and secondary staining, as well as before imaging, the membrane was washed 3 times with </w:t>
      </w:r>
      <w:r w:rsidR="00BD0980">
        <w:t xml:space="preserve">0.05% </w:t>
      </w:r>
      <w:r>
        <w:t xml:space="preserve">PST-T for 10 minutes each wash. Between each stain the membranes were stripped using the following procedure: </w:t>
      </w:r>
      <w:proofErr w:type="spellStart"/>
      <w:r>
        <w:t>Nanopure</w:t>
      </w:r>
      <w:proofErr w:type="spellEnd"/>
      <w:r>
        <w:t xml:space="preserve"> water for 5 minutes, stripping buffer for 6 minutes (</w:t>
      </w:r>
      <w:proofErr w:type="spellStart"/>
      <w:r>
        <w:t>Advansta</w:t>
      </w:r>
      <w:proofErr w:type="spellEnd"/>
      <w:r>
        <w:t xml:space="preserve">, Cat#R03722D50), PST-T for 5 minutes, and blocking buffer for 5 minutes. All stripping steps were done at room temperature on the shaker. Western blot imaging was conducted on the </w:t>
      </w:r>
      <w:r w:rsidRPr="00F17BF6">
        <w:rPr>
          <w:color w:val="000000" w:themeColor="text1"/>
        </w:rPr>
        <w:t xml:space="preserve">Azure 600 Western Blot Imager. </w:t>
      </w:r>
      <w:r w:rsidRPr="00DC0406">
        <w:rPr>
          <w:color w:val="000000" w:themeColor="text1"/>
        </w:rPr>
        <w:t xml:space="preserve">For </w:t>
      </w:r>
      <w:r>
        <w:rPr>
          <w:color w:val="000000" w:themeColor="text1"/>
        </w:rPr>
        <w:t>i</w:t>
      </w:r>
      <w:r w:rsidRPr="00DC0406">
        <w:rPr>
          <w:color w:val="000000" w:themeColor="text1"/>
        </w:rPr>
        <w:t>maging, Pierce ECL Western Blotting Substrate was used for HRP detection (</w:t>
      </w:r>
      <w:proofErr w:type="spellStart"/>
      <w:r w:rsidRPr="00DC0406">
        <w:rPr>
          <w:color w:val="000000" w:themeColor="text1"/>
        </w:rPr>
        <w:t>Thermo</w:t>
      </w:r>
      <w:proofErr w:type="spellEnd"/>
      <w:r w:rsidRPr="00DC0406">
        <w:rPr>
          <w:color w:val="000000" w:themeColor="text1"/>
        </w:rPr>
        <w:t xml:space="preserve"> Fisher, Cat#32209). </w:t>
      </w:r>
      <w:r>
        <w:rPr>
          <w:color w:val="000000" w:themeColor="text1"/>
        </w:rPr>
        <w:t xml:space="preserve">Results were analyzed through ImageJ and statistical analysis done on GraphPad Prism. For quantitative results, T-testing was used to test for significance. </w:t>
      </w:r>
    </w:p>
    <w:p w14:paraId="679F6189" w14:textId="77777777" w:rsidR="00A50A35" w:rsidRPr="00A50A35" w:rsidRDefault="00A50A35" w:rsidP="00A50A35"/>
    <w:p w14:paraId="782F1210" w14:textId="6414393E" w:rsidR="003139B6" w:rsidRDefault="0041556C" w:rsidP="003139B6">
      <w:pPr>
        <w:pStyle w:val="Heading2"/>
      </w:pPr>
      <w:bookmarkStart w:id="30" w:name="_Toc165293354"/>
      <w:r>
        <w:t xml:space="preserve">3.4. </w:t>
      </w:r>
      <w:r w:rsidR="00A50A35" w:rsidRPr="00A50A35">
        <w:t>Results</w:t>
      </w:r>
      <w:bookmarkEnd w:id="30"/>
    </w:p>
    <w:p w14:paraId="7EF4519C" w14:textId="00423F6B" w:rsidR="0041556C" w:rsidRPr="00C6476F" w:rsidRDefault="0041556C" w:rsidP="00C37A69">
      <w:pPr>
        <w:ind w:firstLine="720"/>
      </w:pPr>
      <w:r>
        <w:t>To identify the location of STING protein post GC stimulation, a western blot was utilized. This methodology was chosen as it</w:t>
      </w:r>
      <w:r w:rsidRPr="00243321">
        <w:t xml:space="preserve"> allows </w:t>
      </w:r>
      <w:r>
        <w:t xml:space="preserve">for </w:t>
      </w:r>
      <w:r w:rsidRPr="00243321">
        <w:t xml:space="preserve">precise identification, quantification, and characterization of proteins based on their size, aiding in the elucidation of protein expression levels, post-translational modifications, and </w:t>
      </w:r>
      <w:r>
        <w:t xml:space="preserve">protein-protein </w:t>
      </w:r>
      <w:r w:rsidRPr="00243321">
        <w:t xml:space="preserve">interactions. </w:t>
      </w:r>
      <w:r>
        <w:t xml:space="preserve">Using this methodology both the location and relative expression levels </w:t>
      </w:r>
      <w:r w:rsidR="00624447">
        <w:t xml:space="preserve">of STING </w:t>
      </w:r>
      <w:r>
        <w:t xml:space="preserve">were detected in our experiments. The target protein for the western blot was the STING protein with HDAC 2, VDAC 1, LAMP 1a, and Beta Actin serving as housekeeping proteins. </w:t>
      </w:r>
    </w:p>
    <w:p w14:paraId="03A4B721" w14:textId="168E4174" w:rsidR="0041556C" w:rsidRDefault="0041556C" w:rsidP="00566649">
      <w:pPr>
        <w:ind w:firstLine="720"/>
      </w:pPr>
      <w:r>
        <w:rPr>
          <w:vanish/>
        </w:rPr>
        <w:t xml:space="preserve">     </w:t>
      </w:r>
      <w:r w:rsidRPr="00243321">
        <w:rPr>
          <w:vanish/>
        </w:rPr>
        <w:t>Top of Form</w:t>
      </w:r>
      <w:r>
        <w:rPr>
          <w:vanish/>
        </w:rPr>
        <w:t>The</w:t>
      </w:r>
      <w:r w:rsidRPr="00243321">
        <w:rPr>
          <w:vanish/>
        </w:rPr>
        <w:t>Bottom of Form</w:t>
      </w:r>
    </w:p>
    <w:p w14:paraId="611220D6" w14:textId="61AE37EF" w:rsidR="0041556C" w:rsidRPr="00364D04" w:rsidRDefault="001E7E3E" w:rsidP="00566649">
      <w:r>
        <w:rPr>
          <w:noProof/>
        </w:rPr>
        <w:drawing>
          <wp:inline distT="0" distB="0" distL="0" distR="0" wp14:anchorId="1C355A6E" wp14:editId="4B33875D">
            <wp:extent cx="5970496" cy="1990165"/>
            <wp:effectExtent l="0" t="0" r="0" b="0"/>
            <wp:docPr id="190869713" name="Picture 8" descr="A close-up of a black and white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69713" name="Picture 8" descr="A close-up of a black and white photo&#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010559" cy="2003519"/>
                    </a:xfrm>
                    <a:prstGeom prst="rect">
                      <a:avLst/>
                    </a:prstGeom>
                  </pic:spPr>
                </pic:pic>
              </a:graphicData>
            </a:graphic>
          </wp:inline>
        </w:drawing>
      </w:r>
    </w:p>
    <w:p w14:paraId="48A443C8" w14:textId="1DEADA00" w:rsidR="009333BD" w:rsidRPr="001D4EBC" w:rsidRDefault="0045228C" w:rsidP="0045228C">
      <w:pPr>
        <w:pStyle w:val="Caption"/>
        <w:rPr>
          <w:i w:val="0"/>
          <w:iCs w:val="0"/>
          <w:color w:val="000000" w:themeColor="text1"/>
          <w:sz w:val="20"/>
          <w:szCs w:val="20"/>
        </w:rPr>
      </w:pPr>
      <w:bookmarkStart w:id="31" w:name="_Toc165201227"/>
      <w:r w:rsidRPr="0045228C">
        <w:rPr>
          <w:b/>
          <w:bCs/>
          <w:i w:val="0"/>
          <w:iCs w:val="0"/>
          <w:color w:val="000000" w:themeColor="text1"/>
          <w:sz w:val="20"/>
          <w:szCs w:val="20"/>
        </w:rPr>
        <w:t xml:space="preserve">Figure </w:t>
      </w:r>
      <w:r w:rsidRPr="0045228C">
        <w:rPr>
          <w:b/>
          <w:bCs/>
          <w:i w:val="0"/>
          <w:iCs w:val="0"/>
          <w:color w:val="000000" w:themeColor="text1"/>
          <w:sz w:val="20"/>
          <w:szCs w:val="20"/>
        </w:rPr>
        <w:fldChar w:fldCharType="begin"/>
      </w:r>
      <w:r w:rsidRPr="0045228C">
        <w:rPr>
          <w:b/>
          <w:bCs/>
          <w:i w:val="0"/>
          <w:iCs w:val="0"/>
          <w:color w:val="000000" w:themeColor="text1"/>
          <w:sz w:val="20"/>
          <w:szCs w:val="20"/>
        </w:rPr>
        <w:instrText xml:space="preserve"> SEQ Figure \* ARABIC </w:instrText>
      </w:r>
      <w:r w:rsidRPr="0045228C">
        <w:rPr>
          <w:b/>
          <w:bCs/>
          <w:i w:val="0"/>
          <w:iCs w:val="0"/>
          <w:color w:val="000000" w:themeColor="text1"/>
          <w:sz w:val="20"/>
          <w:szCs w:val="20"/>
        </w:rPr>
        <w:fldChar w:fldCharType="separate"/>
      </w:r>
      <w:r w:rsidR="0021770C">
        <w:rPr>
          <w:b/>
          <w:bCs/>
          <w:i w:val="0"/>
          <w:iCs w:val="0"/>
          <w:noProof/>
          <w:color w:val="000000" w:themeColor="text1"/>
          <w:sz w:val="20"/>
          <w:szCs w:val="20"/>
        </w:rPr>
        <w:t>8</w:t>
      </w:r>
      <w:r w:rsidRPr="0045228C">
        <w:rPr>
          <w:b/>
          <w:bCs/>
          <w:i w:val="0"/>
          <w:iCs w:val="0"/>
          <w:color w:val="000000" w:themeColor="text1"/>
          <w:sz w:val="20"/>
          <w:szCs w:val="20"/>
        </w:rPr>
        <w:fldChar w:fldCharType="end"/>
      </w:r>
      <w:r w:rsidR="00AA697F" w:rsidRPr="0045228C">
        <w:rPr>
          <w:b/>
          <w:bCs/>
          <w:i w:val="0"/>
          <w:iCs w:val="0"/>
          <w:color w:val="000000" w:themeColor="text1"/>
          <w:sz w:val="20"/>
          <w:szCs w:val="20"/>
        </w:rPr>
        <w:t>:</w:t>
      </w:r>
      <w:r w:rsidR="0041556C" w:rsidRPr="0045228C">
        <w:rPr>
          <w:i w:val="0"/>
          <w:iCs w:val="0"/>
          <w:color w:val="000000" w:themeColor="text1"/>
          <w:sz w:val="20"/>
          <w:szCs w:val="20"/>
        </w:rPr>
        <w:t xml:space="preserve"> </w:t>
      </w:r>
      <w:r w:rsidR="0041556C" w:rsidRPr="001D4EBC">
        <w:rPr>
          <w:b/>
          <w:bCs/>
          <w:i w:val="0"/>
          <w:iCs w:val="0"/>
          <w:color w:val="000000" w:themeColor="text1"/>
          <w:sz w:val="20"/>
          <w:szCs w:val="20"/>
        </w:rPr>
        <w:t>Qualitative results from western blotting</w:t>
      </w:r>
      <w:r w:rsidR="0041556C" w:rsidRPr="001D4EBC">
        <w:rPr>
          <w:i w:val="0"/>
          <w:iCs w:val="0"/>
          <w:color w:val="000000" w:themeColor="text1"/>
          <w:sz w:val="20"/>
          <w:szCs w:val="20"/>
        </w:rPr>
        <w:t xml:space="preserve">. Demonstrates qualitative differences between GC-stimulated and non-stimulated BMDCs. Differences can be seen through dimer expression of STING. STING expression is higher in the lysosomal fraction of stimulated group compared to the control. CEB is the cytoplasmic contents, MEB is the membrane-bound cellular contents, NEB is the nucleic cellular contents, and </w:t>
      </w:r>
      <w:proofErr w:type="spellStart"/>
      <w:r w:rsidR="0041556C" w:rsidRPr="001D4EBC">
        <w:rPr>
          <w:i w:val="0"/>
          <w:iCs w:val="0"/>
          <w:color w:val="000000" w:themeColor="text1"/>
          <w:sz w:val="20"/>
          <w:szCs w:val="20"/>
        </w:rPr>
        <w:t>Lyso</w:t>
      </w:r>
      <w:proofErr w:type="spellEnd"/>
      <w:r w:rsidR="0041556C" w:rsidRPr="001D4EBC">
        <w:rPr>
          <w:i w:val="0"/>
          <w:iCs w:val="0"/>
          <w:color w:val="000000" w:themeColor="text1"/>
          <w:sz w:val="20"/>
          <w:szCs w:val="20"/>
        </w:rPr>
        <w:t xml:space="preserve"> is the lysosomal contents of the cell. LAMP 1 and VDAC 1 serve as control proteins for the lysosome and mitochondria respectively.</w:t>
      </w:r>
      <w:bookmarkEnd w:id="31"/>
      <w:r w:rsidR="0041556C" w:rsidRPr="001D4EBC">
        <w:rPr>
          <w:i w:val="0"/>
          <w:iCs w:val="0"/>
          <w:color w:val="000000" w:themeColor="text1"/>
          <w:sz w:val="20"/>
          <w:szCs w:val="20"/>
        </w:rPr>
        <w:t xml:space="preserve"> </w:t>
      </w:r>
    </w:p>
    <w:p w14:paraId="3EB4E5B2" w14:textId="7FDE2DC1" w:rsidR="0041556C" w:rsidRDefault="001E7E3E" w:rsidP="001E7E3E">
      <w:pPr>
        <w:jc w:val="center"/>
        <w:rPr>
          <w:b/>
          <w:bCs/>
        </w:rPr>
      </w:pPr>
      <w:r>
        <w:rPr>
          <w:b/>
          <w:bCs/>
          <w:noProof/>
        </w:rPr>
        <w:drawing>
          <wp:inline distT="0" distB="0" distL="0" distR="0" wp14:anchorId="098E520F" wp14:editId="26233CF0">
            <wp:extent cx="4377919" cy="3325252"/>
            <wp:effectExtent l="0" t="0" r="3810" b="2540"/>
            <wp:docPr id="860170287" name="Picture 4" descr="A collection of black ink mark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170287" name="Picture 4" descr="A collection of black ink marks&#10;&#10;Description automatically generated with medium confidenc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55084" cy="3383863"/>
                    </a:xfrm>
                    <a:prstGeom prst="rect">
                      <a:avLst/>
                    </a:prstGeom>
                  </pic:spPr>
                </pic:pic>
              </a:graphicData>
            </a:graphic>
          </wp:inline>
        </w:drawing>
      </w:r>
    </w:p>
    <w:p w14:paraId="3D15C888" w14:textId="470679CA" w:rsidR="001D4EBC" w:rsidRPr="00566649" w:rsidRDefault="0045228C" w:rsidP="00566649">
      <w:pPr>
        <w:pStyle w:val="Caption"/>
        <w:rPr>
          <w:color w:val="000000" w:themeColor="text1"/>
          <w:sz w:val="20"/>
          <w:szCs w:val="20"/>
        </w:rPr>
      </w:pPr>
      <w:bookmarkStart w:id="32" w:name="_Toc165201228"/>
      <w:r w:rsidRPr="0045228C">
        <w:rPr>
          <w:b/>
          <w:bCs/>
          <w:i w:val="0"/>
          <w:iCs w:val="0"/>
          <w:color w:val="000000" w:themeColor="text1"/>
          <w:sz w:val="20"/>
          <w:szCs w:val="20"/>
        </w:rPr>
        <w:lastRenderedPageBreak/>
        <w:t xml:space="preserve">Figure </w:t>
      </w:r>
      <w:r w:rsidRPr="0045228C">
        <w:rPr>
          <w:b/>
          <w:bCs/>
          <w:i w:val="0"/>
          <w:iCs w:val="0"/>
          <w:color w:val="000000" w:themeColor="text1"/>
          <w:sz w:val="20"/>
          <w:szCs w:val="20"/>
        </w:rPr>
        <w:fldChar w:fldCharType="begin"/>
      </w:r>
      <w:r w:rsidRPr="0045228C">
        <w:rPr>
          <w:b/>
          <w:bCs/>
          <w:i w:val="0"/>
          <w:iCs w:val="0"/>
          <w:color w:val="000000" w:themeColor="text1"/>
          <w:sz w:val="20"/>
          <w:szCs w:val="20"/>
        </w:rPr>
        <w:instrText xml:space="preserve"> SEQ Figure \* ARABIC </w:instrText>
      </w:r>
      <w:r w:rsidRPr="0045228C">
        <w:rPr>
          <w:b/>
          <w:bCs/>
          <w:i w:val="0"/>
          <w:iCs w:val="0"/>
          <w:color w:val="000000" w:themeColor="text1"/>
          <w:sz w:val="20"/>
          <w:szCs w:val="20"/>
        </w:rPr>
        <w:fldChar w:fldCharType="separate"/>
      </w:r>
      <w:r w:rsidR="0021770C">
        <w:rPr>
          <w:b/>
          <w:bCs/>
          <w:i w:val="0"/>
          <w:iCs w:val="0"/>
          <w:noProof/>
          <w:color w:val="000000" w:themeColor="text1"/>
          <w:sz w:val="20"/>
          <w:szCs w:val="20"/>
        </w:rPr>
        <w:t>9</w:t>
      </w:r>
      <w:r w:rsidRPr="0045228C">
        <w:rPr>
          <w:b/>
          <w:bCs/>
          <w:i w:val="0"/>
          <w:iCs w:val="0"/>
          <w:color w:val="000000" w:themeColor="text1"/>
          <w:sz w:val="20"/>
          <w:szCs w:val="20"/>
        </w:rPr>
        <w:fldChar w:fldCharType="end"/>
      </w:r>
      <w:r w:rsidRPr="0045228C">
        <w:rPr>
          <w:b/>
          <w:bCs/>
          <w:i w:val="0"/>
          <w:iCs w:val="0"/>
          <w:color w:val="000000" w:themeColor="text1"/>
          <w:sz w:val="20"/>
          <w:szCs w:val="20"/>
        </w:rPr>
        <w:t>:</w:t>
      </w:r>
      <w:r w:rsidR="0041556C" w:rsidRPr="0045228C">
        <w:rPr>
          <w:b/>
          <w:bCs/>
          <w:i w:val="0"/>
          <w:iCs w:val="0"/>
          <w:color w:val="000000" w:themeColor="text1"/>
          <w:sz w:val="20"/>
          <w:szCs w:val="20"/>
        </w:rPr>
        <w:t>W</w:t>
      </w:r>
      <w:r w:rsidR="0041556C" w:rsidRPr="001D4EBC">
        <w:rPr>
          <w:b/>
          <w:bCs/>
          <w:color w:val="000000" w:themeColor="text1"/>
          <w:sz w:val="20"/>
          <w:szCs w:val="20"/>
        </w:rPr>
        <w:t>estern blot with STING expression and STING dimer expression</w:t>
      </w:r>
      <w:r w:rsidR="0041556C" w:rsidRPr="001D4EBC">
        <w:rPr>
          <w:color w:val="000000" w:themeColor="text1"/>
          <w:sz w:val="20"/>
          <w:szCs w:val="20"/>
        </w:rPr>
        <w:t xml:space="preserve">. CEB is the cytoplasmic contents, MEB is the membrane bound cellular contents, NEB is the nucleic cellular contents, and </w:t>
      </w:r>
      <w:proofErr w:type="spellStart"/>
      <w:r w:rsidR="0041556C" w:rsidRPr="001D4EBC">
        <w:rPr>
          <w:color w:val="000000" w:themeColor="text1"/>
          <w:sz w:val="20"/>
          <w:szCs w:val="20"/>
        </w:rPr>
        <w:t>Lyso</w:t>
      </w:r>
      <w:proofErr w:type="spellEnd"/>
      <w:r w:rsidR="0041556C" w:rsidRPr="001D4EBC">
        <w:rPr>
          <w:color w:val="000000" w:themeColor="text1"/>
          <w:sz w:val="20"/>
          <w:szCs w:val="20"/>
        </w:rPr>
        <w:t xml:space="preserve"> is the lysosomal contents of the cell. LAMP 1, VDAC 1, HDAC 2, and Bet</w:t>
      </w:r>
      <w:r w:rsidR="0041556C" w:rsidRPr="003831EE">
        <w:rPr>
          <w:i w:val="0"/>
          <w:iCs w:val="0"/>
          <w:color w:val="000000" w:themeColor="text1"/>
          <w:sz w:val="20"/>
          <w:szCs w:val="20"/>
        </w:rPr>
        <w:t xml:space="preserve">a Actin served as control proteins to show that the lysate isolation for each subcellular component was successful. </w:t>
      </w:r>
      <w:r w:rsidR="00364D04" w:rsidRPr="003831EE">
        <w:rPr>
          <w:i w:val="0"/>
          <w:iCs w:val="0"/>
          <w:color w:val="000000" w:themeColor="text1"/>
          <w:sz w:val="20"/>
          <w:szCs w:val="20"/>
        </w:rPr>
        <w:t xml:space="preserve">Note: There have been some reports of low expression of HDAC 2 in the cytoplasm, this can be seen by the slight bandage in the CEB lysates </w:t>
      </w:r>
      <w:r w:rsidR="00364D04" w:rsidRPr="003831EE">
        <w:rPr>
          <w:i w:val="0"/>
          <w:iCs w:val="0"/>
          <w:color w:val="000000" w:themeColor="text1"/>
          <w:sz w:val="20"/>
          <w:szCs w:val="20"/>
        </w:rPr>
        <w:fldChar w:fldCharType="begin"/>
      </w:r>
      <w:r w:rsidR="00EB5C47" w:rsidRPr="003831EE">
        <w:rPr>
          <w:i w:val="0"/>
          <w:iCs w:val="0"/>
          <w:color w:val="000000" w:themeColor="text1"/>
          <w:sz w:val="20"/>
          <w:szCs w:val="20"/>
        </w:rPr>
        <w:instrText xml:space="preserve"> ADDIN ZOTERO_ITEM CSL_CITATION {"citationID":"nLsg6d5S","properties":{"formattedCitation":"[50]","plainCitation":"[50]","noteIndex":0},"citationItems":[{"id":1533,"uris":["http://zotero.org/users/13277427/items/QAHNYXF8"],"itemData":{"id":1533,"type":"webpage","title":"Histone Deacetylase 2 - an overview | ScienceDirect Topics","URL":"https://www.sciencedirect.com/topics/biochemistry-genetics-and-molecular-biology/histone-deacetylase-2","accessed":{"date-parts":[["2024",3,12]]}}}],"schema":"https://github.com/citation-style-language/schema/raw/master/csl-citation.json"} </w:instrText>
      </w:r>
      <w:r w:rsidR="00364D04" w:rsidRPr="003831EE">
        <w:rPr>
          <w:i w:val="0"/>
          <w:iCs w:val="0"/>
          <w:color w:val="000000" w:themeColor="text1"/>
          <w:sz w:val="20"/>
          <w:szCs w:val="20"/>
        </w:rPr>
        <w:fldChar w:fldCharType="separate"/>
      </w:r>
      <w:r w:rsidR="00EB5C47" w:rsidRPr="003831EE">
        <w:rPr>
          <w:i w:val="0"/>
          <w:iCs w:val="0"/>
          <w:noProof/>
          <w:color w:val="000000" w:themeColor="text1"/>
          <w:sz w:val="20"/>
          <w:szCs w:val="20"/>
        </w:rPr>
        <w:t>[50]</w:t>
      </w:r>
      <w:r w:rsidR="00364D04" w:rsidRPr="003831EE">
        <w:rPr>
          <w:i w:val="0"/>
          <w:iCs w:val="0"/>
          <w:color w:val="000000" w:themeColor="text1"/>
          <w:sz w:val="20"/>
          <w:szCs w:val="20"/>
        </w:rPr>
        <w:fldChar w:fldCharType="end"/>
      </w:r>
      <w:r w:rsidR="003831EE">
        <w:rPr>
          <w:i w:val="0"/>
          <w:iCs w:val="0"/>
          <w:color w:val="000000" w:themeColor="text1"/>
          <w:sz w:val="20"/>
          <w:szCs w:val="20"/>
        </w:rPr>
        <w:t>.</w:t>
      </w:r>
      <w:bookmarkEnd w:id="32"/>
      <w:r w:rsidR="003831EE">
        <w:rPr>
          <w:i w:val="0"/>
          <w:iCs w:val="0"/>
          <w:color w:val="000000" w:themeColor="text1"/>
          <w:sz w:val="20"/>
          <w:szCs w:val="20"/>
        </w:rPr>
        <w:t xml:space="preserve"> </w:t>
      </w:r>
    </w:p>
    <w:p w14:paraId="7A33A4A3" w14:textId="52F5DCCC" w:rsidR="0041556C" w:rsidRDefault="0041556C" w:rsidP="0041556C">
      <w:pPr>
        <w:ind w:firstLine="720"/>
      </w:pPr>
      <w:r>
        <w:t xml:space="preserve">It can be seen in </w:t>
      </w:r>
      <w:r>
        <w:rPr>
          <w:b/>
          <w:bCs/>
        </w:rPr>
        <w:t xml:space="preserve">Figures </w:t>
      </w:r>
      <w:r w:rsidR="0045228C">
        <w:rPr>
          <w:b/>
          <w:bCs/>
        </w:rPr>
        <w:t xml:space="preserve">8 </w:t>
      </w:r>
      <w:r>
        <w:rPr>
          <w:b/>
          <w:bCs/>
        </w:rPr>
        <w:t xml:space="preserve">&amp; </w:t>
      </w:r>
      <w:r w:rsidR="0045228C">
        <w:rPr>
          <w:b/>
          <w:bCs/>
        </w:rPr>
        <w:t>9</w:t>
      </w:r>
      <w:r>
        <w:t xml:space="preserve"> </w:t>
      </w:r>
      <w:r w:rsidRPr="00827471">
        <w:t>that</w:t>
      </w:r>
      <w:r>
        <w:t xml:space="preserve"> STING is present within the membrane and lysosomal isolations. STING in the membrane lysate can be seen at ~35kDa </w:t>
      </w:r>
      <w:r>
        <w:fldChar w:fldCharType="begin"/>
      </w:r>
      <w:r w:rsidR="00EB5C47">
        <w:instrText xml:space="preserve"> ADDIN ZOTERO_ITEM CSL_CITATION {"citationID":"oa80kbDp","properties":{"formattedCitation":"[51]","plainCitation":"[51]","noteIndex":0},"citationItems":[{"id":1552,"uris":["http://zotero.org/users/13277427/items/29H3YND3"],"itemData":{"id":1552,"type":"webpage","abstract":"Monoclonal Antibody for studying STING. Cited in 498 publications. Validated for WB, IP, IHC, IHC. Available in 2 sizes. Highly specific and rigorously validated in-house, STING (D2P2F) Rabbit Monoclonal Antibody (CST #13647) is ready to ship.","container-title":"Cell Signaling Technology","language":"en","title":"STING (D2P2F) Rabbit mAb","URL":"https://www.cellsignal.com/products/primary-antibodies/sting-d2p2f-rabbit-mab/13647","accessed":{"date-parts":[["2024",3,14]]}}}],"schema":"https://github.com/citation-style-language/schema/raw/master/csl-citation.json"} </w:instrText>
      </w:r>
      <w:r>
        <w:fldChar w:fldCharType="separate"/>
      </w:r>
      <w:r w:rsidR="00EB5C47">
        <w:rPr>
          <w:noProof/>
        </w:rPr>
        <w:t>[51]</w:t>
      </w:r>
      <w:r>
        <w:fldChar w:fldCharType="end"/>
      </w:r>
      <w:r>
        <w:t xml:space="preserve">. STING within the lysosome can be seen at ~70kDa as the protein dimerizes once activated </w:t>
      </w:r>
      <w:r>
        <w:fldChar w:fldCharType="begin"/>
      </w:r>
      <w:r w:rsidR="00EB5C47">
        <w:instrText xml:space="preserve"> ADDIN ZOTERO_ITEM CSL_CITATION {"citationID":"Uuk3fTGw","properties":{"formattedCitation":"[52]","plainCitation":"[52]","noteIndex":0},"citationItems":[{"id":1549,"uris":["http://zotero.org/users/13277427/items/H8W28XFP"],"itemData":{"id":1549,"type":"article-journal","abstract":"The cGAS-cGAMP-STING pathway is an important innate immune signaling cascade responsible for the sensing of abnormal cytosolic double-stranded DNA (dsDNA), which is a hallmark of infection or cancers. Recently, tremendous progress has been made in the understanding of the STING activation mechanism from various aspects. In this review, the molecular mechanism of activation of STING protein based on its structural features is briefly discussed. The underlying molecular mechanism of STING activation will enable us to develop novel therapeutics to treat STING-associated diseases and understand how STING has evolved to eliminate infection and maintain immune homeostasis in innate immunity.","container-title":"Frontiers in Immunology","DOI":"10.3389/fimmu.2022.808607","ISSN":"1664-3224","journalAbbreviation":"Front Immunol","note":"PMID: 35928815\nPMCID: PMC9343627","page":"808607","source":"PubMed Central","title":"Activation of STING Based on Its Structural Features","volume":"13","author":[{"family":"Hussain","given":"Behzad"},{"family":"Xie","given":"Yufeng"},{"family":"Jabeen","given":"Uzma"},{"family":"Lu","given":"Defen"},{"family":"Yang","given":"Bo"},{"family":"Wu","given":"Changxin"},{"family":"Shang","given":"Guijun"}],"issued":{"date-parts":[["2022",7,19]]}}}],"schema":"https://github.com/citation-style-language/schema/raw/master/csl-citation.json"} </w:instrText>
      </w:r>
      <w:r>
        <w:fldChar w:fldCharType="separate"/>
      </w:r>
      <w:r w:rsidR="00EB5C47">
        <w:rPr>
          <w:noProof/>
        </w:rPr>
        <w:t>[52]</w:t>
      </w:r>
      <w:r>
        <w:fldChar w:fldCharType="end"/>
      </w:r>
      <w:r>
        <w:t xml:space="preserve">. Within the lysosomal groups STING has an increased presence within the stimulated group indicating an increased presence of STING within the lysosome upon GC stimulation. These results indicate an uptake in STING trafficking to the lysosome upon interactions with GC. </w:t>
      </w:r>
    </w:p>
    <w:p w14:paraId="19CA8734" w14:textId="42BE834E" w:rsidR="00566649" w:rsidRDefault="0041556C" w:rsidP="003D32ED">
      <w:pPr>
        <w:ind w:firstLine="720"/>
      </w:pPr>
      <w:r>
        <w:t xml:space="preserve">Quantitative analysis was not feasible on the samples at this time. Two factors contributed to challenges </w:t>
      </w:r>
      <w:r w:rsidR="008011AE">
        <w:t>limiting</w:t>
      </w:r>
      <w:r>
        <w:t xml:space="preserve"> quantitative analysis: upregulation of the housekeeping protein, and intensity variations dependent on exposure times. The housekeeping protein used to normalize the STING expression in the lysosomal lysate was LAMP 1. During the western blotting, it was noticed that the expression of LAMP 1 was higher in the stimulated groups than the control groups</w:t>
      </w:r>
      <w:r w:rsidR="00C81ED2">
        <w:t xml:space="preserve"> (as seen in </w:t>
      </w:r>
      <w:r w:rsidR="00C81ED2">
        <w:rPr>
          <w:b/>
          <w:bCs/>
        </w:rPr>
        <w:t xml:space="preserve">Figure </w:t>
      </w:r>
      <w:r w:rsidR="0045228C">
        <w:rPr>
          <w:b/>
          <w:bCs/>
        </w:rPr>
        <w:t>9</w:t>
      </w:r>
      <w:r w:rsidR="00C81ED2">
        <w:rPr>
          <w:b/>
          <w:bCs/>
        </w:rPr>
        <w:t>)</w:t>
      </w:r>
      <w:r>
        <w:t xml:space="preserve">. This led to the hypothesis that LAMP 1 was upregulated in response to GC stimulation. This was later confirmed in </w:t>
      </w:r>
      <w:r w:rsidR="00C81ED2">
        <w:t>our</w:t>
      </w:r>
      <w:r>
        <w:t xml:space="preserve"> bulk RNA sequencing data where in response to GC stimulation LAMP 1 is upregulated, hence the increased expression detected on the western blot</w:t>
      </w:r>
      <w:r w:rsidR="00C81ED2">
        <w:t xml:space="preserve"> (see Chapter 5 below)</w:t>
      </w:r>
      <w:r>
        <w:t xml:space="preserve">. Additionally, while lower exposure time was able to better highlight differences between the stimulated and control group, it caused inconsistencies with data analysis. An example of this variability can be seen in </w:t>
      </w:r>
      <w:r>
        <w:rPr>
          <w:b/>
          <w:bCs/>
        </w:rPr>
        <w:t>Figure 1</w:t>
      </w:r>
      <w:r w:rsidR="0045228C">
        <w:rPr>
          <w:b/>
          <w:bCs/>
        </w:rPr>
        <w:t>0</w:t>
      </w:r>
      <w:r>
        <w:rPr>
          <w:b/>
          <w:bCs/>
        </w:rPr>
        <w:t xml:space="preserve">. </w:t>
      </w:r>
      <w:r>
        <w:t xml:space="preserve">Here it can be seen that a 2 second difference in exposure drastically changed the measured intensity density for the STING expression. Stimulated STING expression within the lysosomal isolate was not drastically altered as its expression was high and resistant to alterations. However, the STING expression in the control group was much lower, therefore exposure time significantly affects its appearance during imaging. This effect can be seen both qualitatively in </w:t>
      </w:r>
      <w:r>
        <w:rPr>
          <w:b/>
          <w:bCs/>
        </w:rPr>
        <w:t>Figure 1</w:t>
      </w:r>
      <w:r w:rsidR="0045228C">
        <w:rPr>
          <w:b/>
          <w:bCs/>
        </w:rPr>
        <w:t>0</w:t>
      </w:r>
      <w:r>
        <w:t xml:space="preserve"> and quantitatively in </w:t>
      </w:r>
      <w:r>
        <w:rPr>
          <w:b/>
          <w:bCs/>
        </w:rPr>
        <w:t>Figure 1</w:t>
      </w:r>
      <w:r w:rsidR="0045228C">
        <w:rPr>
          <w:b/>
          <w:bCs/>
        </w:rPr>
        <w:t>1</w:t>
      </w:r>
      <w:r>
        <w:t xml:space="preserve">. In </w:t>
      </w:r>
      <w:r>
        <w:rPr>
          <w:b/>
          <w:bCs/>
        </w:rPr>
        <w:t>Figure 1</w:t>
      </w:r>
      <w:r w:rsidR="0045228C">
        <w:rPr>
          <w:b/>
          <w:bCs/>
        </w:rPr>
        <w:t>1</w:t>
      </w:r>
      <w:r>
        <w:t xml:space="preserve"> it can be seen how the variance in intensity can affect </w:t>
      </w:r>
      <w:proofErr w:type="gramStart"/>
      <w:r>
        <w:t>whether or not</w:t>
      </w:r>
      <w:proofErr w:type="gramEnd"/>
      <w:r>
        <w:t xml:space="preserve"> the difference between the control and stimulated groups were statistically significant from one another. For this analysis, an unpaired t-test with Welch’s correction was used with significance P&lt;0.05. </w:t>
      </w:r>
    </w:p>
    <w:p w14:paraId="56BD8E58" w14:textId="77777777" w:rsidR="003D32ED" w:rsidRDefault="003D32ED" w:rsidP="003D32ED">
      <w:pPr>
        <w:ind w:firstLine="720"/>
      </w:pPr>
    </w:p>
    <w:p w14:paraId="4F0660DB" w14:textId="77777777" w:rsidR="003D32ED" w:rsidRDefault="003D32ED" w:rsidP="003D32ED">
      <w:pPr>
        <w:ind w:firstLine="720"/>
      </w:pPr>
      <w:r>
        <w:rPr>
          <w:noProof/>
        </w:rPr>
        <w:drawing>
          <wp:inline distT="0" distB="0" distL="0" distR="0" wp14:anchorId="3F19BF23" wp14:editId="6902A93B">
            <wp:extent cx="4937173" cy="194553"/>
            <wp:effectExtent l="0" t="0" r="0" b="0"/>
            <wp:docPr id="977807762" name="Picture 3" descr="A black and white im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73702" name="Picture 3" descr="A black and white image of a person's face&#10;&#10;Description automatically generated"/>
                    <pic:cNvPicPr/>
                  </pic:nvPicPr>
                  <pic:blipFill rotWithShape="1">
                    <a:blip r:embed="rId21" cstate="print">
                      <a:extLst>
                        <a:ext uri="{28A0092B-C50C-407E-A947-70E740481C1C}">
                          <a14:useLocalDpi xmlns:a14="http://schemas.microsoft.com/office/drawing/2010/main" val="0"/>
                        </a:ext>
                      </a:extLst>
                    </a:blip>
                    <a:srcRect t="4762" b="82895"/>
                    <a:stretch/>
                  </pic:blipFill>
                  <pic:spPr bwMode="auto">
                    <a:xfrm>
                      <a:off x="0" y="0"/>
                      <a:ext cx="5026708" cy="198081"/>
                    </a:xfrm>
                    <a:prstGeom prst="rect">
                      <a:avLst/>
                    </a:prstGeom>
                    <a:ln>
                      <a:noFill/>
                    </a:ln>
                    <a:extLst>
                      <a:ext uri="{53640926-AAD7-44D8-BBD7-CCE9431645EC}">
                        <a14:shadowObscured xmlns:a14="http://schemas.microsoft.com/office/drawing/2010/main"/>
                      </a:ext>
                    </a:extLst>
                  </pic:spPr>
                </pic:pic>
              </a:graphicData>
            </a:graphic>
          </wp:inline>
        </w:drawing>
      </w:r>
    </w:p>
    <w:p w14:paraId="47E9B507" w14:textId="410A9BC3" w:rsidR="0041556C" w:rsidRDefault="001E7E3E" w:rsidP="003D32ED">
      <w:pPr>
        <w:ind w:firstLine="720"/>
      </w:pPr>
      <w:r>
        <w:rPr>
          <w:noProof/>
        </w:rPr>
        <w:drawing>
          <wp:inline distT="0" distB="0" distL="0" distR="0" wp14:anchorId="139662C8" wp14:editId="21C027B2">
            <wp:extent cx="4937173" cy="1141217"/>
            <wp:effectExtent l="0" t="0" r="3175" b="1905"/>
            <wp:docPr id="1232773702" name="Picture 3" descr="A black and white image of a person's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773702" name="Picture 3" descr="A black and white image of a person's face&#10;&#10;Description automatically generated"/>
                    <pic:cNvPicPr/>
                  </pic:nvPicPr>
                  <pic:blipFill rotWithShape="1">
                    <a:blip r:embed="rId22" cstate="print">
                      <a:extLst>
                        <a:ext uri="{28A0092B-C50C-407E-A947-70E740481C1C}">
                          <a14:useLocalDpi xmlns:a14="http://schemas.microsoft.com/office/drawing/2010/main" val="0"/>
                        </a:ext>
                      </a:extLst>
                    </a:blip>
                    <a:srcRect t="27597" b="-1"/>
                    <a:stretch/>
                  </pic:blipFill>
                  <pic:spPr bwMode="auto">
                    <a:xfrm>
                      <a:off x="0" y="0"/>
                      <a:ext cx="4938314" cy="1141481"/>
                    </a:xfrm>
                    <a:prstGeom prst="rect">
                      <a:avLst/>
                    </a:prstGeom>
                    <a:ln>
                      <a:noFill/>
                    </a:ln>
                    <a:extLst>
                      <a:ext uri="{53640926-AAD7-44D8-BBD7-CCE9431645EC}">
                        <a14:shadowObscured xmlns:a14="http://schemas.microsoft.com/office/drawing/2010/main"/>
                      </a:ext>
                    </a:extLst>
                  </pic:spPr>
                </pic:pic>
              </a:graphicData>
            </a:graphic>
          </wp:inline>
        </w:drawing>
      </w:r>
    </w:p>
    <w:p w14:paraId="0552F3B9" w14:textId="063200F9" w:rsidR="00364D04" w:rsidRPr="00566649" w:rsidRDefault="0041556C" w:rsidP="00566649">
      <w:pPr>
        <w:jc w:val="both"/>
        <w:rPr>
          <w:color w:val="000000" w:themeColor="text1"/>
          <w:sz w:val="20"/>
          <w:szCs w:val="20"/>
        </w:rPr>
      </w:pPr>
      <w:bookmarkStart w:id="33" w:name="_Toc165201229"/>
      <w:r w:rsidRPr="001D4EBC">
        <w:rPr>
          <w:b/>
          <w:bCs/>
          <w:color w:val="000000" w:themeColor="text1"/>
          <w:sz w:val="20"/>
          <w:szCs w:val="20"/>
        </w:rPr>
        <w:t xml:space="preserve">Figure </w:t>
      </w:r>
      <w:r w:rsidRPr="001D4EBC">
        <w:rPr>
          <w:b/>
          <w:bCs/>
          <w:i/>
          <w:iCs/>
          <w:color w:val="000000" w:themeColor="text1"/>
          <w:sz w:val="20"/>
          <w:szCs w:val="20"/>
        </w:rPr>
        <w:fldChar w:fldCharType="begin"/>
      </w:r>
      <w:r w:rsidRPr="001D4EBC">
        <w:rPr>
          <w:b/>
          <w:bCs/>
          <w:color w:val="000000" w:themeColor="text1"/>
          <w:sz w:val="20"/>
          <w:szCs w:val="20"/>
        </w:rPr>
        <w:instrText xml:space="preserve"> SEQ Figure \* ARABIC </w:instrText>
      </w:r>
      <w:r w:rsidRPr="001D4EBC">
        <w:rPr>
          <w:b/>
          <w:bCs/>
          <w:i/>
          <w:iCs/>
          <w:color w:val="000000" w:themeColor="text1"/>
          <w:sz w:val="20"/>
          <w:szCs w:val="20"/>
        </w:rPr>
        <w:fldChar w:fldCharType="separate"/>
      </w:r>
      <w:r w:rsidR="0021770C">
        <w:rPr>
          <w:b/>
          <w:bCs/>
          <w:noProof/>
          <w:color w:val="000000" w:themeColor="text1"/>
          <w:sz w:val="20"/>
          <w:szCs w:val="20"/>
        </w:rPr>
        <w:t>10</w:t>
      </w:r>
      <w:r w:rsidRPr="001D4EBC">
        <w:rPr>
          <w:b/>
          <w:bCs/>
          <w:i/>
          <w:iCs/>
          <w:color w:val="000000" w:themeColor="text1"/>
          <w:sz w:val="20"/>
          <w:szCs w:val="20"/>
        </w:rPr>
        <w:fldChar w:fldCharType="end"/>
      </w:r>
      <w:r w:rsidRPr="001D4EBC">
        <w:rPr>
          <w:color w:val="000000" w:themeColor="text1"/>
          <w:sz w:val="20"/>
          <w:szCs w:val="20"/>
        </w:rPr>
        <w:t xml:space="preserve">: </w:t>
      </w:r>
      <w:r w:rsidR="001D4EBC" w:rsidRPr="001D4EBC">
        <w:rPr>
          <w:b/>
          <w:bCs/>
          <w:color w:val="000000" w:themeColor="text1"/>
          <w:sz w:val="20"/>
          <w:szCs w:val="20"/>
        </w:rPr>
        <w:t>Exposure time effects.</w:t>
      </w:r>
      <w:r w:rsidR="001D4EBC" w:rsidRPr="001D4EBC">
        <w:rPr>
          <w:color w:val="000000" w:themeColor="text1"/>
          <w:sz w:val="20"/>
          <w:szCs w:val="20"/>
        </w:rPr>
        <w:t xml:space="preserve"> </w:t>
      </w:r>
      <w:r w:rsidRPr="001D4EBC">
        <w:rPr>
          <w:color w:val="000000" w:themeColor="text1"/>
          <w:sz w:val="20"/>
          <w:szCs w:val="20"/>
        </w:rPr>
        <w:t xml:space="preserve">STING dimer from gel two expression variations based on exposure time. NEB is the nucleic cellular contents, and </w:t>
      </w:r>
      <w:proofErr w:type="spellStart"/>
      <w:r w:rsidRPr="001D4EBC">
        <w:rPr>
          <w:color w:val="000000" w:themeColor="text1"/>
          <w:sz w:val="20"/>
          <w:szCs w:val="20"/>
        </w:rPr>
        <w:t>Lyso</w:t>
      </w:r>
      <w:proofErr w:type="spellEnd"/>
      <w:r w:rsidRPr="001D4EBC">
        <w:rPr>
          <w:color w:val="000000" w:themeColor="text1"/>
          <w:sz w:val="20"/>
          <w:szCs w:val="20"/>
        </w:rPr>
        <w:t xml:space="preserve"> is the lysosomal contents of the cell. Differences in control group (CTRL) and stimulated group (STIM) are more apparent during ImageJ analysis in the 1s exposure group compared to the 3s exposure group.</w:t>
      </w:r>
      <w:bookmarkEnd w:id="33"/>
      <w:r w:rsidRPr="001D4EBC">
        <w:rPr>
          <w:color w:val="000000" w:themeColor="text1"/>
          <w:sz w:val="20"/>
          <w:szCs w:val="20"/>
        </w:rPr>
        <w:t xml:space="preserve"> </w:t>
      </w:r>
    </w:p>
    <w:p w14:paraId="0DD91058" w14:textId="0DB90389" w:rsidR="0041556C" w:rsidRPr="008274E1" w:rsidRDefault="00840127" w:rsidP="00840127">
      <w:pPr>
        <w:jc w:val="center"/>
      </w:pPr>
      <w:r>
        <w:rPr>
          <w:noProof/>
        </w:rPr>
        <w:lastRenderedPageBreak/>
        <w:drawing>
          <wp:inline distT="0" distB="0" distL="0" distR="0" wp14:anchorId="0DC954CC" wp14:editId="5E779712">
            <wp:extent cx="5123140" cy="4263312"/>
            <wp:effectExtent l="0" t="0" r="0" b="4445"/>
            <wp:docPr id="4479195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919547" name="Picture 447919547"/>
                    <pic:cNvPicPr/>
                  </pic:nvPicPr>
                  <pic:blipFill rotWithShape="1">
                    <a:blip r:embed="rId23" cstate="print">
                      <a:extLst>
                        <a:ext uri="{28A0092B-C50C-407E-A947-70E740481C1C}">
                          <a14:useLocalDpi xmlns:a14="http://schemas.microsoft.com/office/drawing/2010/main" val="0"/>
                        </a:ext>
                      </a:extLst>
                    </a:blip>
                    <a:srcRect t="2220" b="1677"/>
                    <a:stretch/>
                  </pic:blipFill>
                  <pic:spPr bwMode="auto">
                    <a:xfrm>
                      <a:off x="0" y="0"/>
                      <a:ext cx="5202678" cy="4329501"/>
                    </a:xfrm>
                    <a:prstGeom prst="rect">
                      <a:avLst/>
                    </a:prstGeom>
                    <a:ln>
                      <a:noFill/>
                    </a:ln>
                    <a:extLst>
                      <a:ext uri="{53640926-AAD7-44D8-BBD7-CCE9431645EC}">
                        <a14:shadowObscured xmlns:a14="http://schemas.microsoft.com/office/drawing/2010/main"/>
                      </a:ext>
                    </a:extLst>
                  </pic:spPr>
                </pic:pic>
              </a:graphicData>
            </a:graphic>
          </wp:inline>
        </w:drawing>
      </w:r>
    </w:p>
    <w:p w14:paraId="5B54AB33" w14:textId="761B0AEA" w:rsidR="0041556C" w:rsidRPr="001D4EBC" w:rsidRDefault="0041556C" w:rsidP="001D4EBC">
      <w:pPr>
        <w:pStyle w:val="Caption"/>
        <w:jc w:val="both"/>
        <w:rPr>
          <w:i w:val="0"/>
          <w:iCs w:val="0"/>
          <w:color w:val="000000" w:themeColor="text1"/>
          <w:sz w:val="20"/>
          <w:szCs w:val="20"/>
        </w:rPr>
      </w:pPr>
      <w:bookmarkStart w:id="34" w:name="_Toc165201230"/>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11</w:t>
      </w:r>
      <w:r w:rsidRPr="001D4EBC">
        <w:rPr>
          <w:b/>
          <w:bCs/>
          <w:i w:val="0"/>
          <w:iCs w:val="0"/>
          <w:color w:val="000000" w:themeColor="text1"/>
          <w:sz w:val="20"/>
          <w:szCs w:val="20"/>
        </w:rPr>
        <w:fldChar w:fldCharType="end"/>
      </w:r>
      <w:r w:rsidRPr="001D4EBC">
        <w:rPr>
          <w:i w:val="0"/>
          <w:iCs w:val="0"/>
          <w:color w:val="000000" w:themeColor="text1"/>
          <w:sz w:val="20"/>
          <w:szCs w:val="20"/>
        </w:rPr>
        <w:t>:</w:t>
      </w:r>
      <w:r w:rsidR="001D4EBC" w:rsidRPr="001D4EBC">
        <w:rPr>
          <w:i w:val="0"/>
          <w:iCs w:val="0"/>
          <w:color w:val="000000" w:themeColor="text1"/>
          <w:sz w:val="20"/>
          <w:szCs w:val="20"/>
        </w:rPr>
        <w:t xml:space="preserve"> </w:t>
      </w:r>
      <w:r w:rsidR="001D4EBC" w:rsidRPr="001D4EBC">
        <w:rPr>
          <w:b/>
          <w:bCs/>
          <w:i w:val="0"/>
          <w:iCs w:val="0"/>
          <w:color w:val="000000" w:themeColor="text1"/>
          <w:sz w:val="20"/>
          <w:szCs w:val="20"/>
        </w:rPr>
        <w:t>STING expression vs exposure time</w:t>
      </w:r>
      <w:r w:rsidR="001D4EBC" w:rsidRPr="001D4EBC">
        <w:rPr>
          <w:i w:val="0"/>
          <w:iCs w:val="0"/>
          <w:color w:val="000000" w:themeColor="text1"/>
          <w:sz w:val="20"/>
          <w:szCs w:val="20"/>
        </w:rPr>
        <w:t>.</w:t>
      </w:r>
      <w:r w:rsidRPr="001D4EBC">
        <w:rPr>
          <w:i w:val="0"/>
          <w:iCs w:val="0"/>
          <w:color w:val="000000" w:themeColor="text1"/>
          <w:sz w:val="20"/>
          <w:szCs w:val="20"/>
        </w:rPr>
        <w:t xml:space="preserve"> Differences in detected STING expression integrated density dependent on exposure time.</w:t>
      </w:r>
      <w:r w:rsidR="001F55DA" w:rsidRPr="001D4EBC">
        <w:rPr>
          <w:i w:val="0"/>
          <w:iCs w:val="0"/>
          <w:color w:val="000000" w:themeColor="text1"/>
          <w:sz w:val="20"/>
          <w:szCs w:val="20"/>
        </w:rPr>
        <w:t xml:space="preserve"> Changes in exposure time changes severity of data trends</w:t>
      </w:r>
      <w:r w:rsidR="00840127">
        <w:rPr>
          <w:i w:val="0"/>
          <w:iCs w:val="0"/>
          <w:color w:val="000000" w:themeColor="text1"/>
          <w:sz w:val="20"/>
          <w:szCs w:val="20"/>
        </w:rPr>
        <w:t xml:space="preserve"> and </w:t>
      </w:r>
      <w:proofErr w:type="gramStart"/>
      <w:r w:rsidR="00840127">
        <w:rPr>
          <w:i w:val="0"/>
          <w:iCs w:val="0"/>
          <w:color w:val="000000" w:themeColor="text1"/>
          <w:sz w:val="20"/>
          <w:szCs w:val="20"/>
        </w:rPr>
        <w:t>whether or not</w:t>
      </w:r>
      <w:proofErr w:type="gramEnd"/>
      <w:r w:rsidR="00840127">
        <w:rPr>
          <w:i w:val="0"/>
          <w:iCs w:val="0"/>
          <w:color w:val="000000" w:themeColor="text1"/>
          <w:sz w:val="20"/>
          <w:szCs w:val="20"/>
        </w:rPr>
        <w:t xml:space="preserve"> significance can be found between experimental groups</w:t>
      </w:r>
      <w:r w:rsidR="001F55DA" w:rsidRPr="001D4EBC">
        <w:rPr>
          <w:i w:val="0"/>
          <w:iCs w:val="0"/>
          <w:color w:val="000000" w:themeColor="text1"/>
          <w:sz w:val="20"/>
          <w:szCs w:val="20"/>
        </w:rPr>
        <w:t xml:space="preserve">. </w:t>
      </w:r>
      <w:r w:rsidR="00840127">
        <w:rPr>
          <w:i w:val="0"/>
          <w:iCs w:val="0"/>
          <w:color w:val="000000" w:themeColor="text1"/>
          <w:sz w:val="20"/>
          <w:szCs w:val="20"/>
        </w:rPr>
        <w:t xml:space="preserve">Overall exposure effect is shown with changes in significance highlighted below. </w:t>
      </w:r>
      <w:r w:rsidR="001F55DA" w:rsidRPr="001D4EBC">
        <w:rPr>
          <w:i w:val="0"/>
          <w:iCs w:val="0"/>
          <w:color w:val="000000" w:themeColor="text1"/>
          <w:sz w:val="20"/>
          <w:szCs w:val="20"/>
        </w:rPr>
        <w:t>Significant changes seen in control (unstimulated) group between the 1s and 3s exposure times. GC stimulated band intensity not significantly affected by exposure time differences.</w:t>
      </w:r>
      <w:bookmarkEnd w:id="34"/>
      <w:r w:rsidRPr="001D4EBC">
        <w:rPr>
          <w:i w:val="0"/>
          <w:iCs w:val="0"/>
          <w:color w:val="000000" w:themeColor="text1"/>
          <w:sz w:val="20"/>
          <w:szCs w:val="20"/>
        </w:rPr>
        <w:t xml:space="preserve"> </w:t>
      </w:r>
    </w:p>
    <w:p w14:paraId="5A38BC4F" w14:textId="4B887D4C" w:rsidR="0041556C" w:rsidRDefault="0041556C" w:rsidP="0041556C">
      <w:r>
        <w:t>Due to these factors, limited quantitative analysis was able to be performed</w:t>
      </w:r>
      <w:r w:rsidR="00724C5A">
        <w:t xml:space="preserve"> at this time</w:t>
      </w:r>
      <w:r>
        <w:t xml:space="preserve">. However, </w:t>
      </w:r>
      <w:proofErr w:type="gramStart"/>
      <w:r>
        <w:t>in order to</w:t>
      </w:r>
      <w:proofErr w:type="gramEnd"/>
      <w:r>
        <w:t xml:space="preserve"> highlight the general trend, unnormalized data was gathered. This data is the integrated intensity of the STING expression without normalization to a housekeeping protein. This data is illustrated in </w:t>
      </w:r>
      <w:r>
        <w:rPr>
          <w:b/>
          <w:bCs/>
        </w:rPr>
        <w:t>Figure 1</w:t>
      </w:r>
      <w:r w:rsidR="0045228C">
        <w:rPr>
          <w:b/>
          <w:bCs/>
        </w:rPr>
        <w:t>2</w:t>
      </w:r>
      <w:r>
        <w:t xml:space="preserve">. </w:t>
      </w:r>
    </w:p>
    <w:p w14:paraId="4D9D1B68" w14:textId="77777777" w:rsidR="0041556C" w:rsidRPr="001D3B99" w:rsidRDefault="0041556C" w:rsidP="0041556C"/>
    <w:p w14:paraId="1F315686" w14:textId="539915C4" w:rsidR="0041556C" w:rsidRDefault="00B459E2" w:rsidP="00B459E2">
      <w:pPr>
        <w:jc w:val="center"/>
      </w:pPr>
      <w:r w:rsidRPr="00B459E2">
        <w:rPr>
          <w:noProof/>
        </w:rPr>
        <w:drawing>
          <wp:inline distT="0" distB="0" distL="0" distR="0" wp14:anchorId="330A2CB3" wp14:editId="48372476">
            <wp:extent cx="5943600" cy="1788795"/>
            <wp:effectExtent l="0" t="0" r="0" b="1905"/>
            <wp:docPr id="1278990133" name="Picture 4" descr="A group of blue rectangular columns with text&#10;&#10;Description automatically generated with medium confidence">
              <a:extLst xmlns:a="http://schemas.openxmlformats.org/drawingml/2006/main">
                <a:ext uri="{FF2B5EF4-FFF2-40B4-BE49-F238E27FC236}">
                  <a16:creationId xmlns:a16="http://schemas.microsoft.com/office/drawing/2014/main" id="{BA3037B8-49B9-E451-11C7-472EFB283FB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blue rectangular columns with text&#10;&#10;Description automatically generated with medium confidence">
                      <a:extLst>
                        <a:ext uri="{FF2B5EF4-FFF2-40B4-BE49-F238E27FC236}">
                          <a16:creationId xmlns:a16="http://schemas.microsoft.com/office/drawing/2014/main" id="{BA3037B8-49B9-E451-11C7-472EFB283FB7}"/>
                        </a:ext>
                      </a:extLst>
                    </pic:cNvPr>
                    <pic:cNvPicPr>
                      <a:picLocks noChangeAspect="1"/>
                    </pic:cNvPicPr>
                  </pic:nvPicPr>
                  <pic:blipFill rotWithShape="1">
                    <a:blip r:embed="rId24"/>
                    <a:srcRect t="70563"/>
                    <a:stretch/>
                  </pic:blipFill>
                  <pic:spPr>
                    <a:xfrm>
                      <a:off x="0" y="0"/>
                      <a:ext cx="5943600" cy="1788795"/>
                    </a:xfrm>
                    <a:prstGeom prst="rect">
                      <a:avLst/>
                    </a:prstGeom>
                  </pic:spPr>
                </pic:pic>
              </a:graphicData>
            </a:graphic>
          </wp:inline>
        </w:drawing>
      </w:r>
    </w:p>
    <w:p w14:paraId="42D1222E" w14:textId="4029F801" w:rsidR="0041556C" w:rsidRPr="001D4EBC" w:rsidRDefault="0041556C" w:rsidP="001D4EBC">
      <w:pPr>
        <w:pStyle w:val="Caption"/>
        <w:jc w:val="both"/>
        <w:rPr>
          <w:i w:val="0"/>
          <w:iCs w:val="0"/>
          <w:color w:val="000000" w:themeColor="text1"/>
          <w:sz w:val="20"/>
          <w:szCs w:val="20"/>
        </w:rPr>
      </w:pPr>
      <w:bookmarkStart w:id="35" w:name="_Toc165201231"/>
      <w:r w:rsidRPr="001D4EBC">
        <w:rPr>
          <w:b/>
          <w:bCs/>
          <w:i w:val="0"/>
          <w:iCs w:val="0"/>
          <w:color w:val="000000" w:themeColor="text1"/>
          <w:sz w:val="20"/>
          <w:szCs w:val="20"/>
        </w:rPr>
        <w:lastRenderedPageBreak/>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12</w:t>
      </w:r>
      <w:r w:rsidRPr="001D4EBC">
        <w:rPr>
          <w:b/>
          <w:bCs/>
          <w:i w:val="0"/>
          <w:iCs w:val="0"/>
          <w:color w:val="000000" w:themeColor="text1"/>
          <w:sz w:val="20"/>
          <w:szCs w:val="20"/>
        </w:rPr>
        <w:fldChar w:fldCharType="end"/>
      </w:r>
      <w:r w:rsidRPr="001D4EBC">
        <w:rPr>
          <w:b/>
          <w:bCs/>
          <w:i w:val="0"/>
          <w:iCs w:val="0"/>
          <w:color w:val="000000" w:themeColor="text1"/>
          <w:sz w:val="20"/>
          <w:szCs w:val="20"/>
        </w:rPr>
        <w:t xml:space="preserve">: </w:t>
      </w:r>
      <w:r w:rsidR="00BD09DB" w:rsidRPr="001D4EBC">
        <w:rPr>
          <w:b/>
          <w:bCs/>
          <w:i w:val="0"/>
          <w:iCs w:val="0"/>
          <w:color w:val="000000" w:themeColor="text1"/>
          <w:sz w:val="20"/>
          <w:szCs w:val="20"/>
        </w:rPr>
        <w:t xml:space="preserve">Western Blotting </w:t>
      </w:r>
      <w:r w:rsidRPr="001D4EBC">
        <w:rPr>
          <w:b/>
          <w:bCs/>
          <w:i w:val="0"/>
          <w:iCs w:val="0"/>
          <w:color w:val="000000" w:themeColor="text1"/>
          <w:sz w:val="20"/>
          <w:szCs w:val="20"/>
        </w:rPr>
        <w:t xml:space="preserve">Lysosomal Isolate Integrated Intensities. </w:t>
      </w:r>
      <w:r w:rsidRPr="001D4EBC">
        <w:rPr>
          <w:i w:val="0"/>
          <w:iCs w:val="0"/>
          <w:color w:val="000000" w:themeColor="text1"/>
          <w:sz w:val="20"/>
          <w:szCs w:val="20"/>
        </w:rPr>
        <w:t>The control group received no GC stimulation and the stimulated group received 8</w:t>
      </w:r>
      <w:r w:rsidRPr="001D4EBC">
        <w:rPr>
          <w:rFonts w:ascii="Calibri" w:hAnsi="Calibri" w:cs="Calibri"/>
          <w:i w:val="0"/>
          <w:iCs w:val="0"/>
          <w:color w:val="000000" w:themeColor="text1"/>
          <w:sz w:val="20"/>
          <w:szCs w:val="20"/>
        </w:rPr>
        <w:t>µ</w:t>
      </w:r>
      <w:r w:rsidRPr="001D4EBC">
        <w:rPr>
          <w:i w:val="0"/>
          <w:iCs w:val="0"/>
          <w:color w:val="000000" w:themeColor="text1"/>
          <w:sz w:val="20"/>
          <w:szCs w:val="20"/>
        </w:rPr>
        <w:t>g/mL of GC for 10 hours prior to sample collection for western blotting. A general trend can be seen here of increased STING presence in the lysosome following stimulation.</w:t>
      </w:r>
      <w:bookmarkEnd w:id="35"/>
      <w:r w:rsidRPr="001D4EBC">
        <w:rPr>
          <w:i w:val="0"/>
          <w:iCs w:val="0"/>
          <w:color w:val="000000" w:themeColor="text1"/>
          <w:sz w:val="20"/>
          <w:szCs w:val="20"/>
        </w:rPr>
        <w:t xml:space="preserve"> </w:t>
      </w:r>
    </w:p>
    <w:p w14:paraId="5DC80DF3" w14:textId="28DFBCE5" w:rsidR="00A50A35" w:rsidRPr="00D75B33" w:rsidRDefault="00BA19C1" w:rsidP="00D75B33">
      <w:r>
        <w:t xml:space="preserve">The integrated intensity </w:t>
      </w:r>
      <w:r w:rsidR="0041556C">
        <w:t xml:space="preserve">data </w:t>
      </w:r>
      <w:r>
        <w:t xml:space="preserve">for the lysosomal isolate </w:t>
      </w:r>
      <w:r w:rsidR="0041556C">
        <w:t xml:space="preserve">is presented in </w:t>
      </w:r>
      <w:r w:rsidR="0041556C">
        <w:rPr>
          <w:b/>
          <w:bCs/>
        </w:rPr>
        <w:t>Figure 1</w:t>
      </w:r>
      <w:r w:rsidR="0045228C">
        <w:rPr>
          <w:b/>
          <w:bCs/>
        </w:rPr>
        <w:t>2</w:t>
      </w:r>
      <w:r w:rsidR="0041556C">
        <w:t xml:space="preserve">. The purpose of this data is to demonstrate the general trend present within the lysosomal isolates. </w:t>
      </w:r>
      <w:r>
        <w:t xml:space="preserve">Data was normalized to the control for analysis. </w:t>
      </w:r>
      <w:r w:rsidR="0041556C">
        <w:t xml:space="preserve">From this data, there is increased STING expression within the stimulated lysosomal isolate in comparison to the control unstimulated group. The results are from two biological replicates each with two technical replicates. The trend is apparent across all trials both in </w:t>
      </w:r>
      <w:r w:rsidR="0041556C">
        <w:rPr>
          <w:b/>
          <w:bCs/>
        </w:rPr>
        <w:t>Figure 1</w:t>
      </w:r>
      <w:r w:rsidR="0045228C">
        <w:rPr>
          <w:b/>
          <w:bCs/>
        </w:rPr>
        <w:t>2</w:t>
      </w:r>
      <w:r w:rsidR="0041556C">
        <w:t xml:space="preserve"> and qualitatively in </w:t>
      </w:r>
      <w:r w:rsidR="0041556C">
        <w:rPr>
          <w:b/>
          <w:bCs/>
        </w:rPr>
        <w:t xml:space="preserve">Figures </w:t>
      </w:r>
      <w:r w:rsidR="0045228C">
        <w:rPr>
          <w:b/>
          <w:bCs/>
        </w:rPr>
        <w:t>8</w:t>
      </w:r>
      <w:r w:rsidR="0041556C">
        <w:rPr>
          <w:b/>
          <w:bCs/>
        </w:rPr>
        <w:t xml:space="preserve"> &amp; </w:t>
      </w:r>
      <w:r w:rsidR="0045228C">
        <w:rPr>
          <w:b/>
          <w:bCs/>
        </w:rPr>
        <w:t>9</w:t>
      </w:r>
      <w:r w:rsidR="0041556C">
        <w:t>. The general trend observed</w:t>
      </w:r>
      <w:r w:rsidR="008E704D">
        <w:t xml:space="preserve"> </w:t>
      </w:r>
      <w:r w:rsidR="0041556C">
        <w:t>indicates that STING and GC are present in the lysosome at the 10 hour time point of stimulation.</w:t>
      </w:r>
      <w:r w:rsidR="00A50A35">
        <w:rPr>
          <w:highlight w:val="yellow"/>
        </w:rPr>
        <w:br w:type="page"/>
      </w:r>
    </w:p>
    <w:p w14:paraId="11CB0C2C" w14:textId="3B3FB0A2" w:rsidR="0041556C" w:rsidRPr="0041556C" w:rsidRDefault="0041556C" w:rsidP="0041556C">
      <w:pPr>
        <w:pStyle w:val="Heading1"/>
      </w:pPr>
      <w:bookmarkStart w:id="36" w:name="_Toc165293355"/>
      <w:r w:rsidRPr="0041556C">
        <w:lastRenderedPageBreak/>
        <w:t>Chapter 4</w:t>
      </w:r>
      <w:r w:rsidR="00086B4F">
        <w:t xml:space="preserve">: Cellular Swelling and Signs of </w:t>
      </w:r>
      <w:r w:rsidR="00EF1A92">
        <w:t xml:space="preserve">Immunogenic </w:t>
      </w:r>
      <w:r w:rsidR="00086B4F">
        <w:t>Cell Death Post Glycated Chitosan Stimulation</w:t>
      </w:r>
      <w:bookmarkEnd w:id="36"/>
      <w:r w:rsidR="00086B4F">
        <w:t xml:space="preserve"> </w:t>
      </w:r>
    </w:p>
    <w:p w14:paraId="2D1246C0" w14:textId="37569D7B" w:rsidR="0041556C" w:rsidRDefault="0041556C" w:rsidP="0041556C">
      <w:pPr>
        <w:pStyle w:val="Heading2"/>
      </w:pPr>
      <w:bookmarkStart w:id="37" w:name="_Toc165293356"/>
      <w:r>
        <w:t xml:space="preserve">4.1. </w:t>
      </w:r>
      <w:r w:rsidRPr="0041556C">
        <w:t>Purpose</w:t>
      </w:r>
      <w:bookmarkEnd w:id="37"/>
      <w:r w:rsidRPr="0041556C">
        <w:t xml:space="preserve"> </w:t>
      </w:r>
    </w:p>
    <w:p w14:paraId="266A7C04" w14:textId="510678A7" w:rsidR="00780961" w:rsidRDefault="00D75B33" w:rsidP="00167252">
      <w:pPr>
        <w:ind w:firstLine="720"/>
      </w:pPr>
      <w:r>
        <w:t xml:space="preserve">The purpose of this experimentation </w:t>
      </w:r>
      <w:r w:rsidR="00D621AF">
        <w:t xml:space="preserve">was to view STING and GC interactions within the lysosome via </w:t>
      </w:r>
      <w:r w:rsidR="00D621AF" w:rsidRPr="00D621AF">
        <w:t>immunofluorescence</w:t>
      </w:r>
      <w:r w:rsidR="00D621AF">
        <w:t xml:space="preserve"> </w:t>
      </w:r>
      <w:r w:rsidR="009D59E6">
        <w:t xml:space="preserve">antibody tagging. </w:t>
      </w:r>
      <w:r w:rsidR="00780961">
        <w:t xml:space="preserve">A previous methodology utilizing expansion microscopy can be seen in the </w:t>
      </w:r>
      <w:r w:rsidR="001D4EBC">
        <w:rPr>
          <w:b/>
          <w:bCs/>
        </w:rPr>
        <w:t xml:space="preserve">Appendix </w:t>
      </w:r>
      <w:r w:rsidR="003B0604">
        <w:rPr>
          <w:b/>
          <w:bCs/>
        </w:rPr>
        <w:t>D</w:t>
      </w:r>
      <w:r w:rsidR="00780961">
        <w:t xml:space="preserve">. This was not utilized as the final imaging technique due to limitations within the antibody tagging. </w:t>
      </w:r>
    </w:p>
    <w:p w14:paraId="6B5023AA" w14:textId="77777777" w:rsidR="00780961" w:rsidRPr="00D75B33" w:rsidRDefault="00780961" w:rsidP="00D621AF"/>
    <w:p w14:paraId="6741B2DD" w14:textId="2FD9E433" w:rsidR="0041556C" w:rsidRDefault="0041556C" w:rsidP="0041556C">
      <w:pPr>
        <w:pStyle w:val="Heading2"/>
      </w:pPr>
      <w:bookmarkStart w:id="38" w:name="_Toc165293357"/>
      <w:r>
        <w:t xml:space="preserve">4.2. </w:t>
      </w:r>
      <w:r w:rsidRPr="0041556C">
        <w:t>Materials</w:t>
      </w:r>
      <w:bookmarkEnd w:id="38"/>
      <w:r w:rsidRPr="0041556C">
        <w:t xml:space="preserve"> </w:t>
      </w:r>
    </w:p>
    <w:p w14:paraId="1089B9D2" w14:textId="46010A0B" w:rsidR="0041556C" w:rsidRDefault="009A4D8E" w:rsidP="00EB5C47">
      <w:pPr>
        <w:ind w:firstLine="720"/>
      </w:pPr>
      <w:r>
        <w:t xml:space="preserve">A </w:t>
      </w:r>
      <w:r w:rsidR="0041556C" w:rsidRPr="00365908">
        <w:t>GC-FITC aqueous solution (10mg/mL)</w:t>
      </w:r>
      <w:r>
        <w:t xml:space="preserve"> was provided by</w:t>
      </w:r>
      <w:r w:rsidR="0041556C" w:rsidRPr="00365908">
        <w:t xml:space="preserve"> </w:t>
      </w:r>
      <w:proofErr w:type="spellStart"/>
      <w:r w:rsidR="0041556C" w:rsidRPr="00365908">
        <w:t>ImmunoPhotonics</w:t>
      </w:r>
      <w:proofErr w:type="spellEnd"/>
      <w:r w:rsidR="0041556C" w:rsidRPr="00365908">
        <w:t xml:space="preserve">. </w:t>
      </w:r>
      <w:r w:rsidR="0041556C">
        <w:t>Male and female 8</w:t>
      </w:r>
      <w:r w:rsidR="005E708D">
        <w:t>-12</w:t>
      </w:r>
      <w:r w:rsidR="0041556C">
        <w:t xml:space="preserve"> week</w:t>
      </w:r>
      <w:r w:rsidR="005E708D">
        <w:t>s</w:t>
      </w:r>
      <w:r w:rsidR="0041556C">
        <w:t xml:space="preserve"> old </w:t>
      </w:r>
      <w:r w:rsidR="0041556C" w:rsidRPr="00A43A48">
        <w:t>C57BL/6J</w:t>
      </w:r>
      <w:r w:rsidR="0041556C">
        <w:t xml:space="preserve"> mice were purchased from Jackson Laboratories.</w:t>
      </w:r>
      <w:r w:rsidR="00EB5C47">
        <w:t xml:space="preserve"> Sex was varied to eliminate sex-associated immune differences and the age range 8-12 weeks was utilized as it an ideal age range for BMDC generation </w:t>
      </w:r>
      <w:r w:rsidR="00EB5C47">
        <w:fldChar w:fldCharType="begin"/>
      </w:r>
      <w:r w:rsidR="007D5DBF">
        <w:instrText xml:space="preserve"> ADDIN ZOTERO_ITEM CSL_CITATION {"citationID":"Q9Ft7HuD","properties":{"formattedCitation":"[42]","plainCitation":"[42]","noteIndex":0},"citationItems":[{"id":1708,"uris":["http://zotero.org/users/13277427/items/JWPNYMIU"],"itemData":{"id":1708,"type":"article-journal","abstract":"This study investigates sex-associated systemic innate immune differences by examining bone marrow-derived dendritic cells (BMDCs). BMDC grown from 7-day-old mice show enhanced type-I interferon (IFN) signaling in female compared to male BMDC. Upon respiratory syncytial virus (RSV) infection of 7-day-old mice, a significantly altered phenotype of BMDC at 4 weeks post-infection is observed in a sex-dependent manner. The alterations include heightened Ifnb/ interleukin (Il12a) and enhanced IFNAR1 + expression in BMDC from early-life RSV-infected female mice that leads to increased IFN-γ production by T cells. Phenotypic differences were verified upon pulmonary sensitization whereby EL-RSV male-derived BMDC promoted enhanced T helper 2/17 responses and exacerbated disease upon RSV infection while EL-RSV/F BMDC sensitization was relatively protective. Assay for transposase-accessible chromatin using sequencing analysis (ATAC-seq) demonstrated that EL-RSV/F BMDC had enhanced chromatin accessibility near type-I immune genes with JUN, STAT1/2, and IRF1/8 transcription factors predicted to have binding sites in accessible regions. Importantly, ATAC-seq of human cord blood-derived monocytes displayed a similar sex-associated chromatin landscape with female-derived monocytes having more accessibility in type-I immune genes. These studies enhance our understanding of sex-associated differences in innate immunity by epigenetically controlled transcriptional programs amplified by early-life infection in females via type-I immunity.","container-title":"Mucosal immunology","DOI":"10.1016/j.mucimm.2023.06.002","ISSN":"1933-0219","issue":"5","journalAbbreviation":"Mucosal Immunol","note":"PMID: 37302711\nPMCID: PMC10646734","page":"578-592","source":"PubMed Central","title":"Sex-associated early-life viral innate immune response is transcriptionally associated with chromatin remodeling of type-I IFN-inducible genes","volume":"16","author":[{"family":"Malinczak","given":"Carrie-Anne"},{"family":"Fonseca","given":"Wendy"},{"family":"Mire","given":"Mohamed M."},{"family":"Parolia","given":"Abhijit"},{"family":"Chinnaiyan","given":"Arul"},{"family":"Rasky","given":"Andrew J."},{"family":"Morris","given":"Susan"},{"family":"Yagi","given":"Kazuma"},{"family":"Bermick","given":"Jennifer R."},{"family":"Lukacs","given":"Nicholas W."}],"issued":{"date-parts":[["2023",10]]}}}],"schema":"https://github.com/citation-style-language/schema/raw/master/csl-citation.json"} </w:instrText>
      </w:r>
      <w:r w:rsidR="00EB5C47">
        <w:fldChar w:fldCharType="separate"/>
      </w:r>
      <w:r w:rsidR="00EB5C47">
        <w:rPr>
          <w:noProof/>
        </w:rPr>
        <w:t>[42]</w:t>
      </w:r>
      <w:r w:rsidR="00EB5C47">
        <w:fldChar w:fldCharType="end"/>
      </w:r>
      <w:r w:rsidR="00EB5C47">
        <w:t xml:space="preserve">, </w:t>
      </w:r>
      <w:r w:rsidR="00EB5C47">
        <w:fldChar w:fldCharType="begin"/>
      </w:r>
      <w:r w:rsidR="007D5DBF">
        <w:instrText xml:space="preserve"> ADDIN ZOTERO_ITEM CSL_CITATION {"citationID":"m1GOipEc","properties":{"formattedCitation":"[43]","plainCitation":"[43]","noteIndex":0},"citationItems":[{"id":1709,"uris":["http://zotero.org/users/13277427/items/FGT9DRQR"],"itemData":{"id":1709,"type":"article-journal","abstract":"12–14 days of culturing of bone marrow (BM) cells containing various growth factors is widely used method for generating dendritic cells (DCs) from suspended cell population. Here we compared flask culture method and commercially available CD11c Positive Selection kit method. Immature BMDCs’ purity of adherent as well as suspended cell population was generated in the decreasing concentration of recombinant-murine granulocyte-macrophage colony-stimulating factor (rmGM-CSF) in nontreated tissue culture flasks. The expression of CD11c, MHCII, CD40, and CD86 was measured by flow cytometry. We found significant difference\n              \n                (\n                P\n                &lt;\n                0.05\n                )\n              \n              between the two methods in the adherent cells population but no significant difference was observed between the suspended cell populations with respect to CD11c+ count. However, CD11c+ was significantly higher in both adhered and suspended cell population by culture method but kit method gave more CD11c+ from suspended cells population only. On the other hand, using both methods, immature DC expressed moderate level of MHC class II molecules as well as low levels of CD40 and CD86. Our findings suggest that widely used culture method gives the best results in terms of yield, viability, and purity of BMDCs from both adherent and suspended cell population whereas kit method works well for suspended cell population.","container-title":"Bone Marrow Research","DOI":"10.1155/2018/3495086","ISSN":"2090-2999, 2090-3006","journalAbbreviation":"Bone Marrow Research","language":"en","license":"http://creativecommons.org/licenses/by/4.0/","page":"1-9","source":"DOI.org (Crossref)","title":"Optimization of &lt;i&gt;Ex Vivo&lt;/i&gt; Murine Bone Marrow Derived Immature Dendritic Cells: A Comparative Analysis of Flask Culture Method and Mouse CD11c Positive Selection Kit Method","title-short":"Optimization of &lt;i&gt;Ex Vivo&lt;/i&gt; Murine Bone Marrow Derived Immature Dendritic Cells","volume":"2018","author":[{"family":"Gosavi","given":"Rahul Ashok"},{"family":"Salwe","given":"Sukeshani"},{"family":"Mukherjee","given":"Sandeepan"},{"family":"Dahake","given":"Ritwik"},{"family":"Kothari","given":"Sweta"},{"family":"Patel","given":"Vainav"},{"family":"Chowdhary","given":"Abhay"},{"family":"Deshmukh","given":"Ranjana A."}],"issued":{"date-parts":[["2018",2,22]]}}}],"schema":"https://github.com/citation-style-language/schema/raw/master/csl-citation.json"} </w:instrText>
      </w:r>
      <w:r w:rsidR="00EB5C47">
        <w:fldChar w:fldCharType="separate"/>
      </w:r>
      <w:r w:rsidR="00EB5C47">
        <w:rPr>
          <w:noProof/>
        </w:rPr>
        <w:t>[43]</w:t>
      </w:r>
      <w:r w:rsidR="00EB5C47">
        <w:fldChar w:fldCharType="end"/>
      </w:r>
      <w:r w:rsidR="00EB5C47">
        <w:t xml:space="preserve">. </w:t>
      </w:r>
    </w:p>
    <w:p w14:paraId="052B521F" w14:textId="77777777" w:rsidR="0041556C" w:rsidRPr="0041556C" w:rsidRDefault="0041556C" w:rsidP="0041556C"/>
    <w:p w14:paraId="430240BC" w14:textId="1E865F74" w:rsidR="0041556C" w:rsidRDefault="0041556C" w:rsidP="0041556C">
      <w:pPr>
        <w:pStyle w:val="Heading2"/>
      </w:pPr>
      <w:bookmarkStart w:id="39" w:name="_Toc165293358"/>
      <w:r>
        <w:t xml:space="preserve">4.3. </w:t>
      </w:r>
      <w:r w:rsidRPr="0041556C">
        <w:t>Methods</w:t>
      </w:r>
      <w:bookmarkEnd w:id="39"/>
    </w:p>
    <w:p w14:paraId="6BA3FBCD" w14:textId="4BD70161" w:rsidR="0041556C" w:rsidRDefault="0041556C" w:rsidP="0041556C">
      <w:pPr>
        <w:pStyle w:val="Heading3"/>
      </w:pPr>
      <w:bookmarkStart w:id="40" w:name="_Toc165293359"/>
      <w:r>
        <w:t>4.3.1. Cellular Microscopy</w:t>
      </w:r>
      <w:bookmarkEnd w:id="40"/>
      <w:r>
        <w:t xml:space="preserve"> </w:t>
      </w:r>
    </w:p>
    <w:p w14:paraId="0CFFCD27" w14:textId="69B414EE" w:rsidR="0041556C" w:rsidRDefault="0041556C" w:rsidP="0041556C">
      <w:pPr>
        <w:ind w:firstLine="720"/>
      </w:pPr>
      <w:r>
        <w:t>Coverslips</w:t>
      </w:r>
      <w:r w:rsidR="00150F6B">
        <w:t xml:space="preserve"> (18mm, #1 glass)</w:t>
      </w:r>
      <w:r>
        <w:t xml:space="preserve"> for cell culture were utilized. Coverslips were placed in piranha solution (3:1 ratio of </w:t>
      </w:r>
      <w:r w:rsidRPr="001B07B5">
        <w:t>95-98% sulfuric acid</w:t>
      </w:r>
      <w:r>
        <w:t xml:space="preserve"> and</w:t>
      </w:r>
      <w:r w:rsidRPr="001B07B5">
        <w:t xml:space="preserve"> 30% hydrogen peroxide</w:t>
      </w:r>
      <w:r>
        <w:t xml:space="preserve">) and allowed to sit for 15 minutes. Slips were then </w:t>
      </w:r>
      <w:proofErr w:type="gramStart"/>
      <w:r>
        <w:t>rinsed</w:t>
      </w:r>
      <w:proofErr w:type="gramEnd"/>
      <w:r>
        <w:t xml:space="preserve"> and one placed into each well of a 12 well plate. Each well was filled with PBS, treated with UV light for 10 minutes, and stored at 4</w:t>
      </w:r>
      <w:r>
        <w:sym w:font="Symbol" w:char="F0B0"/>
      </w:r>
      <w:r>
        <w:t xml:space="preserve">C for later use. Upon use, the plate was treated again with UV light for 10 minutes. </w:t>
      </w:r>
    </w:p>
    <w:p w14:paraId="4C6E1760" w14:textId="017A0894" w:rsidR="0041556C" w:rsidRDefault="0041556C" w:rsidP="00224500">
      <w:r>
        <w:t xml:space="preserve"> </w:t>
      </w:r>
      <w:r>
        <w:tab/>
        <w:t>BMDCs were prepared according to above mention protocol, plated in a 6 well plate at a seeding density of 500 x 10</w:t>
      </w:r>
      <w:r w:rsidRPr="00CB515D">
        <w:rPr>
          <w:vertAlign w:val="superscript"/>
        </w:rPr>
        <w:t>5</w:t>
      </w:r>
      <w:r>
        <w:t xml:space="preserve"> per plate, and stimulated for 10 hours with 8</w:t>
      </w:r>
      <w:r>
        <w:sym w:font="Symbol" w:char="F06D"/>
      </w:r>
      <w:r>
        <w:t xml:space="preserve">g/mL GC-FITC. Only 8 of the 12 wells were stimulated with 4 wells were left as staining controls. Post stimulation, the well was fixed </w:t>
      </w:r>
      <w:r w:rsidRPr="00A166DB">
        <w:t>with 1 mL of 4% PFA and 0.1% glutaraldehyde in 1X PBS for 15 min at RT</w:t>
      </w:r>
      <w:r>
        <w:t xml:space="preserve">. Post fixation the samples were quenched to remove autofluorescence. This was done by adding a </w:t>
      </w:r>
      <w:r w:rsidRPr="00FA2C7B">
        <w:t>1mg/mL solution of sodium borohydride in PBS</w:t>
      </w:r>
      <w:r>
        <w:t xml:space="preserve"> to the samples for 10 minutes followed by a solution of </w:t>
      </w:r>
      <w:r w:rsidRPr="00FA2C7B">
        <w:t xml:space="preserve">100 mM glycine in PBS </w:t>
      </w:r>
      <w:r>
        <w:t xml:space="preserve">incubated </w:t>
      </w:r>
      <w:r w:rsidRPr="00FA2C7B">
        <w:t>for 20 minutes</w:t>
      </w:r>
      <w:r>
        <w:t xml:space="preserve">. Post quenching the wells were rinsed 3 times with PBS. </w:t>
      </w:r>
      <w:r w:rsidRPr="00224500">
        <w:t xml:space="preserve">The samples were then incubated with </w:t>
      </w:r>
      <w:r w:rsidR="00224500" w:rsidRPr="00224500">
        <w:t>wheat germ agglutinin (</w:t>
      </w:r>
      <w:r w:rsidRPr="00224500">
        <w:t>WGA</w:t>
      </w:r>
      <w:r w:rsidR="00224500" w:rsidRPr="00224500">
        <w:t>) conjugated with CF®405S (1:100) (</w:t>
      </w:r>
      <w:proofErr w:type="spellStart"/>
      <w:r w:rsidR="00224500" w:rsidRPr="00224500">
        <w:t>Biotium</w:t>
      </w:r>
      <w:proofErr w:type="spellEnd"/>
      <w:r w:rsidR="00224500" w:rsidRPr="00224500">
        <w:t>, Cat#29027-1)</w:t>
      </w:r>
      <w:r w:rsidRPr="00224500">
        <w:t xml:space="preserve"> for </w:t>
      </w:r>
      <w:r w:rsidR="00224500" w:rsidRPr="00224500">
        <w:t>20 minutes at room temperature</w:t>
      </w:r>
      <w:r w:rsidRPr="00224500">
        <w:t xml:space="preserve">. </w:t>
      </w:r>
      <w:r w:rsidR="00224500">
        <w:t>Samples were then p</w:t>
      </w:r>
      <w:r w:rsidRPr="00224500">
        <w:t>ermeabili</w:t>
      </w:r>
      <w:r w:rsidR="00224500">
        <w:t>zed with 0.1%</w:t>
      </w:r>
      <w:r w:rsidR="0053453D">
        <w:t xml:space="preserve"> (V/V)</w:t>
      </w:r>
      <w:r w:rsidR="00224500">
        <w:t xml:space="preserve"> </w:t>
      </w:r>
      <w:r w:rsidR="0053453D">
        <w:t>T</w:t>
      </w:r>
      <w:r w:rsidR="00224500">
        <w:t>riton</w:t>
      </w:r>
      <w:r w:rsidR="0053453D">
        <w:t xml:space="preserve"> X-100 </w:t>
      </w:r>
      <w:r w:rsidR="00224500">
        <w:t>for 5 minutes at room temperature. Following permeabilization, samples were washed 3 times with 1X PBS then stained with primary antibodies: STING 1</w:t>
      </w:r>
      <w:r w:rsidR="00224500">
        <w:sym w:font="Symbol" w:char="F0B0"/>
      </w:r>
      <w:r w:rsidR="00224500">
        <w:t xml:space="preserve"> Rabbit </w:t>
      </w:r>
      <w:proofErr w:type="spellStart"/>
      <w:r w:rsidR="00224500">
        <w:t>mAb</w:t>
      </w:r>
      <w:proofErr w:type="spellEnd"/>
      <w:r w:rsidR="00224500">
        <w:t xml:space="preserve"> (1:200) (Cell Signaling, Cat#13647S) and LAMP 1</w:t>
      </w:r>
      <w:r w:rsidR="00224500">
        <w:sym w:font="Symbol" w:char="F0B0"/>
      </w:r>
      <w:r w:rsidR="00224500">
        <w:t xml:space="preserve"> (1:200) (</w:t>
      </w:r>
      <w:proofErr w:type="spellStart"/>
      <w:r w:rsidR="00224500">
        <w:t>Thermo</w:t>
      </w:r>
      <w:proofErr w:type="spellEnd"/>
      <w:r w:rsidR="00224500">
        <w:t xml:space="preserve"> Fisher, Cat#14107182). Antibodies were allowed to incubate for 1 hour at room temperature with shaking. Post antibody incubation samples were washed 3 times for 20 minute durations with 0.1% PBS-T. Secondary antibodies were then added to samples: </w:t>
      </w:r>
      <w:r w:rsidR="00224500" w:rsidRPr="009A4D8E">
        <w:t>Cyanine5</w:t>
      </w:r>
      <w:r w:rsidR="00224500">
        <w:t xml:space="preserve"> (1:1000) (</w:t>
      </w:r>
      <w:proofErr w:type="spellStart"/>
      <w:r w:rsidR="00224500">
        <w:t>Thermo</w:t>
      </w:r>
      <w:proofErr w:type="spellEnd"/>
      <w:r w:rsidR="00224500">
        <w:t xml:space="preserve"> Fisher, Cat#</w:t>
      </w:r>
      <w:r w:rsidR="00224500" w:rsidRPr="009A4D8E">
        <w:t>A10525</w:t>
      </w:r>
      <w:r w:rsidR="00224500">
        <w:t xml:space="preserve">) and </w:t>
      </w:r>
      <w:proofErr w:type="spellStart"/>
      <w:r w:rsidR="00224500">
        <w:t>Alexaflo</w:t>
      </w:r>
      <w:r w:rsidR="004863ED">
        <w:t>u</w:t>
      </w:r>
      <w:r w:rsidR="00224500">
        <w:t>r</w:t>
      </w:r>
      <w:proofErr w:type="spellEnd"/>
      <w:r w:rsidR="00224500">
        <w:t xml:space="preserve"> 555 (1:500) (</w:t>
      </w:r>
      <w:proofErr w:type="spellStart"/>
      <w:r w:rsidR="00224500">
        <w:t>Thermo</w:t>
      </w:r>
      <w:proofErr w:type="spellEnd"/>
      <w:r w:rsidR="00224500">
        <w:t xml:space="preserve"> Fisher, Cat#A32732) respectively. Post staining samples were washed 3 times for 20 minute durations with 0.1% PBS-T and left in 1X PBS until imaging. </w:t>
      </w:r>
      <w:r>
        <w:t xml:space="preserve">Overview of the protocol can be seen in </w:t>
      </w:r>
      <w:r w:rsidRPr="0012428B">
        <w:rPr>
          <w:b/>
          <w:bCs/>
        </w:rPr>
        <w:t xml:space="preserve">Figure </w:t>
      </w:r>
      <w:r w:rsidR="00D621AF">
        <w:rPr>
          <w:b/>
          <w:bCs/>
        </w:rPr>
        <w:t>1</w:t>
      </w:r>
      <w:r w:rsidR="0045228C">
        <w:rPr>
          <w:b/>
          <w:bCs/>
        </w:rPr>
        <w:t>3</w:t>
      </w:r>
      <w:r>
        <w:t xml:space="preserve">. </w:t>
      </w:r>
    </w:p>
    <w:p w14:paraId="36839F48" w14:textId="4013F8D7" w:rsidR="0041556C" w:rsidRDefault="00C5106D" w:rsidP="0041556C">
      <w:pPr>
        <w:jc w:val="center"/>
      </w:pPr>
      <w:r>
        <w:rPr>
          <w:noProof/>
        </w:rPr>
        <w:lastRenderedPageBreak/>
        <w:drawing>
          <wp:inline distT="0" distB="0" distL="0" distR="0" wp14:anchorId="593E1603" wp14:editId="48E59856">
            <wp:extent cx="3521412" cy="4157532"/>
            <wp:effectExtent l="0" t="0" r="0" b="0"/>
            <wp:docPr id="996555025"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555025" name="Picture 2" descr="A screenshot of a computer&#10;&#10;Description automatically generated"/>
                    <pic:cNvPicPr/>
                  </pic:nvPicPr>
                  <pic:blipFill rotWithShape="1">
                    <a:blip r:embed="rId25" cstate="print">
                      <a:extLst>
                        <a:ext uri="{28A0092B-C50C-407E-A947-70E740481C1C}">
                          <a14:useLocalDpi xmlns:a14="http://schemas.microsoft.com/office/drawing/2010/main" val="0"/>
                        </a:ext>
                      </a:extLst>
                    </a:blip>
                    <a:srcRect t="3382" r="51310" b="14496"/>
                    <a:stretch/>
                  </pic:blipFill>
                  <pic:spPr bwMode="auto">
                    <a:xfrm>
                      <a:off x="0" y="0"/>
                      <a:ext cx="3556121" cy="4198511"/>
                    </a:xfrm>
                    <a:prstGeom prst="rect">
                      <a:avLst/>
                    </a:prstGeom>
                    <a:ln>
                      <a:noFill/>
                    </a:ln>
                    <a:extLst>
                      <a:ext uri="{53640926-AAD7-44D8-BBD7-CCE9431645EC}">
                        <a14:shadowObscured xmlns:a14="http://schemas.microsoft.com/office/drawing/2010/main"/>
                      </a:ext>
                    </a:extLst>
                  </pic:spPr>
                </pic:pic>
              </a:graphicData>
            </a:graphic>
          </wp:inline>
        </w:drawing>
      </w:r>
    </w:p>
    <w:p w14:paraId="72826C16" w14:textId="5D7ADBEF" w:rsidR="0041556C" w:rsidRPr="009A2E21" w:rsidRDefault="0041556C" w:rsidP="009A2E21">
      <w:pPr>
        <w:pStyle w:val="Caption"/>
        <w:jc w:val="both"/>
        <w:rPr>
          <w:i w:val="0"/>
          <w:iCs w:val="0"/>
          <w:color w:val="000000" w:themeColor="text1"/>
          <w:sz w:val="20"/>
          <w:szCs w:val="20"/>
        </w:rPr>
      </w:pPr>
      <w:bookmarkStart w:id="41" w:name="_Toc165201232"/>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13</w:t>
      </w:r>
      <w:r w:rsidRPr="009A2E21">
        <w:rPr>
          <w:b/>
          <w:bCs/>
          <w:i w:val="0"/>
          <w:iCs w:val="0"/>
          <w:color w:val="000000" w:themeColor="text1"/>
          <w:sz w:val="20"/>
          <w:szCs w:val="20"/>
        </w:rPr>
        <w:fldChar w:fldCharType="end"/>
      </w:r>
      <w:r w:rsidRPr="009A2E21">
        <w:rPr>
          <w:b/>
          <w:bCs/>
          <w:i w:val="0"/>
          <w:iCs w:val="0"/>
          <w:color w:val="000000" w:themeColor="text1"/>
          <w:sz w:val="20"/>
          <w:szCs w:val="20"/>
        </w:rPr>
        <w:t xml:space="preserve">: </w:t>
      </w:r>
      <w:r w:rsidR="009A2E21" w:rsidRPr="009A2E21">
        <w:rPr>
          <w:b/>
          <w:bCs/>
          <w:i w:val="0"/>
          <w:iCs w:val="0"/>
          <w:color w:val="000000" w:themeColor="text1"/>
          <w:sz w:val="20"/>
          <w:szCs w:val="20"/>
        </w:rPr>
        <w:t>IF procedure on BMDC</w:t>
      </w:r>
      <w:r w:rsidR="009A2E21" w:rsidRPr="009A2E21">
        <w:rPr>
          <w:i w:val="0"/>
          <w:iCs w:val="0"/>
          <w:color w:val="000000" w:themeColor="text1"/>
          <w:sz w:val="20"/>
          <w:szCs w:val="20"/>
        </w:rPr>
        <w:t xml:space="preserve">. </w:t>
      </w:r>
      <w:r w:rsidRPr="009A2E21">
        <w:rPr>
          <w:i w:val="0"/>
          <w:iCs w:val="0"/>
          <w:color w:val="000000" w:themeColor="text1"/>
          <w:sz w:val="20"/>
          <w:szCs w:val="20"/>
        </w:rPr>
        <w:t xml:space="preserve">Overview of the </w:t>
      </w:r>
      <w:r w:rsidR="009A2E21" w:rsidRPr="009A2E21">
        <w:rPr>
          <w:i w:val="0"/>
          <w:iCs w:val="0"/>
          <w:color w:val="000000" w:themeColor="text1"/>
          <w:sz w:val="20"/>
          <w:szCs w:val="20"/>
        </w:rPr>
        <w:t>IF</w:t>
      </w:r>
      <w:r w:rsidRPr="009A2E21">
        <w:rPr>
          <w:i w:val="0"/>
          <w:iCs w:val="0"/>
          <w:color w:val="000000" w:themeColor="text1"/>
          <w:sz w:val="20"/>
          <w:szCs w:val="20"/>
        </w:rPr>
        <w:t xml:space="preserve"> procedure for sample loading, BMDCs for plating, and plate setup for GC-FITC stimulation. </w:t>
      </w:r>
      <w:r w:rsidR="00106E99" w:rsidRPr="009A2E21">
        <w:rPr>
          <w:i w:val="0"/>
          <w:iCs w:val="0"/>
          <w:color w:val="000000" w:themeColor="text1"/>
          <w:sz w:val="20"/>
          <w:szCs w:val="20"/>
        </w:rPr>
        <w:t>Coverslips were prepped and placed in a 12 well plate. Cells were derived through hind leg extraction, retrieval on bone marrow, and plating in petri dishes. Cells were differentiated to BMDC through the addition of GM-CSF. BMDC were plated in the prepared well plates and then stimulated with GC-FITC at concentrations 0</w:t>
      </w:r>
      <w:r w:rsidR="00106E99" w:rsidRPr="009A2E21">
        <w:rPr>
          <w:i w:val="0"/>
          <w:iCs w:val="0"/>
          <w:color w:val="000000" w:themeColor="text1"/>
          <w:sz w:val="20"/>
          <w:szCs w:val="20"/>
        </w:rPr>
        <w:sym w:font="Symbol" w:char="F06D"/>
      </w:r>
      <w:r w:rsidR="00106E99" w:rsidRPr="009A2E21">
        <w:rPr>
          <w:i w:val="0"/>
          <w:iCs w:val="0"/>
          <w:color w:val="000000" w:themeColor="text1"/>
          <w:sz w:val="20"/>
          <w:szCs w:val="20"/>
        </w:rPr>
        <w:t>g/mL, 4</w:t>
      </w:r>
      <w:r w:rsidR="00106E99" w:rsidRPr="009A2E21">
        <w:rPr>
          <w:i w:val="0"/>
          <w:iCs w:val="0"/>
          <w:color w:val="000000" w:themeColor="text1"/>
          <w:sz w:val="20"/>
          <w:szCs w:val="20"/>
        </w:rPr>
        <w:sym w:font="Symbol" w:char="F06D"/>
      </w:r>
      <w:r w:rsidR="00106E99" w:rsidRPr="009A2E21">
        <w:rPr>
          <w:i w:val="0"/>
          <w:iCs w:val="0"/>
          <w:color w:val="000000" w:themeColor="text1"/>
          <w:sz w:val="20"/>
          <w:szCs w:val="20"/>
        </w:rPr>
        <w:t>g/mL, and 8</w:t>
      </w:r>
      <w:r w:rsidR="00106E99" w:rsidRPr="009A2E21">
        <w:rPr>
          <w:i w:val="0"/>
          <w:iCs w:val="0"/>
          <w:color w:val="000000" w:themeColor="text1"/>
          <w:sz w:val="20"/>
          <w:szCs w:val="20"/>
        </w:rPr>
        <w:sym w:font="Symbol" w:char="F06D"/>
      </w:r>
      <w:r w:rsidR="00106E99" w:rsidRPr="009A2E21">
        <w:rPr>
          <w:i w:val="0"/>
          <w:iCs w:val="0"/>
          <w:color w:val="000000" w:themeColor="text1"/>
          <w:sz w:val="20"/>
          <w:szCs w:val="20"/>
        </w:rPr>
        <w:t>g/</w:t>
      </w:r>
      <w:proofErr w:type="spellStart"/>
      <w:r w:rsidR="00106E99" w:rsidRPr="009A2E21">
        <w:rPr>
          <w:i w:val="0"/>
          <w:iCs w:val="0"/>
          <w:color w:val="000000" w:themeColor="text1"/>
          <w:sz w:val="20"/>
          <w:szCs w:val="20"/>
        </w:rPr>
        <w:t>mL.</w:t>
      </w:r>
      <w:proofErr w:type="spellEnd"/>
      <w:r w:rsidR="00106E99" w:rsidRPr="009A2E21">
        <w:rPr>
          <w:i w:val="0"/>
          <w:iCs w:val="0"/>
          <w:color w:val="000000" w:themeColor="text1"/>
          <w:sz w:val="20"/>
          <w:szCs w:val="20"/>
        </w:rPr>
        <w:t xml:space="preserve"> Post staining samples were stained with WGA, STING-AF555, and LAMP1-Cy5 then imaged.</w:t>
      </w:r>
      <w:bookmarkEnd w:id="41"/>
      <w:r w:rsidR="00106E99" w:rsidRPr="009A2E21">
        <w:rPr>
          <w:i w:val="0"/>
          <w:iCs w:val="0"/>
          <w:color w:val="000000" w:themeColor="text1"/>
          <w:sz w:val="20"/>
          <w:szCs w:val="20"/>
        </w:rPr>
        <w:t xml:space="preserve">  </w:t>
      </w:r>
    </w:p>
    <w:p w14:paraId="10798D85" w14:textId="5D1C7E7B" w:rsidR="0041556C" w:rsidRDefault="0041556C" w:rsidP="0041556C">
      <w:pPr>
        <w:ind w:firstLine="720"/>
      </w:pPr>
      <w:r>
        <w:t xml:space="preserve">Post staining the samples were imaged </w:t>
      </w:r>
      <w:r w:rsidR="008C64BB">
        <w:t xml:space="preserve">by placing the coverslips on glass bottom dishes (35mm, #1.5H glass) </w:t>
      </w:r>
      <w:r>
        <w:t xml:space="preserve">using the </w:t>
      </w:r>
      <w:r w:rsidRPr="005B70F1">
        <w:t>ZEISS Laser Confocal Scanning Microscope</w:t>
      </w:r>
      <w:r>
        <w:t xml:space="preserve"> 800 with </w:t>
      </w:r>
      <w:proofErr w:type="spellStart"/>
      <w:r>
        <w:t>Airyscan</w:t>
      </w:r>
      <w:proofErr w:type="spellEnd"/>
      <w:r>
        <w:t xml:space="preserve">. This technology uses </w:t>
      </w:r>
      <w:r w:rsidRPr="005B70F1">
        <w:t xml:space="preserve">32 </w:t>
      </w:r>
      <w:r>
        <w:t>honeycomb</w:t>
      </w:r>
      <w:r w:rsidRPr="005B70F1">
        <w:t xml:space="preserve"> micro-lenses</w:t>
      </w:r>
      <w:r>
        <w:t xml:space="preserve"> to enhance the resolution without increasing noise or reducing the signal </w:t>
      </w:r>
      <w:r>
        <w:fldChar w:fldCharType="begin"/>
      </w:r>
      <w:r w:rsidR="00EB5C47">
        <w:instrText xml:space="preserve"> ADDIN ZOTERO_ITEM CSL_CITATION {"citationID":"SzjI0ZyX","properties":{"formattedCitation":"[53]","plainCitation":"[53]","noteIndex":0},"citationItems":[{"id":1526,"uris":["http://zotero.org/users/13277427/items/WKQEYPDU"],"itemData":{"id":1526,"type":"article-journal","abstract":"The Zeiss Airyscan microscope transforms a diffraction-limited, point-scanning confocal microscope into a super-resolution microscope using a specialized 32-channel Airyscan detector. By improving resolution two-fold and signal-to-noise ratio eight-fold relative to conventional confocal microscopes while retaining confocal functionality, the Airyscan microscope has become a very popular super-resolution imaging tool for cell biologists. In this chapter, we describe the fundamentals of Airyscan imaging, with the aim of helping the reader determine the proper acquisition settings for different types of experiments, optimize imaging conditions, and process the raw Airyscan images to obtain final images with the best quality. We also provide some tips, tricks, and best practices for Airyscan imaging. Of note, while our focus is on the Airyscan function of this microscope rather than its conventional confocal function, the Airyscan unit comes as an add-on to the conventional Zeiss laser scanning confocal microscope. This protocol is for the first generation Airyscan Zeiss 800 series microscope.","container-title":"Methods in molecular biology (Clifton, N.J.)","DOI":"10.1007/978-1-0716-1402-0_5","ISSN":"1064-3745","journalAbbreviation":"Methods Mol Biol","note":"PMID: 34028713\nPMCID: PMC8808742","page":"111-130","source":"PubMed Central","title":"ZEISS Airyscan: Optimizing usage for fast, gentle, super-resolution imaging","title-short":"ZEISS Airyscan","volume":"2304","author":[{"family":"Wu","given":"Xufeng"},{"family":"Hammer","given":"John A."}],"issued":{"date-parts":[["2021"]]}}}],"schema":"https://github.com/citation-style-language/schema/raw/master/csl-citation.json"} </w:instrText>
      </w:r>
      <w:r>
        <w:fldChar w:fldCharType="separate"/>
      </w:r>
      <w:r w:rsidR="00EB5C47">
        <w:rPr>
          <w:noProof/>
        </w:rPr>
        <w:t>[53]</w:t>
      </w:r>
      <w:r>
        <w:fldChar w:fldCharType="end"/>
      </w:r>
      <w:r>
        <w:t xml:space="preserve">. The technology has each of the 32 lenses detect a small portion area of the </w:t>
      </w:r>
      <w:r w:rsidRPr="00037F81">
        <w:t>Airy disk</w:t>
      </w:r>
      <w:r>
        <w:t xml:space="preserve">. The individual images from each detector are then shifted to the center position to yield one cohesive image with a 1.7 increase in resolution </w:t>
      </w:r>
      <w:r>
        <w:fldChar w:fldCharType="begin"/>
      </w:r>
      <w:r w:rsidR="00EB5C47">
        <w:instrText xml:space="preserve"> ADDIN ZOTERO_ITEM CSL_CITATION {"citationID":"8YOM6pGK","properties":{"formattedCitation":"[54]","plainCitation":"[54]","noteIndex":0},"citationItems":[{"id":1529,"uris":["http://zotero.org/users/13277427/items/YPBF983J"],"itemData":{"id":1529,"type":"webpage","title":"ZEISS LSM 800 with Airyscan | College of Engineering | University of Nebraska–Lincoln","URL":"https://engineering.unl.edu/nercf/zeiss-lsm-800-airyscan/","accessed":{"date-parts":[["2024",3,12]]}}}],"schema":"https://github.com/citation-style-language/schema/raw/master/csl-citation.json"} </w:instrText>
      </w:r>
      <w:r>
        <w:fldChar w:fldCharType="separate"/>
      </w:r>
      <w:r w:rsidR="00EB5C47">
        <w:rPr>
          <w:noProof/>
        </w:rPr>
        <w:t>[54]</w:t>
      </w:r>
      <w:r>
        <w:fldChar w:fldCharType="end"/>
      </w:r>
      <w:r>
        <w:t xml:space="preserve">. </w:t>
      </w:r>
      <w:r w:rsidRPr="00037F81">
        <w:rPr>
          <w:b/>
          <w:bCs/>
        </w:rPr>
        <w:t xml:space="preserve">Figure </w:t>
      </w:r>
      <w:r>
        <w:rPr>
          <w:b/>
          <w:bCs/>
        </w:rPr>
        <w:t>1</w:t>
      </w:r>
      <w:r w:rsidR="0045228C">
        <w:rPr>
          <w:b/>
          <w:bCs/>
        </w:rPr>
        <w:t>4</w:t>
      </w:r>
      <w:r>
        <w:rPr>
          <w:b/>
          <w:bCs/>
        </w:rPr>
        <w:t xml:space="preserve"> </w:t>
      </w:r>
      <w:r>
        <w:t xml:space="preserve">depicts the honeycomb setup of the Airy disk and </w:t>
      </w:r>
      <w:proofErr w:type="spellStart"/>
      <w:r>
        <w:t>Airyscan</w:t>
      </w:r>
      <w:proofErr w:type="spellEnd"/>
      <w:r>
        <w:t xml:space="preserve"> detector. </w:t>
      </w:r>
    </w:p>
    <w:p w14:paraId="349DC2AA" w14:textId="77777777" w:rsidR="00646D67" w:rsidRDefault="00646D67" w:rsidP="00EA1377">
      <w:pPr>
        <w:ind w:firstLine="720"/>
      </w:pPr>
      <w:r w:rsidRPr="00D820B2">
        <w:t xml:space="preserve">The ZEISS 800 was used to detect </w:t>
      </w:r>
      <w:r>
        <w:t xml:space="preserve">signal on the 405, 488, 561, and 633nm channels. The stains utilized were WGA 405nm, GT-FITC, STING-AF555, and LAMP1-Cy5. The arrangement of their excitation and emission wavelength can be seen below in </w:t>
      </w:r>
      <w:r>
        <w:rPr>
          <w:b/>
          <w:bCs/>
        </w:rPr>
        <w:t xml:space="preserve">Figure 15. </w:t>
      </w:r>
      <w:r>
        <w:t xml:space="preserve">These dyes were chosen as there was enough spacing between peaks to allow for each signal to be detected without too much overlap. </w:t>
      </w:r>
    </w:p>
    <w:p w14:paraId="14E8E797" w14:textId="77777777" w:rsidR="00646D67" w:rsidRPr="005B70F1" w:rsidRDefault="00646D67" w:rsidP="0041556C">
      <w:pPr>
        <w:ind w:firstLine="720"/>
      </w:pPr>
    </w:p>
    <w:p w14:paraId="2236CEA8" w14:textId="40BFD3DB" w:rsidR="0041556C" w:rsidRDefault="00774FFD" w:rsidP="0041556C">
      <w:pPr>
        <w:jc w:val="center"/>
      </w:pPr>
      <w:r>
        <w:rPr>
          <w:noProof/>
        </w:rPr>
        <w:lastRenderedPageBreak/>
        <w:drawing>
          <wp:inline distT="0" distB="0" distL="0" distR="0" wp14:anchorId="1A2F52B3" wp14:editId="4CB8D923">
            <wp:extent cx="2840013" cy="2862943"/>
            <wp:effectExtent l="0" t="0" r="0" b="0"/>
            <wp:docPr id="139011299" name="Picture 20" descr="A blue and clear object with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17278" name="Picture 20" descr="A blue and clear object with a black background&#10;&#10;Description automatically generated with medium confidence"/>
                    <pic:cNvPicPr/>
                  </pic:nvPicPr>
                  <pic:blipFill rotWithShape="1">
                    <a:blip r:embed="rId26" cstate="print">
                      <a:extLst>
                        <a:ext uri="{28A0092B-C50C-407E-A947-70E740481C1C}">
                          <a14:useLocalDpi xmlns:a14="http://schemas.microsoft.com/office/drawing/2010/main" val="0"/>
                        </a:ext>
                      </a:extLst>
                    </a:blip>
                    <a:srcRect l="9705" r="19724" b="28860"/>
                    <a:stretch/>
                  </pic:blipFill>
                  <pic:spPr bwMode="auto">
                    <a:xfrm>
                      <a:off x="0" y="0"/>
                      <a:ext cx="2840477" cy="2863411"/>
                    </a:xfrm>
                    <a:prstGeom prst="rect">
                      <a:avLst/>
                    </a:prstGeom>
                    <a:ln>
                      <a:noFill/>
                    </a:ln>
                    <a:extLst>
                      <a:ext uri="{53640926-AAD7-44D8-BBD7-CCE9431645EC}">
                        <a14:shadowObscured xmlns:a14="http://schemas.microsoft.com/office/drawing/2010/main"/>
                      </a:ext>
                    </a:extLst>
                  </pic:spPr>
                </pic:pic>
              </a:graphicData>
            </a:graphic>
          </wp:inline>
        </w:drawing>
      </w:r>
      <w:r w:rsidR="0041556C">
        <w:rPr>
          <w:noProof/>
        </w:rPr>
        <w:drawing>
          <wp:inline distT="0" distB="0" distL="0" distR="0" wp14:anchorId="58EA218D" wp14:editId="4B27B0DD">
            <wp:extent cx="2840013" cy="576852"/>
            <wp:effectExtent l="0" t="0" r="5080" b="0"/>
            <wp:docPr id="2104117278" name="Picture 20" descr="A blue and clear object with a black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117278" name="Picture 20" descr="A blue and clear object with a black background&#10;&#10;Description automatically generated with medium confidence"/>
                    <pic:cNvPicPr/>
                  </pic:nvPicPr>
                  <pic:blipFill rotWithShape="1">
                    <a:blip r:embed="rId26" cstate="print">
                      <a:extLst>
                        <a:ext uri="{28A0092B-C50C-407E-A947-70E740481C1C}">
                          <a14:useLocalDpi xmlns:a14="http://schemas.microsoft.com/office/drawing/2010/main" val="0"/>
                        </a:ext>
                      </a:extLst>
                    </a:blip>
                    <a:srcRect l="9705" t="74927" r="19724" b="10739"/>
                    <a:stretch/>
                  </pic:blipFill>
                  <pic:spPr bwMode="auto">
                    <a:xfrm>
                      <a:off x="0" y="0"/>
                      <a:ext cx="2840477" cy="576946"/>
                    </a:xfrm>
                    <a:prstGeom prst="rect">
                      <a:avLst/>
                    </a:prstGeom>
                    <a:ln>
                      <a:noFill/>
                    </a:ln>
                    <a:extLst>
                      <a:ext uri="{53640926-AAD7-44D8-BBD7-CCE9431645EC}">
                        <a14:shadowObscured xmlns:a14="http://schemas.microsoft.com/office/drawing/2010/main"/>
                      </a:ext>
                    </a:extLst>
                  </pic:spPr>
                </pic:pic>
              </a:graphicData>
            </a:graphic>
          </wp:inline>
        </w:drawing>
      </w:r>
    </w:p>
    <w:p w14:paraId="2BA2C45F" w14:textId="77777777" w:rsidR="0041556C" w:rsidRPr="004D3E9E" w:rsidRDefault="0041556C" w:rsidP="0041556C"/>
    <w:p w14:paraId="1E5432FA" w14:textId="0BC7A081" w:rsidR="0041556C" w:rsidRPr="009A2E21" w:rsidRDefault="0041556C" w:rsidP="009A2E21">
      <w:pPr>
        <w:pStyle w:val="Caption"/>
        <w:jc w:val="both"/>
        <w:rPr>
          <w:i w:val="0"/>
          <w:iCs w:val="0"/>
          <w:color w:val="000000" w:themeColor="text1"/>
          <w:sz w:val="20"/>
          <w:szCs w:val="20"/>
        </w:rPr>
      </w:pPr>
      <w:bookmarkStart w:id="42" w:name="_Toc165201233"/>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14</w:t>
      </w:r>
      <w:r w:rsidRPr="009A2E21">
        <w:rPr>
          <w:b/>
          <w:bCs/>
          <w:i w:val="0"/>
          <w:iCs w:val="0"/>
          <w:color w:val="000000" w:themeColor="text1"/>
          <w:sz w:val="20"/>
          <w:szCs w:val="20"/>
        </w:rPr>
        <w:fldChar w:fldCharType="end"/>
      </w:r>
      <w:r w:rsidRPr="009A2E21">
        <w:rPr>
          <w:b/>
          <w:bCs/>
          <w:i w:val="0"/>
          <w:iCs w:val="0"/>
          <w:color w:val="000000" w:themeColor="text1"/>
          <w:sz w:val="20"/>
          <w:szCs w:val="20"/>
        </w:rPr>
        <w:t>:</w:t>
      </w:r>
      <w:r w:rsidRPr="009A2E21">
        <w:rPr>
          <w:color w:val="000000" w:themeColor="text1"/>
          <w:sz w:val="20"/>
          <w:szCs w:val="20"/>
        </w:rPr>
        <w:t xml:space="preserve"> </w:t>
      </w:r>
      <w:r w:rsidRPr="009A2E21">
        <w:rPr>
          <w:b/>
          <w:bCs/>
          <w:i w:val="0"/>
          <w:iCs w:val="0"/>
          <w:color w:val="000000" w:themeColor="text1"/>
          <w:sz w:val="20"/>
          <w:szCs w:val="20"/>
        </w:rPr>
        <w:t xml:space="preserve">Setup of the Airy disk and </w:t>
      </w:r>
      <w:proofErr w:type="spellStart"/>
      <w:r w:rsidRPr="009A2E21">
        <w:rPr>
          <w:b/>
          <w:bCs/>
          <w:i w:val="0"/>
          <w:iCs w:val="0"/>
          <w:color w:val="000000" w:themeColor="text1"/>
          <w:sz w:val="20"/>
          <w:szCs w:val="20"/>
        </w:rPr>
        <w:t>Airyscan</w:t>
      </w:r>
      <w:proofErr w:type="spellEnd"/>
      <w:r w:rsidRPr="009A2E21">
        <w:rPr>
          <w:b/>
          <w:bCs/>
          <w:i w:val="0"/>
          <w:iCs w:val="0"/>
          <w:color w:val="000000" w:themeColor="text1"/>
          <w:sz w:val="20"/>
          <w:szCs w:val="20"/>
        </w:rPr>
        <w:t xml:space="preserve"> detector</w:t>
      </w:r>
      <w:r w:rsidRPr="009A2E21">
        <w:rPr>
          <w:i w:val="0"/>
          <w:iCs w:val="0"/>
          <w:color w:val="000000" w:themeColor="text1"/>
          <w:sz w:val="20"/>
          <w:szCs w:val="20"/>
        </w:rPr>
        <w:t xml:space="preserve">. </w:t>
      </w:r>
      <w:r w:rsidR="009A2E21" w:rsidRPr="009A2E21">
        <w:rPr>
          <w:i w:val="0"/>
          <w:iCs w:val="0"/>
          <w:color w:val="000000" w:themeColor="text1"/>
          <w:sz w:val="20"/>
          <w:szCs w:val="20"/>
        </w:rPr>
        <w:t xml:space="preserve">Each component of the </w:t>
      </w:r>
      <w:proofErr w:type="spellStart"/>
      <w:r w:rsidR="009A2E21" w:rsidRPr="009A2E21">
        <w:rPr>
          <w:i w:val="0"/>
          <w:iCs w:val="0"/>
          <w:color w:val="000000" w:themeColor="text1"/>
          <w:sz w:val="20"/>
          <w:szCs w:val="20"/>
        </w:rPr>
        <w:t>Airyscan</w:t>
      </w:r>
      <w:proofErr w:type="spellEnd"/>
      <w:r w:rsidR="009A2E21" w:rsidRPr="009A2E21">
        <w:rPr>
          <w:i w:val="0"/>
          <w:iCs w:val="0"/>
          <w:color w:val="000000" w:themeColor="text1"/>
          <w:sz w:val="20"/>
          <w:szCs w:val="20"/>
        </w:rPr>
        <w:t xml:space="preserve"> setup is shown with the mirror (1), emission filter (2), zoom optics (3), Airy disk (4), and </w:t>
      </w:r>
      <w:proofErr w:type="spellStart"/>
      <w:r w:rsidR="009A2E21" w:rsidRPr="009A2E21">
        <w:rPr>
          <w:i w:val="0"/>
          <w:iCs w:val="0"/>
          <w:color w:val="000000" w:themeColor="text1"/>
          <w:sz w:val="20"/>
          <w:szCs w:val="20"/>
        </w:rPr>
        <w:t>Airyscan</w:t>
      </w:r>
      <w:proofErr w:type="spellEnd"/>
      <w:r w:rsidR="009A2E21" w:rsidRPr="009A2E21">
        <w:rPr>
          <w:i w:val="0"/>
          <w:iCs w:val="0"/>
          <w:color w:val="000000" w:themeColor="text1"/>
          <w:sz w:val="20"/>
          <w:szCs w:val="20"/>
        </w:rPr>
        <w:t xml:space="preserve"> detector (5). </w:t>
      </w:r>
      <w:r w:rsidRPr="009A2E21">
        <w:rPr>
          <w:i w:val="0"/>
          <w:iCs w:val="0"/>
          <w:color w:val="000000" w:themeColor="text1"/>
          <w:sz w:val="20"/>
          <w:szCs w:val="20"/>
        </w:rPr>
        <w:t xml:space="preserve">Shows the 32 honeycomb disk arrangement. </w:t>
      </w:r>
      <w:r w:rsidR="00A157C0">
        <w:rPr>
          <w:i w:val="0"/>
          <w:iCs w:val="0"/>
          <w:color w:val="000000" w:themeColor="text1"/>
          <w:sz w:val="20"/>
          <w:szCs w:val="20"/>
        </w:rPr>
        <w:t>Reproduced and</w:t>
      </w:r>
      <w:r w:rsidR="007D5DBF">
        <w:rPr>
          <w:i w:val="0"/>
          <w:iCs w:val="0"/>
          <w:color w:val="000000" w:themeColor="text1"/>
          <w:sz w:val="20"/>
          <w:szCs w:val="20"/>
        </w:rPr>
        <w:t xml:space="preserve"> </w:t>
      </w:r>
      <w:r w:rsidR="000059CD">
        <w:rPr>
          <w:i w:val="0"/>
          <w:iCs w:val="0"/>
          <w:color w:val="000000" w:themeColor="text1"/>
          <w:sz w:val="20"/>
          <w:szCs w:val="20"/>
        </w:rPr>
        <w:t>modified</w:t>
      </w:r>
      <w:r w:rsidR="007D5DBF">
        <w:rPr>
          <w:i w:val="0"/>
          <w:iCs w:val="0"/>
          <w:color w:val="000000" w:themeColor="text1"/>
          <w:sz w:val="20"/>
          <w:szCs w:val="20"/>
        </w:rPr>
        <w:t xml:space="preserve"> from Huff with permission</w:t>
      </w:r>
      <w:r w:rsidR="00A157C0">
        <w:rPr>
          <w:i w:val="0"/>
          <w:iCs w:val="0"/>
          <w:color w:val="000000" w:themeColor="text1"/>
          <w:sz w:val="20"/>
          <w:szCs w:val="20"/>
        </w:rPr>
        <w:t xml:space="preserve"> from Springer Nature</w:t>
      </w:r>
      <w:r w:rsidR="007D5DBF">
        <w:rPr>
          <w:i w:val="0"/>
          <w:iCs w:val="0"/>
          <w:color w:val="000000" w:themeColor="text1"/>
          <w:sz w:val="20"/>
          <w:szCs w:val="20"/>
        </w:rPr>
        <w:t xml:space="preserve"> </w:t>
      </w:r>
      <w:r w:rsidR="007D5DBF">
        <w:rPr>
          <w:i w:val="0"/>
          <w:iCs w:val="0"/>
          <w:color w:val="000000" w:themeColor="text1"/>
          <w:sz w:val="20"/>
          <w:szCs w:val="20"/>
        </w:rPr>
        <w:fldChar w:fldCharType="begin"/>
      </w:r>
      <w:r w:rsidR="007D5DBF">
        <w:rPr>
          <w:i w:val="0"/>
          <w:iCs w:val="0"/>
          <w:color w:val="000000" w:themeColor="text1"/>
          <w:sz w:val="20"/>
          <w:szCs w:val="20"/>
        </w:rPr>
        <w:instrText xml:space="preserve"> ADDIN ZOTERO_ITEM CSL_CITATION {"citationID":"XdrTaLrK","properties":{"formattedCitation":"[55]","plainCitation":"[55]","noteIndex":0},"citationItems":[{"id":1711,"uris":["http://zotero.org/users/13277427/items/TQP9R2F8"],"itemData":{"id":1711,"type":"article-journal","abstract":"With Airyscan, ZEISS introduced a new detector concept for confocal laser-scanning microscopy (LSM). Whereas traditional LSM designs use a combination of pinhole and single-point detectors, Airyscan is a 32-channel gallium arsenide phosphide photomultiplier tube (GaAsP-PMT) area detector that collects a pinhole-plane image at every scan position. Each detector element functions as a single, very small pinhole. Knowledge about the beam path and the spatial distribution of each detector channel enables very light-efficient imaging with improved resolution and signal-to-noise ratio.","container-title":"Nature Methods","DOI":"10.1038/nmeth.f.388","ISSN":"1548-7105","issue":"12","journalAbbreviation":"Nat Methods","language":"en","license":"2015 Springer Nature America, Inc.","note":"publisher: Nature Publishing Group","page":"i-ii","source":"www.nature.com","title":"The Airyscan detector from ZEISS: confocal imaging with improved signal-to-noise ratio and super-resolution","title-short":"The Airyscan detector from ZEISS","volume":"12","author":[{"family":"Huff","given":"Joseph"}],"issued":{"date-parts":[["2015",12]]}}}],"schema":"https://github.com/citation-style-language/schema/raw/master/csl-citation.json"} </w:instrText>
      </w:r>
      <w:r w:rsidR="007D5DBF">
        <w:rPr>
          <w:i w:val="0"/>
          <w:iCs w:val="0"/>
          <w:color w:val="000000" w:themeColor="text1"/>
          <w:sz w:val="20"/>
          <w:szCs w:val="20"/>
        </w:rPr>
        <w:fldChar w:fldCharType="separate"/>
      </w:r>
      <w:r w:rsidR="007D5DBF">
        <w:rPr>
          <w:i w:val="0"/>
          <w:iCs w:val="0"/>
          <w:noProof/>
          <w:color w:val="000000" w:themeColor="text1"/>
          <w:sz w:val="20"/>
          <w:szCs w:val="20"/>
        </w:rPr>
        <w:t>[55]</w:t>
      </w:r>
      <w:r w:rsidR="007D5DBF">
        <w:rPr>
          <w:i w:val="0"/>
          <w:iCs w:val="0"/>
          <w:color w:val="000000" w:themeColor="text1"/>
          <w:sz w:val="20"/>
          <w:szCs w:val="20"/>
        </w:rPr>
        <w:fldChar w:fldCharType="end"/>
      </w:r>
      <w:r w:rsidR="007D5DBF">
        <w:rPr>
          <w:i w:val="0"/>
          <w:iCs w:val="0"/>
          <w:color w:val="000000" w:themeColor="text1"/>
          <w:sz w:val="20"/>
          <w:szCs w:val="20"/>
        </w:rPr>
        <w:t>.</w:t>
      </w:r>
      <w:bookmarkEnd w:id="42"/>
      <w:r w:rsidR="007D5DBF">
        <w:rPr>
          <w:i w:val="0"/>
          <w:iCs w:val="0"/>
          <w:color w:val="000000" w:themeColor="text1"/>
          <w:sz w:val="20"/>
          <w:szCs w:val="20"/>
        </w:rPr>
        <w:t xml:space="preserve"> </w:t>
      </w:r>
    </w:p>
    <w:p w14:paraId="363C51A7" w14:textId="77777777" w:rsidR="0041556C" w:rsidRDefault="0041556C" w:rsidP="0041556C">
      <w:r>
        <w:rPr>
          <w:noProof/>
        </w:rPr>
        <w:drawing>
          <wp:inline distT="0" distB="0" distL="0" distR="0" wp14:anchorId="4B72A8A1" wp14:editId="08BC0DA5">
            <wp:extent cx="5943600" cy="2228850"/>
            <wp:effectExtent l="0" t="0" r="0" b="6350"/>
            <wp:docPr id="1705048143" name="Picture 2" descr="A diagram of different colo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048143" name="Picture 2" descr="A diagram of different colors&#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943600" cy="2228850"/>
                    </a:xfrm>
                    <a:prstGeom prst="rect">
                      <a:avLst/>
                    </a:prstGeom>
                  </pic:spPr>
                </pic:pic>
              </a:graphicData>
            </a:graphic>
          </wp:inline>
        </w:drawing>
      </w:r>
    </w:p>
    <w:p w14:paraId="43154018" w14:textId="1E6AC438" w:rsidR="0041556C" w:rsidRPr="009A2E21" w:rsidRDefault="0041556C" w:rsidP="009A2E21">
      <w:pPr>
        <w:jc w:val="both"/>
        <w:rPr>
          <w:sz w:val="20"/>
          <w:szCs w:val="20"/>
        </w:rPr>
      </w:pPr>
      <w:bookmarkStart w:id="43" w:name="_Toc165201234"/>
      <w:r w:rsidRPr="009A2E21">
        <w:rPr>
          <w:b/>
          <w:bCs/>
          <w:color w:val="000000" w:themeColor="text1"/>
          <w:sz w:val="20"/>
          <w:szCs w:val="20"/>
        </w:rPr>
        <w:t xml:space="preserve">Figure </w:t>
      </w:r>
      <w:r w:rsidRPr="009A2E21">
        <w:rPr>
          <w:b/>
          <w:bCs/>
          <w:color w:val="000000" w:themeColor="text1"/>
          <w:sz w:val="20"/>
          <w:szCs w:val="20"/>
        </w:rPr>
        <w:fldChar w:fldCharType="begin"/>
      </w:r>
      <w:r w:rsidRPr="009A2E21">
        <w:rPr>
          <w:b/>
          <w:bCs/>
          <w:color w:val="000000" w:themeColor="text1"/>
          <w:sz w:val="20"/>
          <w:szCs w:val="20"/>
        </w:rPr>
        <w:instrText xml:space="preserve"> SEQ Figure \* ARABIC </w:instrText>
      </w:r>
      <w:r w:rsidRPr="009A2E21">
        <w:rPr>
          <w:b/>
          <w:bCs/>
          <w:color w:val="000000" w:themeColor="text1"/>
          <w:sz w:val="20"/>
          <w:szCs w:val="20"/>
        </w:rPr>
        <w:fldChar w:fldCharType="separate"/>
      </w:r>
      <w:r w:rsidR="0021770C">
        <w:rPr>
          <w:b/>
          <w:bCs/>
          <w:noProof/>
          <w:color w:val="000000" w:themeColor="text1"/>
          <w:sz w:val="20"/>
          <w:szCs w:val="20"/>
        </w:rPr>
        <w:t>15</w:t>
      </w:r>
      <w:r w:rsidRPr="009A2E21">
        <w:rPr>
          <w:b/>
          <w:bCs/>
          <w:color w:val="000000" w:themeColor="text1"/>
          <w:sz w:val="20"/>
          <w:szCs w:val="20"/>
        </w:rPr>
        <w:fldChar w:fldCharType="end"/>
      </w:r>
      <w:r w:rsidRPr="009A2E21">
        <w:rPr>
          <w:color w:val="000000" w:themeColor="text1"/>
          <w:sz w:val="20"/>
          <w:szCs w:val="20"/>
        </w:rPr>
        <w:t xml:space="preserve">: </w:t>
      </w:r>
      <w:r w:rsidR="009A2E21" w:rsidRPr="009A2E21">
        <w:rPr>
          <w:b/>
          <w:bCs/>
          <w:color w:val="000000" w:themeColor="text1"/>
          <w:sz w:val="20"/>
          <w:szCs w:val="20"/>
        </w:rPr>
        <w:t>Emission wavelengths of stains used in IF procedures</w:t>
      </w:r>
      <w:r w:rsidR="009A2E21" w:rsidRPr="009A2E21">
        <w:rPr>
          <w:color w:val="000000" w:themeColor="text1"/>
          <w:sz w:val="20"/>
          <w:szCs w:val="20"/>
        </w:rPr>
        <w:t xml:space="preserve">. </w:t>
      </w:r>
      <w:r w:rsidRPr="009A2E21">
        <w:rPr>
          <w:color w:val="000000" w:themeColor="text1"/>
          <w:sz w:val="20"/>
          <w:szCs w:val="20"/>
        </w:rPr>
        <w:t>Excitation and emission wavelengths of WGA 405, GC-FITC, STING-AF55, and LAMP 1-Cy5.</w:t>
      </w:r>
      <w:bookmarkEnd w:id="43"/>
    </w:p>
    <w:p w14:paraId="19B13373" w14:textId="77777777" w:rsidR="00774FFD" w:rsidRDefault="00774FFD" w:rsidP="0041556C">
      <w:pPr>
        <w:pStyle w:val="Heading3"/>
      </w:pPr>
    </w:p>
    <w:p w14:paraId="2148BD0D" w14:textId="6C79DA1B" w:rsidR="0041556C" w:rsidRPr="008947DF" w:rsidRDefault="0041556C" w:rsidP="0041556C">
      <w:pPr>
        <w:pStyle w:val="Heading3"/>
      </w:pPr>
      <w:bookmarkStart w:id="44" w:name="_Toc165293360"/>
      <w:r>
        <w:t xml:space="preserve">4.3.2. </w:t>
      </w:r>
      <w:r w:rsidRPr="008947DF">
        <w:t>Cellular Microscopy Quantitative Analysis</w:t>
      </w:r>
      <w:bookmarkEnd w:id="44"/>
    </w:p>
    <w:p w14:paraId="153224BA" w14:textId="20407260" w:rsidR="0041556C" w:rsidRDefault="0041556C" w:rsidP="00782ED1">
      <w:pPr>
        <w:ind w:firstLine="720"/>
        <w:rPr>
          <w:i/>
          <w:iCs/>
        </w:rPr>
      </w:pPr>
      <w:proofErr w:type="gramStart"/>
      <w:r>
        <w:t>In order to</w:t>
      </w:r>
      <w:proofErr w:type="gramEnd"/>
      <w:r>
        <w:t xml:space="preserve"> quantify the overlap between the GC-FITC and STING expression, ImageJ was utilized. </w:t>
      </w:r>
      <w:r w:rsidR="00782ED1">
        <w:t xml:space="preserve">The process for analysis is as follows. The </w:t>
      </w:r>
      <w:r>
        <w:t xml:space="preserve">images were loaded into ImageJ and the </w:t>
      </w:r>
      <w:r w:rsidRPr="00037F81">
        <w:t>488</w:t>
      </w:r>
      <w:r>
        <w:t xml:space="preserve">nm (FITC) and </w:t>
      </w:r>
      <w:r w:rsidRPr="00037F81">
        <w:t>561</w:t>
      </w:r>
      <w:r>
        <w:t>nm (STING) channels were analyzed. The images were set to 8bit to best mimic the capabilities of the human eye</w:t>
      </w:r>
      <w:r w:rsidR="00F32B13">
        <w:t xml:space="preserve"> </w:t>
      </w:r>
      <w:r w:rsidR="00F32B13">
        <w:fldChar w:fldCharType="begin"/>
      </w:r>
      <w:r w:rsidR="007D5DBF">
        <w:instrText xml:space="preserve"> ADDIN ZOTERO_ITEM CSL_CITATION {"citationID":"g3FyLRsb","properties":{"formattedCitation":"[56]","plainCitation":"[56]","noteIndex":0},"citationItems":[{"id":1681,"uris":["http://zotero.org/users/13277427/items/9YNKX4J9"],"itemData":{"id":1681,"type":"webpage","abstract":"What is the relationship between bit depth, full well capacity, and dynamic range, and how does this affect your imaging?","container-title":"Teledyne Photometrics","language":"en-US","title":"Bit Depth, Full Well, and Dynamic Range - Learn","URL":"https://www.photometrics.com/learn/camera-basics/bit-depth","accessed":{"date-parts":[["2024",4,3]]}}}],"schema":"https://github.com/citation-style-language/schema/raw/master/csl-citation.json"} </w:instrText>
      </w:r>
      <w:r w:rsidR="00F32B13">
        <w:fldChar w:fldCharType="separate"/>
      </w:r>
      <w:r w:rsidR="007D5DBF">
        <w:rPr>
          <w:noProof/>
        </w:rPr>
        <w:t>[56]</w:t>
      </w:r>
      <w:r w:rsidR="00F32B13">
        <w:fldChar w:fldCharType="end"/>
      </w:r>
      <w:r>
        <w:t>. Following image type adjustments, the threshold on both channels were set to “B&amp;W” and “</w:t>
      </w:r>
      <w:proofErr w:type="spellStart"/>
      <w:r>
        <w:t>Ostu</w:t>
      </w:r>
      <w:proofErr w:type="spellEnd"/>
      <w:r>
        <w:t xml:space="preserve">.” The scale was then set to pixels and measurement set to give mean signal values based on the FITC channel. The particle fluorescence of the FITC channel was then extrapolated using the particle analysis function. From this, the lowest fluorescent value was used as a threshold value. This threshold would </w:t>
      </w:r>
      <w:r>
        <w:lastRenderedPageBreak/>
        <w:t>determine which particles of STING overlapped onto the GC-FITC particles by eliminating the STING particles whose mean grey value was too low once projected onto the FITC image. The STING particles were then overlayed with the FITC channel using the particle analysis function. From this, the fluorescent intensity of each STING particle in relation to the FITC channel was extrapolated. After the threshold was applied, the particle overlap was gathered from this data.</w:t>
      </w:r>
      <w:r w:rsidR="00782ED1">
        <w:t xml:space="preserve"> The macro for this procedure can be seen in </w:t>
      </w:r>
      <w:r w:rsidR="00782ED1" w:rsidRPr="00782ED1">
        <w:rPr>
          <w:b/>
          <w:bCs/>
        </w:rPr>
        <w:t>Appendix E</w:t>
      </w:r>
      <w:r w:rsidR="00782ED1">
        <w:rPr>
          <w:b/>
          <w:bCs/>
        </w:rPr>
        <w:t>.</w:t>
      </w:r>
    </w:p>
    <w:p w14:paraId="52E533F7" w14:textId="77777777" w:rsidR="0041556C" w:rsidRPr="0041556C" w:rsidRDefault="0041556C" w:rsidP="0041556C"/>
    <w:p w14:paraId="3FE0ADDE" w14:textId="2FC4C9C3" w:rsidR="0041556C" w:rsidRDefault="0041556C" w:rsidP="0041556C">
      <w:pPr>
        <w:pStyle w:val="Heading2"/>
      </w:pPr>
      <w:bookmarkStart w:id="45" w:name="_Toc165293361"/>
      <w:r>
        <w:t xml:space="preserve">4.4. </w:t>
      </w:r>
      <w:r w:rsidRPr="0041556C">
        <w:t>Results</w:t>
      </w:r>
      <w:bookmarkEnd w:id="45"/>
    </w:p>
    <w:p w14:paraId="63A7794F" w14:textId="002D26ED" w:rsidR="002C2109" w:rsidRDefault="002C2109" w:rsidP="009A2E21">
      <w:pPr>
        <w:ind w:firstLine="720"/>
      </w:pPr>
      <w:r>
        <w:t>Immunocytochemistry was utilized to investigate colocalization of STING and GC. Fixing and staining occurred following a 10 hour stimulation period with GC-FITC</w:t>
      </w:r>
      <w:r w:rsidR="00BA13EE">
        <w:t xml:space="preserve">. </w:t>
      </w:r>
      <w:r>
        <w:t xml:space="preserve">The staining illustrates STING and GC activity in relation to other subcellular components. LAMP 1 is a lysosomal associated membrane protein known to aid in the creation and fusion of </w:t>
      </w:r>
      <w:proofErr w:type="spellStart"/>
      <w:r w:rsidRPr="00DD3E1A">
        <w:t>autophagolysosomes</w:t>
      </w:r>
      <w:proofErr w:type="spellEnd"/>
      <w:r>
        <w:t xml:space="preserve"> </w:t>
      </w:r>
      <w:r>
        <w:fldChar w:fldCharType="begin"/>
      </w:r>
      <w:r w:rsidR="00EB5C47">
        <w:instrText xml:space="preserve"> ADDIN ZOTERO_ITEM CSL_CITATION {"citationID":"EXBZBYu9","properties":{"formattedCitation":"[48]","plainCitation":"[48]","noteIndex":0},"citationItems":[{"id":1555,"uris":["http://zotero.org/users/13277427/items/P4838ELH"],"itemData":{"id":1555,"type":"webpage","title":"LAMP1 - an overview | ScienceDirect Topics","URL":"https://www.sciencedirect.com/topics/biochemistry-genetics-and-molecular-biology/lamp1","accessed":{"date-parts":[["2024",3,14]]}}}],"schema":"https://github.com/citation-style-language/schema/raw/master/csl-citation.json"} </w:instrText>
      </w:r>
      <w:r>
        <w:fldChar w:fldCharType="separate"/>
      </w:r>
      <w:r w:rsidR="00EB5C47">
        <w:rPr>
          <w:noProof/>
        </w:rPr>
        <w:t>[48]</w:t>
      </w:r>
      <w:r>
        <w:fldChar w:fldCharType="end"/>
      </w:r>
      <w:r>
        <w:t xml:space="preserve">. It has been used in previous studies by </w:t>
      </w:r>
      <w:proofErr w:type="spellStart"/>
      <w:r>
        <w:t>Gaidt</w:t>
      </w:r>
      <w:proofErr w:type="spellEnd"/>
      <w:r>
        <w:t xml:space="preserve"> et al. to demonstrate colocalization between STING and the lysosomes within h</w:t>
      </w:r>
      <w:r w:rsidRPr="008B132C">
        <w:t xml:space="preserve">uman </w:t>
      </w:r>
      <w:r>
        <w:t>m</w:t>
      </w:r>
      <w:r w:rsidRPr="008B132C">
        <w:t xml:space="preserve">yeloid </w:t>
      </w:r>
      <w:r>
        <w:t>c</w:t>
      </w:r>
      <w:r w:rsidRPr="008B132C">
        <w:t>ells</w:t>
      </w:r>
      <w:r>
        <w:t xml:space="preserve"> </w:t>
      </w:r>
      <w:r>
        <w:fldChar w:fldCharType="begin"/>
      </w:r>
      <w:r w:rsidR="00733479">
        <w:instrText xml:space="preserve"> ADDIN ZOTERO_ITEM CSL_CITATION {"citationID":"snfpUjgQ","properties":{"formattedCitation":"[40]","plainCitation":"[40]","noteIndex":0},"citationItems":[{"id":1487,"uris":["http://zotero.org/users/13277427/items/DJ27SSZ7"],"itemData":{"id":1487,"type":"article-journal","container-title":"Cell","DOI":"10.1016/j.cell.2017.09.039","ISSN":"00928674","issue":"5","journalAbbreviation":"Cell","language":"en","page":"1110-1124.e18","source":"DOI.org (Crossref)","title":"The DNA Inflammasome in Human Myeloid Cells Is Initiated by a STING-Cell Death Program Upstream of NLRP3","volume":"171","author":[{"family":"Gaidt","given":"Moritz M."},{"family":"Ebert","given":"Thomas S."},{"family":"Chauhan","given":"Dhruv"},{"family":"Ramshorn","given":"Katharina"},{"family":"Pinci","given":"Francesca"},{"family":"Zuber","given":"Sarah"},{"family":"O’Duill","given":"Fionan"},{"family":"Schmid-Burgk","given":"Jonathan L."},{"family":"Hoss","given":"Florian"},{"family":"Buhmann","given":"Raymund"},{"family":"Wittmann","given":"Georg"},{"family":"Latz","given":"Eicke"},{"family":"Subklewe","given":"Marion"},{"family":"Hornung","given":"Veit"}],"issued":{"date-parts":[["2017",11]]}}}],"schema":"https://github.com/citation-style-language/schema/raw/master/csl-citation.json"} </w:instrText>
      </w:r>
      <w:r>
        <w:fldChar w:fldCharType="separate"/>
      </w:r>
      <w:r w:rsidR="00733479">
        <w:rPr>
          <w:noProof/>
        </w:rPr>
        <w:t>[40]</w:t>
      </w:r>
      <w:r>
        <w:fldChar w:fldCharType="end"/>
      </w:r>
      <w:r>
        <w:t xml:space="preserve">. As </w:t>
      </w:r>
      <w:r w:rsidR="00BA13EE">
        <w:t>LAMP 1</w:t>
      </w:r>
      <w:r>
        <w:t xml:space="preserve"> is an integral part of lysosomal autophagy activity and has been previously used in investigations of the STING pathway, it was chosen for this study. </w:t>
      </w:r>
    </w:p>
    <w:p w14:paraId="46A1BBED" w14:textId="1FC6439C" w:rsidR="002C2109" w:rsidRDefault="00AD2DA0" w:rsidP="0085153F">
      <w:pPr>
        <w:jc w:val="center"/>
      </w:pPr>
      <w:r>
        <w:rPr>
          <w:noProof/>
        </w:rPr>
        <mc:AlternateContent>
          <mc:Choice Requires="wps">
            <w:drawing>
              <wp:anchor distT="0" distB="0" distL="114300" distR="114300" simplePos="0" relativeHeight="251668480" behindDoc="0" locked="0" layoutInCell="1" allowOverlap="1" wp14:anchorId="5DCBD3AA" wp14:editId="24CF0024">
                <wp:simplePos x="0" y="0"/>
                <wp:positionH relativeFrom="column">
                  <wp:posOffset>5940603</wp:posOffset>
                </wp:positionH>
                <wp:positionV relativeFrom="paragraph">
                  <wp:posOffset>1313180</wp:posOffset>
                </wp:positionV>
                <wp:extent cx="67210" cy="205997"/>
                <wp:effectExtent l="38100" t="0" r="22225" b="22860"/>
                <wp:wrapNone/>
                <wp:docPr id="270767996" name="Straight Arrow Connector 14"/>
                <wp:cNvGraphicFramePr/>
                <a:graphic xmlns:a="http://schemas.openxmlformats.org/drawingml/2006/main">
                  <a:graphicData uri="http://schemas.microsoft.com/office/word/2010/wordprocessingShape">
                    <wps:wsp>
                      <wps:cNvCnPr/>
                      <wps:spPr>
                        <a:xfrm flipH="1">
                          <a:off x="0" y="0"/>
                          <a:ext cx="67210" cy="205997"/>
                        </a:xfrm>
                        <a:prstGeom prst="straightConnector1">
                          <a:avLst/>
                        </a:prstGeom>
                        <a:ln>
                          <a:solidFill>
                            <a:schemeClr val="bg1"/>
                          </a:solidFill>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58B1EC8" id="_x0000_t32" coordsize="21600,21600" o:spt="32" o:oned="t" path="m,l21600,21600e" filled="f">
                <v:path arrowok="t" fillok="f" o:connecttype="none"/>
                <o:lock v:ext="edit" shapetype="t"/>
              </v:shapetype>
              <v:shape id="Straight Arrow Connector 14" o:spid="_x0000_s1026" type="#_x0000_t32" style="position:absolute;margin-left:467.75pt;margin-top:103.4pt;width:5.3pt;height:16.2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" strokecolor="white [3212]" strokeweight="1pt">
                <v:stroke endarrow="block" joinstyle="miter"/>
              </v:shape>
            </w:pict>
          </mc:Fallback>
        </mc:AlternateContent>
      </w:r>
      <w:r w:rsidR="00015E06">
        <w:rPr>
          <w:noProof/>
        </w:rPr>
        <w:drawing>
          <wp:inline distT="0" distB="0" distL="0" distR="0" wp14:anchorId="141C8E11" wp14:editId="1E0055F2">
            <wp:extent cx="5778500" cy="3267692"/>
            <wp:effectExtent l="0" t="0" r="0" b="0"/>
            <wp:docPr id="210059330" name="Picture 1" descr="A collage of different colored shap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59330" name="Picture 1" descr="A collage of different colored shapes&#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81875" cy="3269600"/>
                    </a:xfrm>
                    <a:prstGeom prst="rect">
                      <a:avLst/>
                    </a:prstGeom>
                  </pic:spPr>
                </pic:pic>
              </a:graphicData>
            </a:graphic>
          </wp:inline>
        </w:drawing>
      </w:r>
    </w:p>
    <w:p w14:paraId="45B34A9D" w14:textId="64E3EB4E" w:rsidR="002C2109" w:rsidRPr="009A2E21" w:rsidRDefault="008B1BD0" w:rsidP="009A2E21">
      <w:pPr>
        <w:pStyle w:val="Caption"/>
        <w:jc w:val="both"/>
        <w:rPr>
          <w:i w:val="0"/>
          <w:iCs w:val="0"/>
          <w:color w:val="000000" w:themeColor="text1"/>
          <w:sz w:val="20"/>
          <w:szCs w:val="20"/>
        </w:rPr>
      </w:pPr>
      <w:bookmarkStart w:id="46" w:name="_Toc165201235"/>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16</w:t>
      </w:r>
      <w:r w:rsidRPr="009A2E21">
        <w:rPr>
          <w:b/>
          <w:bCs/>
          <w:i w:val="0"/>
          <w:iCs w:val="0"/>
          <w:color w:val="000000" w:themeColor="text1"/>
          <w:sz w:val="20"/>
          <w:szCs w:val="20"/>
        </w:rPr>
        <w:fldChar w:fldCharType="end"/>
      </w:r>
      <w:r w:rsidRPr="009A2E21">
        <w:rPr>
          <w:b/>
          <w:bCs/>
          <w:i w:val="0"/>
          <w:iCs w:val="0"/>
          <w:color w:val="000000" w:themeColor="text1"/>
          <w:sz w:val="20"/>
          <w:szCs w:val="20"/>
        </w:rPr>
        <w:t>:</w:t>
      </w:r>
      <w:r w:rsidR="002C2109" w:rsidRPr="009A2E21">
        <w:rPr>
          <w:i w:val="0"/>
          <w:iCs w:val="0"/>
          <w:color w:val="000000" w:themeColor="text1"/>
          <w:sz w:val="20"/>
          <w:szCs w:val="20"/>
        </w:rPr>
        <w:t xml:space="preserve"> </w:t>
      </w:r>
      <w:proofErr w:type="spellStart"/>
      <w:r w:rsidR="002C2109" w:rsidRPr="009A2E21">
        <w:rPr>
          <w:b/>
          <w:bCs/>
          <w:i w:val="0"/>
          <w:iCs w:val="0"/>
          <w:color w:val="auto"/>
          <w:sz w:val="20"/>
          <w:szCs w:val="20"/>
        </w:rPr>
        <w:t>Airyscan</w:t>
      </w:r>
      <w:proofErr w:type="spellEnd"/>
      <w:r w:rsidR="002C2109" w:rsidRPr="009A2E21">
        <w:rPr>
          <w:b/>
          <w:bCs/>
          <w:i w:val="0"/>
          <w:iCs w:val="0"/>
          <w:color w:val="auto"/>
          <w:sz w:val="20"/>
          <w:szCs w:val="20"/>
        </w:rPr>
        <w:t xml:space="preserve"> images of BMDC stimulated with GC-FITC</w:t>
      </w:r>
      <w:r w:rsidR="002C2109" w:rsidRPr="009A2E21">
        <w:rPr>
          <w:i w:val="0"/>
          <w:iCs w:val="0"/>
          <w:color w:val="auto"/>
          <w:sz w:val="20"/>
          <w:szCs w:val="20"/>
        </w:rPr>
        <w:t xml:space="preserve">. Post fix staining tagging STING protein and LAMP-1. Overlay shows GC-FITC, STING, and LAMP 1 overlap. WGA (wheat germ agglutinin) was used to locate cells and identify cell margins. Cellular swelling can be seen in cells stimulated with GC-FITC. </w:t>
      </w:r>
      <w:r w:rsidR="00AD2DA0" w:rsidRPr="009A2E21">
        <w:rPr>
          <w:i w:val="0"/>
          <w:iCs w:val="0"/>
          <w:color w:val="auto"/>
          <w:sz w:val="20"/>
          <w:szCs w:val="20"/>
        </w:rPr>
        <w:t>Arrows highlight swollen vesicles within the cells.</w:t>
      </w:r>
      <w:bookmarkEnd w:id="46"/>
      <w:r w:rsidR="00AD2DA0" w:rsidRPr="009A2E21">
        <w:rPr>
          <w:i w:val="0"/>
          <w:iCs w:val="0"/>
          <w:color w:val="auto"/>
          <w:sz w:val="20"/>
          <w:szCs w:val="20"/>
        </w:rPr>
        <w:t xml:space="preserve"> </w:t>
      </w:r>
    </w:p>
    <w:p w14:paraId="3FA5F520" w14:textId="0C18873F" w:rsidR="00BA13EE" w:rsidRDefault="00EC04F8" w:rsidP="009A2E21">
      <w:pPr>
        <w:rPr>
          <w:b/>
          <w:bCs/>
        </w:rPr>
      </w:pPr>
      <w:proofErr w:type="gramStart"/>
      <w:r>
        <w:t>It can be seen that GC</w:t>
      </w:r>
      <w:proofErr w:type="gramEnd"/>
      <w:r>
        <w:t xml:space="preserve"> stimulation resulted in cellular swelling prompting the question if the </w:t>
      </w:r>
      <w:r w:rsidRPr="00EC04F8">
        <w:t>overall cell volume changed as well</w:t>
      </w:r>
      <w:r>
        <w:t>. Upon cell size analysis no significant change was found, process and results for this analysis can be found in</w:t>
      </w:r>
      <w:r w:rsidR="00D824EC">
        <w:t xml:space="preserve"> </w:t>
      </w:r>
      <w:r w:rsidR="00D824EC" w:rsidRPr="00D824EC">
        <w:rPr>
          <w:b/>
          <w:bCs/>
        </w:rPr>
        <w:t xml:space="preserve">Appendix </w:t>
      </w:r>
      <w:r w:rsidR="00782ED1">
        <w:rPr>
          <w:b/>
          <w:bCs/>
        </w:rPr>
        <w:t>F</w:t>
      </w:r>
      <w:r>
        <w:t xml:space="preserve">. It is hypothesized that the intracellular organelles are swelling but this does not correlate to overall cell size increase; potentially cell size increase may be seen </w:t>
      </w:r>
      <w:proofErr w:type="gramStart"/>
      <w:r>
        <w:t>at a later time</w:t>
      </w:r>
      <w:proofErr w:type="gramEnd"/>
      <w:r>
        <w:t xml:space="preserve"> point when the cell is closer to cell </w:t>
      </w:r>
      <w:r>
        <w:lastRenderedPageBreak/>
        <w:t xml:space="preserve">death. </w:t>
      </w:r>
      <w:proofErr w:type="gramStart"/>
      <w:r w:rsidR="00BA13EE">
        <w:t>In order to</w:t>
      </w:r>
      <w:proofErr w:type="gramEnd"/>
      <w:r w:rsidR="00BA13EE">
        <w:t xml:space="preserve"> gain further insight </w:t>
      </w:r>
      <w:r>
        <w:t xml:space="preserve">into the vesicle enlargement, </w:t>
      </w:r>
      <w:r w:rsidR="00BA13EE">
        <w:t xml:space="preserve">ROIs were taken allowing a more detailed view of the GC-STING interactions. </w:t>
      </w:r>
      <w:r>
        <w:t xml:space="preserve">These ROIs can be seen below in </w:t>
      </w:r>
      <w:r>
        <w:rPr>
          <w:b/>
          <w:bCs/>
        </w:rPr>
        <w:t>Figure 1</w:t>
      </w:r>
      <w:r w:rsidR="0045228C">
        <w:rPr>
          <w:b/>
          <w:bCs/>
        </w:rPr>
        <w:t>7</w:t>
      </w:r>
      <w:r>
        <w:rPr>
          <w:b/>
          <w:bCs/>
        </w:rPr>
        <w:t xml:space="preserve">. </w:t>
      </w:r>
    </w:p>
    <w:p w14:paraId="733B21A5" w14:textId="77777777" w:rsidR="00774FFD" w:rsidRPr="00EC04F8" w:rsidRDefault="00774FFD" w:rsidP="009A2E21">
      <w:pPr>
        <w:rPr>
          <w:b/>
          <w:bCs/>
        </w:rPr>
      </w:pPr>
    </w:p>
    <w:p w14:paraId="0A4248DF" w14:textId="033D3712" w:rsidR="002C2109" w:rsidRDefault="00FC7280" w:rsidP="00E43955">
      <w:r>
        <w:rPr>
          <w:noProof/>
        </w:rPr>
        <w:drawing>
          <wp:inline distT="0" distB="0" distL="0" distR="0" wp14:anchorId="5E7661D6" wp14:editId="3E8BDC08">
            <wp:extent cx="5668047" cy="2728137"/>
            <wp:effectExtent l="0" t="0" r="0" b="2540"/>
            <wp:docPr id="130935703" name="Picture 2" descr="A close-up of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35703" name="Picture 2" descr="A close-up of a microscope&#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668783" cy="2728491"/>
                    </a:xfrm>
                    <a:prstGeom prst="rect">
                      <a:avLst/>
                    </a:prstGeom>
                  </pic:spPr>
                </pic:pic>
              </a:graphicData>
            </a:graphic>
          </wp:inline>
        </w:drawing>
      </w:r>
    </w:p>
    <w:p w14:paraId="2BF252B4" w14:textId="041E3B84" w:rsidR="002C2109" w:rsidRPr="009A2E21" w:rsidRDefault="002C2109" w:rsidP="009A2E21">
      <w:pPr>
        <w:pStyle w:val="Caption"/>
        <w:jc w:val="both"/>
        <w:rPr>
          <w:i w:val="0"/>
          <w:iCs w:val="0"/>
          <w:color w:val="000000" w:themeColor="text1"/>
          <w:sz w:val="20"/>
          <w:szCs w:val="20"/>
        </w:rPr>
      </w:pPr>
      <w:bookmarkStart w:id="47" w:name="_Toc165201236"/>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17</w:t>
      </w:r>
      <w:r w:rsidRPr="009A2E21">
        <w:rPr>
          <w:b/>
          <w:bCs/>
          <w:i w:val="0"/>
          <w:iCs w:val="0"/>
          <w:color w:val="000000" w:themeColor="text1"/>
          <w:sz w:val="20"/>
          <w:szCs w:val="20"/>
        </w:rPr>
        <w:fldChar w:fldCharType="end"/>
      </w:r>
      <w:r w:rsidRPr="009A2E21">
        <w:rPr>
          <w:i w:val="0"/>
          <w:iCs w:val="0"/>
          <w:color w:val="000000" w:themeColor="text1"/>
          <w:sz w:val="20"/>
          <w:szCs w:val="20"/>
        </w:rPr>
        <w:t xml:space="preserve">: </w:t>
      </w:r>
      <w:r w:rsidRPr="009A2E21">
        <w:rPr>
          <w:b/>
          <w:bCs/>
          <w:i w:val="0"/>
          <w:iCs w:val="0"/>
          <w:color w:val="000000" w:themeColor="text1"/>
          <w:sz w:val="20"/>
          <w:szCs w:val="20"/>
        </w:rPr>
        <w:t>Regions of interest (ROIs) showing more detail of GC-STING interactions</w:t>
      </w:r>
      <w:r w:rsidRPr="009A2E21">
        <w:rPr>
          <w:i w:val="0"/>
          <w:iCs w:val="0"/>
          <w:color w:val="000000" w:themeColor="text1"/>
          <w:sz w:val="20"/>
          <w:szCs w:val="20"/>
        </w:rPr>
        <w:t xml:space="preserve">. STING is tagged with AF555 in red, GC is tagged with FITC in green, and LAMP 1 is tagged with Cy5 in magenta. LAAMP 1 is presumably showing lysosomal presence. </w:t>
      </w:r>
      <w:r w:rsidR="00AD2DA0" w:rsidRPr="009A2E21">
        <w:rPr>
          <w:i w:val="0"/>
          <w:iCs w:val="0"/>
          <w:color w:val="auto"/>
          <w:sz w:val="20"/>
          <w:szCs w:val="20"/>
        </w:rPr>
        <w:t>Cellular swelling can be better visualized where presence of GC can be seen within some of these vesicles. Arrows highlight the swollen vesicles within the cells.</w:t>
      </w:r>
      <w:bookmarkEnd w:id="47"/>
      <w:r w:rsidR="00AD2DA0" w:rsidRPr="009A2E21">
        <w:rPr>
          <w:i w:val="0"/>
          <w:iCs w:val="0"/>
          <w:color w:val="auto"/>
          <w:sz w:val="20"/>
          <w:szCs w:val="20"/>
        </w:rPr>
        <w:t xml:space="preserve"> </w:t>
      </w:r>
    </w:p>
    <w:p w14:paraId="2FCC3994" w14:textId="4406F425" w:rsidR="009D59E6" w:rsidRPr="00461526" w:rsidRDefault="002C2109" w:rsidP="009A2E21">
      <w:r>
        <w:t xml:space="preserve">The ROIs seen in </w:t>
      </w:r>
      <w:r>
        <w:rPr>
          <w:b/>
          <w:bCs/>
        </w:rPr>
        <w:t xml:space="preserve">Figure </w:t>
      </w:r>
      <w:r w:rsidR="008B1BD0">
        <w:rPr>
          <w:b/>
          <w:bCs/>
        </w:rPr>
        <w:t>1</w:t>
      </w:r>
      <w:r w:rsidR="0045228C">
        <w:rPr>
          <w:b/>
          <w:bCs/>
        </w:rPr>
        <w:t>7</w:t>
      </w:r>
      <w:r>
        <w:t xml:space="preserve"> serve to further highlight the GC and STING interactions. The results in </w:t>
      </w:r>
      <w:r w:rsidRPr="00C60C40">
        <w:rPr>
          <w:b/>
          <w:bCs/>
        </w:rPr>
        <w:t xml:space="preserve">Figure </w:t>
      </w:r>
      <w:r w:rsidR="0045228C">
        <w:rPr>
          <w:b/>
          <w:bCs/>
        </w:rPr>
        <w:t>18</w:t>
      </w:r>
      <w:r w:rsidRPr="00C60C40">
        <w:rPr>
          <w:b/>
          <w:bCs/>
        </w:rPr>
        <w:t xml:space="preserve"> </w:t>
      </w:r>
      <w:r>
        <w:t xml:space="preserve">show that there are swollen cellular vesicles, some of which contain GC and STING expression. This indicates that GC and STING are both colocalizing within these vesicles prior to cell death. </w:t>
      </w:r>
    </w:p>
    <w:p w14:paraId="3B614460" w14:textId="77777777" w:rsidR="00EC6202" w:rsidRDefault="00EC6202" w:rsidP="00EC6202">
      <w:pPr>
        <w:pStyle w:val="Caption"/>
        <w:spacing w:after="0"/>
        <w:rPr>
          <w:b/>
          <w:bCs/>
          <w:i w:val="0"/>
          <w:iCs w:val="0"/>
          <w:color w:val="000000" w:themeColor="text1"/>
          <w:sz w:val="24"/>
          <w:szCs w:val="24"/>
        </w:rPr>
      </w:pPr>
    </w:p>
    <w:p w14:paraId="3AE4AB52" w14:textId="5ED630FB" w:rsidR="00EC6202" w:rsidRPr="009A2E21" w:rsidRDefault="00EC6202" w:rsidP="00EC6202">
      <w:pPr>
        <w:pStyle w:val="Caption"/>
        <w:spacing w:after="0"/>
        <w:rPr>
          <w:b/>
          <w:bCs/>
          <w:i w:val="0"/>
          <w:iCs w:val="0"/>
          <w:color w:val="000000" w:themeColor="text1"/>
          <w:sz w:val="24"/>
          <w:szCs w:val="24"/>
        </w:rPr>
      </w:pPr>
      <w:r w:rsidRPr="009A2E21">
        <w:rPr>
          <w:b/>
          <w:bCs/>
          <w:i w:val="0"/>
          <w:iCs w:val="0"/>
          <w:color w:val="000000" w:themeColor="text1"/>
          <w:sz w:val="24"/>
          <w:szCs w:val="24"/>
        </w:rPr>
        <w:t xml:space="preserve">Table </w:t>
      </w:r>
      <w:r w:rsidRPr="009A2E21">
        <w:rPr>
          <w:b/>
          <w:bCs/>
          <w:i w:val="0"/>
          <w:iCs w:val="0"/>
          <w:color w:val="000000" w:themeColor="text1"/>
          <w:sz w:val="24"/>
          <w:szCs w:val="24"/>
        </w:rPr>
        <w:fldChar w:fldCharType="begin"/>
      </w:r>
      <w:r w:rsidRPr="009A2E21">
        <w:rPr>
          <w:b/>
          <w:bCs/>
          <w:i w:val="0"/>
          <w:iCs w:val="0"/>
          <w:color w:val="000000" w:themeColor="text1"/>
          <w:sz w:val="24"/>
          <w:szCs w:val="24"/>
        </w:rPr>
        <w:instrText xml:space="preserve"> SEQ Table \* ARABIC </w:instrText>
      </w:r>
      <w:r w:rsidRPr="009A2E21">
        <w:rPr>
          <w:b/>
          <w:bCs/>
          <w:i w:val="0"/>
          <w:iCs w:val="0"/>
          <w:color w:val="000000" w:themeColor="text1"/>
          <w:sz w:val="24"/>
          <w:szCs w:val="24"/>
        </w:rPr>
        <w:fldChar w:fldCharType="separate"/>
      </w:r>
      <w:r w:rsidR="0021770C">
        <w:rPr>
          <w:b/>
          <w:bCs/>
          <w:i w:val="0"/>
          <w:iCs w:val="0"/>
          <w:noProof/>
          <w:color w:val="000000" w:themeColor="text1"/>
          <w:sz w:val="24"/>
          <w:szCs w:val="24"/>
        </w:rPr>
        <w:t>3</w:t>
      </w:r>
      <w:r w:rsidRPr="009A2E21">
        <w:rPr>
          <w:b/>
          <w:bCs/>
          <w:i w:val="0"/>
          <w:iCs w:val="0"/>
          <w:color w:val="000000" w:themeColor="text1"/>
          <w:sz w:val="24"/>
          <w:szCs w:val="24"/>
        </w:rPr>
        <w:fldChar w:fldCharType="end"/>
      </w:r>
      <w:r w:rsidRPr="009A2E21">
        <w:rPr>
          <w:b/>
          <w:bCs/>
          <w:i w:val="0"/>
          <w:iCs w:val="0"/>
          <w:color w:val="000000" w:themeColor="text1"/>
          <w:sz w:val="24"/>
          <w:szCs w:val="24"/>
        </w:rPr>
        <w:t xml:space="preserve">: GC-FITC and STING Particle Overlap Analysis </w:t>
      </w:r>
    </w:p>
    <w:tbl>
      <w:tblPr>
        <w:tblStyle w:val="PlainTable2"/>
        <w:tblW w:w="9073" w:type="dxa"/>
        <w:tblInd w:w="-5" w:type="dxa"/>
        <w:tblLayout w:type="fixed"/>
        <w:tblLook w:val="0000" w:firstRow="0" w:lastRow="0" w:firstColumn="0" w:lastColumn="0" w:noHBand="0" w:noVBand="0"/>
      </w:tblPr>
      <w:tblGrid>
        <w:gridCol w:w="1747"/>
        <w:gridCol w:w="1221"/>
        <w:gridCol w:w="1221"/>
        <w:gridCol w:w="1221"/>
        <w:gridCol w:w="1221"/>
        <w:gridCol w:w="1221"/>
        <w:gridCol w:w="1221"/>
      </w:tblGrid>
      <w:tr w:rsidR="00EC6202" w14:paraId="4C1DDED4" w14:textId="77777777" w:rsidTr="00E43955">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1747" w:type="dxa"/>
          </w:tcPr>
          <w:p w14:paraId="718D4DCA"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Concentration (GC-FITC)</w:t>
            </w:r>
          </w:p>
        </w:tc>
        <w:tc>
          <w:tcPr>
            <w:cnfStyle w:val="000001000000" w:firstRow="0" w:lastRow="0" w:firstColumn="0" w:lastColumn="0" w:oddVBand="0" w:evenVBand="1" w:oddHBand="0" w:evenHBand="0" w:firstRowFirstColumn="0" w:firstRowLastColumn="0" w:lastRowFirstColumn="0" w:lastRowLastColumn="0"/>
            <w:tcW w:w="3663" w:type="dxa"/>
            <w:gridSpan w:val="3"/>
          </w:tcPr>
          <w:p w14:paraId="54EE38E4" w14:textId="77777777" w:rsidR="00EC6202" w:rsidRDefault="00EC6202" w:rsidP="00A85BB8">
            <w:pPr>
              <w:autoSpaceDE w:val="0"/>
              <w:autoSpaceDN w:val="0"/>
              <w:adjustRightInd w:val="0"/>
              <w:jc w:val="center"/>
              <w:rPr>
                <w:rFonts w:ascii="Aptos Narrow" w:hAnsi="Aptos Narrow" w:cs="Aptos Narrow"/>
                <w:color w:val="000000"/>
              </w:rPr>
            </w:pPr>
            <w:r>
              <w:rPr>
                <w:rFonts w:ascii="Aptos Narrow" w:hAnsi="Aptos Narrow" w:cs="Aptos Narrow"/>
                <w:color w:val="000000"/>
              </w:rPr>
              <w:t xml:space="preserve">4 ug/mL </w:t>
            </w:r>
          </w:p>
        </w:tc>
        <w:tc>
          <w:tcPr>
            <w:cnfStyle w:val="000010000000" w:firstRow="0" w:lastRow="0" w:firstColumn="0" w:lastColumn="0" w:oddVBand="1" w:evenVBand="0" w:oddHBand="0" w:evenHBand="0" w:firstRowFirstColumn="0" w:firstRowLastColumn="0" w:lastRowFirstColumn="0" w:lastRowLastColumn="0"/>
            <w:tcW w:w="3663" w:type="dxa"/>
            <w:gridSpan w:val="3"/>
          </w:tcPr>
          <w:p w14:paraId="52095C11" w14:textId="77777777" w:rsidR="00EC6202" w:rsidRDefault="00EC6202" w:rsidP="00A85BB8">
            <w:pPr>
              <w:autoSpaceDE w:val="0"/>
              <w:autoSpaceDN w:val="0"/>
              <w:adjustRightInd w:val="0"/>
              <w:jc w:val="center"/>
              <w:rPr>
                <w:rFonts w:ascii="Aptos Narrow" w:hAnsi="Aptos Narrow" w:cs="Aptos Narrow"/>
                <w:color w:val="000000"/>
              </w:rPr>
            </w:pPr>
            <w:r>
              <w:rPr>
                <w:rFonts w:ascii="Aptos Narrow" w:hAnsi="Aptos Narrow" w:cs="Aptos Narrow"/>
                <w:color w:val="000000"/>
              </w:rPr>
              <w:t xml:space="preserve">8 ug/mL </w:t>
            </w:r>
          </w:p>
        </w:tc>
      </w:tr>
      <w:tr w:rsidR="00EC6202" w14:paraId="3B70B85F" w14:textId="77777777" w:rsidTr="00E43955">
        <w:trPr>
          <w:trHeight w:val="291"/>
        </w:trPr>
        <w:tc>
          <w:tcPr>
            <w:cnfStyle w:val="000010000000" w:firstRow="0" w:lastRow="0" w:firstColumn="0" w:lastColumn="0" w:oddVBand="1" w:evenVBand="0" w:oddHBand="0" w:evenHBand="0" w:firstRowFirstColumn="0" w:firstRowLastColumn="0" w:lastRowFirstColumn="0" w:lastRowLastColumn="0"/>
            <w:tcW w:w="1747" w:type="dxa"/>
          </w:tcPr>
          <w:p w14:paraId="30FA3F03"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 xml:space="preserve">FITC Particle Count </w:t>
            </w:r>
          </w:p>
        </w:tc>
        <w:tc>
          <w:tcPr>
            <w:cnfStyle w:val="000001000000" w:firstRow="0" w:lastRow="0" w:firstColumn="0" w:lastColumn="0" w:oddVBand="0" w:evenVBand="1" w:oddHBand="0" w:evenHBand="0" w:firstRowFirstColumn="0" w:firstRowLastColumn="0" w:lastRowFirstColumn="0" w:lastRowLastColumn="0"/>
            <w:tcW w:w="1221" w:type="dxa"/>
          </w:tcPr>
          <w:p w14:paraId="0B502152"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212</w:t>
            </w:r>
          </w:p>
        </w:tc>
        <w:tc>
          <w:tcPr>
            <w:cnfStyle w:val="000010000000" w:firstRow="0" w:lastRow="0" w:firstColumn="0" w:lastColumn="0" w:oddVBand="1" w:evenVBand="0" w:oddHBand="0" w:evenHBand="0" w:firstRowFirstColumn="0" w:firstRowLastColumn="0" w:lastRowFirstColumn="0" w:lastRowLastColumn="0"/>
            <w:tcW w:w="1221" w:type="dxa"/>
          </w:tcPr>
          <w:p w14:paraId="1C1B085B"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77</w:t>
            </w:r>
          </w:p>
        </w:tc>
        <w:tc>
          <w:tcPr>
            <w:cnfStyle w:val="000001000000" w:firstRow="0" w:lastRow="0" w:firstColumn="0" w:lastColumn="0" w:oddVBand="0" w:evenVBand="1" w:oddHBand="0" w:evenHBand="0" w:firstRowFirstColumn="0" w:firstRowLastColumn="0" w:lastRowFirstColumn="0" w:lastRowLastColumn="0"/>
            <w:tcW w:w="1221" w:type="dxa"/>
          </w:tcPr>
          <w:p w14:paraId="541C3C10"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143</w:t>
            </w:r>
          </w:p>
        </w:tc>
        <w:tc>
          <w:tcPr>
            <w:cnfStyle w:val="000010000000" w:firstRow="0" w:lastRow="0" w:firstColumn="0" w:lastColumn="0" w:oddVBand="1" w:evenVBand="0" w:oddHBand="0" w:evenHBand="0" w:firstRowFirstColumn="0" w:firstRowLastColumn="0" w:lastRowFirstColumn="0" w:lastRowLastColumn="0"/>
            <w:tcW w:w="1221" w:type="dxa"/>
          </w:tcPr>
          <w:p w14:paraId="5A3903B5"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249</w:t>
            </w:r>
          </w:p>
        </w:tc>
        <w:tc>
          <w:tcPr>
            <w:cnfStyle w:val="000001000000" w:firstRow="0" w:lastRow="0" w:firstColumn="0" w:lastColumn="0" w:oddVBand="0" w:evenVBand="1" w:oddHBand="0" w:evenHBand="0" w:firstRowFirstColumn="0" w:firstRowLastColumn="0" w:lastRowFirstColumn="0" w:lastRowLastColumn="0"/>
            <w:tcW w:w="1221" w:type="dxa"/>
          </w:tcPr>
          <w:p w14:paraId="5850250C"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129</w:t>
            </w:r>
          </w:p>
        </w:tc>
        <w:tc>
          <w:tcPr>
            <w:cnfStyle w:val="000010000000" w:firstRow="0" w:lastRow="0" w:firstColumn="0" w:lastColumn="0" w:oddVBand="1" w:evenVBand="0" w:oddHBand="0" w:evenHBand="0" w:firstRowFirstColumn="0" w:firstRowLastColumn="0" w:lastRowFirstColumn="0" w:lastRowLastColumn="0"/>
            <w:tcW w:w="1221" w:type="dxa"/>
          </w:tcPr>
          <w:p w14:paraId="15AA2596"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172</w:t>
            </w:r>
          </w:p>
        </w:tc>
      </w:tr>
      <w:tr w:rsidR="00EC6202" w14:paraId="4B5153B3" w14:textId="77777777" w:rsidTr="00E43955">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1747" w:type="dxa"/>
          </w:tcPr>
          <w:p w14:paraId="6E5DD5EC"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Overlap (FITC and STING)</w:t>
            </w:r>
          </w:p>
        </w:tc>
        <w:tc>
          <w:tcPr>
            <w:cnfStyle w:val="000001000000" w:firstRow="0" w:lastRow="0" w:firstColumn="0" w:lastColumn="0" w:oddVBand="0" w:evenVBand="1" w:oddHBand="0" w:evenHBand="0" w:firstRowFirstColumn="0" w:firstRowLastColumn="0" w:lastRowFirstColumn="0" w:lastRowLastColumn="0"/>
            <w:tcW w:w="1221" w:type="dxa"/>
          </w:tcPr>
          <w:p w14:paraId="20E4AE88"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15</w:t>
            </w:r>
          </w:p>
        </w:tc>
        <w:tc>
          <w:tcPr>
            <w:cnfStyle w:val="000010000000" w:firstRow="0" w:lastRow="0" w:firstColumn="0" w:lastColumn="0" w:oddVBand="1" w:evenVBand="0" w:oddHBand="0" w:evenHBand="0" w:firstRowFirstColumn="0" w:firstRowLastColumn="0" w:lastRowFirstColumn="0" w:lastRowLastColumn="0"/>
            <w:tcW w:w="1221" w:type="dxa"/>
          </w:tcPr>
          <w:p w14:paraId="00084B30"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6</w:t>
            </w:r>
          </w:p>
        </w:tc>
        <w:tc>
          <w:tcPr>
            <w:cnfStyle w:val="000001000000" w:firstRow="0" w:lastRow="0" w:firstColumn="0" w:lastColumn="0" w:oddVBand="0" w:evenVBand="1" w:oddHBand="0" w:evenHBand="0" w:firstRowFirstColumn="0" w:firstRowLastColumn="0" w:lastRowFirstColumn="0" w:lastRowLastColumn="0"/>
            <w:tcW w:w="1221" w:type="dxa"/>
          </w:tcPr>
          <w:p w14:paraId="59391141"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17</w:t>
            </w:r>
          </w:p>
        </w:tc>
        <w:tc>
          <w:tcPr>
            <w:cnfStyle w:val="000010000000" w:firstRow="0" w:lastRow="0" w:firstColumn="0" w:lastColumn="0" w:oddVBand="1" w:evenVBand="0" w:oddHBand="0" w:evenHBand="0" w:firstRowFirstColumn="0" w:firstRowLastColumn="0" w:lastRowFirstColumn="0" w:lastRowLastColumn="0"/>
            <w:tcW w:w="1221" w:type="dxa"/>
          </w:tcPr>
          <w:p w14:paraId="7D57D9E1"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39</w:t>
            </w:r>
          </w:p>
        </w:tc>
        <w:tc>
          <w:tcPr>
            <w:cnfStyle w:val="000001000000" w:firstRow="0" w:lastRow="0" w:firstColumn="0" w:lastColumn="0" w:oddVBand="0" w:evenVBand="1" w:oddHBand="0" w:evenHBand="0" w:firstRowFirstColumn="0" w:firstRowLastColumn="0" w:lastRowFirstColumn="0" w:lastRowLastColumn="0"/>
            <w:tcW w:w="1221" w:type="dxa"/>
          </w:tcPr>
          <w:p w14:paraId="2E4E9077"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38</w:t>
            </w:r>
          </w:p>
        </w:tc>
        <w:tc>
          <w:tcPr>
            <w:cnfStyle w:val="000010000000" w:firstRow="0" w:lastRow="0" w:firstColumn="0" w:lastColumn="0" w:oddVBand="1" w:evenVBand="0" w:oddHBand="0" w:evenHBand="0" w:firstRowFirstColumn="0" w:firstRowLastColumn="0" w:lastRowFirstColumn="0" w:lastRowLastColumn="0"/>
            <w:tcW w:w="1221" w:type="dxa"/>
          </w:tcPr>
          <w:p w14:paraId="1708E54C"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49</w:t>
            </w:r>
          </w:p>
        </w:tc>
      </w:tr>
      <w:tr w:rsidR="00EC6202" w14:paraId="3E0E7813" w14:textId="77777777" w:rsidTr="00E43955">
        <w:trPr>
          <w:trHeight w:val="291"/>
        </w:trPr>
        <w:tc>
          <w:tcPr>
            <w:cnfStyle w:val="000010000000" w:firstRow="0" w:lastRow="0" w:firstColumn="0" w:lastColumn="0" w:oddVBand="1" w:evenVBand="0" w:oddHBand="0" w:evenHBand="0" w:firstRowFirstColumn="0" w:firstRowLastColumn="0" w:lastRowFirstColumn="0" w:lastRowLastColumn="0"/>
            <w:tcW w:w="1747" w:type="dxa"/>
          </w:tcPr>
          <w:p w14:paraId="0A04D19F"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 xml:space="preserve">STING Particle Count </w:t>
            </w:r>
          </w:p>
        </w:tc>
        <w:tc>
          <w:tcPr>
            <w:cnfStyle w:val="000001000000" w:firstRow="0" w:lastRow="0" w:firstColumn="0" w:lastColumn="0" w:oddVBand="0" w:evenVBand="1" w:oddHBand="0" w:evenHBand="0" w:firstRowFirstColumn="0" w:firstRowLastColumn="0" w:lastRowFirstColumn="0" w:lastRowLastColumn="0"/>
            <w:tcW w:w="1221" w:type="dxa"/>
          </w:tcPr>
          <w:p w14:paraId="75EA8132"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988</w:t>
            </w:r>
          </w:p>
        </w:tc>
        <w:tc>
          <w:tcPr>
            <w:cnfStyle w:val="000010000000" w:firstRow="0" w:lastRow="0" w:firstColumn="0" w:lastColumn="0" w:oddVBand="1" w:evenVBand="0" w:oddHBand="0" w:evenHBand="0" w:firstRowFirstColumn="0" w:firstRowLastColumn="0" w:lastRowFirstColumn="0" w:lastRowLastColumn="0"/>
            <w:tcW w:w="1221" w:type="dxa"/>
          </w:tcPr>
          <w:p w14:paraId="406B6375"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708</w:t>
            </w:r>
          </w:p>
        </w:tc>
        <w:tc>
          <w:tcPr>
            <w:cnfStyle w:val="000001000000" w:firstRow="0" w:lastRow="0" w:firstColumn="0" w:lastColumn="0" w:oddVBand="0" w:evenVBand="1" w:oddHBand="0" w:evenHBand="0" w:firstRowFirstColumn="0" w:firstRowLastColumn="0" w:lastRowFirstColumn="0" w:lastRowLastColumn="0"/>
            <w:tcW w:w="1221" w:type="dxa"/>
          </w:tcPr>
          <w:p w14:paraId="72D368ED"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647</w:t>
            </w:r>
          </w:p>
        </w:tc>
        <w:tc>
          <w:tcPr>
            <w:cnfStyle w:val="000010000000" w:firstRow="0" w:lastRow="0" w:firstColumn="0" w:lastColumn="0" w:oddVBand="1" w:evenVBand="0" w:oddHBand="0" w:evenHBand="0" w:firstRowFirstColumn="0" w:firstRowLastColumn="0" w:lastRowFirstColumn="0" w:lastRowLastColumn="0"/>
            <w:tcW w:w="1221" w:type="dxa"/>
          </w:tcPr>
          <w:p w14:paraId="336D3BBE"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1703</w:t>
            </w:r>
          </w:p>
        </w:tc>
        <w:tc>
          <w:tcPr>
            <w:cnfStyle w:val="000001000000" w:firstRow="0" w:lastRow="0" w:firstColumn="0" w:lastColumn="0" w:oddVBand="0" w:evenVBand="1" w:oddHBand="0" w:evenHBand="0" w:firstRowFirstColumn="0" w:firstRowLastColumn="0" w:lastRowFirstColumn="0" w:lastRowLastColumn="0"/>
            <w:tcW w:w="1221" w:type="dxa"/>
          </w:tcPr>
          <w:p w14:paraId="0099B461"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394</w:t>
            </w:r>
          </w:p>
        </w:tc>
        <w:tc>
          <w:tcPr>
            <w:cnfStyle w:val="000010000000" w:firstRow="0" w:lastRow="0" w:firstColumn="0" w:lastColumn="0" w:oddVBand="1" w:evenVBand="0" w:oddHBand="0" w:evenHBand="0" w:firstRowFirstColumn="0" w:firstRowLastColumn="0" w:lastRowFirstColumn="0" w:lastRowLastColumn="0"/>
            <w:tcW w:w="1221" w:type="dxa"/>
          </w:tcPr>
          <w:p w14:paraId="23A9A43D"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516</w:t>
            </w:r>
          </w:p>
        </w:tc>
      </w:tr>
      <w:tr w:rsidR="00EC6202" w14:paraId="07783A0A" w14:textId="77777777" w:rsidTr="00E43955">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1747" w:type="dxa"/>
          </w:tcPr>
          <w:p w14:paraId="4C2153EB"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 xml:space="preserve">Overlap of STING on FITC </w:t>
            </w:r>
          </w:p>
        </w:tc>
        <w:tc>
          <w:tcPr>
            <w:cnfStyle w:val="000001000000" w:firstRow="0" w:lastRow="0" w:firstColumn="0" w:lastColumn="0" w:oddVBand="0" w:evenVBand="1" w:oddHBand="0" w:evenHBand="0" w:firstRowFirstColumn="0" w:firstRowLastColumn="0" w:lastRowFirstColumn="0" w:lastRowLastColumn="0"/>
            <w:tcW w:w="1221" w:type="dxa"/>
          </w:tcPr>
          <w:p w14:paraId="359D4CD1"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0.015</w:t>
            </w:r>
          </w:p>
        </w:tc>
        <w:tc>
          <w:tcPr>
            <w:cnfStyle w:val="000010000000" w:firstRow="0" w:lastRow="0" w:firstColumn="0" w:lastColumn="0" w:oddVBand="1" w:evenVBand="0" w:oddHBand="0" w:evenHBand="0" w:firstRowFirstColumn="0" w:firstRowLastColumn="0" w:lastRowFirstColumn="0" w:lastRowLastColumn="0"/>
            <w:tcW w:w="1221" w:type="dxa"/>
          </w:tcPr>
          <w:p w14:paraId="6E98BDB9"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0.008</w:t>
            </w:r>
          </w:p>
        </w:tc>
        <w:tc>
          <w:tcPr>
            <w:cnfStyle w:val="000001000000" w:firstRow="0" w:lastRow="0" w:firstColumn="0" w:lastColumn="0" w:oddVBand="0" w:evenVBand="1" w:oddHBand="0" w:evenHBand="0" w:firstRowFirstColumn="0" w:firstRowLastColumn="0" w:lastRowFirstColumn="0" w:lastRowLastColumn="0"/>
            <w:tcW w:w="1221" w:type="dxa"/>
          </w:tcPr>
          <w:p w14:paraId="74B34D34"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0.026</w:t>
            </w:r>
          </w:p>
        </w:tc>
        <w:tc>
          <w:tcPr>
            <w:cnfStyle w:val="000010000000" w:firstRow="0" w:lastRow="0" w:firstColumn="0" w:lastColumn="0" w:oddVBand="1" w:evenVBand="0" w:oddHBand="0" w:evenHBand="0" w:firstRowFirstColumn="0" w:firstRowLastColumn="0" w:lastRowFirstColumn="0" w:lastRowLastColumn="0"/>
            <w:tcW w:w="1221" w:type="dxa"/>
          </w:tcPr>
          <w:p w14:paraId="1DA5AC6B"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0.022</w:t>
            </w:r>
          </w:p>
        </w:tc>
        <w:tc>
          <w:tcPr>
            <w:cnfStyle w:val="000001000000" w:firstRow="0" w:lastRow="0" w:firstColumn="0" w:lastColumn="0" w:oddVBand="0" w:evenVBand="1" w:oddHBand="0" w:evenHBand="0" w:firstRowFirstColumn="0" w:firstRowLastColumn="0" w:lastRowFirstColumn="0" w:lastRowLastColumn="0"/>
            <w:tcW w:w="1221" w:type="dxa"/>
          </w:tcPr>
          <w:p w14:paraId="77D44754"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0.096</w:t>
            </w:r>
          </w:p>
        </w:tc>
        <w:tc>
          <w:tcPr>
            <w:cnfStyle w:val="000010000000" w:firstRow="0" w:lastRow="0" w:firstColumn="0" w:lastColumn="0" w:oddVBand="1" w:evenVBand="0" w:oddHBand="0" w:evenHBand="0" w:firstRowFirstColumn="0" w:firstRowLastColumn="0" w:lastRowFirstColumn="0" w:lastRowLastColumn="0"/>
            <w:tcW w:w="1221" w:type="dxa"/>
          </w:tcPr>
          <w:p w14:paraId="25C16624"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0.094</w:t>
            </w:r>
          </w:p>
        </w:tc>
      </w:tr>
      <w:tr w:rsidR="00EC6202" w14:paraId="58DA372A" w14:textId="77777777" w:rsidTr="00E43955">
        <w:trPr>
          <w:trHeight w:val="291"/>
        </w:trPr>
        <w:tc>
          <w:tcPr>
            <w:cnfStyle w:val="000010000000" w:firstRow="0" w:lastRow="0" w:firstColumn="0" w:lastColumn="0" w:oddVBand="1" w:evenVBand="0" w:oddHBand="0" w:evenHBand="0" w:firstRowFirstColumn="0" w:firstRowLastColumn="0" w:lastRowFirstColumn="0" w:lastRowLastColumn="0"/>
            <w:tcW w:w="1747" w:type="dxa"/>
          </w:tcPr>
          <w:p w14:paraId="2A5745A2"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 xml:space="preserve">Overlap % </w:t>
            </w:r>
          </w:p>
        </w:tc>
        <w:tc>
          <w:tcPr>
            <w:cnfStyle w:val="000001000000" w:firstRow="0" w:lastRow="0" w:firstColumn="0" w:lastColumn="0" w:oddVBand="0" w:evenVBand="1" w:oddHBand="0" w:evenHBand="0" w:firstRowFirstColumn="0" w:firstRowLastColumn="0" w:lastRowFirstColumn="0" w:lastRowLastColumn="0"/>
            <w:tcW w:w="1221" w:type="dxa"/>
          </w:tcPr>
          <w:p w14:paraId="711733F0"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1.518</w:t>
            </w:r>
          </w:p>
        </w:tc>
        <w:tc>
          <w:tcPr>
            <w:cnfStyle w:val="000010000000" w:firstRow="0" w:lastRow="0" w:firstColumn="0" w:lastColumn="0" w:oddVBand="1" w:evenVBand="0" w:oddHBand="0" w:evenHBand="0" w:firstRowFirstColumn="0" w:firstRowLastColumn="0" w:lastRowFirstColumn="0" w:lastRowLastColumn="0"/>
            <w:tcW w:w="1221" w:type="dxa"/>
          </w:tcPr>
          <w:p w14:paraId="22306118"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0.847</w:t>
            </w:r>
          </w:p>
        </w:tc>
        <w:tc>
          <w:tcPr>
            <w:cnfStyle w:val="000001000000" w:firstRow="0" w:lastRow="0" w:firstColumn="0" w:lastColumn="0" w:oddVBand="0" w:evenVBand="1" w:oddHBand="0" w:evenHBand="0" w:firstRowFirstColumn="0" w:firstRowLastColumn="0" w:lastRowFirstColumn="0" w:lastRowLastColumn="0"/>
            <w:tcW w:w="1221" w:type="dxa"/>
          </w:tcPr>
          <w:p w14:paraId="3509A691"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2.627</w:t>
            </w:r>
          </w:p>
        </w:tc>
        <w:tc>
          <w:tcPr>
            <w:cnfStyle w:val="000010000000" w:firstRow="0" w:lastRow="0" w:firstColumn="0" w:lastColumn="0" w:oddVBand="1" w:evenVBand="0" w:oddHBand="0" w:evenHBand="0" w:firstRowFirstColumn="0" w:firstRowLastColumn="0" w:lastRowFirstColumn="0" w:lastRowLastColumn="0"/>
            <w:tcW w:w="1221" w:type="dxa"/>
          </w:tcPr>
          <w:p w14:paraId="4E47E224"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2.290</w:t>
            </w:r>
          </w:p>
        </w:tc>
        <w:tc>
          <w:tcPr>
            <w:cnfStyle w:val="000001000000" w:firstRow="0" w:lastRow="0" w:firstColumn="0" w:lastColumn="0" w:oddVBand="0" w:evenVBand="1" w:oddHBand="0" w:evenHBand="0" w:firstRowFirstColumn="0" w:firstRowLastColumn="0" w:lastRowFirstColumn="0" w:lastRowLastColumn="0"/>
            <w:tcW w:w="1221" w:type="dxa"/>
          </w:tcPr>
          <w:p w14:paraId="36BB5446"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9.644</w:t>
            </w:r>
          </w:p>
        </w:tc>
        <w:tc>
          <w:tcPr>
            <w:cnfStyle w:val="000010000000" w:firstRow="0" w:lastRow="0" w:firstColumn="0" w:lastColumn="0" w:oddVBand="1" w:evenVBand="0" w:oddHBand="0" w:evenHBand="0" w:firstRowFirstColumn="0" w:firstRowLastColumn="0" w:lastRowFirstColumn="0" w:lastRowLastColumn="0"/>
            <w:tcW w:w="1221" w:type="dxa"/>
          </w:tcPr>
          <w:p w14:paraId="4B9CC910"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9.496</w:t>
            </w:r>
          </w:p>
        </w:tc>
      </w:tr>
      <w:tr w:rsidR="00EC6202" w14:paraId="6EFA45D7" w14:textId="77777777" w:rsidTr="00E43955">
        <w:trPr>
          <w:cnfStyle w:val="000000100000" w:firstRow="0" w:lastRow="0" w:firstColumn="0" w:lastColumn="0" w:oddVBand="0" w:evenVBand="0" w:oddHBand="1" w:evenHBand="0" w:firstRowFirstColumn="0" w:firstRowLastColumn="0" w:lastRowFirstColumn="0" w:lastRowLastColumn="0"/>
          <w:trHeight w:val="291"/>
        </w:trPr>
        <w:tc>
          <w:tcPr>
            <w:cnfStyle w:val="000010000000" w:firstRow="0" w:lastRow="0" w:firstColumn="0" w:lastColumn="0" w:oddVBand="1" w:evenVBand="0" w:oddHBand="0" w:evenHBand="0" w:firstRowFirstColumn="0" w:firstRowLastColumn="0" w:lastRowFirstColumn="0" w:lastRowLastColumn="0"/>
            <w:tcW w:w="1747" w:type="dxa"/>
          </w:tcPr>
          <w:p w14:paraId="4683239E"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 xml:space="preserve">Overlap of FITC on STING </w:t>
            </w:r>
          </w:p>
        </w:tc>
        <w:tc>
          <w:tcPr>
            <w:cnfStyle w:val="000001000000" w:firstRow="0" w:lastRow="0" w:firstColumn="0" w:lastColumn="0" w:oddVBand="0" w:evenVBand="1" w:oddHBand="0" w:evenHBand="0" w:firstRowFirstColumn="0" w:firstRowLastColumn="0" w:lastRowFirstColumn="0" w:lastRowLastColumn="0"/>
            <w:tcW w:w="1221" w:type="dxa"/>
          </w:tcPr>
          <w:p w14:paraId="2FFA4AAD"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0.0707</w:t>
            </w:r>
          </w:p>
        </w:tc>
        <w:tc>
          <w:tcPr>
            <w:cnfStyle w:val="000010000000" w:firstRow="0" w:lastRow="0" w:firstColumn="0" w:lastColumn="0" w:oddVBand="1" w:evenVBand="0" w:oddHBand="0" w:evenHBand="0" w:firstRowFirstColumn="0" w:firstRowLastColumn="0" w:lastRowFirstColumn="0" w:lastRowLastColumn="0"/>
            <w:tcW w:w="1221" w:type="dxa"/>
          </w:tcPr>
          <w:p w14:paraId="300FA65D"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0.077</w:t>
            </w:r>
          </w:p>
        </w:tc>
        <w:tc>
          <w:tcPr>
            <w:cnfStyle w:val="000001000000" w:firstRow="0" w:lastRow="0" w:firstColumn="0" w:lastColumn="0" w:oddVBand="0" w:evenVBand="1" w:oddHBand="0" w:evenHBand="0" w:firstRowFirstColumn="0" w:firstRowLastColumn="0" w:lastRowFirstColumn="0" w:lastRowLastColumn="0"/>
            <w:tcW w:w="1221" w:type="dxa"/>
          </w:tcPr>
          <w:p w14:paraId="636E1D9E"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0.118</w:t>
            </w:r>
          </w:p>
        </w:tc>
        <w:tc>
          <w:tcPr>
            <w:cnfStyle w:val="000010000000" w:firstRow="0" w:lastRow="0" w:firstColumn="0" w:lastColumn="0" w:oddVBand="1" w:evenVBand="0" w:oddHBand="0" w:evenHBand="0" w:firstRowFirstColumn="0" w:firstRowLastColumn="0" w:lastRowFirstColumn="0" w:lastRowLastColumn="0"/>
            <w:tcW w:w="1221" w:type="dxa"/>
          </w:tcPr>
          <w:p w14:paraId="12731C74"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0.156</w:t>
            </w:r>
          </w:p>
        </w:tc>
        <w:tc>
          <w:tcPr>
            <w:cnfStyle w:val="000001000000" w:firstRow="0" w:lastRow="0" w:firstColumn="0" w:lastColumn="0" w:oddVBand="0" w:evenVBand="1" w:oddHBand="0" w:evenHBand="0" w:firstRowFirstColumn="0" w:firstRowLastColumn="0" w:lastRowFirstColumn="0" w:lastRowLastColumn="0"/>
            <w:tcW w:w="1221" w:type="dxa"/>
          </w:tcPr>
          <w:p w14:paraId="651750C0"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0.294</w:t>
            </w:r>
          </w:p>
        </w:tc>
        <w:tc>
          <w:tcPr>
            <w:cnfStyle w:val="000010000000" w:firstRow="0" w:lastRow="0" w:firstColumn="0" w:lastColumn="0" w:oddVBand="1" w:evenVBand="0" w:oddHBand="0" w:evenHBand="0" w:firstRowFirstColumn="0" w:firstRowLastColumn="0" w:lastRowFirstColumn="0" w:lastRowLastColumn="0"/>
            <w:tcW w:w="1221" w:type="dxa"/>
          </w:tcPr>
          <w:p w14:paraId="4A81C1F2" w14:textId="77777777" w:rsidR="00EC6202" w:rsidRDefault="00EC6202" w:rsidP="00A85BB8">
            <w:pPr>
              <w:autoSpaceDE w:val="0"/>
              <w:autoSpaceDN w:val="0"/>
              <w:adjustRightInd w:val="0"/>
              <w:jc w:val="right"/>
              <w:rPr>
                <w:rFonts w:ascii="Aptos Narrow" w:hAnsi="Aptos Narrow" w:cs="Aptos Narrow"/>
                <w:color w:val="000000"/>
              </w:rPr>
            </w:pPr>
            <w:r>
              <w:rPr>
                <w:rFonts w:ascii="Aptos Narrow" w:hAnsi="Aptos Narrow" w:cs="Aptos Narrow"/>
                <w:color w:val="000000"/>
              </w:rPr>
              <w:t>0.284</w:t>
            </w:r>
          </w:p>
        </w:tc>
      </w:tr>
      <w:tr w:rsidR="00EC6202" w14:paraId="32F3EA31" w14:textId="77777777" w:rsidTr="00E43955">
        <w:trPr>
          <w:trHeight w:val="291"/>
        </w:trPr>
        <w:tc>
          <w:tcPr>
            <w:cnfStyle w:val="000010000000" w:firstRow="0" w:lastRow="0" w:firstColumn="0" w:lastColumn="0" w:oddVBand="1" w:evenVBand="0" w:oddHBand="0" w:evenHBand="0" w:firstRowFirstColumn="0" w:firstRowLastColumn="0" w:lastRowFirstColumn="0" w:lastRowLastColumn="0"/>
            <w:tcW w:w="1747" w:type="dxa"/>
          </w:tcPr>
          <w:p w14:paraId="12563CA6" w14:textId="77777777" w:rsidR="00EC6202" w:rsidRDefault="00EC6202" w:rsidP="00A85BB8">
            <w:pPr>
              <w:autoSpaceDE w:val="0"/>
              <w:autoSpaceDN w:val="0"/>
              <w:adjustRightInd w:val="0"/>
              <w:rPr>
                <w:rFonts w:ascii="Aptos Narrow" w:hAnsi="Aptos Narrow" w:cs="Aptos Narrow"/>
                <w:color w:val="000000"/>
              </w:rPr>
            </w:pPr>
            <w:r>
              <w:rPr>
                <w:rFonts w:ascii="Aptos Narrow" w:hAnsi="Aptos Narrow" w:cs="Aptos Narrow"/>
                <w:color w:val="000000"/>
              </w:rPr>
              <w:t>Overlap %</w:t>
            </w:r>
          </w:p>
        </w:tc>
        <w:tc>
          <w:tcPr>
            <w:cnfStyle w:val="000001000000" w:firstRow="0" w:lastRow="0" w:firstColumn="0" w:lastColumn="0" w:oddVBand="0" w:evenVBand="1" w:oddHBand="0" w:evenHBand="0" w:firstRowFirstColumn="0" w:firstRowLastColumn="0" w:lastRowFirstColumn="0" w:lastRowLastColumn="0"/>
            <w:tcW w:w="1221" w:type="dxa"/>
          </w:tcPr>
          <w:p w14:paraId="11616361"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7.075</w:t>
            </w:r>
          </w:p>
        </w:tc>
        <w:tc>
          <w:tcPr>
            <w:cnfStyle w:val="000010000000" w:firstRow="0" w:lastRow="0" w:firstColumn="0" w:lastColumn="0" w:oddVBand="1" w:evenVBand="0" w:oddHBand="0" w:evenHBand="0" w:firstRowFirstColumn="0" w:firstRowLastColumn="0" w:lastRowFirstColumn="0" w:lastRowLastColumn="0"/>
            <w:tcW w:w="1221" w:type="dxa"/>
          </w:tcPr>
          <w:p w14:paraId="602E471E"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7.792</w:t>
            </w:r>
          </w:p>
        </w:tc>
        <w:tc>
          <w:tcPr>
            <w:cnfStyle w:val="000001000000" w:firstRow="0" w:lastRow="0" w:firstColumn="0" w:lastColumn="0" w:oddVBand="0" w:evenVBand="1" w:oddHBand="0" w:evenHBand="0" w:firstRowFirstColumn="0" w:firstRowLastColumn="0" w:lastRowFirstColumn="0" w:lastRowLastColumn="0"/>
            <w:tcW w:w="1221" w:type="dxa"/>
          </w:tcPr>
          <w:p w14:paraId="6A6B43A8"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11.888</w:t>
            </w:r>
          </w:p>
        </w:tc>
        <w:tc>
          <w:tcPr>
            <w:cnfStyle w:val="000010000000" w:firstRow="0" w:lastRow="0" w:firstColumn="0" w:lastColumn="0" w:oddVBand="1" w:evenVBand="0" w:oddHBand="0" w:evenHBand="0" w:firstRowFirstColumn="0" w:firstRowLastColumn="0" w:lastRowFirstColumn="0" w:lastRowLastColumn="0"/>
            <w:tcW w:w="1221" w:type="dxa"/>
          </w:tcPr>
          <w:p w14:paraId="300F643E"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15.662</w:t>
            </w:r>
          </w:p>
        </w:tc>
        <w:tc>
          <w:tcPr>
            <w:cnfStyle w:val="000001000000" w:firstRow="0" w:lastRow="0" w:firstColumn="0" w:lastColumn="0" w:oddVBand="0" w:evenVBand="1" w:oddHBand="0" w:evenHBand="0" w:firstRowFirstColumn="0" w:firstRowLastColumn="0" w:lastRowFirstColumn="0" w:lastRowLastColumn="0"/>
            <w:tcW w:w="1221" w:type="dxa"/>
          </w:tcPr>
          <w:p w14:paraId="59855AB1"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29.457</w:t>
            </w:r>
          </w:p>
        </w:tc>
        <w:tc>
          <w:tcPr>
            <w:cnfStyle w:val="000010000000" w:firstRow="0" w:lastRow="0" w:firstColumn="0" w:lastColumn="0" w:oddVBand="1" w:evenVBand="0" w:oddHBand="0" w:evenHBand="0" w:firstRowFirstColumn="0" w:firstRowLastColumn="0" w:lastRowFirstColumn="0" w:lastRowLastColumn="0"/>
            <w:tcW w:w="1221" w:type="dxa"/>
          </w:tcPr>
          <w:p w14:paraId="6BF50CAB" w14:textId="77777777" w:rsidR="00EC6202" w:rsidRPr="00A934B2" w:rsidRDefault="00EC6202" w:rsidP="00A85BB8">
            <w:pPr>
              <w:autoSpaceDE w:val="0"/>
              <w:autoSpaceDN w:val="0"/>
              <w:adjustRightInd w:val="0"/>
              <w:jc w:val="right"/>
              <w:rPr>
                <w:rFonts w:ascii="Aptos Narrow" w:hAnsi="Aptos Narrow" w:cs="Aptos Narrow"/>
                <w:b/>
                <w:bCs/>
                <w:color w:val="000000"/>
              </w:rPr>
            </w:pPr>
            <w:r w:rsidRPr="00A934B2">
              <w:rPr>
                <w:rFonts w:ascii="Aptos Narrow" w:hAnsi="Aptos Narrow" w:cs="Aptos Narrow"/>
                <w:b/>
                <w:bCs/>
                <w:color w:val="000000"/>
              </w:rPr>
              <w:t>28.488</w:t>
            </w:r>
          </w:p>
        </w:tc>
      </w:tr>
    </w:tbl>
    <w:p w14:paraId="787CADD9" w14:textId="77777777" w:rsidR="009D59E6" w:rsidRDefault="009D59E6" w:rsidP="009D59E6"/>
    <w:p w14:paraId="570D5316" w14:textId="753B5463" w:rsidR="00BA13EE" w:rsidRDefault="00EC6202" w:rsidP="00EC6202">
      <w:pPr>
        <w:ind w:firstLine="720"/>
      </w:pPr>
      <w:r>
        <w:lastRenderedPageBreak/>
        <w:t xml:space="preserve">While interactions can be seen between GC and STING, the images do not quantify the percentage of overlap between the two. </w:t>
      </w:r>
      <w:proofErr w:type="gramStart"/>
      <w:r>
        <w:t>In order to</w:t>
      </w:r>
      <w:proofErr w:type="gramEnd"/>
      <w:r>
        <w:t xml:space="preserve"> quantify this colocalization, analysis through ImageJ was conducted. This analysis required thresholding to be applied to both the GC-FITC and STING channels to then enumerate the particles detected. </w:t>
      </w:r>
      <w:r w:rsidRPr="005B07CD">
        <w:rPr>
          <w:b/>
          <w:bCs/>
        </w:rPr>
        <w:t xml:space="preserve">Figure </w:t>
      </w:r>
      <w:r>
        <w:rPr>
          <w:b/>
          <w:bCs/>
        </w:rPr>
        <w:t>18</w:t>
      </w:r>
      <w:r>
        <w:t xml:space="preserve"> shows the results of applying the threshold to each channel and the subsequent particles that were extrapolated from this analysis. </w:t>
      </w:r>
    </w:p>
    <w:p w14:paraId="68F46C4E" w14:textId="77777777" w:rsidR="00EC6202" w:rsidRDefault="00EC6202" w:rsidP="00EA1377">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1"/>
        <w:gridCol w:w="4176"/>
        <w:gridCol w:w="4233"/>
      </w:tblGrid>
      <w:tr w:rsidR="009D59E6" w14:paraId="065EF882" w14:textId="77777777" w:rsidTr="00BA13EE">
        <w:tc>
          <w:tcPr>
            <w:tcW w:w="951" w:type="dxa"/>
          </w:tcPr>
          <w:p w14:paraId="62264BD3" w14:textId="03AB2093" w:rsidR="009D59E6" w:rsidRDefault="009D59E6" w:rsidP="00BD4145"/>
        </w:tc>
        <w:tc>
          <w:tcPr>
            <w:tcW w:w="4176" w:type="dxa"/>
          </w:tcPr>
          <w:p w14:paraId="7237D05D" w14:textId="77777777" w:rsidR="009D59E6" w:rsidRPr="004925FD" w:rsidRDefault="009D59E6" w:rsidP="00BD4145">
            <w:pPr>
              <w:jc w:val="center"/>
              <w:rPr>
                <w:b/>
                <w:bCs/>
              </w:rPr>
            </w:pPr>
            <w:r w:rsidRPr="004925FD">
              <w:rPr>
                <w:b/>
                <w:bCs/>
              </w:rPr>
              <w:t>Threshold “Otsu”</w:t>
            </w:r>
          </w:p>
        </w:tc>
        <w:tc>
          <w:tcPr>
            <w:tcW w:w="4233" w:type="dxa"/>
          </w:tcPr>
          <w:p w14:paraId="62418382" w14:textId="77777777" w:rsidR="009D59E6" w:rsidRPr="004925FD" w:rsidRDefault="009D59E6" w:rsidP="00BD4145">
            <w:pPr>
              <w:jc w:val="center"/>
              <w:rPr>
                <w:b/>
                <w:bCs/>
              </w:rPr>
            </w:pPr>
            <w:r w:rsidRPr="004925FD">
              <w:rPr>
                <w:b/>
                <w:bCs/>
              </w:rPr>
              <w:t>Particle Analysis Map</w:t>
            </w:r>
          </w:p>
        </w:tc>
      </w:tr>
      <w:tr w:rsidR="009D59E6" w14:paraId="73B986D4" w14:textId="77777777" w:rsidTr="00BA13EE">
        <w:tc>
          <w:tcPr>
            <w:tcW w:w="951" w:type="dxa"/>
            <w:vAlign w:val="center"/>
          </w:tcPr>
          <w:p w14:paraId="04704462" w14:textId="77777777" w:rsidR="009D59E6" w:rsidRPr="004925FD" w:rsidRDefault="009D59E6" w:rsidP="00BD4145">
            <w:pPr>
              <w:jc w:val="center"/>
              <w:rPr>
                <w:b/>
                <w:bCs/>
              </w:rPr>
            </w:pPr>
            <w:r w:rsidRPr="004925FD">
              <w:rPr>
                <w:b/>
                <w:bCs/>
              </w:rPr>
              <w:t>FITC</w:t>
            </w:r>
          </w:p>
        </w:tc>
        <w:tc>
          <w:tcPr>
            <w:tcW w:w="4176" w:type="dxa"/>
          </w:tcPr>
          <w:p w14:paraId="61FC1D12" w14:textId="77777777" w:rsidR="009D59E6" w:rsidRDefault="009D59E6" w:rsidP="00BD4145">
            <w:r>
              <w:rPr>
                <w:noProof/>
              </w:rPr>
              <w:drawing>
                <wp:inline distT="0" distB="0" distL="0" distR="0" wp14:anchorId="5009F7D4" wp14:editId="29755F7A">
                  <wp:extent cx="2514600" cy="2514600"/>
                  <wp:effectExtent l="0" t="0" r="0" b="0"/>
                  <wp:docPr id="1289107287" name="Picture 14" descr="White sp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107287" name="Picture 14" descr="White spots on a black background&#10;&#10;Description automatically generated"/>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tc>
        <w:tc>
          <w:tcPr>
            <w:tcW w:w="4233" w:type="dxa"/>
          </w:tcPr>
          <w:p w14:paraId="1FF42198" w14:textId="77777777" w:rsidR="009D59E6" w:rsidRDefault="009D59E6" w:rsidP="00BD4145">
            <w:r>
              <w:rPr>
                <w:noProof/>
              </w:rPr>
              <w:drawing>
                <wp:inline distT="0" distB="0" distL="0" distR="0" wp14:anchorId="16DC8E89" wp14:editId="2654CEA0">
                  <wp:extent cx="2514600" cy="2514600"/>
                  <wp:effectExtent l="0" t="0" r="0" b="0"/>
                  <wp:docPr id="1941077857" name="Picture 16" descr="A group of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077857" name="Picture 16" descr="A group of red dots&#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tc>
      </w:tr>
      <w:tr w:rsidR="009D59E6" w14:paraId="7411958D" w14:textId="77777777" w:rsidTr="00BA13EE">
        <w:tc>
          <w:tcPr>
            <w:tcW w:w="951" w:type="dxa"/>
            <w:vAlign w:val="center"/>
          </w:tcPr>
          <w:p w14:paraId="2F765F37" w14:textId="77777777" w:rsidR="009D59E6" w:rsidRPr="004925FD" w:rsidRDefault="009D59E6" w:rsidP="00BD4145">
            <w:pPr>
              <w:jc w:val="center"/>
              <w:rPr>
                <w:b/>
                <w:bCs/>
              </w:rPr>
            </w:pPr>
            <w:r w:rsidRPr="004925FD">
              <w:rPr>
                <w:b/>
                <w:bCs/>
              </w:rPr>
              <w:t>STING</w:t>
            </w:r>
          </w:p>
        </w:tc>
        <w:tc>
          <w:tcPr>
            <w:tcW w:w="4176" w:type="dxa"/>
          </w:tcPr>
          <w:p w14:paraId="6B2F7F8B" w14:textId="77777777" w:rsidR="009D59E6" w:rsidRDefault="009D59E6" w:rsidP="00BD4145">
            <w:r>
              <w:rPr>
                <w:noProof/>
              </w:rPr>
              <w:drawing>
                <wp:inline distT="0" distB="0" distL="0" distR="0" wp14:anchorId="1E879416" wp14:editId="5248E02A">
                  <wp:extent cx="2514600" cy="2514600"/>
                  <wp:effectExtent l="0" t="0" r="0" b="0"/>
                  <wp:docPr id="72608520" name="Picture 15" descr="White spot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08520" name="Picture 15" descr="White spots on a black background&#10;&#10;Description automatically generated"/>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tc>
        <w:tc>
          <w:tcPr>
            <w:tcW w:w="4233" w:type="dxa"/>
          </w:tcPr>
          <w:p w14:paraId="183CEB0A" w14:textId="77777777" w:rsidR="009D59E6" w:rsidRDefault="009D59E6" w:rsidP="00BD4145">
            <w:r>
              <w:rPr>
                <w:noProof/>
              </w:rPr>
              <w:drawing>
                <wp:inline distT="0" distB="0" distL="0" distR="0" wp14:anchorId="50CC92BC" wp14:editId="53260A37">
                  <wp:extent cx="2514600" cy="2514600"/>
                  <wp:effectExtent l="0" t="0" r="0" b="0"/>
                  <wp:docPr id="2044058291" name="Picture 3" descr="A group of 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058291" name="Picture 3" descr="A group of red dots&#10;&#10;Description automatically generated"/>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514600" cy="2514600"/>
                          </a:xfrm>
                          <a:prstGeom prst="rect">
                            <a:avLst/>
                          </a:prstGeom>
                        </pic:spPr>
                      </pic:pic>
                    </a:graphicData>
                  </a:graphic>
                </wp:inline>
              </w:drawing>
            </w:r>
          </w:p>
        </w:tc>
      </w:tr>
    </w:tbl>
    <w:p w14:paraId="4A706706" w14:textId="31447474" w:rsidR="009D59E6" w:rsidRPr="009A2E21" w:rsidRDefault="009D59E6" w:rsidP="009A2E21">
      <w:pPr>
        <w:pStyle w:val="Caption"/>
        <w:jc w:val="both"/>
        <w:rPr>
          <w:i w:val="0"/>
          <w:iCs w:val="0"/>
          <w:sz w:val="20"/>
          <w:szCs w:val="20"/>
        </w:rPr>
      </w:pPr>
      <w:bookmarkStart w:id="48" w:name="_Toc165201237"/>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18</w:t>
      </w:r>
      <w:r w:rsidRPr="009A2E21">
        <w:rPr>
          <w:b/>
          <w:bCs/>
          <w:i w:val="0"/>
          <w:iCs w:val="0"/>
          <w:color w:val="000000" w:themeColor="text1"/>
          <w:sz w:val="20"/>
          <w:szCs w:val="20"/>
        </w:rPr>
        <w:fldChar w:fldCharType="end"/>
      </w:r>
      <w:r w:rsidRPr="009A2E21">
        <w:rPr>
          <w:i w:val="0"/>
          <w:iCs w:val="0"/>
          <w:color w:val="000000" w:themeColor="text1"/>
          <w:sz w:val="20"/>
          <w:szCs w:val="20"/>
        </w:rPr>
        <w:t xml:space="preserve">: </w:t>
      </w:r>
      <w:r w:rsidRPr="009A2E21">
        <w:rPr>
          <w:b/>
          <w:bCs/>
          <w:i w:val="0"/>
          <w:iCs w:val="0"/>
          <w:color w:val="000000" w:themeColor="text1"/>
          <w:sz w:val="20"/>
          <w:szCs w:val="20"/>
        </w:rPr>
        <w:t xml:space="preserve">Particle Analysis Procedures. </w:t>
      </w:r>
      <w:r w:rsidRPr="009A2E21">
        <w:rPr>
          <w:i w:val="0"/>
          <w:iCs w:val="0"/>
          <w:color w:val="000000" w:themeColor="text1"/>
          <w:sz w:val="20"/>
          <w:szCs w:val="20"/>
        </w:rPr>
        <w:t>Shows the intermediate images resulting in particle overlap analysis between GC-FITC and STING.</w:t>
      </w:r>
      <w:r w:rsidR="007C7FFD" w:rsidRPr="009A2E21">
        <w:rPr>
          <w:i w:val="0"/>
          <w:iCs w:val="0"/>
          <w:color w:val="000000" w:themeColor="text1"/>
          <w:sz w:val="20"/>
          <w:szCs w:val="20"/>
        </w:rPr>
        <w:t xml:space="preserve"> The images show how particles were detected by the </w:t>
      </w:r>
      <w:proofErr w:type="spellStart"/>
      <w:r w:rsidR="007C7FFD" w:rsidRPr="009A2E21">
        <w:rPr>
          <w:i w:val="0"/>
          <w:iCs w:val="0"/>
          <w:color w:val="000000" w:themeColor="text1"/>
          <w:sz w:val="20"/>
          <w:szCs w:val="20"/>
        </w:rPr>
        <w:t>imageJ</w:t>
      </w:r>
      <w:proofErr w:type="spellEnd"/>
      <w:r w:rsidR="007C7FFD" w:rsidRPr="009A2E21">
        <w:rPr>
          <w:i w:val="0"/>
          <w:iCs w:val="0"/>
          <w:color w:val="000000" w:themeColor="text1"/>
          <w:sz w:val="20"/>
          <w:szCs w:val="20"/>
        </w:rPr>
        <w:t xml:space="preserve"> program. Thresholding </w:t>
      </w:r>
      <w:r w:rsidR="00BC664E" w:rsidRPr="009A2E21">
        <w:rPr>
          <w:i w:val="0"/>
          <w:iCs w:val="0"/>
          <w:color w:val="000000" w:themeColor="text1"/>
          <w:sz w:val="20"/>
          <w:szCs w:val="20"/>
        </w:rPr>
        <w:t>serves</w:t>
      </w:r>
      <w:r w:rsidR="007C7FFD" w:rsidRPr="009A2E21">
        <w:rPr>
          <w:i w:val="0"/>
          <w:iCs w:val="0"/>
          <w:color w:val="000000" w:themeColor="text1"/>
          <w:sz w:val="20"/>
          <w:szCs w:val="20"/>
        </w:rPr>
        <w:t xml:space="preserve"> to isolate the particles based on intensities (left panels), and the particle analysis map (right panel) served to count the particles present in each channel. The FITC channel analysis provided a threshold value for STING particle mapping. Intensities recorded above this threshold indicated particle overlap.</w:t>
      </w:r>
      <w:bookmarkEnd w:id="48"/>
      <w:r w:rsidR="007C7FFD" w:rsidRPr="009A2E21">
        <w:rPr>
          <w:i w:val="0"/>
          <w:iCs w:val="0"/>
          <w:color w:val="000000" w:themeColor="text1"/>
          <w:sz w:val="20"/>
          <w:szCs w:val="20"/>
        </w:rPr>
        <w:t xml:space="preserve"> </w:t>
      </w:r>
    </w:p>
    <w:p w14:paraId="07985519" w14:textId="77777777" w:rsidR="002C2109" w:rsidRDefault="002C2109" w:rsidP="002C2109">
      <w:pPr>
        <w:pStyle w:val="Caption"/>
        <w:spacing w:after="0"/>
        <w:rPr>
          <w:i w:val="0"/>
          <w:iCs w:val="0"/>
          <w:color w:val="000000" w:themeColor="text1"/>
          <w:sz w:val="24"/>
          <w:szCs w:val="24"/>
        </w:rPr>
      </w:pPr>
    </w:p>
    <w:p w14:paraId="71ACFFE7" w14:textId="77777777" w:rsidR="00BA13EE" w:rsidRDefault="00BA13EE">
      <w:pPr>
        <w:rPr>
          <w:b/>
          <w:bCs/>
          <w:color w:val="000000" w:themeColor="text1"/>
        </w:rPr>
      </w:pPr>
      <w:r>
        <w:rPr>
          <w:b/>
          <w:bCs/>
          <w:i/>
          <w:iCs/>
          <w:color w:val="000000" w:themeColor="text1"/>
        </w:rPr>
        <w:br w:type="page"/>
      </w:r>
    </w:p>
    <w:p w14:paraId="0D945DE2" w14:textId="3B25CDBB" w:rsidR="002C2109" w:rsidRDefault="002C2109" w:rsidP="002C2109">
      <w:pPr>
        <w:ind w:firstLine="720"/>
      </w:pPr>
      <w:r>
        <w:lastRenderedPageBreak/>
        <w:t xml:space="preserve">The data for the field of view and the particle analysis are to show the overlap of FITC and STING. STING is a highly expressed protein throughout the cell; therefore, it is not expected for </w:t>
      </w:r>
      <w:proofErr w:type="gramStart"/>
      <w:r>
        <w:t>a majority of</w:t>
      </w:r>
      <w:proofErr w:type="gramEnd"/>
      <w:r>
        <w:t xml:space="preserve"> this protein to overlap with FITC and not all the STING within the cell will be recruited for the STING pathway upon GC stimulation. However, it is notable to look at how much of the GC that enters the cell is interacting with STING. From the data set, there is approximately 16.7% overlap of FITC on STING particles. This overlap increases slightly when looking at the 8</w:t>
      </w:r>
      <w:r>
        <w:rPr>
          <w:rFonts w:ascii="Calibri" w:hAnsi="Calibri" w:cs="Calibri"/>
        </w:rPr>
        <w:t>µ</w:t>
      </w:r>
      <w:r>
        <w:t xml:space="preserve">g/mL samples which have an average overlap of 24.5%. While there is some overlap, the percentage is not very significant in the different groups. From this, interactions can be gathered but colocalization cannot be fully established. This indicates that the 10 hour time point may not fully capture the GC-STING interactions. Single-cell analysis demonstrating similar trends can also be seen in </w:t>
      </w:r>
      <w:r>
        <w:rPr>
          <w:b/>
          <w:bCs/>
        </w:rPr>
        <w:t xml:space="preserve">Appendix </w:t>
      </w:r>
      <w:r w:rsidR="00782ED1">
        <w:rPr>
          <w:b/>
          <w:bCs/>
        </w:rPr>
        <w:t>G</w:t>
      </w:r>
      <w:r w:rsidR="005440D5">
        <w:rPr>
          <w:b/>
          <w:bCs/>
        </w:rPr>
        <w:t>.</w:t>
      </w:r>
      <w:r>
        <w:t xml:space="preserve"> </w:t>
      </w:r>
    </w:p>
    <w:p w14:paraId="5DB961B1" w14:textId="0A8F2C2B" w:rsidR="0041556C" w:rsidRDefault="0041556C" w:rsidP="0041556C">
      <w:pPr>
        <w:pStyle w:val="Heading2"/>
        <w:rPr>
          <w:highlight w:val="yellow"/>
        </w:rPr>
      </w:pPr>
      <w:r>
        <w:rPr>
          <w:highlight w:val="yellow"/>
        </w:rPr>
        <w:br w:type="page"/>
      </w:r>
    </w:p>
    <w:p w14:paraId="704DE7F0" w14:textId="630D16C2" w:rsidR="0041556C" w:rsidRPr="0041556C" w:rsidRDefault="0041556C" w:rsidP="0041556C">
      <w:pPr>
        <w:pStyle w:val="Heading1"/>
      </w:pPr>
      <w:bookmarkStart w:id="49" w:name="_Toc165293362"/>
      <w:r w:rsidRPr="0041556C">
        <w:lastRenderedPageBreak/>
        <w:t xml:space="preserve">Chapter </w:t>
      </w:r>
      <w:r>
        <w:t>5</w:t>
      </w:r>
      <w:r w:rsidR="009E72C3">
        <w:t>: Stimulation with Glycated Chitosan Results in an Upregulation of Lysosomal Genes and STING pathway Interactions</w:t>
      </w:r>
      <w:bookmarkEnd w:id="49"/>
      <w:r w:rsidR="009E72C3">
        <w:t xml:space="preserve"> </w:t>
      </w:r>
    </w:p>
    <w:p w14:paraId="77C7E0BD" w14:textId="299433FD" w:rsidR="0041556C" w:rsidRDefault="0041556C" w:rsidP="0041556C">
      <w:pPr>
        <w:pStyle w:val="Heading2"/>
      </w:pPr>
      <w:bookmarkStart w:id="50" w:name="_Toc165293363"/>
      <w:r>
        <w:t xml:space="preserve">5.1. </w:t>
      </w:r>
      <w:r w:rsidRPr="0041556C">
        <w:t>Purpose</w:t>
      </w:r>
      <w:bookmarkEnd w:id="50"/>
      <w:r w:rsidRPr="0041556C">
        <w:t xml:space="preserve"> </w:t>
      </w:r>
    </w:p>
    <w:p w14:paraId="025EF219" w14:textId="33C45E36" w:rsidR="00C04122" w:rsidRDefault="00C04122" w:rsidP="00C04122">
      <w:r>
        <w:t xml:space="preserve">The purpose of this experimentation was </w:t>
      </w:r>
      <w:r w:rsidR="001F57E1">
        <w:t>to</w:t>
      </w:r>
      <w:r>
        <w:t xml:space="preserve"> utilize the bulk RNA sequencing data from prior experimentation and investigate trends between lysosomal gene expression and GC stimulation. </w:t>
      </w:r>
    </w:p>
    <w:p w14:paraId="51306713" w14:textId="77777777" w:rsidR="00C04122" w:rsidRPr="00C04122" w:rsidRDefault="00C04122" w:rsidP="00C04122"/>
    <w:p w14:paraId="4A05AAEB" w14:textId="733C5B2D" w:rsidR="0041556C" w:rsidRDefault="0041556C" w:rsidP="0041556C">
      <w:pPr>
        <w:pStyle w:val="Heading2"/>
      </w:pPr>
      <w:bookmarkStart w:id="51" w:name="_Toc165293364"/>
      <w:r>
        <w:t xml:space="preserve">5.2. </w:t>
      </w:r>
      <w:r w:rsidRPr="0041556C">
        <w:t>Materials</w:t>
      </w:r>
      <w:bookmarkEnd w:id="51"/>
      <w:r w:rsidRPr="0041556C">
        <w:t xml:space="preserve"> </w:t>
      </w:r>
    </w:p>
    <w:p w14:paraId="7F05C3AF" w14:textId="3321A05C" w:rsidR="009D04C0" w:rsidRDefault="00FC2FF6" w:rsidP="00FC2FF6">
      <w:pPr>
        <w:ind w:firstLine="720"/>
      </w:pPr>
      <w:r>
        <w:t xml:space="preserve">Aqueous solution of </w:t>
      </w:r>
      <w:r w:rsidRPr="00FA2C7B">
        <w:t>N-</w:t>
      </w:r>
      <w:proofErr w:type="spellStart"/>
      <w:r w:rsidRPr="00FA2C7B">
        <w:t>dihydrogalactochitosan</w:t>
      </w:r>
      <w:proofErr w:type="spellEnd"/>
      <w:r w:rsidRPr="00FA2C7B">
        <w:t>, also referred to as gl</w:t>
      </w:r>
      <w:r>
        <w:t>ycated</w:t>
      </w:r>
      <w:r w:rsidRPr="00FA2C7B">
        <w:t xml:space="preserve"> chitosan (GC)</w:t>
      </w:r>
      <w:r>
        <w:t>,</w:t>
      </w:r>
      <w:r w:rsidRPr="00FA2C7B">
        <w:t xml:space="preserve"> </w:t>
      </w:r>
      <w:r>
        <w:t xml:space="preserve">(10mg/mL) was provided by </w:t>
      </w:r>
      <w:proofErr w:type="spellStart"/>
      <w:r>
        <w:t>ImmunoPhotonics</w:t>
      </w:r>
      <w:proofErr w:type="spellEnd"/>
      <w:r>
        <w:t>, Inc. Male and female 8</w:t>
      </w:r>
      <w:r w:rsidR="00D803E3">
        <w:t>-12</w:t>
      </w:r>
      <w:r>
        <w:t xml:space="preserve"> week</w:t>
      </w:r>
      <w:r w:rsidR="00D803E3">
        <w:t>s</w:t>
      </w:r>
      <w:r>
        <w:t xml:space="preserve"> old </w:t>
      </w:r>
      <w:r w:rsidRPr="00A43A48">
        <w:t>C57BL/6J</w:t>
      </w:r>
      <w:r>
        <w:t xml:space="preserve"> mice were purchased from Jackson Laboratories.</w:t>
      </w:r>
    </w:p>
    <w:p w14:paraId="1439A111" w14:textId="77777777" w:rsidR="00FC2FF6" w:rsidRPr="009D04C0" w:rsidRDefault="00FC2FF6" w:rsidP="00FC2FF6">
      <w:pPr>
        <w:ind w:firstLine="720"/>
      </w:pPr>
    </w:p>
    <w:p w14:paraId="14DA9651" w14:textId="7E174F5B" w:rsidR="0041556C" w:rsidRDefault="0041556C" w:rsidP="0041556C">
      <w:pPr>
        <w:pStyle w:val="Heading2"/>
      </w:pPr>
      <w:bookmarkStart w:id="52" w:name="_Toc165293365"/>
      <w:r>
        <w:t xml:space="preserve">5.3. </w:t>
      </w:r>
      <w:r w:rsidRPr="0041556C">
        <w:t>Methods</w:t>
      </w:r>
      <w:bookmarkEnd w:id="52"/>
    </w:p>
    <w:p w14:paraId="70ED1167" w14:textId="098DFE0A" w:rsidR="00FC2FF6" w:rsidRPr="008E6520" w:rsidRDefault="00656B13" w:rsidP="00FC2FF6">
      <w:pPr>
        <w:pStyle w:val="Heading3"/>
      </w:pPr>
      <w:bookmarkStart w:id="53" w:name="_Toc165293366"/>
      <w:r>
        <w:t xml:space="preserve">5.3.1. </w:t>
      </w:r>
      <w:r w:rsidR="002C2109" w:rsidRPr="008E6520">
        <w:t xml:space="preserve">RNA </w:t>
      </w:r>
      <w:r w:rsidR="00FC2FF6" w:rsidRPr="008E6520">
        <w:t>S</w:t>
      </w:r>
      <w:r w:rsidR="002C2109" w:rsidRPr="008E6520">
        <w:t>equencing (RNA-Seq)</w:t>
      </w:r>
      <w:bookmarkEnd w:id="53"/>
    </w:p>
    <w:p w14:paraId="4FFB0E8D" w14:textId="77777777" w:rsidR="002C2109" w:rsidRPr="00012F37" w:rsidRDefault="002C2109" w:rsidP="002C2109">
      <w:pPr>
        <w:ind w:firstLine="720"/>
      </w:pPr>
      <w:r>
        <w:t xml:space="preserve">This protocol was conducted priorly in the lab and the data preserved. The overview of sample collection is as follows. </w:t>
      </w:r>
      <w:r w:rsidRPr="00012F37">
        <w:t xml:space="preserve">BMDCs underwent a 24-hour culture, followed by harvesting and staining with ghost dye BV510 to assess viability, as well as CD11b APC-Cy7 and CD11c FITC. Live CD11b+CD11c+ BMDCs were then isolated via sorting on the BD FACS ARIA. RNA extraction from the sorted BMDCs was accomplished using the Quick-RNA </w:t>
      </w:r>
      <w:proofErr w:type="spellStart"/>
      <w:r w:rsidRPr="00012F37">
        <w:t>microprep</w:t>
      </w:r>
      <w:proofErr w:type="spellEnd"/>
      <w:r w:rsidRPr="00012F37">
        <w:t xml:space="preserve"> kit obtained from </w:t>
      </w:r>
      <w:proofErr w:type="spellStart"/>
      <w:r w:rsidRPr="00012F37">
        <w:t>Zymo</w:t>
      </w:r>
      <w:proofErr w:type="spellEnd"/>
      <w:r w:rsidRPr="00012F37">
        <w:t xml:space="preserve"> Research (Cat# R1050) and conducted according to the manufacturer’s instructions. For sequencing, mRNA preparation and sequencing service involving 20 million reads were performed to prepare the RNA for </w:t>
      </w:r>
      <w:proofErr w:type="spellStart"/>
      <w:r w:rsidRPr="00012F37">
        <w:t>NovaSeq</w:t>
      </w:r>
      <w:proofErr w:type="spellEnd"/>
      <w:r w:rsidRPr="00012F37">
        <w:t xml:space="preserve"> PE150 reads on the NovaSeq6000 platform.</w:t>
      </w:r>
    </w:p>
    <w:p w14:paraId="6D6A273D" w14:textId="77777777" w:rsidR="002C2109" w:rsidRDefault="002C2109" w:rsidP="002C2109"/>
    <w:p w14:paraId="1C703E35" w14:textId="749B7B19" w:rsidR="002C2109" w:rsidRPr="00012F37" w:rsidRDefault="00656B13" w:rsidP="002C2109">
      <w:pPr>
        <w:pStyle w:val="Heading3"/>
      </w:pPr>
      <w:bookmarkStart w:id="54" w:name="_Toc165293367"/>
      <w:r>
        <w:t xml:space="preserve">5.3.2. </w:t>
      </w:r>
      <w:r w:rsidR="002C2109" w:rsidRPr="00012F37">
        <w:t>Bioinformatics Analysis (Quality Control, Read Trimming, Genome Mapping, and Identification of Differentially Expressed Genes)</w:t>
      </w:r>
      <w:bookmarkEnd w:id="54"/>
    </w:p>
    <w:p w14:paraId="190F3213" w14:textId="6F0B4D76" w:rsidR="002C2109" w:rsidRPr="00012F37" w:rsidRDefault="002C2109" w:rsidP="002C2109">
      <w:pPr>
        <w:ind w:firstLine="720"/>
      </w:pPr>
      <w:r w:rsidRPr="00012F37">
        <w:t xml:space="preserve">An initial quality assessment of the raw sequencing data was carried out using </w:t>
      </w:r>
      <w:proofErr w:type="spellStart"/>
      <w:r w:rsidRPr="00012F37">
        <w:t>FastQC</w:t>
      </w:r>
      <w:proofErr w:type="spellEnd"/>
      <w:r w:rsidRPr="00012F37">
        <w:t xml:space="preserve"> (v0.11.9) to identify common issues in RNA-Seq data. Subsequently, </w:t>
      </w:r>
      <w:proofErr w:type="spellStart"/>
      <w:r w:rsidRPr="00012F37">
        <w:t>Trimmomatic</w:t>
      </w:r>
      <w:proofErr w:type="spellEnd"/>
      <w:r w:rsidRPr="00012F37">
        <w:t xml:space="preserve"> (v0.39) was employed to trim the reads, eliminating low-quality bases</w:t>
      </w:r>
      <w:r w:rsidR="008A5227">
        <w:t xml:space="preserve"> </w:t>
      </w:r>
      <w:r w:rsidR="008A5227">
        <w:fldChar w:fldCharType="begin"/>
      </w:r>
      <w:r w:rsidR="007D5DBF">
        <w:instrText xml:space="preserve"> ADDIN ZOTERO_ITEM CSL_CITATION {"citationID":"Bvt55Lcm","properties":{"formattedCitation":"[57]","plainCitation":"[57]","noteIndex":0},"citationItems":[{"id":1635,"uris":["http://zotero.org/users/13277427/items/8BXUFE6H"],"itemData":{"id":1635,"type":"article-journal","abstract":"Abstract\n            Motivation: Although many next-generation sequencing (NGS) read preprocessing tools already existed, we could not find any tool or combination of tools that met our requirements in terms of flexibility, correct handling of paired-end data and high performance. We have developed Trimmomatic as a more flexible and efficient preprocessing tool, which could correctly handle paired-end data.\n            Results: The value of NGS read preprocessing is demonstrated for both reference-based and reference-free tasks. Trimmomatic is shown to produce output that is at least competitive with, and in many cases superior to, that produced by other tools, in all scenarios tested.\n            Availability and implementation: Trimmomatic is licensed under GPL V3. It is cross-platform (Java 1.5+ required) and available at http://www.usadellab.org/cms/index.php?page=trimmomatic\n            Contact:  usadel@bio1.rwth-aachen.de\n            Supplementary information:  Supplementary data are available at Bioinformatics online.","container-title":"Bioinformatics","DOI":"10.1093/bioinformatics/btu170","ISSN":"1367-4811, 1367-4803","issue":"15","language":"en","license":"http://creativecommons.org/licenses/by/3.0/","page":"2114-2120","source":"DOI.org (Crossref)","title":"Trimmomatic: a flexible trimmer for Illumina sequence data","title-short":"Trimmomatic","volume":"30","author":[{"family":"Bolger","given":"Anthony M."},{"family":"Lohse","given":"Marc"},{"family":"Usadel","given":"Bjoern"}],"issued":{"date-parts":[["2014",8,1]]}}}],"schema":"https://github.com/citation-style-language/schema/raw/master/csl-citation.json"} </w:instrText>
      </w:r>
      <w:r w:rsidR="008A5227">
        <w:fldChar w:fldCharType="separate"/>
      </w:r>
      <w:r w:rsidR="007D5DBF">
        <w:rPr>
          <w:noProof/>
        </w:rPr>
        <w:t>[57]</w:t>
      </w:r>
      <w:r w:rsidR="008A5227">
        <w:fldChar w:fldCharType="end"/>
      </w:r>
      <w:r w:rsidRPr="00012F37">
        <w:t xml:space="preserve">. </w:t>
      </w:r>
      <w:proofErr w:type="spellStart"/>
      <w:r w:rsidRPr="00012F37">
        <w:t>FastQC</w:t>
      </w:r>
      <w:proofErr w:type="spellEnd"/>
      <w:r w:rsidRPr="00012F37">
        <w:t xml:space="preserve"> was then used again to verify the enhancement in quality post-trimming. The RNA-Seq reads from each sample were aligned to the mouse mm10 genome assembly using HISAT2, and </w:t>
      </w:r>
      <w:proofErr w:type="spellStart"/>
      <w:r w:rsidRPr="00012F37">
        <w:t>Samtools</w:t>
      </w:r>
      <w:proofErr w:type="spellEnd"/>
      <w:r w:rsidRPr="00012F37">
        <w:t xml:space="preserve"> was utilized to convert the HISAT2-generated SAM files into BAM files</w:t>
      </w:r>
      <w:r w:rsidR="008A5227">
        <w:t xml:space="preserve"> </w:t>
      </w:r>
      <w:r w:rsidR="008A5227">
        <w:fldChar w:fldCharType="begin"/>
      </w:r>
      <w:r w:rsidR="007D5DBF">
        <w:instrText xml:space="preserve"> ADDIN ZOTERO_ITEM CSL_CITATION {"citationID":"rEtd4sHp","properties":{"formattedCitation":"[58]","plainCitation":"[58]","noteIndex":0},"citationItems":[{"id":1637,"uris":["http://zotero.org/users/13277427/items/7HYVL66Q"],"itemData":{"id":1637,"type":"article-journal","abstract":"Abstract\n            Summary: The Sequence Alignment/Map (SAM) format is a generic alignment format for storing read alignments against reference sequences, supporting short and long reads (up to 128 Mbp) produced by different sequencing platforms. It is flexible in style, compact in size, efficient in random access and is the format in which alignments from the 1000 Genomes Project are released. SAMtools implements various utilities for post-processing alignments in the SAM format, such as indexing, variant caller and alignment viewer, and thus provides universal tools for processing read alignments.\n            Availability:  http://samtools.sourceforge.net\n            Contact:  rd@sanger.ac.uk","container-title":"Bioinformatics","DOI":"10.1093/bioinformatics/btp352","ISSN":"1367-4811, 1367-4803","issue":"16","language":"en","license":"http://creativecommons.org/licenses/by-nc/2.0/uk/","page":"2078-2079","source":"DOI.org (Crossref)","title":"The Sequence Alignment/Map format and SAMtools","volume":"25","author":[{"family":"Li","given":"Heng"},{"family":"Handsaker","given":"Bob"},{"family":"Wysoker","given":"Alec"},{"family":"Fennell","given":"Tim"},{"family":"Ruan","given":"Jue"},{"family":"Homer","given":"Nils"},{"family":"Marth","given":"Gabor"},{"family":"Abecasis","given":"Goncalo"},{"family":"Durbin","given":"Richard"},{"literal":"1000 Genome Project Data Processing Subgroup"}],"issued":{"date-parts":[["2009",8,15]]}}}],"schema":"https://github.com/citation-style-language/schema/raw/master/csl-citation.json"} </w:instrText>
      </w:r>
      <w:r w:rsidR="008A5227">
        <w:fldChar w:fldCharType="separate"/>
      </w:r>
      <w:r w:rsidR="007D5DBF">
        <w:rPr>
          <w:noProof/>
        </w:rPr>
        <w:t>[58]</w:t>
      </w:r>
      <w:r w:rsidR="008A5227">
        <w:fldChar w:fldCharType="end"/>
      </w:r>
      <w:r w:rsidRPr="00012F37">
        <w:t xml:space="preserve">. The Subread package's </w:t>
      </w:r>
      <w:proofErr w:type="spellStart"/>
      <w:r w:rsidRPr="00012F37">
        <w:t>FeatureCounts</w:t>
      </w:r>
      <w:proofErr w:type="spellEnd"/>
      <w:r w:rsidRPr="00012F37">
        <w:t xml:space="preserve"> program was employed to quantify the mapped RNA-Seq reads for genomic features</w:t>
      </w:r>
      <w:r w:rsidR="008A5227">
        <w:t xml:space="preserve"> </w:t>
      </w:r>
      <w:r w:rsidR="008A5227">
        <w:fldChar w:fldCharType="begin"/>
      </w:r>
      <w:r w:rsidR="007D5DBF">
        <w:instrText xml:space="preserve"> ADDIN ZOTERO_ITEM CSL_CITATION {"citationID":"OlALlLal","properties":{"formattedCitation":"[59]","plainCitation":"[59]","noteIndex":0},"citationItems":[{"id":1639,"uris":["http://zotero.org/users/13277427/items/BCCAD7PF"],"itemData":{"id":1639,"type":"article-journal","abstract":"Abstract\n            Motivation: Next-generation sequencing technologies generate millions of short sequence reads, which are usually aligned to a reference genome. In many applications, the key information required for downstream analysis is the number of reads mapping to each genomic feature, for example to each exon or each gene. The process of counting reads is called read summarization. Read summarization is required for a great variety of genomic analyses but has so far received relatively little attention in the literature.\n            Results: We present featureCounts, a read summarization program suitable for counting reads generated from either RNA or genomic DNA sequencing experiments. featureCounts implements highly efficient chromosome hashing and feature blocking techniques. It is considerably faster than existing methods (by an order of magnitude for gene-level summarization) and requires far less computer memory. It works with either single or paired-end reads and provides a wide range of options appropriate for different sequencing applications.\n            Availability and implementation:   featureCounts is available under GNU General Public License as part of the Subread (http://subread.sourceforge.net) or Rsubread (http://www.bioconductor.org) software packages.\n            Contact:   shi@wehi.edu.au","container-title":"Bioinformatics","DOI":"10.1093/bioinformatics/btt656","ISSN":"1367-4811, 1367-4803","issue":"7","language":"en","page":"923-930","source":"DOI.org (Crossref)","title":"featureCounts: an efficient general purpose program for assigning sequence reads to genomic features","title-short":"featureCounts","volume":"30","author":[{"family":"Liao","given":"Yang"},{"family":"Smyth","given":"Gordon K."},{"family":"Shi","given":"Wei"}],"issued":{"date-parts":[["2014",4,1]]}}}],"schema":"https://github.com/citation-style-language/schema/raw/master/csl-citation.json"} </w:instrText>
      </w:r>
      <w:r w:rsidR="008A5227">
        <w:fldChar w:fldCharType="separate"/>
      </w:r>
      <w:r w:rsidR="007D5DBF">
        <w:rPr>
          <w:noProof/>
        </w:rPr>
        <w:t>[59]</w:t>
      </w:r>
      <w:r w:rsidR="008A5227">
        <w:fldChar w:fldCharType="end"/>
      </w:r>
      <w:r w:rsidRPr="00012F37">
        <w:t xml:space="preserve">. DESeq2, based on the negative binomial distribution, was utilized for the analysis of differentially expressed genes (DEGs). The resulting P-values underwent adjustment utilizing the </w:t>
      </w:r>
      <w:proofErr w:type="spellStart"/>
      <w:r w:rsidRPr="00012F37">
        <w:t>Benjamini</w:t>
      </w:r>
      <w:proofErr w:type="spellEnd"/>
      <w:r w:rsidRPr="00012F37">
        <w:t xml:space="preserve"> and Hochberg’s approach to control the false discovery rate. Genes exhibiting an adjusted P-value (P adj) &lt; 0.05 as determined by DESeq2 were categorized as differentially expressed. Furthermore, Gene Ontology (GO) analysis of DEGs was conducted using </w:t>
      </w:r>
      <w:proofErr w:type="spellStart"/>
      <w:r w:rsidRPr="00012F37">
        <w:t>clusterProfiler</w:t>
      </w:r>
      <w:proofErr w:type="spellEnd"/>
      <w:r w:rsidR="008A5227">
        <w:t xml:space="preserve"> </w:t>
      </w:r>
      <w:r w:rsidR="008A5227">
        <w:fldChar w:fldCharType="begin"/>
      </w:r>
      <w:r w:rsidR="007D5DBF">
        <w:instrText xml:space="preserve"> ADDIN ZOTERO_ITEM CSL_CITATION {"citationID":"RkMUthoB","properties":{"formattedCitation":"[60]","plainCitation":"[60]","noteIndex":0},"citationItems":[{"id":1641,"uris":["http://zotero.org/users/13277427/items/6JRY83QS"],"itemData":{"id":1641,"type":"article-journal","container-title":"OMICS: A Journal of Integrative Biology","DOI":"10.1089/omi.2011.0118","ISSN":"1536-2310, 1557-8100","issue":"5","journalAbbreviation":"OMICS: A Journal of Integrative Biology","language":"en","license":"http://www.liebertpub.com/nv/resources-tools/text-and-data-mining-policy/121/","page":"284-287","source":"DOI.org (Crossref)","title":"clusterProfiler: an R Package for Comparing Biological Themes Among Gene Clusters","title-short":"clusterProfiler","volume":"16","author":[{"family":"Yu","given":"Guangchuang"},{"family":"Wang","given":"Li-Gen"},{"family":"Han","given":"Yanyan"},{"family":"He","given":"Qing-Yu"}],"issued":{"date-parts":[["2012",5]]}}}],"schema":"https://github.com/citation-style-language/schema/raw/master/csl-citation.json"} </w:instrText>
      </w:r>
      <w:r w:rsidR="008A5227">
        <w:fldChar w:fldCharType="separate"/>
      </w:r>
      <w:r w:rsidR="007D5DBF">
        <w:rPr>
          <w:noProof/>
        </w:rPr>
        <w:t>[60]</w:t>
      </w:r>
      <w:r w:rsidR="008A5227">
        <w:fldChar w:fldCharType="end"/>
      </w:r>
      <w:r w:rsidRPr="00012F37">
        <w:t>.</w:t>
      </w:r>
    </w:p>
    <w:p w14:paraId="7700CCEE" w14:textId="77777777" w:rsidR="002C2109" w:rsidRDefault="002C2109" w:rsidP="002C2109"/>
    <w:p w14:paraId="3F740C95" w14:textId="77777777" w:rsidR="002C2109" w:rsidRPr="002C2109" w:rsidRDefault="002C2109" w:rsidP="002C2109"/>
    <w:p w14:paraId="20C56337" w14:textId="49CB0998" w:rsidR="0041556C" w:rsidRDefault="0041556C" w:rsidP="0041556C">
      <w:pPr>
        <w:pStyle w:val="Heading2"/>
      </w:pPr>
      <w:bookmarkStart w:id="55" w:name="_Toc165293368"/>
      <w:r>
        <w:lastRenderedPageBreak/>
        <w:t xml:space="preserve">5.4. </w:t>
      </w:r>
      <w:r w:rsidRPr="0041556C">
        <w:t>Results</w:t>
      </w:r>
      <w:bookmarkEnd w:id="55"/>
    </w:p>
    <w:p w14:paraId="0DC5A718" w14:textId="44DE1800" w:rsidR="002C2109" w:rsidRPr="008E6520" w:rsidRDefault="008E6520" w:rsidP="008E6520">
      <w:pPr>
        <w:ind w:firstLine="720"/>
        <w:rPr>
          <w:b/>
          <w:bCs/>
        </w:rPr>
      </w:pPr>
      <w:r>
        <w:t>Literature research was conducted to find genes associated with lysosomal activity and cell death</w:t>
      </w:r>
      <w:r w:rsidR="00932046">
        <w:t xml:space="preserve">. </w:t>
      </w:r>
      <w:r>
        <w:t xml:space="preserve">Additional genes were added to the list from NIH database </w:t>
      </w:r>
      <w:r w:rsidR="00932046">
        <w:t xml:space="preserve">with </w:t>
      </w:r>
      <w:r>
        <w:t>the search “</w:t>
      </w:r>
      <w:r w:rsidRPr="008E6520">
        <w:t>lysosome death</w:t>
      </w:r>
      <w:r>
        <w:t>”</w:t>
      </w:r>
      <w:r w:rsidRPr="008E6520">
        <w:t xml:space="preserve"> AND "Mus musculus"</w:t>
      </w:r>
      <w:r>
        <w:t xml:space="preserve"> </w:t>
      </w:r>
      <w:r>
        <w:fldChar w:fldCharType="begin"/>
      </w:r>
      <w:r w:rsidR="007D5DBF">
        <w:instrText xml:space="preserve"> ADDIN ZOTERO_ITEM CSL_CITATION {"citationID":"hp2fEDuu","properties":{"formattedCitation":"[61]","plainCitation":"[61]","noteIndex":0},"citationItems":[{"id":1675,"uris":["http://zotero.org/users/13277427/items/NGTMNG6P"],"itemData":{"id":1675,"type":"webpage","title":"(lysosome death) AND \"Mus musculus\"[porgn] AND (alive[prop]) - Gene - NCBI","URL":"https://www.ncbi.nlm.nih.gov/gene?term=(lysosome+death)+AND+%22Mus+musculus%22%5Bporgn%5D+AND+(alive%5Bprop%5D)&amp;cmd=DetailsSearch&amp;log$=activity","accessed":{"date-parts":[["2024",4,3]]}}}],"schema":"https://github.com/citation-style-language/schema/raw/master/csl-citation.json"} </w:instrText>
      </w:r>
      <w:r>
        <w:fldChar w:fldCharType="separate"/>
      </w:r>
      <w:r w:rsidR="007D5DBF">
        <w:rPr>
          <w:noProof/>
        </w:rPr>
        <w:t>[61]</w:t>
      </w:r>
      <w:r>
        <w:fldChar w:fldCharType="end"/>
      </w:r>
      <w:r>
        <w:t xml:space="preserve">. </w:t>
      </w:r>
      <w:r w:rsidR="00AE69A4">
        <w:t xml:space="preserve">These search criteria encapsulate both gene function and mouse strain. </w:t>
      </w:r>
      <w:r>
        <w:t xml:space="preserve">The relative expression for these genes was then shown for both GC stimulated and unstimulated groups of both wild type and STING knockout cells. The resulting heatmaps can be seen below in </w:t>
      </w:r>
      <w:r>
        <w:rPr>
          <w:b/>
          <w:bCs/>
        </w:rPr>
        <w:t xml:space="preserve">Figure </w:t>
      </w:r>
      <w:r w:rsidR="0045228C">
        <w:rPr>
          <w:b/>
          <w:bCs/>
        </w:rPr>
        <w:t>19</w:t>
      </w:r>
      <w:r>
        <w:rPr>
          <w:b/>
          <w:bCs/>
        </w:rPr>
        <w:t>.</w:t>
      </w:r>
    </w:p>
    <w:p w14:paraId="6473D696" w14:textId="5ECC5A2C" w:rsidR="00C75D8D" w:rsidRDefault="00C75D8D" w:rsidP="008E6520">
      <w:pPr>
        <w:jc w:val="center"/>
      </w:pPr>
      <w:r>
        <w:rPr>
          <w:noProof/>
        </w:rPr>
        <w:drawing>
          <wp:inline distT="0" distB="0" distL="0" distR="0" wp14:anchorId="60AC4012" wp14:editId="1CFDA2C8">
            <wp:extent cx="5122933" cy="5772150"/>
            <wp:effectExtent l="0" t="0" r="0" b="0"/>
            <wp:docPr id="617664700" name="Picture 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664700" name="Picture 3" descr="A screenshot of a cell phone&#10;&#10;Description automatically generated"/>
                    <pic:cNvPicPr/>
                  </pic:nvPicPr>
                  <pic:blipFill rotWithShape="1">
                    <a:blip r:embed="rId34" cstate="print">
                      <a:extLst>
                        <a:ext uri="{28A0092B-C50C-407E-A947-70E740481C1C}">
                          <a14:useLocalDpi xmlns:a14="http://schemas.microsoft.com/office/drawing/2010/main" val="0"/>
                        </a:ext>
                      </a:extLst>
                    </a:blip>
                    <a:srcRect t="1711"/>
                    <a:stretch/>
                  </pic:blipFill>
                  <pic:spPr bwMode="auto">
                    <a:xfrm>
                      <a:off x="0" y="0"/>
                      <a:ext cx="5164896" cy="5819431"/>
                    </a:xfrm>
                    <a:prstGeom prst="rect">
                      <a:avLst/>
                    </a:prstGeom>
                    <a:ln>
                      <a:noFill/>
                    </a:ln>
                    <a:extLst>
                      <a:ext uri="{53640926-AAD7-44D8-BBD7-CCE9431645EC}">
                        <a14:shadowObscured xmlns:a14="http://schemas.microsoft.com/office/drawing/2010/main"/>
                      </a:ext>
                    </a:extLst>
                  </pic:spPr>
                </pic:pic>
              </a:graphicData>
            </a:graphic>
          </wp:inline>
        </w:drawing>
      </w:r>
    </w:p>
    <w:p w14:paraId="72A802E1" w14:textId="6A2051F3" w:rsidR="002C2109" w:rsidRPr="009A2E21" w:rsidRDefault="002C2109" w:rsidP="009A2E21">
      <w:pPr>
        <w:pStyle w:val="Caption"/>
        <w:jc w:val="both"/>
        <w:rPr>
          <w:i w:val="0"/>
          <w:iCs w:val="0"/>
          <w:color w:val="000000" w:themeColor="text1"/>
          <w:sz w:val="20"/>
          <w:szCs w:val="20"/>
        </w:rPr>
      </w:pPr>
      <w:bookmarkStart w:id="56" w:name="_Toc165201238"/>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19</w:t>
      </w:r>
      <w:r w:rsidRPr="009A2E21">
        <w:rPr>
          <w:b/>
          <w:bCs/>
          <w:i w:val="0"/>
          <w:iCs w:val="0"/>
          <w:color w:val="000000" w:themeColor="text1"/>
          <w:sz w:val="20"/>
          <w:szCs w:val="20"/>
        </w:rPr>
        <w:fldChar w:fldCharType="end"/>
      </w:r>
      <w:r w:rsidRPr="009A2E21">
        <w:rPr>
          <w:b/>
          <w:bCs/>
          <w:i w:val="0"/>
          <w:iCs w:val="0"/>
          <w:color w:val="000000" w:themeColor="text1"/>
          <w:sz w:val="20"/>
          <w:szCs w:val="20"/>
        </w:rPr>
        <w:t>:</w:t>
      </w:r>
      <w:r w:rsidRPr="009A2E21">
        <w:rPr>
          <w:i w:val="0"/>
          <w:iCs w:val="0"/>
          <w:color w:val="000000" w:themeColor="text1"/>
          <w:sz w:val="20"/>
          <w:szCs w:val="20"/>
        </w:rPr>
        <w:t xml:space="preserve"> </w:t>
      </w:r>
      <w:r w:rsidR="009A2E21" w:rsidRPr="009A2E21">
        <w:rPr>
          <w:b/>
          <w:bCs/>
          <w:i w:val="0"/>
          <w:iCs w:val="0"/>
          <w:color w:val="000000" w:themeColor="text1"/>
          <w:sz w:val="20"/>
          <w:szCs w:val="20"/>
        </w:rPr>
        <w:t>Lysosomal gene heatmapping</w:t>
      </w:r>
      <w:r w:rsidR="009A2E21" w:rsidRPr="009A2E21">
        <w:rPr>
          <w:i w:val="0"/>
          <w:iCs w:val="0"/>
          <w:color w:val="000000" w:themeColor="text1"/>
          <w:sz w:val="20"/>
          <w:szCs w:val="20"/>
        </w:rPr>
        <w:t xml:space="preserve">. </w:t>
      </w:r>
      <w:r w:rsidRPr="009A2E21">
        <w:rPr>
          <w:i w:val="0"/>
          <w:iCs w:val="0"/>
          <w:color w:val="000000" w:themeColor="text1"/>
          <w:sz w:val="20"/>
          <w:szCs w:val="20"/>
        </w:rPr>
        <w:t xml:space="preserve">Heatmaps illustrating activity of lysosomal and cell death-associated genes in relation to STING pathway activity. </w:t>
      </w:r>
      <w:r w:rsidR="00B374F8" w:rsidRPr="009A2E21">
        <w:rPr>
          <w:i w:val="0"/>
          <w:iCs w:val="0"/>
          <w:color w:val="000000" w:themeColor="text1"/>
          <w:sz w:val="20"/>
          <w:szCs w:val="20"/>
        </w:rPr>
        <w:t xml:space="preserve">In panel A, genes expression associated with cell death and lysosomal death is presented. </w:t>
      </w:r>
      <w:r w:rsidRPr="009A2E21">
        <w:rPr>
          <w:i w:val="0"/>
          <w:iCs w:val="0"/>
          <w:color w:val="000000" w:themeColor="text1"/>
          <w:sz w:val="20"/>
          <w:szCs w:val="20"/>
        </w:rPr>
        <w:t>In panel</w:t>
      </w:r>
      <w:r w:rsidR="00B374F8" w:rsidRPr="009A2E21">
        <w:rPr>
          <w:i w:val="0"/>
          <w:iCs w:val="0"/>
          <w:color w:val="000000" w:themeColor="text1"/>
          <w:sz w:val="20"/>
          <w:szCs w:val="20"/>
        </w:rPr>
        <w:t xml:space="preserve"> B</w:t>
      </w:r>
      <w:r w:rsidRPr="009A2E21">
        <w:rPr>
          <w:i w:val="0"/>
          <w:iCs w:val="0"/>
          <w:color w:val="000000" w:themeColor="text1"/>
          <w:sz w:val="20"/>
          <w:szCs w:val="20"/>
        </w:rPr>
        <w:t xml:space="preserve">, genes upregulated by GC stimulation correlating to STING pathway activity can be seen. </w:t>
      </w:r>
      <w:r w:rsidR="00B374F8" w:rsidRPr="009A2E21">
        <w:rPr>
          <w:i w:val="0"/>
          <w:iCs w:val="0"/>
          <w:color w:val="000000" w:themeColor="text1"/>
          <w:sz w:val="20"/>
          <w:szCs w:val="20"/>
        </w:rPr>
        <w:t>Both the heatmaps in panels A and B show both STING knockout (KO) and wild type (WT) genotype groups with conditions of unstimulated (</w:t>
      </w:r>
      <w:proofErr w:type="spellStart"/>
      <w:r w:rsidR="00B374F8" w:rsidRPr="009A2E21">
        <w:rPr>
          <w:i w:val="0"/>
          <w:iCs w:val="0"/>
          <w:color w:val="000000" w:themeColor="text1"/>
          <w:sz w:val="20"/>
          <w:szCs w:val="20"/>
        </w:rPr>
        <w:t>unstim</w:t>
      </w:r>
      <w:proofErr w:type="spellEnd"/>
      <w:r w:rsidR="00B374F8" w:rsidRPr="009A2E21">
        <w:rPr>
          <w:i w:val="0"/>
          <w:iCs w:val="0"/>
          <w:color w:val="000000" w:themeColor="text1"/>
          <w:sz w:val="20"/>
          <w:szCs w:val="20"/>
        </w:rPr>
        <w:t>) and GC stimulated (GC).</w:t>
      </w:r>
      <w:r w:rsidR="002B676D" w:rsidRPr="009A2E21">
        <w:rPr>
          <w:i w:val="0"/>
          <w:iCs w:val="0"/>
          <w:color w:val="000000" w:themeColor="text1"/>
          <w:sz w:val="20"/>
          <w:szCs w:val="20"/>
        </w:rPr>
        <w:t xml:space="preserve"> The expression levels of this genes can be seen with dark red illustrating upregulation and dark blue illustrating downregulation.</w:t>
      </w:r>
      <w:bookmarkEnd w:id="56"/>
      <w:r w:rsidR="002B676D" w:rsidRPr="009A2E21">
        <w:rPr>
          <w:i w:val="0"/>
          <w:iCs w:val="0"/>
          <w:color w:val="000000" w:themeColor="text1"/>
          <w:sz w:val="20"/>
          <w:szCs w:val="20"/>
        </w:rPr>
        <w:t xml:space="preserve"> </w:t>
      </w:r>
    </w:p>
    <w:p w14:paraId="16490160" w14:textId="2942CF61" w:rsidR="00552335" w:rsidRPr="007D2D3C" w:rsidRDefault="00552335" w:rsidP="00552335">
      <w:pPr>
        <w:rPr>
          <w:b/>
          <w:bCs/>
        </w:rPr>
      </w:pPr>
      <w:r>
        <w:lastRenderedPageBreak/>
        <w:t xml:space="preserve">The upregulation of genes associated with the lysosomal death and NLRP3 pathway seen in </w:t>
      </w:r>
      <w:r>
        <w:rPr>
          <w:b/>
          <w:bCs/>
        </w:rPr>
        <w:t xml:space="preserve">Figure </w:t>
      </w:r>
      <w:r w:rsidR="0045228C">
        <w:rPr>
          <w:b/>
          <w:bCs/>
        </w:rPr>
        <w:t>19</w:t>
      </w:r>
      <w:r>
        <w:rPr>
          <w:b/>
          <w:bCs/>
        </w:rPr>
        <w:t xml:space="preserve"> </w:t>
      </w:r>
      <w:r>
        <w:t>prompted further analysis. Genes directly associated with the NLRP3 pathway were gather</w:t>
      </w:r>
      <w:r w:rsidR="00932046">
        <w:t>ed</w:t>
      </w:r>
      <w:r>
        <w:t xml:space="preserve"> and the bulk RNA sequencing data investigated for trends within the gene expression. The list of genes was compiled through literature research and NIH database gene search “</w:t>
      </w:r>
      <w:r w:rsidRPr="00552335">
        <w:t>NLRP3 inflammasomes pathway</w:t>
      </w:r>
      <w:r>
        <w:t>”</w:t>
      </w:r>
      <w:r w:rsidRPr="00552335">
        <w:t xml:space="preserve"> AND "Mus musculus</w:t>
      </w:r>
      <w:r>
        <w:t xml:space="preserve">” </w:t>
      </w:r>
      <w:r w:rsidR="007D2D3C">
        <w:fldChar w:fldCharType="begin"/>
      </w:r>
      <w:r w:rsidR="007D5DBF">
        <w:instrText xml:space="preserve"> ADDIN ZOTERO_ITEM CSL_CITATION {"citationID":"ucinK2nD","properties":{"formattedCitation":"[62]","plainCitation":"[62]","noteIndex":0},"citationItems":[{"id":1683,"uris":["http://zotero.org/users/13277427/items/4DY675GE"],"itemData":{"id":1683,"type":"webpage","title":"(NLRP3 inflammasomes pathway) AND \"Mus musculus\"[porgn] AND (alive[pro - Gene - NCBI","URL":"https://www.ncbi.nlm.nih.gov/gene?term=(NLRP3+inflammasomes+pathway)+AND+%22Mus+musculus%22%5Bporgn%5D+AND+(alive%5Bprop%5D)&amp;cmd=DetailsSearch&amp;log$=activity","accessed":{"date-parts":[["2024",4,3]]}}}],"schema":"https://github.com/citation-style-language/schema/raw/master/csl-citation.json"} </w:instrText>
      </w:r>
      <w:r w:rsidR="007D2D3C">
        <w:fldChar w:fldCharType="separate"/>
      </w:r>
      <w:r w:rsidR="007D5DBF">
        <w:rPr>
          <w:noProof/>
        </w:rPr>
        <w:t>[62]</w:t>
      </w:r>
      <w:r w:rsidR="007D2D3C">
        <w:fldChar w:fldCharType="end"/>
      </w:r>
      <w:r w:rsidR="007D2D3C">
        <w:t xml:space="preserve">. Results of this investigation can be seen below in </w:t>
      </w:r>
      <w:r w:rsidR="007D2D3C">
        <w:rPr>
          <w:b/>
          <w:bCs/>
        </w:rPr>
        <w:t>Figure 2</w:t>
      </w:r>
      <w:r w:rsidR="0045228C">
        <w:rPr>
          <w:b/>
          <w:bCs/>
        </w:rPr>
        <w:t>0</w:t>
      </w:r>
      <w:r w:rsidR="007D2D3C">
        <w:rPr>
          <w:b/>
          <w:bCs/>
        </w:rPr>
        <w:t xml:space="preserve">. </w:t>
      </w:r>
    </w:p>
    <w:p w14:paraId="1E1C0A8B" w14:textId="77777777" w:rsidR="006A7E10" w:rsidRDefault="006A7E10" w:rsidP="00C473C1">
      <w:pPr>
        <w:ind w:firstLine="720"/>
      </w:pPr>
    </w:p>
    <w:p w14:paraId="5FB83BA4" w14:textId="18B636E0" w:rsidR="00304DBD" w:rsidRDefault="00304DBD" w:rsidP="002A1987">
      <w:pPr>
        <w:ind w:firstLine="720"/>
        <w:jc w:val="center"/>
      </w:pPr>
      <w:r>
        <w:rPr>
          <w:noProof/>
        </w:rPr>
        <w:drawing>
          <wp:inline distT="0" distB="0" distL="0" distR="0" wp14:anchorId="2163EC4B" wp14:editId="7535D9AB">
            <wp:extent cx="4931062" cy="5752905"/>
            <wp:effectExtent l="0" t="0" r="0" b="0"/>
            <wp:docPr id="204817976"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17976" name="Picture 1" descr="A screenshot of a computer screen&#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948021" cy="5772691"/>
                    </a:xfrm>
                    <a:prstGeom prst="rect">
                      <a:avLst/>
                    </a:prstGeom>
                  </pic:spPr>
                </pic:pic>
              </a:graphicData>
            </a:graphic>
          </wp:inline>
        </w:drawing>
      </w:r>
    </w:p>
    <w:p w14:paraId="01017E85" w14:textId="5A66AF95" w:rsidR="002B676D" w:rsidRPr="009A2E21" w:rsidRDefault="00304DBD" w:rsidP="009A2E21">
      <w:pPr>
        <w:pStyle w:val="Caption"/>
        <w:jc w:val="both"/>
        <w:rPr>
          <w:i w:val="0"/>
          <w:iCs w:val="0"/>
          <w:color w:val="000000" w:themeColor="text1"/>
          <w:sz w:val="20"/>
          <w:szCs w:val="20"/>
        </w:rPr>
      </w:pPr>
      <w:bookmarkStart w:id="57" w:name="_Toc165201239"/>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20</w:t>
      </w:r>
      <w:r w:rsidRPr="009A2E21">
        <w:rPr>
          <w:b/>
          <w:bCs/>
          <w:i w:val="0"/>
          <w:iCs w:val="0"/>
          <w:color w:val="000000" w:themeColor="text1"/>
          <w:sz w:val="20"/>
          <w:szCs w:val="20"/>
        </w:rPr>
        <w:fldChar w:fldCharType="end"/>
      </w:r>
      <w:r w:rsidRPr="009A2E21">
        <w:rPr>
          <w:i w:val="0"/>
          <w:iCs w:val="0"/>
          <w:color w:val="000000" w:themeColor="text1"/>
          <w:sz w:val="20"/>
          <w:szCs w:val="20"/>
        </w:rPr>
        <w:t xml:space="preserve">: </w:t>
      </w:r>
      <w:r w:rsidR="009A2E21" w:rsidRPr="009A2E21">
        <w:rPr>
          <w:b/>
          <w:bCs/>
          <w:i w:val="0"/>
          <w:iCs w:val="0"/>
          <w:color w:val="000000" w:themeColor="text1"/>
          <w:sz w:val="20"/>
          <w:szCs w:val="20"/>
        </w:rPr>
        <w:t>NLRP3 pathway heatmapping</w:t>
      </w:r>
      <w:r w:rsidR="009A2E21" w:rsidRPr="009A2E21">
        <w:rPr>
          <w:i w:val="0"/>
          <w:iCs w:val="0"/>
          <w:color w:val="000000" w:themeColor="text1"/>
          <w:sz w:val="20"/>
          <w:szCs w:val="20"/>
        </w:rPr>
        <w:t xml:space="preserve">. </w:t>
      </w:r>
      <w:r w:rsidRPr="009A2E21">
        <w:rPr>
          <w:i w:val="0"/>
          <w:iCs w:val="0"/>
          <w:color w:val="000000" w:themeColor="text1"/>
          <w:sz w:val="20"/>
          <w:szCs w:val="20"/>
        </w:rPr>
        <w:t xml:space="preserve">Heatmap illustrating </w:t>
      </w:r>
      <w:r w:rsidR="000617A2" w:rsidRPr="009A2E21">
        <w:rPr>
          <w:i w:val="0"/>
          <w:iCs w:val="0"/>
          <w:color w:val="000000" w:themeColor="text1"/>
          <w:sz w:val="20"/>
          <w:szCs w:val="20"/>
        </w:rPr>
        <w:t xml:space="preserve">genes known to be associated with the NLRP3 pathway. </w:t>
      </w:r>
      <w:r w:rsidR="002B676D" w:rsidRPr="009A2E21">
        <w:rPr>
          <w:i w:val="0"/>
          <w:iCs w:val="0"/>
          <w:color w:val="000000" w:themeColor="text1"/>
          <w:sz w:val="20"/>
          <w:szCs w:val="20"/>
        </w:rPr>
        <w:t>The data presented includes both STING knockout (KO) and wild type (WT) genotype groups with conditions of unstimulated (</w:t>
      </w:r>
      <w:proofErr w:type="spellStart"/>
      <w:r w:rsidR="002B676D" w:rsidRPr="009A2E21">
        <w:rPr>
          <w:i w:val="0"/>
          <w:iCs w:val="0"/>
          <w:color w:val="000000" w:themeColor="text1"/>
          <w:sz w:val="20"/>
          <w:szCs w:val="20"/>
        </w:rPr>
        <w:t>unstim</w:t>
      </w:r>
      <w:proofErr w:type="spellEnd"/>
      <w:r w:rsidR="002B676D" w:rsidRPr="009A2E21">
        <w:rPr>
          <w:i w:val="0"/>
          <w:iCs w:val="0"/>
          <w:color w:val="000000" w:themeColor="text1"/>
          <w:sz w:val="20"/>
          <w:szCs w:val="20"/>
        </w:rPr>
        <w:t>) and GC stimulated (GC). The expression levels of this genes can be seen with dark red illustrating upregulation and dark blue illustrating downregulation.</w:t>
      </w:r>
      <w:bookmarkEnd w:id="57"/>
      <w:r w:rsidR="002B676D" w:rsidRPr="009A2E21">
        <w:rPr>
          <w:i w:val="0"/>
          <w:iCs w:val="0"/>
          <w:color w:val="000000" w:themeColor="text1"/>
          <w:sz w:val="20"/>
          <w:szCs w:val="20"/>
        </w:rPr>
        <w:t xml:space="preserve"> </w:t>
      </w:r>
    </w:p>
    <w:p w14:paraId="0E90392C" w14:textId="315F6D43" w:rsidR="00304DBD" w:rsidRPr="00304DBD" w:rsidRDefault="00304DBD" w:rsidP="00304DBD">
      <w:pPr>
        <w:pStyle w:val="Caption"/>
        <w:rPr>
          <w:i w:val="0"/>
          <w:iCs w:val="0"/>
          <w:color w:val="000000" w:themeColor="text1"/>
          <w:sz w:val="24"/>
          <w:szCs w:val="24"/>
        </w:rPr>
      </w:pPr>
    </w:p>
    <w:p w14:paraId="304C31F6" w14:textId="77777777" w:rsidR="009B7F75" w:rsidRDefault="0041556C" w:rsidP="00CB3D21">
      <w:pPr>
        <w:pStyle w:val="Heading2"/>
      </w:pPr>
      <w:bookmarkStart w:id="58" w:name="_Toc165293369"/>
      <w:r>
        <w:lastRenderedPageBreak/>
        <w:t xml:space="preserve">5.5. </w:t>
      </w:r>
      <w:r w:rsidR="00BD541C">
        <w:t>Key Gene Discussion</w:t>
      </w:r>
      <w:bookmarkEnd w:id="58"/>
      <w:r w:rsidR="00BD541C">
        <w:t xml:space="preserve"> </w:t>
      </w:r>
    </w:p>
    <w:p w14:paraId="76257C30" w14:textId="120A0A57" w:rsidR="009B7F75" w:rsidRDefault="009B7F75" w:rsidP="009B7F75">
      <w:pPr>
        <w:ind w:firstLine="720"/>
      </w:pPr>
      <w:r>
        <w:t xml:space="preserve">In </w:t>
      </w:r>
      <w:r w:rsidRPr="009F7C38">
        <w:rPr>
          <w:b/>
          <w:bCs/>
        </w:rPr>
        <w:t xml:space="preserve">Figure </w:t>
      </w:r>
      <w:r w:rsidR="0045228C">
        <w:rPr>
          <w:b/>
          <w:bCs/>
        </w:rPr>
        <w:t>19</w:t>
      </w:r>
      <w:r>
        <w:t xml:space="preserve">, genes associated with “lysosomal activity” and “cell death” were presented. Panel B shows further analysis, isolating the genes that correlate to STING pathway activity. These genes are associated with cell death and are only upregulated in the presence of STING pathway activation. Among the listed genes in Figure 21 (B), caspase 8 is upregulated. Caspase </w:t>
      </w:r>
      <w:r w:rsidR="009F7C38">
        <w:t xml:space="preserve">8 </w:t>
      </w:r>
      <w:r>
        <w:t xml:space="preserve">is known to be upregulated in STING-mediated apoptosis and </w:t>
      </w:r>
      <w:proofErr w:type="spellStart"/>
      <w:r w:rsidR="003D3029" w:rsidRPr="003D3029">
        <w:t>pyroptosis</w:t>
      </w:r>
      <w:proofErr w:type="spellEnd"/>
      <w:r w:rsidR="003D3029" w:rsidRPr="003D3029">
        <w:t xml:space="preserve"> </w:t>
      </w:r>
      <w:r>
        <w:t xml:space="preserve">but downregulated in STING 1 necroptosis </w:t>
      </w:r>
      <w:r>
        <w:fldChar w:fldCharType="begin"/>
      </w:r>
      <w:r w:rsidR="007D5DBF">
        <w:instrText xml:space="preserve"> ADDIN ZOTERO_ITEM CSL_CITATION {"citationID":"djPOh3SM","properties":{"formattedCitation":"[63]","plainCitation":"[63]","noteIndex":0},"citationItems":[{"id":1479,"uris":["http://zotero.org/users/13277427/items/AWMC86LJ"],"itemData":{"id":1479,"type":"article-journal","abstract":"Cell death and immune response are at the core of life. In past decades, the endoplasmic reticulum (ER) protein STING1 (also known as STING or TMEM173) was found to play a fundamental role in the production of type I interferons (IFNs) and pro-inflammatory cytokines in response to DNA derived from invading microbial pathogens or damaged hosts by activating multiple transcription factors. In addition to this well-known function in infection, inflammation, and immunity, emerging evidence suggests that the STING1-dependent signaling network is implicated in health and disease by regulating autophagic degradation or various cell death modalities (e.g., apoptosis, necroptosis, pyroptosis, ferroptosis, mitotic cell death, and immunogenic cell death [ICD]). Here, we outline the latest advances in our understanding of the regulating mechanisms and signaling pathways of STING1 in autophagy and cell death, which may shed light on new targets for therapeutic interventions.","container-title":"Signal Transduction and Targeted Therapy","DOI":"10.1038/s41392-021-00613-4","ISSN":"2059-3635","issue":"1","journalAbbreviation":"Sig Transduct Target Ther","language":"en","license":"2021 The Author(s)","note":"publisher: Nature Publishing Group","page":"1-13","source":"www.nature.com","title":"The STING1 network regulates autophagy and cell death","volume":"6","author":[{"family":"Zhang","given":"Ruoxi"},{"family":"Kang","given":"Rui"},{"family":"Tang","given":"Daolin"}],"issued":{"date-parts":[["2021",6,2]]}}}],"schema":"https://github.com/citation-style-language/schema/raw/master/csl-citation.json"} </w:instrText>
      </w:r>
      <w:r>
        <w:fldChar w:fldCharType="separate"/>
      </w:r>
      <w:r w:rsidR="007D5DBF">
        <w:rPr>
          <w:noProof/>
        </w:rPr>
        <w:t>[63]</w:t>
      </w:r>
      <w:r>
        <w:fldChar w:fldCharType="end"/>
      </w:r>
      <w:r>
        <w:t>. Once Caspase</w:t>
      </w:r>
      <w:r w:rsidR="009F7C38">
        <w:t>s</w:t>
      </w:r>
      <w:r>
        <w:t xml:space="preserve"> 8 and 10 are activated</w:t>
      </w:r>
      <w:r w:rsidR="00276533">
        <w:t>,</w:t>
      </w:r>
      <w:r>
        <w:t xml:space="preserve"> they trigger the caspase activation cascade which mediates programmed apoptotic death </w:t>
      </w:r>
      <w:r>
        <w:fldChar w:fldCharType="begin"/>
      </w:r>
      <w:r w:rsidR="007D5DBF">
        <w:instrText xml:space="preserve"> ADDIN ZOTERO_ITEM CSL_CITATION {"citationID":"3cwcWSGn","properties":{"formattedCitation":"[64]","plainCitation":"[64]","noteIndex":0},"citationItems":[{"id":1481,"uris":["http://zotero.org/users/13277427/items/RWUSIL6Z"],"itemData":{"id":1481,"type":"article-journal","abstract":"Cell death is a fundamental physiological process in all living organisms. Its roles extend from embryonic development, organ maintenance, and aging to the coordination of immune responses and autoimmunity. In recent years, our understanding of the mechanisms orchestrating cellular death and its consequences on immunity and homeostasis has increased substantially. Different modalities of what has become known as ‘programmed cell death’ have been described, and some key players in these processes have been identified. We have learned more about the intricacies that fine tune the activity of common players and ultimately shape the different types of cell death. These studies have highlighted the complex mechanisms tipping the balance between different cell fates. Here, we summarize the latest discoveries in the three most well understood modalities of cell death, namely, apoptosis, necroptosis, and pyroptosis, highlighting common and unique pathways and their effect on the surrounding cells and the organism as a whole.","container-title":"Cellular &amp; Molecular Immunology","DOI":"10.1038/s41423-020-00630-3","ISSN":"2042-0226","issue":"5","journalAbbreviation":"Cell Mol Immunol","language":"en","license":"2021 The Author(s)","note":"publisher: Nature Publishing Group","page":"1106-1121","source":"www.nature.com","title":"Necroptosis, pyroptosis and apoptosis: an intricate game of cell death","title-short":"Necroptosis, pyroptosis and apoptosis","volume":"18","author":[{"family":"Bertheloot","given":"Damien"},{"family":"Latz","given":"Eicke"},{"family":"Franklin","given":"Bernardo S."}],"issued":{"date-parts":[["2021",5]]}}}],"schema":"https://github.com/citation-style-language/schema/raw/master/csl-citation.json"} </w:instrText>
      </w:r>
      <w:r>
        <w:fldChar w:fldCharType="separate"/>
      </w:r>
      <w:r w:rsidR="007D5DBF">
        <w:rPr>
          <w:noProof/>
        </w:rPr>
        <w:t>[64]</w:t>
      </w:r>
      <w:r>
        <w:fldChar w:fldCharType="end"/>
      </w:r>
      <w:r>
        <w:t xml:space="preserve">. Cui et al. found that in macrophages, the infection </w:t>
      </w:r>
      <w:r w:rsidR="007F2C7A">
        <w:t>by</w:t>
      </w:r>
      <w:r>
        <w:t xml:space="preserve"> </w:t>
      </w:r>
      <w:r w:rsidRPr="00172EA6">
        <w:rPr>
          <w:i/>
          <w:iCs/>
        </w:rPr>
        <w:t xml:space="preserve">Mycobacterium </w:t>
      </w:r>
      <w:proofErr w:type="spellStart"/>
      <w:r w:rsidRPr="00172EA6">
        <w:rPr>
          <w:i/>
          <w:iCs/>
        </w:rPr>
        <w:t>bovis</w:t>
      </w:r>
      <w:proofErr w:type="spellEnd"/>
      <w:r w:rsidRPr="00172EA6">
        <w:t> (</w:t>
      </w:r>
      <w:r w:rsidRPr="00172EA6">
        <w:rPr>
          <w:i/>
          <w:iCs/>
        </w:rPr>
        <w:t xml:space="preserve">M. </w:t>
      </w:r>
      <w:proofErr w:type="spellStart"/>
      <w:r w:rsidRPr="00172EA6">
        <w:rPr>
          <w:i/>
          <w:iCs/>
        </w:rPr>
        <w:t>bovis</w:t>
      </w:r>
      <w:proofErr w:type="spellEnd"/>
      <w:r w:rsidRPr="00172EA6">
        <w:t xml:space="preserve">) </w:t>
      </w:r>
      <w:r>
        <w:t xml:space="preserve">activated the </w:t>
      </w:r>
      <w:r w:rsidRPr="00172EA6">
        <w:t>STING-TBK1-IRF3 </w:t>
      </w:r>
      <w:r>
        <w:t xml:space="preserve">pathway resulting in apoptosis following interactions with </w:t>
      </w:r>
      <w:proofErr w:type="spellStart"/>
      <w:r w:rsidRPr="00172EA6">
        <w:t>Bax</w:t>
      </w:r>
      <w:proofErr w:type="spellEnd"/>
      <w:r w:rsidRPr="00172EA6">
        <w:t xml:space="preserve"> and caspase-8/caspase-3</w:t>
      </w:r>
      <w:r>
        <w:t xml:space="preserve"> </w:t>
      </w:r>
      <w:r>
        <w:fldChar w:fldCharType="begin"/>
      </w:r>
      <w:r w:rsidR="007D5DBF">
        <w:instrText xml:space="preserve"> ADDIN ZOTERO_ITEM CSL_CITATION {"citationID":"dwqW5CEL","properties":{"formattedCitation":"[65]","plainCitation":"[65]","noteIndex":0},"citationItems":[{"id":1483,"uris":["http://zotero.org/users/13277427/items/MNA8D67Z"],"itemData":{"id":1483,"type":"article-journal","container-title":"Frontiers in Cellular and Infection Microbiology","DOI":"10.3389/fcimb.2016.00182","ISSN":"2235-2988","journalAbbreviation":"Front. Cell. Infect. Microbiol.","source":"DOI.org (Crossref)","title":"Mycobacterium bovis Induces Endoplasmic Reticulum Stress Mediated-Apoptosis by Activating IRF3 in a Murine Macrophage Cell Line","URL":"http://journal.frontiersin.org/article/10.3389/fcimb.2016.00182/full","volume":"6","author":[{"family":"Cui","given":"Yongyong"},{"family":"Zhao","given":"Deming"},{"family":"Sreevatsan","given":"Srinand"},{"family":"Liu","given":"Chunfa"},{"family":"Yang","given":"Wei"},{"family":"Song","given":"Zhiqi"},{"family":"Yang","given":"Lifeng"},{"family":"Barrow","given":"Paul"},{"family":"Zhou","given":"Xiangmei"}],"accessed":{"date-parts":[["2024",3,12]]},"issued":{"date-parts":[["2016",12,12]]}}}],"schema":"https://github.com/citation-style-language/schema/raw/master/csl-citation.json"} </w:instrText>
      </w:r>
      <w:r>
        <w:fldChar w:fldCharType="separate"/>
      </w:r>
      <w:r w:rsidR="007D5DBF">
        <w:rPr>
          <w:noProof/>
        </w:rPr>
        <w:t>[65]</w:t>
      </w:r>
      <w:r>
        <w:fldChar w:fldCharType="end"/>
      </w:r>
      <w:r>
        <w:t xml:space="preserve">. It is also related to GSDMD cleavage, a key step in the NLRP3 pathway in STING1 </w:t>
      </w:r>
      <w:proofErr w:type="spellStart"/>
      <w:r>
        <w:t>pyroptosis</w:t>
      </w:r>
      <w:proofErr w:type="spellEnd"/>
      <w:r>
        <w:t xml:space="preserve"> </w:t>
      </w:r>
      <w:r>
        <w:fldChar w:fldCharType="begin"/>
      </w:r>
      <w:r w:rsidR="007D5DBF">
        <w:instrText xml:space="preserve"> ADDIN ZOTERO_ITEM CSL_CITATION {"citationID":"r1LWKiU4","properties":{"formattedCitation":"[63, p. 1]","plainCitation":"[63, p. 1]","noteIndex":0},"citationItems":[{"id":1479,"uris":["http://zotero.org/users/13277427/items/AWMC86LJ"],"itemData":{"id":1479,"type":"article-journal","abstract":"Cell death and immune response are at the core of life. In past decades, the endoplasmic reticulum (ER) protein STING1 (also known as STING or TMEM173) was found to play a fundamental role in the production of type I interferons (IFNs) and pro-inflammatory cytokines in response to DNA derived from invading microbial pathogens or damaged hosts by activating multiple transcription factors. In addition to this well-known function in infection, inflammation, and immunity, emerging evidence suggests that the STING1-dependent signaling network is implicated in health and disease by regulating autophagic degradation or various cell death modalities (e.g., apoptosis, necroptosis, pyroptosis, ferroptosis, mitotic cell death, and immunogenic cell death [ICD]). Here, we outline the latest advances in our understanding of the regulating mechanisms and signaling pathways of STING1 in autophagy and cell death, which may shed light on new targets for therapeutic interventions.","container-title":"Signal Transduction and Targeted Therapy","DOI":"10.1038/s41392-021-00613-4","ISSN":"2059-3635","issue":"1","journalAbbreviation":"Sig Transduct Target Ther","language":"en","license":"2021 The Author(s)","note":"publisher: Nature Publishing Group","page":"1-13","source":"www.nature.com","title":"The STING1 network regulates autophagy and cell death","volume":"6","author":[{"family":"Zhang","given":"Ruoxi"},{"family":"Kang","given":"Rui"},{"family":"Tang","given":"Daolin"}],"issued":{"date-parts":[["2021",6,2]]}},"locator":"1"}],"schema":"https://github.com/citation-style-language/schema/raw/master/csl-citation.json"} </w:instrText>
      </w:r>
      <w:r>
        <w:fldChar w:fldCharType="separate"/>
      </w:r>
      <w:r w:rsidR="007D5DBF">
        <w:rPr>
          <w:noProof/>
        </w:rPr>
        <w:t>[63, p. 1]</w:t>
      </w:r>
      <w:r>
        <w:fldChar w:fldCharType="end"/>
      </w:r>
      <w:r>
        <w:t xml:space="preserve">. When STING engages the lysosomal death program it is known to engage NLRP3 </w:t>
      </w:r>
      <w:r>
        <w:fldChar w:fldCharType="begin"/>
      </w:r>
      <w:r w:rsidR="007D5DBF">
        <w:instrText xml:space="preserve"> ADDIN ZOTERO_ITEM CSL_CITATION {"citationID":"rJsXaXju","properties":{"formattedCitation":"[66]","plainCitation":"[66]","noteIndex":0},"citationItems":[{"id":1485,"uris":["http://zotero.org/users/13277427/items/VBYHQQFL"],"itemData":{"id":1485,"type":"article-journal","abstract":"Detection of cytosolic DNA constitutes a central event in the context of numerous infectious and sterile inflammatory conditions. Recent studies have uncovered a bipartite mode of cytosolic DNA recognition, in which the cGAS-STING axis triggers antiviral immunity, whereas AIM2 triggers inflammasome activation. Here, we show that AIM2 is dispensable for DNA-mediated inflammasome activation in human myeloid cells. Instead, detection of cytosolic DNA by the cGAS-STING axis induces a cell death program initiating potassium efflux upstream of NLRP3. Forward genetics identified regulators of lysosomal trafficking to modulate this cell death program, and subsequent studies revealed that activated STING traffics to the lysosome, where it triggers membrane permeabilization and thus lysosomal cell death (LCD). Importantly, the cGAS-STING-NLRP3 pathway constitutes the default inflammasome response during viral and bacterial infections in human myeloid cells. We conclude that targeting the cGAS-STING-LCD-NLRP3 pathway will ameliorate pathology in inflammatory conditions that are associated with cytosolic DNA sensing.","container-title":"Cell","DOI":"10.1016/j.cell.2017.09.039","ISSN":"0092-8674","issue":"5","journalAbbreviation":"Cell","page":"1110-1124.e18","source":"ScienceDirect","title":"The DNA Inflammasome in Human Myeloid Cells Is Initiated by a STING-Cell Death Program Upstream of NLRP3","volume":"171","author":[{"family":"Gaidt","given":"Moritz M."},{"family":"Ebert","given":"Thomas S."},{"family":"Chauhan","given":"Dhruv"},{"family":"Ramshorn","given":"Katharina"},{"family":"Pinci","given":"Francesca"},{"family":"Zuber","given":"Sarah"},{"family":"O’Duill","given":"Fionan"},{"family":"Schmid-Burgk","given":"Jonathan L."},{"family":"Hoss","given":"Florian"},{"family":"Buhmann","given":"Raymund"},{"family":"Wittmann","given":"Georg"},{"family":"Latz","given":"Eicke"},{"family":"Subklewe","given":"Marion"},{"family":"Hornung","given":"Veit"}],"issued":{"date-parts":[["2017",11,16]]}}}],"schema":"https://github.com/citation-style-language/schema/raw/master/csl-citation.json"} </w:instrText>
      </w:r>
      <w:r>
        <w:fldChar w:fldCharType="separate"/>
      </w:r>
      <w:r w:rsidR="007D5DBF">
        <w:rPr>
          <w:noProof/>
        </w:rPr>
        <w:t>[66]</w:t>
      </w:r>
      <w:r>
        <w:fldChar w:fldCharType="end"/>
      </w:r>
      <w:r>
        <w:t>. Caspase 8 is an indicator of this pathway activation. Additionally, Cathepsin B (</w:t>
      </w:r>
      <w:proofErr w:type="spellStart"/>
      <w:r>
        <w:t>Ctsb</w:t>
      </w:r>
      <w:proofErr w:type="spellEnd"/>
      <w:r>
        <w:t>), Cathepsin s (</w:t>
      </w:r>
      <w:proofErr w:type="spellStart"/>
      <w:r>
        <w:t>Ctss</w:t>
      </w:r>
      <w:proofErr w:type="spellEnd"/>
      <w:r>
        <w:t>), Cathepsin G (</w:t>
      </w:r>
      <w:proofErr w:type="spellStart"/>
      <w:r>
        <w:t>Ctsg</w:t>
      </w:r>
      <w:proofErr w:type="spellEnd"/>
      <w:r>
        <w:t>), and T</w:t>
      </w:r>
      <w:r w:rsidRPr="00464718">
        <w:t xml:space="preserve">ransient receptor potential </w:t>
      </w:r>
      <w:proofErr w:type="spellStart"/>
      <w:r w:rsidRPr="00464718">
        <w:t>melastatin</w:t>
      </w:r>
      <w:proofErr w:type="spellEnd"/>
      <w:r w:rsidRPr="00464718">
        <w:t xml:space="preserve"> 2</w:t>
      </w:r>
      <w:r>
        <w:t xml:space="preserve"> (</w:t>
      </w:r>
      <w:proofErr w:type="spellStart"/>
      <w:r>
        <w:t>Trpm</w:t>
      </w:r>
      <w:proofErr w:type="spellEnd"/>
      <w:r>
        <w:t xml:space="preserve"> 2) (all connected to the NLRP3 pathway) are upregulated. </w:t>
      </w:r>
      <w:proofErr w:type="spellStart"/>
      <w:r w:rsidRPr="00172EA6">
        <w:t>Ctsb</w:t>
      </w:r>
      <w:proofErr w:type="spellEnd"/>
      <w:r>
        <w:t xml:space="preserve"> is a bidirectional regulator that balances lysosome biogenesis and autophagy. This balance determines if the NLRP3 pathway is activated </w:t>
      </w:r>
      <w:r>
        <w:fldChar w:fldCharType="begin"/>
      </w:r>
      <w:r w:rsidR="007D5DBF">
        <w:instrText xml:space="preserve"> ADDIN ZOTERO_ITEM CSL_CITATION {"citationID":"bWROdjL9","properties":{"formattedCitation":"[67]","plainCitation":"[67]","noteIndex":0},"citationItems":[{"id":1496,"uris":["http://zotero.org/users/13277427/items/RIKYPIEG"],"itemData":{"id":1496,"type":"article-journal","abstract":"Inflammasomes are a group of multiprotein signaling complexes located in the cytoplasm. Several inflammasomes have been identified, including NLRP1, NLRP2, NLRP3, AIM2, and NLRC4. Among them, NLRP3 was investigated in most detail, and it was reported that it can be activated by many different stimuli. Increased NLRP3 protein expression and inflammasome assembly lead to caspase-1 mediated maturation and release of IL-1β, which triggers inflammation and pyroptosis. The activation of the NLRP3 inflammasome has been widely reported in studies of tumors and neurological diseases, but relatively few studies on the cardiovascular system. Ventricular remodeling (VR) is an important factor contributing to heart failure (HF) after myocardial infarction (MI). Consequently, delaying VR is of great significance for improving heart function. Studies have shown that the NLRP3 inflammasome plays an essential role in the process of VR. Here, we reviewed the latest studies on the activation pathway of the NLRP3 inflammasome, focusing on the effects of the NLRP3 inflammasome in primary cells during VR, and finally discuss future research directions in this field.","container-title":"Journal of Cellular Physiology","DOI":"10.1002/jcp.30285","ISSN":"1097-4652","issue":"8","language":"en","license":"© 2021 Wiley Periodicals LLC","note":"_eprint: https://onlinelibrary.wiley.com/doi/pdf/10.1002/jcp.30285","page":"5547-5563","source":"Wiley Online Library","title":"The NLRP3 inflammasome: Multiple activation pathways and its role in primary cells during ventricular remodeling","title-short":"The NLRP3 inflammasome","volume":"236","author":[{"family":"Yan","given":"Zhipeng"},{"family":"Qi","given":"Zhongwen"},{"family":"Yang","given":"Xiaoya"},{"family":"Ji","given":"Nan"},{"family":"Wang","given":"Yueyao"},{"family":"Shi","given":"Qi"},{"family":"Li","given":"Meng"},{"family":"Zhang","given":"Junping"},{"family":"Zhu","given":"Yaping"}],"issued":{"date-parts":[["2021"]]}}}],"schema":"https://github.com/citation-style-language/schema/raw/master/csl-citation.json"} </w:instrText>
      </w:r>
      <w:r>
        <w:fldChar w:fldCharType="separate"/>
      </w:r>
      <w:r w:rsidR="007D5DBF">
        <w:rPr>
          <w:noProof/>
        </w:rPr>
        <w:t>[67]</w:t>
      </w:r>
      <w:r>
        <w:fldChar w:fldCharType="end"/>
      </w:r>
      <w:r>
        <w:t>. Additionally</w:t>
      </w:r>
      <w:r w:rsidR="006D2F1F">
        <w:t xml:space="preserve">, </w:t>
      </w:r>
      <w:proofErr w:type="spellStart"/>
      <w:r w:rsidR="006D2F1F">
        <w:t>Ctsb</w:t>
      </w:r>
      <w:proofErr w:type="spellEnd"/>
      <w:r>
        <w:t xml:space="preserve"> is thought to be </w:t>
      </w:r>
      <w:r w:rsidR="006D2F1F">
        <w:t xml:space="preserve">the </w:t>
      </w:r>
      <w:r>
        <w:t xml:space="preserve">main active protease after lysosomal membrane permeabilization, making it </w:t>
      </w:r>
      <w:r w:rsidR="006D2F1F">
        <w:t>an</w:t>
      </w:r>
      <w:r>
        <w:t xml:space="preserve"> integral molecule within the lysosomal cell death pathway </w:t>
      </w:r>
      <w:r>
        <w:fldChar w:fldCharType="begin"/>
      </w:r>
      <w:r w:rsidR="007D5DBF">
        <w:instrText xml:space="preserve"> ADDIN ZOTERO_ITEM CSL_CITATION {"citationID":"B4EtvCNT","properties":{"formattedCitation":"[68]","plainCitation":"[68]","noteIndex":0},"citationItems":[{"id":1562,"uris":["http://zotero.org/users/13277427/items/7497MC8U"],"itemData":{"id":1562,"type":"article-journal","abstract":"Lysosomes are acidic organelles that contain hydrolytic enzymes that mediate the intracellular degradation of macromolecules. Damage of these organelles often results in lysosomal membrane permeabilization (LMP) and the release into the cytoplasm of the soluble lysosomal contents, which include proteolytic enzymes of the cathepsin family. This, in turn, activates several intracellular cascades that promote a type of regulated cell death, called lysosome-dependent cell death (LDCD). LDCD can be inhibited by pharmacological or genetic blockade of cathepsin activity, or by protecting the lysosomal membrane, thereby stabilizing the organelle. Lysosomal alterations are common in cancer cells and may increase the sensitivity of these cells to agents that promote LMP. In this review, we summarize recent findings supporting the use of LDCD as a means of killing cancer cells.","container-title":"Biochemical Society Transactions","DOI":"10.1042/BST20170130","ISSN":"0300-5127, 1470-8752","issue":"2","language":"en","page":"207-215","source":"DOI.org (Crossref)","title":"Lysosomal membrane permeabilization as a cell death mechanism in cancer cells","volume":"46","author":[{"family":"Serrano-Puebla","given":"Ana"},{"family":"Boya","given":"Patricia"}],"issued":{"date-parts":[["2018",4,17]]}}}],"schema":"https://github.com/citation-style-language/schema/raw/master/csl-citation.json"} </w:instrText>
      </w:r>
      <w:r>
        <w:fldChar w:fldCharType="separate"/>
      </w:r>
      <w:r w:rsidR="007D5DBF">
        <w:rPr>
          <w:noProof/>
        </w:rPr>
        <w:t>[68]</w:t>
      </w:r>
      <w:r>
        <w:fldChar w:fldCharType="end"/>
      </w:r>
      <w:r>
        <w:t xml:space="preserve">. </w:t>
      </w:r>
      <w:proofErr w:type="spellStart"/>
      <w:r>
        <w:t>Ctss</w:t>
      </w:r>
      <w:proofErr w:type="spellEnd"/>
      <w:r>
        <w:t xml:space="preserve"> is often upregulated within the NLRP3 pathway as can compensate for the loss of other cathepsins </w:t>
      </w:r>
      <w:r>
        <w:fldChar w:fldCharType="begin"/>
      </w:r>
      <w:r w:rsidR="007D5DBF">
        <w:instrText xml:space="preserve"> ADDIN ZOTERO_ITEM CSL_CITATION {"citationID":"wWwSdi4n","properties":{"formattedCitation":"[67]","plainCitation":"[67]","noteIndex":0},"citationItems":[{"id":1496,"uris":["http://zotero.org/users/13277427/items/RIKYPIEG"],"itemData":{"id":1496,"type":"article-journal","abstract":"Inflammasomes are a group of multiprotein signaling complexes located in the cytoplasm. Several inflammasomes have been identified, including NLRP1, NLRP2, NLRP3, AIM2, and NLRC4. Among them, NLRP3 was investigated in most detail, and it was reported that it can be activated by many different stimuli. Increased NLRP3 protein expression and inflammasome assembly lead to caspase-1 mediated maturation and release of IL-1β, which triggers inflammation and pyroptosis. The activation of the NLRP3 inflammasome has been widely reported in studies of tumors and neurological diseases, but relatively few studies on the cardiovascular system. Ventricular remodeling (VR) is an important factor contributing to heart failure (HF) after myocardial infarction (MI). Consequently, delaying VR is of great significance for improving heart function. Studies have shown that the NLRP3 inflammasome plays an essential role in the process of VR. Here, we reviewed the latest studies on the activation pathway of the NLRP3 inflammasome, focusing on the effects of the NLRP3 inflammasome in primary cells during VR, and finally discuss future research directions in this field.","container-title":"Journal of Cellular Physiology","DOI":"10.1002/jcp.30285","ISSN":"1097-4652","issue":"8","language":"en","license":"© 2021 Wiley Periodicals LLC","note":"_eprint: https://onlinelibrary.wiley.com/doi/pdf/10.1002/jcp.30285","page":"5547-5563","source":"Wiley Online Library","title":"The NLRP3 inflammasome: Multiple activation pathways and its role in primary cells during ventricular remodeling","title-short":"The NLRP3 inflammasome","volume":"236","author":[{"family":"Yan","given":"Zhipeng"},{"family":"Qi","given":"Zhongwen"},{"family":"Yang","given":"Xiaoya"},{"family":"Ji","given":"Nan"},{"family":"Wang","given":"Yueyao"},{"family":"Shi","given":"Qi"},{"family":"Li","given":"Meng"},{"family":"Zhang","given":"Junping"},{"family":"Zhu","given":"Yaping"}],"issued":{"date-parts":[["2021"]]}}}],"schema":"https://github.com/citation-style-language/schema/raw/master/csl-citation.json"} </w:instrText>
      </w:r>
      <w:r>
        <w:fldChar w:fldCharType="separate"/>
      </w:r>
      <w:r w:rsidR="007D5DBF">
        <w:rPr>
          <w:noProof/>
        </w:rPr>
        <w:t>[67]</w:t>
      </w:r>
      <w:r>
        <w:fldChar w:fldCharType="end"/>
      </w:r>
      <w:r>
        <w:t xml:space="preserve">. </w:t>
      </w:r>
      <w:proofErr w:type="spellStart"/>
      <w:r>
        <w:t>Ctsg</w:t>
      </w:r>
      <w:proofErr w:type="spellEnd"/>
      <w:r>
        <w:t xml:space="preserve"> is connected to cellular </w:t>
      </w:r>
      <w:proofErr w:type="spellStart"/>
      <w:r>
        <w:t>pyroptosis</w:t>
      </w:r>
      <w:proofErr w:type="spellEnd"/>
      <w:r>
        <w:t xml:space="preserve"> and has been linked to the development of </w:t>
      </w:r>
      <w:proofErr w:type="spellStart"/>
      <w:r>
        <w:t>pyroptosis</w:t>
      </w:r>
      <w:proofErr w:type="spellEnd"/>
      <w:r>
        <w:t xml:space="preserve"> through </w:t>
      </w:r>
      <w:r w:rsidRPr="0077213B">
        <w:t>cleaving GSDMD into GSDMD-N</w:t>
      </w:r>
      <w:r>
        <w:t xml:space="preserve"> (active players in the NLRP3 pathway) </w:t>
      </w:r>
      <w:r>
        <w:fldChar w:fldCharType="begin"/>
      </w:r>
      <w:r w:rsidR="007D5DBF">
        <w:instrText xml:space="preserve"> ADDIN ZOTERO_ITEM CSL_CITATION {"citationID":"l8TSgjlm","properties":{"formattedCitation":"[69]","plainCitation":"[69]","noteIndex":0},"citationItems":[{"id":1565,"uris":["http://zotero.org/users/13277427/items/Y8UDTSDJ"],"itemData":{"id":1565,"type":"article-journal","abstract":"Abstract\n            In eukaryotic cells, lysosomes are digestive centers where biological macromolecules are degraded by phagocytosis and autophagy, thereby maintaining cellular self-renewal capacity and energy supply. Lysosom</w:instrText>
      </w:r>
      <w:r w:rsidR="007D5DBF">
        <w:rPr>
          <w:rFonts w:hint="eastAsia"/>
        </w:rPr>
        <w:instrText>es also serve as signaling hubs to monitor the intracellular levels of nutrients and energy by acting as platforms for the assembly of multiple signaling pathways, such as mammalian target of rapamycin complex 1 (mTORC1) and adenosine 5</w:instrText>
      </w:r>
      <w:r w:rsidR="007D5DBF">
        <w:rPr>
          <w:rFonts w:hint="eastAsia"/>
        </w:rPr>
        <w:instrText>′</w:instrText>
      </w:r>
      <w:r w:rsidR="007D5DBF">
        <w:rPr>
          <w:rFonts w:hint="eastAsia"/>
        </w:rPr>
        <w:instrText>-monophosphate (AM</w:instrText>
      </w:r>
      <w:r w:rsidR="007D5DBF">
        <w:instrText xml:space="preserve">P)-activated protein kinase (AMPK). The structural integrity and functional balance of lysosomes are essential for cell function and viability. In fact, lysosomal damage not only disrupts intracellular clearance but also results in the leakage of multiple contents, which pose great threats to the cell by triggering cell death pathways, including apoptosis, necroptosis, pyroptosis, and ferroptosis. The collapse of lysosomal homeostasis is reportedly critical for the pathogenesis and development of various diseases, such as tumors, neurodegenerative diseases, cardiovascular diseases, and inflammatory diseases. Lysosomal quality control (LQC), comprising lysosomal repair, lysophagy, and lysosomal regeneration, is rapidly initiated in response to lysosomal damage to maintain lysosomal structural integrity and functional homeostasis. LQC may be a novel but pivotal target for disease treatment because of its indispensable role in maintaining intracellular homeostasis and cell fate.","container-title":"Cell Death &amp; Disease","DOI":"10.1038/s41419-020-03032-5","ISSN":"2041-4889","issue":"9","journalAbbreviation":"Cell Death Dis","language":"en","page":"817","source":"DOI.org (Crossref)","title":"Lysosomal quality control of cell fate: a novel therapeutic target for human diseases","title-short":"Lysosomal quality control of cell fate","volume":"11","author":[{"family":"Zhu","given":"Sheng-yu"},{"family":"Yao","given":"Ren-qi"},{"family":"Li","given":"Yu-xuan"},{"family":"Zhao","given":"Peng-yue"},{"family":"Ren","given":"Chao"},{"family":"Du","given":"Xiao-hui"},{"family":"Yao","given":"Yong-ming"}],"issued":{"date-parts":[["2020",9,30]]}}}],"schema":"https://github.com/citation-style-language/schema/raw/master/csl-citation.json"} </w:instrText>
      </w:r>
      <w:r>
        <w:fldChar w:fldCharType="separate"/>
      </w:r>
      <w:r w:rsidR="007D5DBF">
        <w:rPr>
          <w:noProof/>
        </w:rPr>
        <w:t>[69]</w:t>
      </w:r>
      <w:r>
        <w:fldChar w:fldCharType="end"/>
      </w:r>
      <w:r>
        <w:t xml:space="preserve">. </w:t>
      </w:r>
      <w:proofErr w:type="spellStart"/>
      <w:r>
        <w:t>Trpm</w:t>
      </w:r>
      <w:proofErr w:type="spellEnd"/>
      <w:r>
        <w:t xml:space="preserve"> 2 is linked to pathways that activate NLRP3 </w:t>
      </w:r>
      <w:r>
        <w:fldChar w:fldCharType="begin"/>
      </w:r>
      <w:r w:rsidR="007D5DBF">
        <w:instrText xml:space="preserve"> ADDIN ZOTERO_ITEM CSL_CITATION {"citationID":"S883W8C4","properties":{"formattedCitation":"[70]","plainCitation":"[70]","noteIndex":0},"citationItems":[{"id":1574,"uris":["http://zotero.org/users/13277427/items/W95LMPCB"],"itemData":{"id":1574,"type":"article-journal","abstract":"The NOD-, LRR-, and pyrin domain-containing protein 3 (NLRP3) inflammasome is a multiprotein complex involved in the release of mature interleukin-1β and triggering of pyroptosis, which is of paramount importance in a variety of physiological and pathological conditions. Over the past decade, considerable advances have been made in elucidating the molecular mechanisms underlying the priming/licensing (Signal 1) and assembly (Signal 2) involved in NLRP3 inflammasome activation. Recently, a number of studies have indicated that the priming/licensing step is regulated by complicated mechanisms at both the transcriptional and posttranslational levels. In this review, we discuss the current understanding of the mechanistic details of NLRP3 inflammasome activation with a particular emphasis on protein-protein interactions, posttranslational modifications, and spatiotemporal regulation of the NLRP3 inflammasome machinery. We also present a detailed summary of multiple positive and/or negative regulatory pathways providing upstream signals that culminate in NLRP3 inflammasome complex assembly. A better understanding of the molecular mechanisms underlying NLRP3 inflammasome activation will provide opportunities for the development of methods for the prevention and treatment of NLRP3 inflammasome-related diseases.","container-title":"Cellular &amp; Molecular Immunology","DOI":"10.1038/s41423-021-00670-3","ISSN":"2042-0226","issue":"5","journalAbbreviation":"Cell Mol Immunol","language":"en","license":"2021 The Author(s)","note":"publisher: Nature Publishing Group","page":"1141-1160","source":"www.nature.com","title":"An update on the regulatory mechanisms of NLRP3 inflammasome activation","volume":"18","author":[{"family":"Paik","given":"Seungwha"},{"family":"Kim","given":"Jin Kyung"},{"family":"Silwal","given":"Prashanta"},{"family":"Sasakawa","given":"Chihiro"},{"family":"Jo","given":"Eun-Kyeong"}],"issued":{"date-parts":[["2021",5]]}}}],"schema":"https://github.com/citation-style-language/schema/raw/master/csl-citation.json"} </w:instrText>
      </w:r>
      <w:r>
        <w:fldChar w:fldCharType="separate"/>
      </w:r>
      <w:r w:rsidR="007D5DBF">
        <w:rPr>
          <w:noProof/>
        </w:rPr>
        <w:t>[70]</w:t>
      </w:r>
      <w:r>
        <w:fldChar w:fldCharType="end"/>
      </w:r>
      <w:r>
        <w:t>. Tseng et al., demonstrate</w:t>
      </w:r>
      <w:r w:rsidR="00913293">
        <w:t>d</w:t>
      </w:r>
      <w:r>
        <w:t xml:space="preserve"> in their study that </w:t>
      </w:r>
      <w:proofErr w:type="spellStart"/>
      <w:r>
        <w:t>Trpm</w:t>
      </w:r>
      <w:proofErr w:type="spellEnd"/>
      <w:r>
        <w:t xml:space="preserve"> 2</w:t>
      </w:r>
      <w:r w:rsidR="00913293">
        <w:t>-</w:t>
      </w:r>
      <w:r>
        <w:t>mediated Ca</w:t>
      </w:r>
      <w:r>
        <w:rPr>
          <w:vertAlign w:val="superscript"/>
        </w:rPr>
        <w:t>2+</w:t>
      </w:r>
      <w:r>
        <w:t xml:space="preserve"> influx directly leads to </w:t>
      </w:r>
      <w:r w:rsidRPr="005058F8">
        <w:t>NLRP3 inflammasome activation</w:t>
      </w:r>
      <w:r>
        <w:t>.</w:t>
      </w:r>
    </w:p>
    <w:p w14:paraId="171A24C4" w14:textId="6207CBF9" w:rsidR="009B7F75" w:rsidRDefault="009B7F75" w:rsidP="009B7F75">
      <w:pPr>
        <w:ind w:firstLine="720"/>
      </w:pPr>
      <w:r>
        <w:t>Many genes associated with lysosomal cell death are being upregulated. Proteinase 3 (Prtn3) is being upregulated and correlates with the STING pathway. This gene is coded during lytic cell death mechanisms (</w:t>
      </w:r>
      <w:proofErr w:type="spellStart"/>
      <w:r>
        <w:t>pyroptosis</w:t>
      </w:r>
      <w:proofErr w:type="spellEnd"/>
      <w:r>
        <w:t xml:space="preserve">) </w:t>
      </w:r>
      <w:r>
        <w:fldChar w:fldCharType="begin"/>
      </w:r>
      <w:r w:rsidR="007D5DBF">
        <w:instrText xml:space="preserve"> ADDIN ZOTERO_ITEM CSL_CITATION {"citationID":"MfHO3CLz","properties":{"formattedCitation":"[71]","plainCitation":"[71]","noteIndex":0},"citationItems":[{"id":1501,"uris":["http://zotero.org/users/13277427/items/76QVS9RM"],"itemData":{"id":1501,"type":"article-journal","abstract":"Neutrophil-centred inflammation and flawed clearance of neutrophils cause and exuberate multiple pathological conditions. These most abundant leukocytes exhibit very high daily turnover in steady-state and stress conditions. Various armours including oxidative burst, NETs and proteases function against pathogens, but also dispose neutrophils to spawn pro-inflammatory responses. Neutrophils undergo death through different pathways upon ageing, infection, executing the intruder's elimination. These include non-lytic apoptosis and other lytic deaths including NETosis, necroptosis and pyroptosis with distinct disintegration of the cellular membrane. This causes release and presence of different intracellular cytotoxic, and tissue-damaging content as cell remnants in the extracellular environment. The apoptotic cells and apoptotic bodies get cleared with non-inflammatory outcomes, while lytic deaths associated remnants including histones and cell-free DNA cause pro-inflammatory responses. Indeed, the enhanced frequencies of neutrophil-associated proteases, cell-free DNA and autoantibodies in diverse pathologies including sepsis, asthma, lupus and rheumatoid arthritis, imply disturbed neutrophil resolution programmes in inflammatory and autoimmune diseases. Thus, the clearance mechanisms of neutrophils and associated remnants are vital for therapeutics. Though studies focused on clearance mechanisms of senescent or apoptotic neutrophils so far generated a good understanding of the same, clearance of neutrophils undergoing distinct lytic deaths, including NETs, are being the subjects of intense investigations. Here, in this review, we are providing the current updates in the clearance mechanisms of apoptotic neutrophils and focusing on not so well-defined recognition, uptake and degradation of neutrophils undergoing lytic death and associated remnants that may provide new therapeutic approaches in inflammation and autoimmunity.","container-title":"Immunology","DOI":"10.1111/imm.13423","ISSN":"1365-2567","issue":"1","language":"en","license":"© 2021 John Wiley &amp; Sons Ltd","note":"_eprint: https://onlinelibrary.wiley.com/doi/pdf/10.1111/imm.13423","page":"22-43","source":"Wiley Online Library","title":"Neutrophil and remnant clearance in immunity and inflammation","volume":"165","author":[{"family":"Singhal","given":"Apurwa"},{"family":"Kumar","given":"Sachin"}],"issued":{"date-parts":[["2022"]]}}}],"schema":"https://github.com/citation-style-language/schema/raw/master/csl-citation.json"} </w:instrText>
      </w:r>
      <w:r>
        <w:fldChar w:fldCharType="separate"/>
      </w:r>
      <w:r w:rsidR="007D5DBF">
        <w:rPr>
          <w:noProof/>
        </w:rPr>
        <w:t>[71]</w:t>
      </w:r>
      <w:r>
        <w:fldChar w:fldCharType="end"/>
      </w:r>
      <w:r>
        <w:t xml:space="preserve">. It has known associations with lysosomal-dependent cell death </w:t>
      </w:r>
      <w:r>
        <w:fldChar w:fldCharType="begin"/>
      </w:r>
      <w:r w:rsidR="007D5DBF">
        <w:instrText xml:space="preserve"> ADDIN ZOTERO_ITEM CSL_CITATION {"citationID":"JXyKyJUQ","properties":{"formattedCitation":"[68]","plainCitation":"[68]","noteIndex":0},"citationItems":[{"id":1562,"uris":["http://zotero.org/users/13277427/items/7497MC8U"],"itemData":{"id":1562,"type":"article-journal","abstract":"Lysosomes are acidic organelles that contain hydrolytic enzymes that mediate the intracellular degradation of macromolecules. Damage of these organelles often results in lysosomal membrane permeabilization (LMP) and the release into the cytoplasm of the soluble lysosomal contents, which include proteolytic enzymes of the cathepsin family. This, in turn, activates several intracellular cascades that promote a type of regulated cell death, called lysosome-dependent cell death (LDCD). LDCD can be inhibited by pharmacological or genetic blockade of cathepsin activity, or by protecting the lysosomal membrane, thereby stabilizing the organelle. Lysosomal alterations are common in cancer cells and may increase the sensitivity of these cells to agents that promote LMP. In this review, we summarize recent findings supporting the use of LDCD as a means of killing cancer cells.","container-title":"Biochemical Society Transactions","DOI":"10.1042/BST20170130","ISSN":"0300-5127, 1470-8752","issue":"2","language":"en","page":"207-215","source":"DOI.org (Crossref)","title":"Lysosomal membrane permeabilization as a cell death mechanism in cancer cells","volume":"46","author":[{"family":"Serrano-Puebla","given":"Ana"},{"family":"Boya","given":"Patricia"}],"issued":{"date-parts":[["2018",4,17]]}}}],"schema":"https://github.com/citation-style-language/schema/raw/master/csl-citation.json"} </w:instrText>
      </w:r>
      <w:r>
        <w:fldChar w:fldCharType="separate"/>
      </w:r>
      <w:r w:rsidR="007D5DBF">
        <w:rPr>
          <w:noProof/>
        </w:rPr>
        <w:t>[68]</w:t>
      </w:r>
      <w:r>
        <w:fldChar w:fldCharType="end"/>
      </w:r>
      <w:r>
        <w:t xml:space="preserve">. Additionally </w:t>
      </w:r>
      <w:r w:rsidRPr="0037752F">
        <w:t>Calpain1 (</w:t>
      </w:r>
      <w:proofErr w:type="spellStart"/>
      <w:r w:rsidRPr="0037752F">
        <w:t>Capn</w:t>
      </w:r>
      <w:proofErr w:type="spellEnd"/>
      <w:r w:rsidRPr="0037752F">
        <w:t xml:space="preserve"> 1)</w:t>
      </w:r>
      <w:r>
        <w:t xml:space="preserve"> is being upregulated by GC stimulation</w:t>
      </w:r>
      <w:r w:rsidR="00913293">
        <w:t xml:space="preserve"> and</w:t>
      </w:r>
      <w:r>
        <w:t xml:space="preserve"> h</w:t>
      </w:r>
      <w:r w:rsidRPr="0037752F">
        <w:t xml:space="preserve">as been more recently connected to the release of cathepsins and lysosomal membrane permeabilization </w:t>
      </w:r>
      <w:r w:rsidRPr="0037752F">
        <w:fldChar w:fldCharType="begin"/>
      </w:r>
      <w:r w:rsidR="007D5DBF">
        <w:instrText xml:space="preserve"> ADDIN ZOTERO_ITEM CSL_CITATION {"citationID":"f55sBIqh","properties":{"formattedCitation":"[72]","plainCitation":"[72]","noteIndex":0},"citationItems":[{"id":1576,"uris":["http://zotero.org/users/13277427/items/892VHBFL"],"itemData":{"id":1576,"type":"article-journal","abstract":"Download figureDownload PowerPoint","container-title":"Stroke","DOI":"10.1161/STROKEAHA.120.032749","issue":"5","note":"publisher: American Heart Association","page":"1809-1821","source":"ahajournals.org (Atypon)","title":"CAPN1 (Calpain1)-Mediated Impairment of Autophagic Flux Contributes to Cerebral Ischemia-Induced Neuronal Damage","volume":"52","author":[{"family":"Liu","given":"Yueyang"},{"family":"Che","given":"Xiaohang"},{"family":"Zhang","given":"Haotian"},{"family":"Fu","given":"Xiaoxiao"},{"family":"Yao","given":"Yang"},{"family":"Luo","given":"Jun"},{"family":"Yang","given":"Yu"},{"family":"Cai","given":"Ruiping"},{"family":"Yu","given":"Xiangnan"},{"family":"Yang","given":"Jingyu"},{"family":"Zhou","given":"Ming-Sheng"}],"issued":{"date-parts":[["2021",5]]}}}],"schema":"https://github.com/citation-style-language/schema/raw/master/csl-citation.json"} </w:instrText>
      </w:r>
      <w:r w:rsidRPr="0037752F">
        <w:fldChar w:fldCharType="separate"/>
      </w:r>
      <w:r w:rsidR="007D5DBF">
        <w:t>[72]</w:t>
      </w:r>
      <w:r w:rsidRPr="0037752F">
        <w:fldChar w:fldCharType="end"/>
      </w:r>
      <w:r w:rsidRPr="0037752F">
        <w:t xml:space="preserve">. </w:t>
      </w:r>
    </w:p>
    <w:p w14:paraId="61013942" w14:textId="68846146" w:rsidR="009B7F75" w:rsidRDefault="009B7F75" w:rsidP="009B7F75">
      <w:pPr>
        <w:ind w:firstLine="720"/>
      </w:pPr>
      <w:r>
        <w:t xml:space="preserve">In terms of overall lysosomal activity several key genes are being upregulated. The first to note is Atp6v0c which </w:t>
      </w:r>
      <w:r w:rsidR="00AC793D">
        <w:t>is</w:t>
      </w:r>
      <w:r>
        <w:t xml:space="preserve"> involved in the encoding for </w:t>
      </w:r>
      <w:r w:rsidRPr="00C658CC">
        <w:t>ATPase (V-ATPase)</w:t>
      </w:r>
      <w:r>
        <w:t xml:space="preserve"> </w:t>
      </w:r>
      <w:r>
        <w:fldChar w:fldCharType="begin"/>
      </w:r>
      <w:r w:rsidR="007D5DBF">
        <w:instrText xml:space="preserve"> ADDIN ZOTERO_ITEM CSL_CITATION {"citationID":"UcbhAV0d","properties":{"formattedCitation":"[73]","plainCitation":"[73]","noteIndex":0},"citationItems":[{"id":1557,"uris":["http://zotero.org/users/13277427/items/Y6XRJJPI"],"itemData":{"id":1557,"type":"webpage","title":"ATP6V0C ATPase H+ transporting V0 subunit c [Homo sapiens (human)] - Gene - NCBI","URL":"https://www.ncbi.nlm.nih.gov/gene/527","accessed":{"date-parts":[["2024",3,14]]}}}],"schema":"https://github.com/citation-style-language/schema/raw/master/csl-citation.json"} </w:instrText>
      </w:r>
      <w:r>
        <w:fldChar w:fldCharType="separate"/>
      </w:r>
      <w:r w:rsidR="007D5DBF">
        <w:rPr>
          <w:noProof/>
        </w:rPr>
        <w:t>[73]</w:t>
      </w:r>
      <w:r>
        <w:fldChar w:fldCharType="end"/>
      </w:r>
      <w:r>
        <w:t xml:space="preserve">. This enzyme is known to be involved in both STING degradation, cell organelle acidification </w:t>
      </w:r>
      <w:r>
        <w:fldChar w:fldCharType="begin"/>
      </w:r>
      <w:r w:rsidR="007D5DBF">
        <w:instrText xml:space="preserve"> ADDIN ZOTERO_ITEM CSL_CITATION {"citationID":"utBbLpgG","properties":{"formattedCitation":"[74]","plainCitation":"[74]","noteIndex":0},"citationItems":[{"id":1494,"uris":["http://zotero.org/users/13277427/items/JMZCZ9FN"],"itemData":{"id":1494,"type":"webpage","title":"ESCRT-dependent STING degradation inhibits steady-state and cGAMP-induced signalling | Nature Communications","URL":"https://www.nature.com/articles/s41467-023-36132-9","accessed":{"date-parts":[["2024",3,12]]}}}],"schema":"https://github.com/citation-style-language/schema/raw/master/csl-citation.json"} </w:instrText>
      </w:r>
      <w:r>
        <w:fldChar w:fldCharType="separate"/>
      </w:r>
      <w:r w:rsidR="007D5DBF">
        <w:rPr>
          <w:noProof/>
        </w:rPr>
        <w:t>[74]</w:t>
      </w:r>
      <w:r>
        <w:fldChar w:fldCharType="end"/>
      </w:r>
      <w:r>
        <w:t>. Cathepsin Z (</w:t>
      </w:r>
      <w:proofErr w:type="spellStart"/>
      <w:r>
        <w:t>Ctsz</w:t>
      </w:r>
      <w:proofErr w:type="spellEnd"/>
      <w:r>
        <w:t xml:space="preserve">) is also upregulated; it is a lysosomal cysteine protein that is active in immune defense. Present in activities such as phagocytosis, cell-cell communication, and migration of APCs such as dendritic cells </w:t>
      </w:r>
      <w:r>
        <w:fldChar w:fldCharType="begin"/>
      </w:r>
      <w:r w:rsidR="007D5DBF">
        <w:instrText xml:space="preserve"> ADDIN ZOTERO_ITEM CSL_CITATION {"citationID":"TaG9PYJx","properties":{"formattedCitation":"[75]","plainCitation":"[75]","noteIndex":0},"citationItems":[{"id":1495,"uris":["http://zotero.org/users/13277427/items/RTRX2RWV"],"itemData":{"id":1495,"type":"article-journal","abstract":"Cathepsin Z (CTSZ) is a lysosomal cysteine protease of the papain superfamily. It participates in the host immune defense via phagocytosis, signal transduction, cell-cell communication, proliferation, and migration of immune cells such as monocytes, macrophages, and dendritic cells. In this study, we reported the identification of SmCTSZ, a CTSZ homolog from turbot (Scophthalmus maximus L.). SmCTSZ was 317 residues in length and contains a Pept-C1 domain. In multiple species comparison, SmCTSZ shared 65–93% overall sequence identities with the CTSZ counterparts from human, rat, and several fish species. In the phylogenetic analysis, SmCTSZ showed the closest relationship to Cynoglossus semilaevis. The syntenic analysis revealed the similar neighboring genes of CTSZ across all the selected species, which suggested the synteny encompassing CTSZ region during vertebrate evolution. Subsequently, SmCTSZ was constitutively expressed in various tissues, with the lowest and highest levels in brain and intestine respectively. In addition, SmCTSZ was significantly up-regulated in intestine following both Gram-negative bacteria Vibrio anguillarum, and Gram-positive bacteria Streptococcus iniae immersion challenge. Finally, the rSmCTSZ showed strong binding ability to all the examined microbial ligands, and the agglutination effect to different bacteria. Taken together, these results indicated SmCTSZ could play important roles in mucosal immune response in the event of bacterial infection in teleost. However, the knowledge of CTSZ are still limited in teleost species, further studies should be carried out to better characterize its detailed roles in teleost mucosal immunity.","container-title":"Fish &amp; Shellfish Immunology","DOI":"10.1016/j.fsi.2018.10.046","ISSN":"1050-4648","journalAbbreviation":"Fish &amp; Shellfish Immunology","page":"599-608","source":"ScienceDirect","title":"Characterization, expression profiling and functional characterization of cathepsin Z (CTSZ) in turbot (&lt;i&gt;Scophthalmus maximus&lt;/i&gt; L.)","volume":"84","author":[{"family":"Cai","given":"Xin"},{"family":"Gao","given":"Chengbin"},{"family":"Song","given":"Huanhuan"},{"family":"Yang","given":"Ning"},{"family":"Fu","given":"Qiang"},{"family":"Tan","given":"Fenghua"},{"family":"Li","given":"Chao"}],"issued":{"date-parts":[["2019",1,1]]}}}],"schema":"https://github.com/citation-style-language/schema/raw/master/csl-citation.json"} </w:instrText>
      </w:r>
      <w:r>
        <w:fldChar w:fldCharType="separate"/>
      </w:r>
      <w:r w:rsidR="007D5DBF">
        <w:rPr>
          <w:noProof/>
        </w:rPr>
        <w:t>[75]</w:t>
      </w:r>
      <w:r>
        <w:fldChar w:fldCharType="end"/>
      </w:r>
      <w:r>
        <w:t xml:space="preserve">. Recent studies have linked </w:t>
      </w:r>
      <w:proofErr w:type="spellStart"/>
      <w:r>
        <w:t>Ctsz</w:t>
      </w:r>
      <w:proofErr w:type="spellEnd"/>
      <w:r>
        <w:t xml:space="preserve"> to the NLRP3 pathway, however, the exact pathways still remain unclear </w:t>
      </w:r>
      <w:r>
        <w:fldChar w:fldCharType="begin"/>
      </w:r>
      <w:r w:rsidR="007D5DBF">
        <w:instrText xml:space="preserve"> ADDIN ZOTERO_ITEM CSL_CITATION {"citationID":"u0HtGB84","properties":{"formattedCitation":"[67]","plainCitation":"[67]","noteIndex":0},"citationItems":[{"id":1496,"uris":["http://zotero.org/users/13277427/items/RIKYPIEG"],"itemData":{"id":1496,"type":"article-journal","abstract":"Inflammasomes are a group of multiprotein signaling complexes located in the cytoplasm. Several inflammasomes have been identified, including NLRP1, NLRP2, NLRP3, AIM2, and NLRC4. Among them, NLRP3 was investigated in most detail, and it was reported that it can be activated by many different stimuli. Increased NLRP3 protein expression and inflammasome assembly lead to caspase-1 mediated maturation and release of IL-1β, which triggers inflammation and pyroptosis. The activation of the NLRP3 inflammasome has been widely reported in studies of tumors and neurological diseases, but relatively few studies on the cardiovascular system. Ventricular remodeling (VR) is an important factor contributing to heart failure (HF) after myocardial infarction (MI). Consequently, delaying VR is of great significance for improving heart function. Studies have shown that the NLRP3 inflammasome plays an essential role in the process of VR. Here, we reviewed the latest studies on the activation pathway of the NLRP3 inflammasome, focusing on the effects of the NLRP3 inflammasome in primary cells during VR, and finally discuss future research directions in this field.","container-title":"Journal of Cellular Physiology","DOI":"10.1002/jcp.30285","ISSN":"1097-4652","issue":"8","language":"en","license":"© 2021 Wiley Periodicals LLC","note":"_eprint: https://onlinelibrary.wiley.com/doi/pdf/10.1002/jcp.30285","page":"5547-5563","source":"Wiley Online Library","title":"The NLRP3 inflammasome: Multiple activation pathways and its role in primary cells during ventricular remodeling","title-short":"The NLRP3 inflammasome","volume":"236","author":[{"family":"Yan","given":"Zhipeng"},{"family":"Qi","given":"Zhongwen"},{"family":"Yang","given":"Xiaoya"},{"family":"Ji","given":"Nan"},{"family":"Wang","given":"Yueyao"},{"family":"Shi","given":"Qi"},{"family":"Li","given":"Meng"},{"family":"Zhang","given":"Junping"},{"family":"Zhu","given":"Yaping"}],"issued":{"date-parts":[["2021"]]}}}],"schema":"https://github.com/citation-style-language/schema/raw/master/csl-citation.json"} </w:instrText>
      </w:r>
      <w:r>
        <w:fldChar w:fldCharType="separate"/>
      </w:r>
      <w:r w:rsidR="007D5DBF">
        <w:rPr>
          <w:noProof/>
        </w:rPr>
        <w:t>[67]</w:t>
      </w:r>
      <w:r>
        <w:fldChar w:fldCharType="end"/>
      </w:r>
      <w:r>
        <w:t>. Lysosomal</w:t>
      </w:r>
      <w:r w:rsidR="00071D8D">
        <w:t>-</w:t>
      </w:r>
      <w:r>
        <w:t xml:space="preserve">associated membrane protein 2 (Lamp 2) is unregulated; this protein is associated with membrane formation of the lysosome with recent connections to cell death and autophagy </w:t>
      </w:r>
      <w:r>
        <w:fldChar w:fldCharType="begin"/>
      </w:r>
      <w:r w:rsidR="007D5DBF">
        <w:instrText xml:space="preserve"> ADDIN ZOTERO_ITEM CSL_CITATION {"citationID":"egNxIRUr","properties":{"formattedCitation":"[76]","plainCitation":"[76]","noteIndex":0},"citationItems":[{"id":1567,"uris":["http://zotero.org/users/13277427/items/LFLJ45VB"],"itemData":{"id":1567,"type":"article-journal","abstract":"In LAMP-2–deficient mice autophagic vacuoles accumulate in many tissues, including liver, pancreas, muscle, and heart. Here we extend the phenotype analysis using cultured hepatocytes. In LAMP-2–deficient hepatocytes the half-life of both early and late autophagic vacuoles was prolonged as evaluated by quantitative electron microscopy. However, an endocytic tracer reached the autophagic vacuoles, indicating delivery of endo/lysosomal constituents to autophagic vacuoles. Enzyme activity measurements showed that the trafficking of some lysosomal enzymes to lysosomes was impaired. Immunoprecipitation of metabolically labeled cathepsin D indicated reduced intracellular retention and processing in the knockout cells. The steady-state level of 300-kDa mannose 6-phosphate receptor was slightly lower in LAMP-2–deficient hepatocytes, whereas that of 46-kDa mannose 6-phosphate receptor was decreased to 30% of controls due to a shorter half-life. Less receptor was found in the Golgi region and in vesicles and tubules surrounding multivesicular endosomes, suggesting impaired recycling from endosomes to the Golgi. More receptor was found in autophagic vacuoles, which may explain its shorter half-life. Our data indicate that in hepatocytes LAMP-2 deficiency either directly or indirectly leads to impaired recycling of 46-kDa mannose 6-phosphate receptors and partial mistargeting of a subset of lysosomal enzymes. Autophagic vacuoles may accumulate due to impaired capacity for lysosomal degradation.","container-title":"Molecular Biology of the Cell","DOI":"10.1091/mbc.E02-02-0114","ISSN":"1059-1524","issue":"9","journalAbbreviation":"Mol Biol Cell","note":"PMID: 12221139\nPMCID: PMC124165","page":"3355-3368","source":"PubMed Central","title":"Role of LAMP-2 in Lysosome Biogenesis and Autophagy","volume":"13","author":[{"family":"Eskelinen","given":"Eeva-Liisa"},{"family":"Illert","given":"Anna Lena"},{"family":"Tanaka","given":"Yoshitaka"},{"family":"Schwarzmann","given":"Günter"},{"family":"Blanz","given":"Judith"},{"family":"Figura","given":"Kurt","non-dropping-particle":"von"},{"family":"Saftig","given":"Paul"}],"issued":{"date-parts":[["2002",9]]}}}],"schema":"https://github.com/citation-style-language/schema/raw/master/csl-citation.json"} </w:instrText>
      </w:r>
      <w:r>
        <w:fldChar w:fldCharType="separate"/>
      </w:r>
      <w:r w:rsidR="007D5DBF">
        <w:rPr>
          <w:noProof/>
        </w:rPr>
        <w:t>[76]</w:t>
      </w:r>
      <w:r>
        <w:fldChar w:fldCharType="end"/>
      </w:r>
      <w:r>
        <w:t>. Overall, its upregulation shows an increase in lysosomal activity. Alongside this, lysosomal</w:t>
      </w:r>
      <w:r w:rsidR="00071D8D">
        <w:t>-</w:t>
      </w:r>
      <w:r>
        <w:t xml:space="preserve">associated membrane protein 1 (Lamp 1) is upregulated. Structurally similar to Lamp 2, Lamp 1 is known to be associated with increased lysosomal activity and is linked to the STING pathway during STING trafficking and degradation in the lysosome </w:t>
      </w:r>
      <w:r>
        <w:fldChar w:fldCharType="begin"/>
      </w:r>
      <w:r w:rsidR="007D5DBF">
        <w:instrText xml:space="preserve"> ADDIN ZOTERO_ITEM CSL_CITATION {"citationID":"UOqJVMy3","properties":{"formattedCitation":"[76]","plainCitation":"[76]","noteIndex":0},"citationItems":[{"id":1567,"uris":["http://zotero.org/users/13277427/items/LFLJ45VB"],"itemData":{"id":1567,"type":"article-journal","abstract":"In LAMP-2–deficient mice autophagic vacuoles accumulate in many tissues, including liver, pancreas, muscle, and heart. Here we extend the phenotype analysis using cultured hepatocytes. In LAMP-2–deficient hepatocytes the half-life of both early and late autophagic vacuoles was prolonged as evaluated by quantitative electron microscopy. However, an endocytic tracer reached the autophagic vacuoles, indicating delivery of endo/lysosomal constituents to autophagic vacuoles. Enzyme activity measurements showed that the trafficking of some lysosomal enzymes to lysosomes was impaired. Immunoprecipitation of metabolically labeled cathepsin D indicated reduced intracellular retention and processing in the knockout cells. The steady-state level of 300-kDa mannose 6-phosphate receptor was slightly lower in LAMP-2–deficient hepatocytes, whereas that of 46-kDa mannose 6-phosphate receptor was decreased to 30% of controls due to a shorter half-life. Less receptor was found in the Golgi region and in vesicles and tubules surrounding multivesicular endosomes, suggesting impaired recycling from endosomes to the Golgi. More receptor was found in autophagic vacuoles, which may explain its shorter half-life. Our data indicate that in hepatocytes LAMP-2 deficiency either directly or indirectly leads to impaired recycling of 46-kDa mannose 6-phosphate receptors and partial mistargeting of a subset of lysosomal enzymes. Autophagic vacuoles may accumulate due to impaired capacity for lysosomal degradation.","container-title":"Molecular Biology of the Cell","DOI":"10.1091/mbc.E02-02-0114","ISSN":"1059-1524","issue":"9","journalAbbreviation":"Mol Biol Cell","note":"PMID: 12221139\nPMCID: PMC124165","page":"3355-3368","source":"PubMed Central","title":"Role of LAMP-2 in Lysosome Biogenesis and Autophagy","volume":"13","author":[{"family":"Eskelinen","given":"Eeva-Liisa"},{"family":"Illert","given":"Anna Lena"},{"family":"Tanaka","given":"Yoshitaka"},{"family":"Schwarzmann","given":"Günter"},{"family":"Blanz","given":"Judith"},{"family":"Figura","given":"Kurt","non-dropping-particle":"von"},{"family":"Saftig","given":"Paul"}],"issued":{"date-parts":[["2002",9]]}}}],"schema":"https://github.com/citation-style-language/schema/raw/master/csl-citation.json"} </w:instrText>
      </w:r>
      <w:r>
        <w:fldChar w:fldCharType="separate"/>
      </w:r>
      <w:r w:rsidR="007D5DBF">
        <w:rPr>
          <w:noProof/>
        </w:rPr>
        <w:t>[76]</w:t>
      </w:r>
      <w:r>
        <w:fldChar w:fldCharType="end"/>
      </w:r>
      <w:r>
        <w:t>,</w:t>
      </w:r>
      <w:r>
        <w:fldChar w:fldCharType="begin"/>
      </w:r>
      <w:r w:rsidR="007D5DBF">
        <w:instrText xml:space="preserve"> ADDIN ZOTERO_ITEM CSL_CITATION {"citationID":"R2FtmLeR","properties":{"formattedCitation":"[77]","plainCitation":"[77]","noteIndex":0},"citationItems":[{"id":1572,"uris":["http://zotero.org/users/13277427/items/CQNFE3DZ"],"itemData":{"id":1572,"type":"article-journal","abstract":"Cyclic GMP-AMP synthase (cGAS) monitors dsDNA in the cytosol in response to pathogenic invasion or tissue injury, initiating cGAS-STING signaling cascades that regulate various cellular physiologies, including IFN /cytokine production, autophagy, protein synthesis, metabolism, senescence, and distinct types of cell death. cGAS-STING signaling is crucial for host defense and tissue homeostasis; however, its dysfunction frequently leads to infectious, autoimmune, inflammatory, degenerative, and cancerous diseases. Our knowledge regarding the relationships between cGAS-STING signaling and cell death is rapidly evolving, highlighting their essential roles in pathogenesis and disease progression. Nevertheless, the direct control of cell death by cGAS-STING signaling, rather than IFN/NF-κB-mediated transcriptional regulation, remains relatively unexplored. This review examines the mechanistic interplays between cGAS-STING cascades and apoptosis, necroptosis, pyroptosis, ferroptosis, and autophagic/lysosomal cell death. We will also discuss their pathological implications in human diseases, particularly in autoimmunity, cancer, and organ injury scenarios. We hope that this summary will stimulate discussion for further exploration of the complex life-or-death responses to cellular damage mediated by cGAS-STING signaling.","container-title":"European Journal of Immunology","DOI":"10.1002/eji.202350386","ISSN":"1521-4141","issue":"9","language":"en","license":"© 2023 Wiley-VCH GmbH","note":"_eprint: https://onlinelibrary.wiley.com/doi/pdf/10.1002/eji.202350386","page":"2350386","source":"Wiley Online Library","title":"cGAS-STING signaling in cell death: Mechanisms of action and implications in pathologies","title-short":"cGAS-STING signaling in cell death","volume":"53","author":[{"family":"Xu","given":"Yifan"},{"family":"Chen","given":"Chen"},{"family":"Liao","given":"Zhiyong"},{"family":"Xu","given":"Pinglong"}],"issued":{"date-parts":[["2023"]]}}}],"schema":"https://github.com/citation-style-language/schema/raw/master/csl-citation.json"} </w:instrText>
      </w:r>
      <w:r>
        <w:fldChar w:fldCharType="separate"/>
      </w:r>
      <w:r w:rsidR="007D5DBF">
        <w:rPr>
          <w:noProof/>
        </w:rPr>
        <w:t>[77]</w:t>
      </w:r>
      <w:r>
        <w:fldChar w:fldCharType="end"/>
      </w:r>
      <w:r>
        <w:t xml:space="preserve">. </w:t>
      </w:r>
    </w:p>
    <w:p w14:paraId="65BCA1D4" w14:textId="5F741DF1" w:rsidR="00411066" w:rsidRDefault="009B7F75" w:rsidP="00411066">
      <w:pPr>
        <w:ind w:firstLine="720"/>
      </w:pPr>
      <w:r>
        <w:lastRenderedPageBreak/>
        <w:t xml:space="preserve">In our experiments, the heatmaps in </w:t>
      </w:r>
      <w:r w:rsidRPr="00774184">
        <w:rPr>
          <w:b/>
          <w:bCs/>
        </w:rPr>
        <w:t xml:space="preserve">Figure </w:t>
      </w:r>
      <w:r w:rsidR="0045228C">
        <w:rPr>
          <w:b/>
          <w:bCs/>
        </w:rPr>
        <w:t>19</w:t>
      </w:r>
      <w:r>
        <w:t xml:space="preserve"> show the upregulation of these genes associated with both the STING pathway and lysosomal</w:t>
      </w:r>
      <w:r w:rsidR="008E0D60">
        <w:t>-</w:t>
      </w:r>
      <w:r>
        <w:t xml:space="preserve">induced death is an indicator that GC plays an active role in these pathways. </w:t>
      </w:r>
      <w:r w:rsidR="00411066">
        <w:t xml:space="preserve">Many of these genes are associated with the NLRP3, as previously mentioned, </w:t>
      </w:r>
      <w:r w:rsidR="008E0D60">
        <w:t xml:space="preserve">and </w:t>
      </w:r>
      <w:r w:rsidR="00411066">
        <w:t>ha</w:t>
      </w:r>
      <w:r w:rsidR="008E0D60">
        <w:t>ve</w:t>
      </w:r>
      <w:r w:rsidR="00411066">
        <w:t xml:space="preserve"> been shown to have </w:t>
      </w:r>
      <w:proofErr w:type="gramStart"/>
      <w:r w:rsidR="00411066">
        <w:t>cross</w:t>
      </w:r>
      <w:r w:rsidR="00923C5D">
        <w:t>-</w:t>
      </w:r>
      <w:r w:rsidR="00411066">
        <w:t>talk</w:t>
      </w:r>
      <w:proofErr w:type="gramEnd"/>
      <w:r w:rsidR="00411066">
        <w:t xml:space="preserve"> with the STING pathway. For further analysis, genes associated with the NLRP3 pathway </w:t>
      </w:r>
      <w:r w:rsidR="00923C5D">
        <w:t>were</w:t>
      </w:r>
      <w:r w:rsidR="00411066">
        <w:t xml:space="preserve"> collected and data shown in the heatmap seen in </w:t>
      </w:r>
      <w:r w:rsidR="00411066">
        <w:rPr>
          <w:b/>
          <w:bCs/>
        </w:rPr>
        <w:t>Figure 2</w:t>
      </w:r>
      <w:r w:rsidR="0045228C">
        <w:rPr>
          <w:b/>
          <w:bCs/>
        </w:rPr>
        <w:t>0</w:t>
      </w:r>
      <w:r w:rsidR="00411066">
        <w:t xml:space="preserve">. </w:t>
      </w:r>
    </w:p>
    <w:p w14:paraId="1F4A80B8" w14:textId="45D5451E" w:rsidR="007445DA" w:rsidRDefault="00411066" w:rsidP="00D63894">
      <w:pPr>
        <w:ind w:firstLine="720"/>
      </w:pPr>
      <w:r>
        <w:t xml:space="preserve">Within </w:t>
      </w:r>
      <w:r>
        <w:rPr>
          <w:b/>
          <w:bCs/>
        </w:rPr>
        <w:t>Figure 2</w:t>
      </w:r>
      <w:r w:rsidR="0045228C">
        <w:rPr>
          <w:b/>
          <w:bCs/>
        </w:rPr>
        <w:t>0</w:t>
      </w:r>
      <w:r>
        <w:t xml:space="preserve">, the bottom portion of the heatmap is of particular interest. Within this section an upregulation of genes dependent on the STING pathway and GC stimulation can be seen. These genes include: </w:t>
      </w:r>
      <w:r w:rsidR="00EB2F35">
        <w:t xml:space="preserve">Casp1, </w:t>
      </w:r>
      <w:r>
        <w:t xml:space="preserve">Becn1, </w:t>
      </w:r>
      <w:proofErr w:type="spellStart"/>
      <w:r w:rsidR="00924FC9">
        <w:t>Gsdmd</w:t>
      </w:r>
      <w:proofErr w:type="spellEnd"/>
      <w:r w:rsidR="00924FC9">
        <w:t>, N</w:t>
      </w:r>
      <w:r w:rsidR="00206907">
        <w:t>a</w:t>
      </w:r>
      <w:r w:rsidR="00924FC9">
        <w:t xml:space="preserve">ip5, Casp8, Pstpip1, Plcl1, Muc1, Sugt1, Tnfaip3, Clic4, Nlrp12, Casp4, Pipk1, Panx1. </w:t>
      </w:r>
      <w:r w:rsidR="00B15B71">
        <w:t xml:space="preserve">Genes of key importance to note are Casp1, </w:t>
      </w:r>
      <w:proofErr w:type="spellStart"/>
      <w:r w:rsidR="00B15B71">
        <w:t>Gsdmd</w:t>
      </w:r>
      <w:proofErr w:type="spellEnd"/>
      <w:r w:rsidR="00B15B71">
        <w:t xml:space="preserve">, and Casp8. </w:t>
      </w:r>
      <w:r w:rsidR="00EB2F35">
        <w:t>Caspas</w:t>
      </w:r>
      <w:r w:rsidR="0016370C">
        <w:t>e</w:t>
      </w:r>
      <w:r w:rsidR="00EB2F35">
        <w:t xml:space="preserve">-1 (Casp1) and </w:t>
      </w:r>
      <w:proofErr w:type="spellStart"/>
      <w:r w:rsidR="00EB2F35" w:rsidRPr="00EB2F35">
        <w:t>gasdermin</w:t>
      </w:r>
      <w:proofErr w:type="spellEnd"/>
      <w:r w:rsidR="00EB2F35" w:rsidRPr="00EB2F35">
        <w:t xml:space="preserve"> D</w:t>
      </w:r>
      <w:r w:rsidR="00EB2F35">
        <w:t xml:space="preserve"> (</w:t>
      </w:r>
      <w:proofErr w:type="spellStart"/>
      <w:r w:rsidR="00EB2F35">
        <w:t>Gsdmd</w:t>
      </w:r>
      <w:proofErr w:type="spellEnd"/>
      <w:r w:rsidR="00EB2F35">
        <w:t xml:space="preserve">) are integral to the NLRP3 pathway, with Casp1 serving as the effector within the pathway </w:t>
      </w:r>
      <w:r w:rsidR="00EB2F35">
        <w:fldChar w:fldCharType="begin"/>
      </w:r>
      <w:r w:rsidR="007D5DBF">
        <w:instrText xml:space="preserve"> ADDIN ZOTERO_ITEM CSL_CITATION {"citationID":"ohD4CBYM","properties":{"formattedCitation":"[78]","plainCitation":"[78]","noteIndex":0},"citationItems":[{"id":1679,"uris":["http://zotero.org/users/13277427/items/P48M83WH"],"itemData":{"id":1679,"type":"article-journal","abstract":"&lt;p&gt;The NLRP3 inflammasome is a core component of innate immunity, and dysregulation of NLRP3 inflammasome involves developing autoimmune, metabolic, and neurodegenerative diseases. Potassium efflux has been reported to be essential for NLRP3 inflammasome activation by structurally diverse pathogen-associated molecular patterns (PAMPs) or danger-associated molecular patterns (DAMPs). Thus, the molecular mechanisms underlying potassium efflux to activate NLRP3 inflammasome are under extensive investigation. Here, we review current knowledge about the distinction channels or pore-forming proteins underlying potassium efflux for NLRP3 inflammasome activation with canonical/non-canonical signaling or following caspase-8 induced pyroptosis. Ion channels and pore-forming proteins, including P2X7 receptor, Gasdermin D, pannexin-1, and K2P channels involved present viable therapeutic targets for NLRP3 inflammasome related diseases.&lt;/p&gt;","container-title":"Frontiers in Immunology","DOI":"10.3389/fimmu.2020.609441","ISSN":"1664-3224","journalAbbreviation":"Front. Immunol.","language":"English","note":"publisher: Frontiers","source":"Frontiers","title":"Distinct Molecular Mechanisms Underlying Potassium Efflux for NLRP3 Inflammasome Activation","URL":"https://www.frontiersin.org/journals/immunology/articles/10.3389/fimmu.2020.609441/full","volume":"11","author":[{"family":"Xu","given":"Ziwei"},{"family":"Chen","given":"Zi-mo"},{"family":"Wu","given":"Xiaoyan"},{"family":"Zhang","given":"Linjie"},{"family":"Cao","given":"Ying"},{"family":"Zhou","given":"Pingzheng"}],"accessed":{"date-parts":[["2024",4,3]]},"issued":{"date-parts":[["2020",12,7]]}}}],"schema":"https://github.com/citation-style-language/schema/raw/master/csl-citation.json"} </w:instrText>
      </w:r>
      <w:r w:rsidR="00EB2F35">
        <w:fldChar w:fldCharType="separate"/>
      </w:r>
      <w:r w:rsidR="007D5DBF">
        <w:rPr>
          <w:noProof/>
        </w:rPr>
        <w:t>[78]</w:t>
      </w:r>
      <w:r w:rsidR="00EB2F35">
        <w:fldChar w:fldCharType="end"/>
      </w:r>
      <w:r w:rsidR="00EB2F35">
        <w:t xml:space="preserve">. </w:t>
      </w:r>
      <w:r w:rsidR="007445DA">
        <w:t xml:space="preserve">When the </w:t>
      </w:r>
      <w:r w:rsidR="00EB2F35">
        <w:t xml:space="preserve">NLRP3 </w:t>
      </w:r>
      <w:r w:rsidR="007445DA">
        <w:t xml:space="preserve">is activated, Casp1 activates and cleaves </w:t>
      </w:r>
      <w:proofErr w:type="spellStart"/>
      <w:r w:rsidR="007445DA">
        <w:t>Gsdmd</w:t>
      </w:r>
      <w:proofErr w:type="spellEnd"/>
      <w:r w:rsidR="007445DA">
        <w:t xml:space="preserve"> which forms pores in the cell membrane leading to </w:t>
      </w:r>
      <w:proofErr w:type="spellStart"/>
      <w:r w:rsidR="007445DA" w:rsidRPr="007445DA">
        <w:t>pyroptosis</w:t>
      </w:r>
      <w:proofErr w:type="spellEnd"/>
      <w:r w:rsidR="007445DA">
        <w:t xml:space="preserve"> </w:t>
      </w:r>
      <w:r w:rsidR="007445DA">
        <w:fldChar w:fldCharType="begin"/>
      </w:r>
      <w:r w:rsidR="007D5DBF">
        <w:instrText xml:space="preserve"> ADDIN ZOTERO_ITEM CSL_CITATION {"citationID":"P8kTExiV","properties":{"formattedCitation":"[70]","plainCitation":"[70]","noteIndex":0},"citationItems":[{"id":1574,"uris":["http://zotero.org/users/13277427/items/W95LMPCB"],"itemData":{"id":1574,"type":"article-journal","abstract":"The NOD-, LRR-, and pyrin domain-containing protein 3 (NLRP3) inflammasome is a multiprotein complex involved in the release of mature interleukin-1β and triggering of pyroptosis, which is of paramount importance in a variety of physiological and pathological conditions. Over the past decade, considerable advances have been made in elucidating the molecular mechanisms underlying the priming/licensing (Signal 1) and assembly (Signal 2) involved in NLRP3 inflammasome activation. Recently, a number of studies have indicated that the priming/licensing step is regulated by complicated mechanisms at both the transcriptional and posttranslational levels. In this review, we discuss the current understanding of the mechanistic details of NLRP3 inflammasome activation with a particular emphasis on protein-protein interactions, posttranslational modifications, and spatiotemporal regulation of the NLRP3 inflammasome machinery. We also present a detailed summary of multiple positive and/or negative regulatory pathways providing upstream signals that culminate in NLRP3 inflammasome complex assembly. A better understanding of the molecular mechanisms underlying NLRP3 inflammasome activation will provide opportunities for the development of methods for the prevention and treatment of NLRP3 inflammasome-related diseases.","container-title":"Cellular &amp; Molecular Immunology","DOI":"10.1038/s41423-021-00670-3","ISSN":"2042-0226","issue":"5","journalAbbreviation":"Cell Mol Immunol","language":"en","license":"2021 The Author(s)","note":"publisher: Nature Publishing Group","page":"1141-1160","source":"www.nature.com","title":"An update on the regulatory mechanisms of NLRP3 inflammasome activation","volume":"18","author":[{"family":"Paik","given":"Seungwha"},{"family":"Kim","given":"Jin Kyung"},{"family":"Silwal","given":"Prashanta"},{"family":"Sasakawa","given":"Chihiro"},{"family":"Jo","given":"Eun-Kyeong"}],"issued":{"date-parts":[["2021",5]]}}}],"schema":"https://github.com/citation-style-language/schema/raw/master/csl-citation.json"} </w:instrText>
      </w:r>
      <w:r w:rsidR="007445DA">
        <w:fldChar w:fldCharType="separate"/>
      </w:r>
      <w:r w:rsidR="007D5DBF">
        <w:rPr>
          <w:noProof/>
        </w:rPr>
        <w:t>[70]</w:t>
      </w:r>
      <w:r w:rsidR="007445DA">
        <w:fldChar w:fldCharType="end"/>
      </w:r>
      <w:r w:rsidR="007445DA">
        <w:t xml:space="preserve">. Casp8, as previously mentioned, is an active player in the STING pathway. Additionally, Casp8 is known to play a pivotal role in the activation of </w:t>
      </w:r>
      <w:r w:rsidR="007445DA" w:rsidRPr="0072629C">
        <w:t>inflammasomes</w:t>
      </w:r>
      <w:r w:rsidR="007445DA">
        <w:t xml:space="preserve"> within the TLRP3 pathway </w:t>
      </w:r>
      <w:r w:rsidR="007445DA">
        <w:fldChar w:fldCharType="begin"/>
      </w:r>
      <w:r w:rsidR="007D5DBF">
        <w:instrText xml:space="preserve"> ADDIN ZOTERO_ITEM CSL_CITATION {"citationID":"kPtCLqjj","properties":{"formattedCitation":"[79]","plainCitation":"[79]","noteIndex":0},"citationItems":[{"id":1685,"uris":["http://zotero.org/users/13277427/items/JLJH7KGP"],"itemData":{"id":1685,"type":"article-journal","abstract":"Acute glaucoma is a sight-threatening condition characterized by a sudden and substantial rise in intraocular pressure (IOP) and consequent retinal ganglion cell (RGC) death. Angle closure glaucoma, a common cause of glaucoma in Asia that affects tens of millions of people worldwide, often presents acutely with loss of vision, pain, and high IOP. Even when medical and surgical treatment is available, acute angle closure glaucoma can cause permanent and irreversible loss of vision. Toll-like receptor 4 (TLR4) signaling has been previously implicated in the pathogenesis of IOP-induced RGC death, although the underlying mechanisms are largely unknown. In the present study, we used an acute IOP elevation/glaucoma model to investigate the underlying mechanism of RGC death. We found that TLR4 leads to increased caspase-8 expression; this elevation increases IL-1β expression and RGC death via a caspase-1–dependent pathway involving Nod-like receptor family, pyrin domain containing 1 (NLRP1)/NLRP3 inflammasomes and a caspase-1–independent pathway. We show that inhibition of caspase-8 activation significantly attenuates RGC death by down-regulating the activation of NLRP1 and NLRP3, thus demonstrating the pivotal role of caspase-8 in the TLR4-mediated activation of inflammasomes. These findings demonstrate collectively a critical role of caspase-8 in transducing TLR4-mediated IL-1β production and RGC death and highlight signal transduction in a caspase-1–dependent NLRP1/NLRP3 inflammasome pathway and a caspase-1–independent pathway in acute glaucoma. These results provide new insight into the pathogenesis of glaucoma and point to a treatment strategy.","container-title":"Proceedings of the National Academy of Sciences","DOI":"10.1073/pnas.1402819111","issue":"30","note":"publisher: Proceedings of the National Academy of Sciences","page":"11181-11186","source":"pnas.org (Atypon)","title":"Caspase-8 promotes NLRP1/NLRP3 inflammasome activation and IL-1β production in acute glaucoma","volume":"111","author":[{"family":"Chi","given":"Wei"},{"family":"Li","given":"Fei"},{"family":"Chen","given":"Hongrui"},{"family":"Wang","given":"Yandong"},{"family":"Zhu","given":"Yingting"},{"family":"Yang","given":"Xuejiao"},{"family":"Zhu","given":"Jie"},{"family":"Wu","given":"Frances"},{"family":"Ouyang","given":"Hong"},{"family":"Ge","given":"Jian"},{"family":"Weinreb","given":"Robert N."},{"family":"Zhang","given":"Kang"},{"family":"Zhuo","given":"Yehong"}],"issued":{"date-parts":[["2014",7,29]]}}}],"schema":"https://github.com/citation-style-language/schema/raw/master/csl-citation.json"} </w:instrText>
      </w:r>
      <w:r w:rsidR="007445DA">
        <w:fldChar w:fldCharType="separate"/>
      </w:r>
      <w:r w:rsidR="007D5DBF">
        <w:rPr>
          <w:noProof/>
        </w:rPr>
        <w:t>[79]</w:t>
      </w:r>
      <w:r w:rsidR="007445DA">
        <w:fldChar w:fldCharType="end"/>
      </w:r>
      <w:r w:rsidR="007445DA">
        <w:t xml:space="preserve">. </w:t>
      </w:r>
    </w:p>
    <w:p w14:paraId="4764C8F4" w14:textId="5E1225D7" w:rsidR="0041556C" w:rsidRPr="00D63894" w:rsidRDefault="00B15B71" w:rsidP="00D63894">
      <w:pPr>
        <w:ind w:firstLine="720"/>
      </w:pPr>
      <w:r>
        <w:t>While the abovementioned genes are integral to the NLRP3 pathway, many other genes contribute to inflammasome activation. Tnfaip3 is shown to he</w:t>
      </w:r>
      <w:r w:rsidR="006E0BC3">
        <w:t>l</w:t>
      </w:r>
      <w:r>
        <w:t xml:space="preserve">p regulate the NLRP3 pathway through its interactions with Tlr4 </w:t>
      </w:r>
      <w:r>
        <w:fldChar w:fldCharType="begin"/>
      </w:r>
      <w:r w:rsidR="007D5DBF">
        <w:instrText xml:space="preserve"> ADDIN ZOTERO_ITEM CSL_CITATION {"citationID":"Y5jDUutw","properties":{"formattedCitation":"[80]","plainCitation":"[80]","noteIndex":0},"citationItems":[{"id":1692,"uris":["http://zotero.org/users/13277427/items/92FPY4NB"],"itemData":{"id":1692,"type":"article-journal","abstract":"The goal of these studies were to determine whether tumor necrosis factor, alpha-induced protein 3 (TNFAIP3) regulated toll-like receptor 4 (TLR4) actions on the NOD-like receptor protein 3 (NLRP3) inflammasome. Western blotting was done on retinal lysates from TLR4 floxed and endothelial cell specific TLR4 knockout mice for TNFAIP3, TLR4, and NLRP3 pathway proteins. Retinal endothelial cells (REC) were grown in normal (5 mM) and high glucose (25 mM) and treated with TNFAIP3 siRNA, followed by Western blotting for TLR4 and NLRP3 pathway proteins. Loss of TLR4 in endothelial cells increased TNFAIP3 levels, while decreasing NLRP3 pathway proteins. High glucose culturing conditions increased TLR4 and NLRP3 proteins, which were also increased by TNFAIP3 siRNA. Data demonstrate that TLR4 regulates NLRP3 pathway proteins. TNFAIP3 can regulate TLR4 and the NLRP3 pathway. TNFAIP3 may offer a new target for therapeutic development against retinal inflammation.","container-title":"Experimental eye research","DOI":"10.1016/j.exer.2022.109108","ISSN":"0014-4835","journalAbbreviation":"Exp Eye Res","note":"PMID: 35568203\nPMCID: PMC9531315","page":"109108","source":"PubMed Central","title":"TNFAIP3 may be key to TLR4-activation of the inflammasome in the retinal vasculature","volume":"220","author":[{"family":"Liu","given":"Li"},{"family":"Jiang","given":"Youde"},{"family":"Steinle","given":"Jena J."}],"issued":{"date-parts":[["2022",7]]}}}],"schema":"https://github.com/citation-style-language/schema/raw/master/csl-citation.json"} </w:instrText>
      </w:r>
      <w:r>
        <w:fldChar w:fldCharType="separate"/>
      </w:r>
      <w:r w:rsidR="007D5DBF">
        <w:rPr>
          <w:noProof/>
        </w:rPr>
        <w:t>[80]</w:t>
      </w:r>
      <w:r>
        <w:fldChar w:fldCharType="end"/>
      </w:r>
      <w:r>
        <w:t xml:space="preserve">. In a recent study by Luo, et. al., Plcl1 was shown to </w:t>
      </w:r>
      <w:r w:rsidR="006A00EB">
        <w:t xml:space="preserve">regulate </w:t>
      </w:r>
      <w:r w:rsidR="006A00EB" w:rsidRPr="006A00EB">
        <w:t>NLRP3 inflammasomes</w:t>
      </w:r>
      <w:r w:rsidR="006A00EB">
        <w:t xml:space="preserve"> in </w:t>
      </w:r>
      <w:r w:rsidR="006A00EB" w:rsidRPr="006A00EB">
        <w:t xml:space="preserve">fibroblast-like </w:t>
      </w:r>
      <w:proofErr w:type="spellStart"/>
      <w:r w:rsidR="006A00EB" w:rsidRPr="006A00EB">
        <w:t>synoviocyte</w:t>
      </w:r>
      <w:r w:rsidR="006A00EB">
        <w:t>s</w:t>
      </w:r>
      <w:proofErr w:type="spellEnd"/>
      <w:r w:rsidR="006A00EB">
        <w:t xml:space="preserve"> </w:t>
      </w:r>
      <w:r w:rsidR="006A00EB">
        <w:fldChar w:fldCharType="begin"/>
      </w:r>
      <w:r w:rsidR="007D5DBF">
        <w:instrText xml:space="preserve"> ADDIN ZOTERO_ITEM CSL_CITATION {"citationID":"4LfrPlW8","properties":{"formattedCitation":"[81]","plainCitation":"[81]","noteIndex":0},"citationItems":[{"id":1695,"uris":["http://zotero.org/users/13277427/items/6ZB8JVR7"],"itemData":{"id":1695,"type":"article-journal","abstract":"BACKGROUND: Phospholipase C-like 1 (PLCL1), a protein that lacks catalytic activity, has similar structures to the PLC family. The aim of this research was to find the function and underlying mechanisms of PLCL1 in fibroblast-like synoviocyte (FLS) of rheumatoid arthritis (RA).\nMETHODS: In this study, we first analyzed the expression of PLCL1 in the synovial tissue of RA patients and K/BxN mice by immunohistochemical staining. Then silencing or overexpressing PLCL1 in FLS before stimulating by TNF-α. The levels of IL-6, IL-1β and CXCL8 in FLS and supernatants were detected by Western Blot (WB), Real-Time Quantitative PCR and Enzyme Linked Immunosorbent Assay. We used INF39 to specifically inhibit the activation of NLRP3 inflammasomes, and detected the expression of NLRP3, Cleaved Caspase-1, IL-6 and IL-1β in FLS by WB.\nRESULT: When PLCL1 was silenced, the level of IL-6, IL-1β and CXCL8 were down-regulated. When PLCL1 was overexpressed, the level of IL-6, IL-1β and CXCL8 were unregulated. The previous results demonstrated that the mechanism of PLCL1 regulating inflammation in FLS was related to NLRP3 inflammasomes. INF39 could counteract the release of inflammatory cytokines caused by overexpression of PLCL1.\nCONCLUSION: Result showed that the function of PLCL1 in RA FLS might be related to the NLRP3 inflammasomes. We finally confirmed our hypothesis with the NLRP3 inhibitor INF39. Our results suggested that PLCL1 might promote the inflammatory response of RA FLS by regulating the NLRP3 inflammasomes.","container-title":"Advances in Rheumatology (London, England)","DOI":"10.1186/s42358-022-00252-5","ISSN":"2523-3106","issue":"1","journalAbbreviation":"Adv Rheumatol","language":"eng","note":"PMID: 35820936","page":"25","source":"PubMed","title":"PLCL1 regulates fibroblast-like synoviocytes inflammation via NLRP3 inflammasomes in rheumatoid arthritis","volume":"62","author":[{"family":"Luo","given":"Shuai"},{"family":"Li","given":"Xiao-Feng"},{"family":"Yang","given":"Ying-Li"},{"family":"Song","given":"Biao"},{"family":"Wu","given":"Sha"},{"family":"Niu","given":"Xue-Ni"},{"family":"Wu","given":"Yuan-Yuan"},{"family":"Shi","given":"Wen"},{"family":"Huang","given":"Cheng"},{"family":"Li","given":"Jun"}],"issued":{"date-parts":[["2022",7,11]]}}}],"schema":"https://github.com/citation-style-language/schema/raw/master/csl-citation.json"} </w:instrText>
      </w:r>
      <w:r w:rsidR="006A00EB">
        <w:fldChar w:fldCharType="separate"/>
      </w:r>
      <w:r w:rsidR="007D5DBF">
        <w:rPr>
          <w:noProof/>
        </w:rPr>
        <w:t>[81]</w:t>
      </w:r>
      <w:r w:rsidR="006A00EB">
        <w:fldChar w:fldCharType="end"/>
      </w:r>
      <w:r w:rsidR="006A00EB">
        <w:t xml:space="preserve">. </w:t>
      </w:r>
      <w:r w:rsidR="00D63894">
        <w:t>S</w:t>
      </w:r>
      <w:r w:rsidR="00D63894" w:rsidRPr="00D63894">
        <w:t>mall glutamine-rich tetratricopeptide repeat-containing protein 1 </w:t>
      </w:r>
      <w:r w:rsidR="00D63894">
        <w:t xml:space="preserve">(Sugt1) has been identified as a NLRP3 regulatory protein </w:t>
      </w:r>
      <w:r w:rsidR="00D63894">
        <w:fldChar w:fldCharType="begin"/>
      </w:r>
      <w:r w:rsidR="007D5DBF">
        <w:instrText xml:space="preserve"> ADDIN ZOTERO_ITEM CSL_CITATION {"citationID":"NVe9SBjH","properties":{"formattedCitation":"[82]","plainCitation":"[82]","noteIndex":0},"citationItems":[{"id":1698,"uris":["http://zotero.org/users/13277427/items/4DE2PAKZ"],"itemData":{"id":1698,"type":"article-journal","abstract":"The NACHT, LRR and PYD domains-containing protein 3 (NLRP3) inflammasome is a fascinating cellular machinery endowed with the capacity for rapid proteolytic processing of the pro-inflammatory cytokine IL-1β and the cell death effector gasdermin D (GSDMD). Although its activity is essential to fight infection and support tissue homeostasis, the inflammasome complex, which consists of the danger sensor NLRP3, the adaptor apoptosis-associated speck-like protein containing a CARD (ASC; also known as PYCARD), caspase-1 and probably other regulatory proteins, also bears considerable potential for detrimental inflammation, as observed in human conditions such as gout, heart attack, stroke and Alzheimer's disease. Thus, multi-layered regulatory networks are required to ensure the fine balance between rapid responsiveness versus erroneous activation (sufficient and temporally restricted versus excessive and chronic activity) of the inflammasome. These involve multiple activation, secretion and cell death pathways, as well as modulation of the subcellular localization of NLRP3, and its structure and activity, owing to post-translational modification by other cellular proteins. Here, we discuss the exciting progress that has recently been made in deciphering the regulation of the NLRP3 inflammasome. Additionally, we highlight open questions and describe areas of research that warrant further exploration to obtain a more comprehensive molecular and cellular understanding of the NLRP3 inflammasome.","container-title":"Journal of Cell Science","DOI":"10.1242/jcs.248344","ISSN":"0021-9533","issue":"23","journalAbbreviation":"Journal of Cell Science","page":"jcs248344","source":"Silverchair","title":"Recent insights into the regulatory networks of NLRP3 inflammasome activation","volume":"133","author":[{"family":"Weber","given":"Alexander N. R."},{"family":"Bittner","given":"Zsófia A."},{"family":"Shankar","given":"Sangeetha"},{"family":"Liu","given":"Xiao"},{"family":"Chang","given":"Tzu-Hsuan"},{"family":"Jin","given":"Tengchuan"},{"family":"Tapia-Abellán","given":"Ana"}],"issued":{"date-parts":[["2020",12,3]]}}}],"schema":"https://github.com/citation-style-language/schema/raw/master/csl-citation.json"} </w:instrText>
      </w:r>
      <w:r w:rsidR="00D63894">
        <w:fldChar w:fldCharType="separate"/>
      </w:r>
      <w:r w:rsidR="007D5DBF">
        <w:rPr>
          <w:noProof/>
        </w:rPr>
        <w:t>[82]</w:t>
      </w:r>
      <w:r w:rsidR="00D63894">
        <w:fldChar w:fldCharType="end"/>
      </w:r>
      <w:r w:rsidR="00D63894">
        <w:t xml:space="preserve">. The upregulation of these genes illustrates the activation of the NLRP3 pathway and indicates crosstalk between GC stimulation, the STING pathway, and NLRP3 inflammasome formation. </w:t>
      </w:r>
      <w:r w:rsidR="001C77D3" w:rsidRPr="00172EA6">
        <w:br w:type="page"/>
      </w:r>
    </w:p>
    <w:p w14:paraId="4E7303B5" w14:textId="5A2991CF" w:rsidR="001A7C22" w:rsidRDefault="001A7C22" w:rsidP="001C77D3">
      <w:pPr>
        <w:pStyle w:val="Heading1"/>
      </w:pPr>
      <w:bookmarkStart w:id="59" w:name="_Toc165293370"/>
      <w:r>
        <w:lastRenderedPageBreak/>
        <w:t>Chapter 6: Discussion, Conclusions, and Future Directions</w:t>
      </w:r>
      <w:bookmarkEnd w:id="59"/>
    </w:p>
    <w:p w14:paraId="2C964A90" w14:textId="4B422635" w:rsidR="00177597" w:rsidRDefault="0078716E" w:rsidP="001A7C22">
      <w:pPr>
        <w:pStyle w:val="Heading2"/>
      </w:pPr>
      <w:bookmarkStart w:id="60" w:name="_Toc165293371"/>
      <w:r>
        <w:t xml:space="preserve">6.1. </w:t>
      </w:r>
      <w:r w:rsidR="001C77D3">
        <w:t>Discussion</w:t>
      </w:r>
      <w:bookmarkEnd w:id="60"/>
    </w:p>
    <w:p w14:paraId="44B7C6D5" w14:textId="31F1CFC0" w:rsidR="00177597" w:rsidRDefault="00177597" w:rsidP="008A7FE4">
      <w:pPr>
        <w:ind w:firstLine="720"/>
      </w:pPr>
      <w:r>
        <w:t xml:space="preserve">The STING pathway is </w:t>
      </w:r>
      <w:r w:rsidR="009B28DC">
        <w:t>an integral part of dendritic cell</w:t>
      </w:r>
      <w:r w:rsidR="00B8487D">
        <w:t>-mediated</w:t>
      </w:r>
      <w:r w:rsidR="009B28DC">
        <w:t xml:space="preserve"> anti-tumor response. It is a complex pathway with many different downstream processes that have overlapping mechanisms. Identifying GC’s interactions with this mechanism </w:t>
      </w:r>
      <w:r w:rsidR="003A7EF3">
        <w:t>helps</w:t>
      </w:r>
      <w:r w:rsidR="009B28DC">
        <w:t xml:space="preserve"> to elucidate GC’s overall cellular mechanism. The goal of this study was to confirm GC and STING interactions within the lysosome. This will serve as the first step to confirming the hypothesis that GC leads to immunogenic cell death through lysosomal leakage mediated by the NLRP3 pathway.  </w:t>
      </w:r>
    </w:p>
    <w:p w14:paraId="7BD59417" w14:textId="27876AAF" w:rsidR="00177597" w:rsidRPr="00210613" w:rsidRDefault="003216E5" w:rsidP="008A7FE4">
      <w:pPr>
        <w:ind w:firstLine="720"/>
      </w:pPr>
      <w:r>
        <w:t>Through the western blot results an increased presence of STING in the lysosome can be detected post stimulation with GC.</w:t>
      </w:r>
      <w:r w:rsidR="00436AB6">
        <w:t xml:space="preserve"> This can be seen in </w:t>
      </w:r>
      <w:r w:rsidR="00436AB6">
        <w:rPr>
          <w:b/>
          <w:bCs/>
        </w:rPr>
        <w:t xml:space="preserve">Figure </w:t>
      </w:r>
      <w:r w:rsidR="0045228C">
        <w:rPr>
          <w:b/>
          <w:bCs/>
        </w:rPr>
        <w:t>8</w:t>
      </w:r>
      <w:r w:rsidR="00436AB6">
        <w:rPr>
          <w:b/>
          <w:bCs/>
        </w:rPr>
        <w:t xml:space="preserve"> </w:t>
      </w:r>
      <w:r w:rsidR="00436AB6">
        <w:t xml:space="preserve">and </w:t>
      </w:r>
      <w:r w:rsidR="00436AB6">
        <w:rPr>
          <w:b/>
          <w:bCs/>
        </w:rPr>
        <w:t xml:space="preserve">Figure </w:t>
      </w:r>
      <w:r w:rsidR="0045228C">
        <w:rPr>
          <w:b/>
          <w:bCs/>
        </w:rPr>
        <w:t>9</w:t>
      </w:r>
      <w:r w:rsidR="00436AB6">
        <w:t xml:space="preserve"> where the STING expression bands within the lysosomal isolates are larger and have greater intensity within the stimulated group compared to the control group. Within the other lysates STING expression is not greatly affected by stimulation as STING within these subcellular locations </w:t>
      </w:r>
      <w:r w:rsidR="00631D8D">
        <w:t>does</w:t>
      </w:r>
      <w:r w:rsidR="00436AB6">
        <w:t xml:space="preserve"> not participate in the anti-tumor response. When STING engages in its antitumor response it dimerizes and relocates from the endoplasmic reticulum (ER), hence why primary detection of STING activation was seen within the lysosomal isolate </w:t>
      </w:r>
      <w:r w:rsidR="00436AB6">
        <w:fldChar w:fldCharType="begin"/>
      </w:r>
      <w:r w:rsidR="007D5DBF">
        <w:instrText xml:space="preserve"> ADDIN ZOTERO_ITEM CSL_CITATION {"citationID":"HqkpZDOt","properties":{"formattedCitation":"[83]","plainCitation":"[83]","noteIndex":0},"citationItems":[{"id":1584,"uris":["http://zotero.org/users/13277427/items/SKIAZYND"],"itemData":{"id":1584,"type":"article-journal","abstract":"The cyclic GMP–AMP synthase (cGAS)–stimulator of interferon genes (STING) pathway has emerged as a critical innate immune pathway that, following engagement by DNA, promotes distinct immune effector responses that can impact virtually all aspects of tumorigenesis, from malignant cell transformation to metastasis. Here we address how natural tumor-associated processes and traditional cancer therapies are shaped by cGAS–STING signaling, and how this contributes to beneficial or detrimental outcomes of cancer. We consider current efforts to target the cGAS–STING axis in tumors and highlight new frontiers in cGAS–STING biology to inspire thinking about their connection to cancer.","container-title":"Nature Cancer","DOI":"10.1038/s43018-022-00468-w","ISSN":"2662-1347","issue":"12","journalAbbreviation":"Nat Cancer","language":"en","license":"2022 Springer Nature America, Inc","note":"publisher: Nature Publishing Group","page":"1452-1463","source":"www.nature.com","title":"The cGAS–STING pathway and cancer","volume":"3","author":[{"family":"Samson","given":"Natasha"},{"family":"Ablasser","given":"Andrea"}],"issued":{"date-parts":[["2022",12]]}}}],"schema":"https://github.com/citation-style-language/schema/raw/master/csl-citation.json"} </w:instrText>
      </w:r>
      <w:r w:rsidR="00436AB6">
        <w:fldChar w:fldCharType="separate"/>
      </w:r>
      <w:r w:rsidR="007D5DBF">
        <w:rPr>
          <w:noProof/>
        </w:rPr>
        <w:t>[83]</w:t>
      </w:r>
      <w:r w:rsidR="00436AB6">
        <w:fldChar w:fldCharType="end"/>
      </w:r>
      <w:r w:rsidR="00436AB6">
        <w:t xml:space="preserve">. </w:t>
      </w:r>
      <w:r w:rsidR="008A7FE4">
        <w:t xml:space="preserve">This increased expression </w:t>
      </w:r>
      <w:r w:rsidR="00436AB6">
        <w:t xml:space="preserve">within this lysate </w:t>
      </w:r>
      <w:r w:rsidR="008A7FE4">
        <w:t xml:space="preserve">demonstrates that GC is interacting with the STING pathway and resulting in STING trafficking to the lysosome for further downstream processing. While this trend of increased expression can be detected it cannot be quantitively analyzed. For this analysis, </w:t>
      </w:r>
      <w:r w:rsidR="00436AB6">
        <w:t xml:space="preserve">a housekeeping protein not involved in this pathway will have to be utilized. </w:t>
      </w:r>
      <w:r w:rsidR="00210613">
        <w:t xml:space="preserve">Additionally, exposure times have a great impact on integrated intensity detection as seen in </w:t>
      </w:r>
      <w:r w:rsidR="00210613">
        <w:rPr>
          <w:b/>
          <w:bCs/>
        </w:rPr>
        <w:t>Figure 1</w:t>
      </w:r>
      <w:r w:rsidR="0045228C">
        <w:rPr>
          <w:b/>
          <w:bCs/>
        </w:rPr>
        <w:t>0</w:t>
      </w:r>
      <w:r w:rsidR="00210613">
        <w:rPr>
          <w:b/>
          <w:bCs/>
        </w:rPr>
        <w:t xml:space="preserve"> </w:t>
      </w:r>
      <w:r w:rsidR="00210613" w:rsidRPr="00210613">
        <w:t>and</w:t>
      </w:r>
      <w:r w:rsidR="00210613">
        <w:rPr>
          <w:b/>
          <w:bCs/>
        </w:rPr>
        <w:t xml:space="preserve"> Figure 1</w:t>
      </w:r>
      <w:r w:rsidR="0045228C">
        <w:rPr>
          <w:b/>
          <w:bCs/>
        </w:rPr>
        <w:t>1</w:t>
      </w:r>
      <w:r w:rsidR="00210613">
        <w:t xml:space="preserve">. </w:t>
      </w:r>
      <w:proofErr w:type="gramStart"/>
      <w:r w:rsidR="00210613">
        <w:t>This further skew</w:t>
      </w:r>
      <w:r w:rsidR="00631D8D">
        <w:t>s</w:t>
      </w:r>
      <w:proofErr w:type="gramEnd"/>
      <w:r w:rsidR="00210613">
        <w:t xml:space="preserve"> the quantitative analysis. </w:t>
      </w:r>
      <w:r w:rsidR="00631D8D">
        <w:t xml:space="preserve">In </w:t>
      </w:r>
      <w:r w:rsidR="00631D8D" w:rsidRPr="00B44169">
        <w:rPr>
          <w:b/>
          <w:bCs/>
        </w:rPr>
        <w:t>Figure 1</w:t>
      </w:r>
      <w:r w:rsidR="0045228C">
        <w:rPr>
          <w:b/>
          <w:bCs/>
        </w:rPr>
        <w:t>2</w:t>
      </w:r>
      <w:r w:rsidR="00210613">
        <w:t xml:space="preserve">, </w:t>
      </w:r>
      <w:r w:rsidR="00FC6087">
        <w:t xml:space="preserve">western blot band </w:t>
      </w:r>
      <w:r w:rsidR="007917A5">
        <w:t>intensity</w:t>
      </w:r>
      <w:r w:rsidR="00210613">
        <w:t xml:space="preserve"> </w:t>
      </w:r>
      <w:r w:rsidR="00FC6087">
        <w:t xml:space="preserve">differences </w:t>
      </w:r>
      <w:r w:rsidR="00210613">
        <w:t xml:space="preserve">illustrate the increased expression of STING within the stimulated group compared to the control within the lysosomal isolate. This further illustrates the hypothesis that GC induces STING trafficking to the lysosome. </w:t>
      </w:r>
    </w:p>
    <w:p w14:paraId="216BB8C1" w14:textId="7A8F0B4A" w:rsidR="002C05C0" w:rsidRDefault="00177597" w:rsidP="00DF23AD">
      <w:pPr>
        <w:ind w:firstLine="720"/>
      </w:pPr>
      <w:r>
        <w:t xml:space="preserve">In </w:t>
      </w:r>
      <w:r w:rsidR="004C6256">
        <w:rPr>
          <w:b/>
          <w:bCs/>
        </w:rPr>
        <w:t>Figure 1</w:t>
      </w:r>
      <w:r w:rsidR="0045228C">
        <w:rPr>
          <w:b/>
          <w:bCs/>
        </w:rPr>
        <w:t>6</w:t>
      </w:r>
      <w:r>
        <w:t xml:space="preserve">, </w:t>
      </w:r>
      <w:r w:rsidR="00DF23AD">
        <w:t xml:space="preserve">GC and STING interactions </w:t>
      </w:r>
      <w:r w:rsidR="00631D8D">
        <w:t>were</w:t>
      </w:r>
      <w:r w:rsidR="00DF23AD">
        <w:t xml:space="preserve"> detected. This can be seen through their colocalization within swollen cellular vesicles. The</w:t>
      </w:r>
      <w:r w:rsidR="00BC5D26">
        <w:t>s</w:t>
      </w:r>
      <w:r w:rsidR="00DF23AD">
        <w:t xml:space="preserve">e interactions can be further seen in </w:t>
      </w:r>
      <w:r w:rsidR="00AB344B">
        <w:t xml:space="preserve">the </w:t>
      </w:r>
      <w:r w:rsidR="00DF23AD">
        <w:t xml:space="preserve">ROIs seen in </w:t>
      </w:r>
      <w:r w:rsidR="00DF23AD">
        <w:rPr>
          <w:b/>
          <w:bCs/>
        </w:rPr>
        <w:t xml:space="preserve">Figure </w:t>
      </w:r>
      <w:r w:rsidR="0045228C">
        <w:rPr>
          <w:b/>
          <w:bCs/>
        </w:rPr>
        <w:t>15</w:t>
      </w:r>
      <w:r w:rsidR="00DF23AD">
        <w:t xml:space="preserve">. While interactions between the two were visualized, it is necessary to quantify the amount of overlap. Image analysis shown in </w:t>
      </w:r>
      <w:r w:rsidR="00DF23AD">
        <w:rPr>
          <w:b/>
          <w:bCs/>
        </w:rPr>
        <w:t>Table 3</w:t>
      </w:r>
      <w:r w:rsidR="00DF23AD">
        <w:t xml:space="preserve"> shows that overlap between GC and STING was at an average of 16.7% for both stimulation concentration</w:t>
      </w:r>
      <w:r w:rsidR="00E83DC6">
        <w:t>s</w:t>
      </w:r>
      <w:r w:rsidR="00DF23AD">
        <w:t xml:space="preserve"> meaning 16.7% of the total GC found in the cell was overlapping with STING molecules. For the 8</w:t>
      </w:r>
      <w:r w:rsidR="00DF23AD">
        <w:rPr>
          <w:rFonts w:ascii="Calibri" w:hAnsi="Calibri" w:cs="Calibri"/>
        </w:rPr>
        <w:t>µ</w:t>
      </w:r>
      <w:r w:rsidR="00DF23AD">
        <w:t>g/mL stimulation group this average overlap was higher at 24.5%. While there is detectable overlap, the percentage is not very high indicating testing of a different time point might be more optimal to observe the GC-STING interactions. For future analysis, both the 8</w:t>
      </w:r>
      <w:r w:rsidR="00710031">
        <w:t>-</w:t>
      </w:r>
      <w:r w:rsidR="00DF23AD">
        <w:t>hour and 12</w:t>
      </w:r>
      <w:r w:rsidR="00710031">
        <w:t>-</w:t>
      </w:r>
      <w:r w:rsidR="00DF23AD">
        <w:t>hour time points</w:t>
      </w:r>
      <w:r w:rsidR="00631D8D">
        <w:t>, as well as higher concentration of GC, should be tested</w:t>
      </w:r>
      <w:r w:rsidR="00DF23AD">
        <w:t xml:space="preserve">. Further adjustments can be </w:t>
      </w:r>
      <w:r w:rsidR="00631D8D">
        <w:t>made</w:t>
      </w:r>
      <w:r w:rsidR="00DF23AD">
        <w:t xml:space="preserve"> after particle overlap analysis on these time points is conducted. </w:t>
      </w:r>
      <w:r w:rsidR="00631D8D">
        <w:t>T</w:t>
      </w:r>
      <w:r w:rsidR="00DF23AD">
        <w:t xml:space="preserve">he cellular swelling observed in </w:t>
      </w:r>
      <w:r w:rsidR="00DF23AD">
        <w:rPr>
          <w:b/>
          <w:bCs/>
        </w:rPr>
        <w:t>Figure 1</w:t>
      </w:r>
      <w:r w:rsidR="007877A3">
        <w:rPr>
          <w:b/>
          <w:bCs/>
        </w:rPr>
        <w:t>6</w:t>
      </w:r>
      <w:r w:rsidR="00DF23AD">
        <w:t xml:space="preserve"> is an indicator of </w:t>
      </w:r>
      <w:r w:rsidR="00FC6087">
        <w:t xml:space="preserve">cell stress which is hypothesized to be a precursor of </w:t>
      </w:r>
      <w:r w:rsidR="00DF23AD">
        <w:t>immunogenic cell death and show</w:t>
      </w:r>
      <w:r w:rsidR="00631D8D">
        <w:t>s</w:t>
      </w:r>
      <w:r w:rsidR="00DF23AD">
        <w:t xml:space="preserve"> that GC is integral in inducing this cellular response. These swollen vesicles are hypothesized to </w:t>
      </w:r>
      <w:r w:rsidR="00DF23AD" w:rsidRPr="006433BD">
        <w:t>b</w:t>
      </w:r>
      <w:r w:rsidR="006433BD">
        <w:t>e</w:t>
      </w:r>
      <w:r w:rsidR="00DF23AD">
        <w:t xml:space="preserve"> autophagosomes which are an active step within lysosomal cell death and the NLRP3 pathways. </w:t>
      </w:r>
      <w:r w:rsidR="004C6256">
        <w:t>These swollen vesicles can p</w:t>
      </w:r>
      <w:r w:rsidR="00BC4E85">
        <w:t>articularly</w:t>
      </w:r>
      <w:r>
        <w:t xml:space="preserve"> </w:t>
      </w:r>
      <w:r w:rsidR="004C6256">
        <w:t xml:space="preserve">be seen </w:t>
      </w:r>
      <w:r>
        <w:t>in the 8</w:t>
      </w:r>
      <w:r>
        <w:sym w:font="Symbol" w:char="F06D"/>
      </w:r>
      <w:r>
        <w:t xml:space="preserve">g/mL stimulation group, but smaller </w:t>
      </w:r>
      <w:r w:rsidR="004C6256">
        <w:t>vesicles</w:t>
      </w:r>
      <w:r>
        <w:t xml:space="preserve"> can also </w:t>
      </w:r>
      <w:r w:rsidR="00CD7B6B">
        <w:t>b</w:t>
      </w:r>
      <w:r>
        <w:t>e seen within the 4</w:t>
      </w:r>
      <w:r>
        <w:sym w:font="Symbol" w:char="F06D"/>
      </w:r>
      <w:r>
        <w:t xml:space="preserve">g/mL stimulation group. These finding are congruent with prior studies by </w:t>
      </w:r>
      <w:proofErr w:type="spellStart"/>
      <w:r>
        <w:t>Gui</w:t>
      </w:r>
      <w:proofErr w:type="spellEnd"/>
      <w:r>
        <w:t xml:space="preserve">, et. al. where the formation autophagosomes following STING pathway </w:t>
      </w:r>
      <w:r w:rsidR="00CD7B6B">
        <w:t>activation</w:t>
      </w:r>
      <w:r>
        <w:t xml:space="preserve"> was demonstrated </w:t>
      </w:r>
      <w:r>
        <w:fldChar w:fldCharType="begin"/>
      </w:r>
      <w:r w:rsidR="007D5DBF">
        <w:instrText xml:space="preserve"> ADDIN ZOTERO_ITEM CSL_CITATION {"citationID":"4F4n3pkE","properties":{"formattedCitation":"[84]","plainCitation":"[84]","noteIndex":0},"citationItems":[{"id":1477,"uris":["http://zotero.org/users/13277427/items/4BA4KLHH"],"itemData":{"id":1477,"type":"article-journal","abstract":"Cyclic GMP-AMP (cGAMP) synthase (cGAS) detects infections or tissue damage by binding to microbial or self DNA in the cytoplasm1. Upon binding DNA, cGAS produces cGAMP that binds to and activates the adaptor protein STING, which then activates the kinases IKK and TBK1 to induce interferons and other cytokines2–6. Here we report that STING also activates autophagy through a mechanism that is independent of TBK1 activation and interferon induction. Upon binding cGAMP, STING translocates to the endoplasmic reticulum–Golgi intermediate compartment (ERGIC) and the Golgi in a process that is dependent on the COP-II complex and ARF GTPases. STING-containing ERGIC serves as a membrane source for LC3 lipidation, which is a key step in autophagosome biogenesis. cGAMP induced LC3 lipidation through a pathway that is dependent on WIPI2 and ATG5 but independent of the ULK and VPS34–beclin kinase complexes. Furthermore, we show that cGAMP-induced autophagy is important for the clearance of DNA and viruses in the cytosol. Interestingly, STING from the sea anemone Nematostella vectensis induces autophagy but not interferons in response to stimulation by cGAMP, which suggests that induction of autophagy is a primordial function of the cGAS–STING pathway.","container-title":"Nature","DOI":"10.1038/s41586-019-1006-9","ISSN":"1476-4687","issue":"7747","language":"en","license":"2019 The Author(s), under exclusive licence to Springer Nature Limited","note":"publisher: Nature Publishing Group","page":"262-266","source":"www.nature.com","title":"Autophagy induction via STING trafficking is a primordial function of the cGAS pathway","volume":"567","author":[{"family":"Gui","given":"Xiang"},{"family":"Yang","given":"Hui"},{"family":"Li","given":"Tuo"},{"family":"Tan","given":"Xiaojun"},{"family":"Shi","given":"Peiqing"},{"family":"Li","given":"Minghao"},{"family":"Du","given":"Fenghe"},{"family":"Chen","given":"Zhijian J."}],"issued":{"date-parts":[["2019",3]]}}}],"schema":"https://github.com/citation-style-language/schema/raw/master/csl-citation.json"} </w:instrText>
      </w:r>
      <w:r>
        <w:fldChar w:fldCharType="separate"/>
      </w:r>
      <w:r w:rsidR="007D5DBF">
        <w:rPr>
          <w:noProof/>
        </w:rPr>
        <w:t>[84]</w:t>
      </w:r>
      <w:r>
        <w:fldChar w:fldCharType="end"/>
      </w:r>
      <w:r w:rsidR="00CD7B6B">
        <w:t xml:space="preserve">. </w:t>
      </w:r>
      <w:r w:rsidR="00631D8D">
        <w:t xml:space="preserve">In </w:t>
      </w:r>
      <w:r w:rsidR="004C6256">
        <w:t xml:space="preserve">this </w:t>
      </w:r>
      <w:r w:rsidR="004C6256">
        <w:lastRenderedPageBreak/>
        <w:t>study, the vesicles were confirmed to be autophagosomes through e</w:t>
      </w:r>
      <w:r w:rsidR="004C6256" w:rsidRPr="004C6256">
        <w:t>lectron micrographs</w:t>
      </w:r>
      <w:r w:rsidR="004C6256">
        <w:t xml:space="preserve">. Moving forward, this would be a beneficial procedure to add to the analysis as confirming </w:t>
      </w:r>
      <w:r w:rsidR="00DF23AD">
        <w:t>the NLRP3 pathway and STING</w:t>
      </w:r>
      <w:r w:rsidR="00BC5D26">
        <w:t>-</w:t>
      </w:r>
      <w:r w:rsidR="00DF23AD">
        <w:t xml:space="preserve">mediated cell death. </w:t>
      </w:r>
    </w:p>
    <w:p w14:paraId="71ECFA52" w14:textId="34CAEAB4" w:rsidR="00100D58" w:rsidRDefault="00931663" w:rsidP="0085200D">
      <w:pPr>
        <w:ind w:firstLine="720"/>
      </w:pPr>
      <w:r>
        <w:t xml:space="preserve">Further evidence supporting lysosomal activity and mediated cell death are the heatmaps in </w:t>
      </w:r>
      <w:r>
        <w:rPr>
          <w:b/>
          <w:bCs/>
        </w:rPr>
        <w:t xml:space="preserve">Figure </w:t>
      </w:r>
      <w:r w:rsidR="007877A3">
        <w:rPr>
          <w:b/>
          <w:bCs/>
        </w:rPr>
        <w:t>19</w:t>
      </w:r>
      <w:r>
        <w:rPr>
          <w:b/>
          <w:bCs/>
        </w:rPr>
        <w:t xml:space="preserve">. </w:t>
      </w:r>
      <w:r>
        <w:t xml:space="preserve">The genes were gathered </w:t>
      </w:r>
      <w:r w:rsidR="00631D8D">
        <w:t xml:space="preserve">from </w:t>
      </w:r>
      <w:r>
        <w:t xml:space="preserve">the NIH database </w:t>
      </w:r>
      <w:r w:rsidR="00163A56">
        <w:t xml:space="preserve">using the key term “lysosomal death” and through literature research. The list was compiled and heatmaps </w:t>
      </w:r>
      <w:r w:rsidR="00A427BA">
        <w:t xml:space="preserve">were </w:t>
      </w:r>
      <w:r w:rsidR="00163A56">
        <w:t xml:space="preserve">generated, cross referring genes associated with the STING pathway. </w:t>
      </w:r>
      <w:r w:rsidR="002C05C0">
        <w:t>The heatmap data show</w:t>
      </w:r>
      <w:r>
        <w:t>s</w:t>
      </w:r>
      <w:r w:rsidR="002C05C0">
        <w:t xml:space="preserve"> the activation of key lysosomal</w:t>
      </w:r>
      <w:r w:rsidR="00AD2F93">
        <w:t>-</w:t>
      </w:r>
      <w:r w:rsidR="002C05C0">
        <w:t>associated genes</w:t>
      </w:r>
      <w:r>
        <w:t xml:space="preserve">. The activation of these genes </w:t>
      </w:r>
      <w:r w:rsidR="00660784">
        <w:t xml:space="preserve">was shown to be </w:t>
      </w:r>
      <w:r>
        <w:t>dependent</w:t>
      </w:r>
      <w:r w:rsidR="00EC6D4A">
        <w:t xml:space="preserve"> on GC stimulation </w:t>
      </w:r>
      <w:r w:rsidR="00660784">
        <w:t xml:space="preserve">and associated with the STING pathway. </w:t>
      </w:r>
      <w:r w:rsidR="0085200D">
        <w:t>Many of the genes that are upregulated by GC stimulation are associated with lysosomal activity and immunogenic cell death. This helps to illustrate the type of cell death occurring post GC stimulation and give</w:t>
      </w:r>
      <w:r w:rsidR="004C031D">
        <w:t>s</w:t>
      </w:r>
      <w:r w:rsidR="0085200D">
        <w:t xml:space="preserve"> insights into the pathways occurring. Given the genes shown are STING dependent it also gives evidence to the immunogenic cell death being STING</w:t>
      </w:r>
      <w:r w:rsidR="00E54628">
        <w:t>-</w:t>
      </w:r>
      <w:r w:rsidR="0085200D">
        <w:t xml:space="preserve">dependent. This supports the </w:t>
      </w:r>
      <w:r w:rsidR="00FC6087">
        <w:t>overarching hypothesis</w:t>
      </w:r>
      <w:r w:rsidR="0085200D">
        <w:t xml:space="preserve"> that the NLPR3 pathway is activat</w:t>
      </w:r>
      <w:r w:rsidR="00631D8D">
        <w:t>ed</w:t>
      </w:r>
      <w:r w:rsidR="0085200D">
        <w:t xml:space="preserve"> through STING</w:t>
      </w:r>
      <w:r w:rsidR="00631D8D">
        <w:t>-</w:t>
      </w:r>
      <w:r w:rsidR="0085200D">
        <w:t>GC interactions</w:t>
      </w:r>
      <w:r w:rsidR="00631D8D">
        <w:t>,</w:t>
      </w:r>
      <w:r w:rsidR="0085200D">
        <w:t xml:space="preserve"> resulting in lysosomal cell death. Upregulation </w:t>
      </w:r>
      <w:r w:rsidR="00660784">
        <w:t xml:space="preserve">of </w:t>
      </w:r>
      <w:proofErr w:type="spellStart"/>
      <w:r w:rsidR="00660784">
        <w:t>Ctsb</w:t>
      </w:r>
      <w:proofErr w:type="spellEnd"/>
      <w:r w:rsidR="00660784">
        <w:t xml:space="preserve">, </w:t>
      </w:r>
      <w:proofErr w:type="spellStart"/>
      <w:r w:rsidR="00660784">
        <w:t>Ctss</w:t>
      </w:r>
      <w:proofErr w:type="spellEnd"/>
      <w:r w:rsidR="00660784">
        <w:t xml:space="preserve">, </w:t>
      </w:r>
      <w:proofErr w:type="spellStart"/>
      <w:r w:rsidR="00660784">
        <w:t>Ctsg</w:t>
      </w:r>
      <w:proofErr w:type="spellEnd"/>
      <w:r w:rsidR="00660784">
        <w:t xml:space="preserve">, and </w:t>
      </w:r>
      <w:proofErr w:type="spellStart"/>
      <w:r w:rsidR="00660784">
        <w:t>Trpm</w:t>
      </w:r>
      <w:proofErr w:type="spellEnd"/>
      <w:r w:rsidR="00660784">
        <w:t xml:space="preserve"> 2 are</w:t>
      </w:r>
      <w:r w:rsidR="0085200D">
        <w:t xml:space="preserve"> also</w:t>
      </w:r>
      <w:r w:rsidR="00660784">
        <w:t xml:space="preserve"> indicative of NLRP3 pathway involvement.</w:t>
      </w:r>
      <w:r w:rsidR="0085200D">
        <w:t xml:space="preserve"> The bulk RNA sequencing data sheds light on the mechanisms in play and is indicative of GC and STING interactions within the lysosome</w:t>
      </w:r>
      <w:r w:rsidR="006366EB">
        <w:t xml:space="preserve"> (</w:t>
      </w:r>
      <w:r w:rsidR="006366EB" w:rsidRPr="00FC6087">
        <w:rPr>
          <w:b/>
          <w:bCs/>
        </w:rPr>
        <w:t xml:space="preserve">Figure </w:t>
      </w:r>
      <w:r w:rsidR="007877A3">
        <w:rPr>
          <w:b/>
          <w:bCs/>
        </w:rPr>
        <w:t>19</w:t>
      </w:r>
      <w:r w:rsidR="006366EB">
        <w:t>)</w:t>
      </w:r>
      <w:r w:rsidR="0085200D">
        <w:t xml:space="preserve">. </w:t>
      </w:r>
    </w:p>
    <w:p w14:paraId="418A638C" w14:textId="50E6C6ED" w:rsidR="0072629C" w:rsidRPr="0072629C" w:rsidRDefault="0072629C" w:rsidP="00D63894">
      <w:pPr>
        <w:ind w:firstLine="720"/>
      </w:pPr>
      <w:r>
        <w:t xml:space="preserve">Investigating the crosstalk between NLRP3 pathway and GC stimulation further, </w:t>
      </w:r>
      <w:r>
        <w:rPr>
          <w:b/>
          <w:bCs/>
        </w:rPr>
        <w:t>Figure 2</w:t>
      </w:r>
      <w:r w:rsidR="007877A3">
        <w:rPr>
          <w:b/>
          <w:bCs/>
        </w:rPr>
        <w:t xml:space="preserve">0 </w:t>
      </w:r>
      <w:r>
        <w:t xml:space="preserve">highlights gene expression associated with these pathways. </w:t>
      </w:r>
      <w:r w:rsidR="00D63894">
        <w:t xml:space="preserve">The upregulation </w:t>
      </w:r>
      <w:r w:rsidR="00D51D4C">
        <w:t xml:space="preserve">of </w:t>
      </w:r>
      <w:r w:rsidR="00D63894">
        <w:t xml:space="preserve">Casp1 and </w:t>
      </w:r>
      <w:proofErr w:type="spellStart"/>
      <w:r w:rsidR="00D63894">
        <w:t>Gsdmd</w:t>
      </w:r>
      <w:proofErr w:type="spellEnd"/>
      <w:r w:rsidR="00D63894">
        <w:t xml:space="preserve"> indicated activation of the NLRP3 pathway due to STING stimulation as these molecules are key playing in NLRP3</w:t>
      </w:r>
      <w:r w:rsidR="00610368">
        <w:t>-</w:t>
      </w:r>
      <w:r w:rsidR="00D63894">
        <w:t xml:space="preserve">mediated </w:t>
      </w:r>
      <w:proofErr w:type="spellStart"/>
      <w:r w:rsidR="00D63894" w:rsidRPr="00FE2745">
        <w:t>pyroptosis</w:t>
      </w:r>
      <w:proofErr w:type="spellEnd"/>
      <w:r w:rsidR="00D63894">
        <w:t xml:space="preserve">. </w:t>
      </w:r>
      <w:r>
        <w:t xml:space="preserve">Looking at both </w:t>
      </w:r>
      <w:r w:rsidR="00A967ED">
        <w:rPr>
          <w:b/>
          <w:bCs/>
        </w:rPr>
        <w:t>F</w:t>
      </w:r>
      <w:r>
        <w:rPr>
          <w:b/>
          <w:bCs/>
        </w:rPr>
        <w:t xml:space="preserve">igure </w:t>
      </w:r>
      <w:r w:rsidR="007877A3">
        <w:rPr>
          <w:b/>
          <w:bCs/>
        </w:rPr>
        <w:t>19</w:t>
      </w:r>
      <w:r>
        <w:t xml:space="preserve"> and </w:t>
      </w:r>
      <w:r>
        <w:rPr>
          <w:b/>
          <w:bCs/>
        </w:rPr>
        <w:t>Figure 2</w:t>
      </w:r>
      <w:r w:rsidR="007877A3">
        <w:rPr>
          <w:b/>
          <w:bCs/>
        </w:rPr>
        <w:t>0</w:t>
      </w:r>
      <w:r>
        <w:t xml:space="preserve"> </w:t>
      </w:r>
      <w:proofErr w:type="gramStart"/>
      <w:r>
        <w:t>it can be seen that Caspase</w:t>
      </w:r>
      <w:proofErr w:type="gramEnd"/>
      <w:r>
        <w:t xml:space="preserve"> 8 (Casp8) and Toll-like receptor 4 (TLR4) are both upregulated by the presence of GC. This further indicates that GC stimulation is linked to downstream activation of the NLRP3 pathway as Casp8 has been shown to cause the TLR4-mediated activation of inflammasomes leading to cell death </w:t>
      </w:r>
      <w:r>
        <w:fldChar w:fldCharType="begin"/>
      </w:r>
      <w:r w:rsidR="007D5DBF">
        <w:instrText xml:space="preserve"> ADDIN ZOTERO_ITEM CSL_CITATION {"citationID":"xL0S7fMI","properties":{"formattedCitation":"[79]","plainCitation":"[79]","noteIndex":0},"citationItems":[{"id":1685,"uris":["http://zotero.org/users/13277427/items/JLJH7KGP"],"itemData":{"id":1685,"type":"article-journal","abstract":"Acute glaucoma is a sight-threatening condition characterized by a sudden and substantial rise in intraocular pressure (IOP) and consequent retinal ganglion cell (RGC) death. Angle closure glaucoma, a common cause of glaucoma in Asia that affects tens of millions of people worldwide, often presents acutely with loss of vision, pain, and high IOP. Even when medical and surgical treatment is available, acute angle closure glaucoma can cause permanent and irreversible loss of vision. Toll-like receptor 4 (TLR4) signaling has been previously implicated in the pathogenesis of IOP-induced RGC death, although the underlying mechanisms are largely unknown. In the present study, we used an acute IOP elevation/glaucoma model to investigate the underlying mechanism of RGC death. We found that TLR4 leads to increased caspase-8 expression; this elevation increases IL-1β expression and RGC death via a caspase-1–dependent pathway involving Nod-like receptor family, pyrin domain containing 1 (NLRP1)/NLRP3 inflammasomes and a caspase-1–independent pathway. We show that inhibition of caspase-8 activation significantly attenuates RGC death by down-regulating the activation of NLRP1 and NLRP3, thus demonstrating the pivotal role of caspase-8 in the TLR4-mediated activation of inflammasomes. These findings demonstrate collectively a critical role of caspase-8 in transducing TLR4-mediated IL-1β production and RGC death and highlight signal transduction in a caspase-1–dependent NLRP1/NLRP3 inflammasome pathway and a caspase-1–independent pathway in acute glaucoma. These results provide new insight into the pathogenesis of glaucoma and point to a treatment strategy.","container-title":"Proceedings of the National Academy of Sciences","DOI":"10.1073/pnas.1402819111","issue":"30","note":"publisher: Proceedings of the National Academy of Sciences","page":"11181-11186","source":"pnas.org (Atypon)","title":"Caspase-8 promotes NLRP1/NLRP3 inflammasome activation and IL-1β production in acute glaucoma","volume":"111","author":[{"family":"Chi","given":"Wei"},{"family":"Li","given":"Fei"},{"family":"Chen","given":"Hongrui"},{"family":"Wang","given":"Yandong"},{"family":"Zhu","given":"Yingting"},{"family":"Yang","given":"Xuejiao"},{"family":"Zhu","given":"Jie"},{"family":"Wu","given":"Frances"},{"family":"Ouyang","given":"Hong"},{"family":"Ge","given":"Jian"},{"family":"Weinreb","given":"Robert N."},{"family":"Zhang","given":"Kang"},{"family":"Zhuo","given":"Yehong"}],"issued":{"date-parts":[["2014",7,29]]}}}],"schema":"https://github.com/citation-style-language/schema/raw/master/csl-citation.json"} </w:instrText>
      </w:r>
      <w:r>
        <w:fldChar w:fldCharType="separate"/>
      </w:r>
      <w:r w:rsidR="007D5DBF">
        <w:rPr>
          <w:noProof/>
        </w:rPr>
        <w:t>[79]</w:t>
      </w:r>
      <w:r>
        <w:fldChar w:fldCharType="end"/>
      </w:r>
      <w:r>
        <w:t xml:space="preserve">. </w:t>
      </w:r>
      <w:r w:rsidR="00B47CB2">
        <w:t xml:space="preserve">The NLRP3 inflammasome formation can be separated into two distinct signaling stages: priming and activation </w:t>
      </w:r>
      <w:r w:rsidR="00B47CB2">
        <w:fldChar w:fldCharType="begin"/>
      </w:r>
      <w:r w:rsidR="007D5DBF">
        <w:instrText xml:space="preserve"> ADDIN ZOTERO_ITEM CSL_CITATION {"citationID":"OyGM87c4","properties":{"formattedCitation":"[85]","plainCitation":"[85]","noteIndex":0},"citationItems":[{"id":1687,"uris":["http://zotero.org/users/13277427/items/2NXCN6UV"],"itemData":{"id":1687,"type":"article-journal","abstract":"The NLRP3 inflammasomes is a multiprotein complex that plays a pivotal role in regulating the innate immune system and inflammatory signaling. Upon activation by PAMPs and DAMPs, NLRP3 oligomerizes and activates caspase-1 which initiates the processing and release of pro-inflammatory cytokines IL-1beta and IL-18. NLRP3 is the most extensively studied inflammasome to date due to its array of activators and aberrant activation in several inflammatory diseases. Studies using small molecules and biologics targeting the NLRP3 inflammasome pathway have shown positive outcomes in treating various disease pathologies by blocking chronic inflammation. In this review, we discuss the recent advances in understanding the NLRP3 mechanism, its role in disease pathology, and provide a broad review of inhibitors discovered to target the NLRP3 pathway and their challenges.","container-title":"Frontiers in Aging Neuroscience","DOI":"10.3389/fnagi.2022.879021","ISSN":"1663-4365","journalAbbreviation":"Front. Aging Neurosci.","language":"English","note":"publisher: Frontiers","source":"Frontiers","title":"The NLRP3 Inflammasome Pathway: A Review of Mechanisms and Inhibitors for the Treatment of Inflammatory Diseases","title-short":"The NLRP3 Inflammasome Pathway","URL":"https://www.frontiersin.org/articles/10.3389/fnagi.2022.879021","volume":"14","author":[{"family":"Blevins","given":"Hallie M."},{"family":"Xu","given":"Yiming"},{"family":"Biby","given":"Savannah"},{"family":"Zhang","given":"Shijun"}],"accessed":{"date-parts":[["2024",4,4]]},"issued":{"date-parts":[["2022",6,10]]}}}],"schema":"https://github.com/citation-style-language/schema/raw/master/csl-citation.json"} </w:instrText>
      </w:r>
      <w:r w:rsidR="00B47CB2">
        <w:fldChar w:fldCharType="separate"/>
      </w:r>
      <w:r w:rsidR="007D5DBF">
        <w:rPr>
          <w:noProof/>
        </w:rPr>
        <w:t>[85]</w:t>
      </w:r>
      <w:r w:rsidR="00B47CB2">
        <w:fldChar w:fldCharType="end"/>
      </w:r>
      <w:r w:rsidR="00B47CB2">
        <w:t xml:space="preserve">. During priming the </w:t>
      </w:r>
      <w:r w:rsidR="00B47CB2" w:rsidRPr="00B47CB2">
        <w:t>transcriptional upregulation of NLRP3</w:t>
      </w:r>
      <w:r w:rsidR="00B47CB2">
        <w:t xml:space="preserve"> occurs. After this, a secondary stimulus initiates activation leading to inflammasome complexes. GC could be serving as the secondary stimulus within this pathway as the genes associated with activation stage are being upregulated by GC. Genes associated with the priming stage such as Nlrp3 are downregulated </w:t>
      </w:r>
      <w:r w:rsidR="007445DA">
        <w:t>which warrant</w:t>
      </w:r>
      <w:r w:rsidR="008C3D70">
        <w:t>s</w:t>
      </w:r>
      <w:r w:rsidR="007445DA">
        <w:t xml:space="preserve"> further investigation. A recent study by </w:t>
      </w:r>
      <w:proofErr w:type="spellStart"/>
      <w:r w:rsidR="007445DA">
        <w:t>Gritsenko</w:t>
      </w:r>
      <w:proofErr w:type="spellEnd"/>
      <w:r w:rsidR="007445DA">
        <w:t>, et. al. has shown that the priming may be dispensable for NLRP3 activation and instead can occur from K</w:t>
      </w:r>
      <w:r w:rsidR="007445DA">
        <w:rPr>
          <w:vertAlign w:val="superscript"/>
        </w:rPr>
        <w:t>+</w:t>
      </w:r>
      <w:r w:rsidR="007445DA">
        <w:t xml:space="preserve"> efflux supporting the hypothesis that GC initiates this mechanism </w:t>
      </w:r>
      <w:r w:rsidR="007445DA">
        <w:fldChar w:fldCharType="begin"/>
      </w:r>
      <w:r w:rsidR="007D5DBF">
        <w:instrText xml:space="preserve"> ADDIN ZOTERO_ITEM CSL_CITATION {"citationID":"IvVi1SYG","properties":{"formattedCitation":"[86]","plainCitation":"[86]","noteIndex":0},"citationItems":[{"id":1689,"uris":["http://zotero.org/users/13277427/items/GJVXWIBE"],"itemData":{"id":1689,"type":"article-journal","abstract":"Interleukin (IL)-18 and IL-1β are potent pro-inflammatory cytokines that contribute to inflammatory conditions such as rheumatoid arthritis and Alzheimer’s disease. They are produced as inactive precursors that are activated by large macromolecular complexes called inflammasomes upon sensing damage or pathogenic signals. NLRP3 inflammasome activation is regarded to require a priming step that causes NLRP3 and IL-1β gene upregulation, and also NLRP3 post-translational licencing. A subsequent activation step leads to the assembly of the complex and the cleavage of pro-IL-18 and pro-IL-1β by caspase-1 into their mature forms, allowing their release. Here we show that human monocytes, but not monocyte derived macrophages, are able to form canonical NLRP3 inflammasomes in the absence of priming. NLRP3 activator nigericin caused the processing and release of constitutively expressed IL-18 in an unprimed setting. This was mediated by the canonical NLRP3 inflammasome that was dependent on K+ and Cl− efflux and led to ASC oligomerization, caspase-1 and Gasdermin-D (GSDMD) cleavage. IL-18 release was impaired by the NLRP3 inhibitor MCC950 and by the absence of NLRP3, but also by deficiency of GSDMD, suggesting that pyroptosis is the mechanism of release. This work highlights the readiness of the NLRP3 inflammasome to assemble in the absence of priming in human monocytes and hence contribute to the very early stages of the inflammatory response when IL-1β has not yet been produced. It is important to consider the unprimed setting when researching the mechanisms of NLRP3 activation, as to not overshadow the pathways that occur in the absence of priming stimuli, which might only enhance this response.","container-title":"Frontiers in Immunology","DOI":"10.3389/fimmu.2020.565924","ISSN":"1664-3224","journalAbbreviation":"Front Immunol","note":"PMID: 33101286\nPMCID: PMC7555430","page":"565924","source":"PubMed Central","title":"Priming Is Dispensable for NLRP3 Inflammasome Activation in Human Monocytes In Vitro","volume":"11","author":[{"family":"Gritsenko","given":"Anna"},{"family":"Yu","given":"Shi"},{"family":"Martin-Sanchez","given":"Fatima"},{"family":"Diaz-del-Olmo","given":"Ines"},{"family":"Nichols","given":"Eva-Maria"},{"family":"Davis","given":"Daniel M."},{"family":"Brough","given":"David"},{"family":"Lopez-Castejon","given":"Gloria"}],"issued":{"date-parts":[["2020",9,30]]}}}],"schema":"https://github.com/citation-style-language/schema/raw/master/csl-citation.json"} </w:instrText>
      </w:r>
      <w:r w:rsidR="007445DA">
        <w:fldChar w:fldCharType="separate"/>
      </w:r>
      <w:r w:rsidR="007D5DBF">
        <w:rPr>
          <w:noProof/>
        </w:rPr>
        <w:t>[86]</w:t>
      </w:r>
      <w:r w:rsidR="007445DA">
        <w:fldChar w:fldCharType="end"/>
      </w:r>
      <w:r w:rsidR="007445DA">
        <w:t xml:space="preserve">. </w:t>
      </w:r>
    </w:p>
    <w:p w14:paraId="2F7DC9A8" w14:textId="77777777" w:rsidR="001A7C22" w:rsidRDefault="001A7C22" w:rsidP="001A7C22">
      <w:pPr>
        <w:pStyle w:val="Heading2"/>
      </w:pPr>
    </w:p>
    <w:p w14:paraId="2FCDB5C9" w14:textId="3774EB11" w:rsidR="0012575F" w:rsidRPr="001A7C22" w:rsidRDefault="0078716E" w:rsidP="001A7C22">
      <w:pPr>
        <w:pStyle w:val="Heading2"/>
        <w:rPr>
          <w:sz w:val="32"/>
          <w:szCs w:val="32"/>
        </w:rPr>
      </w:pPr>
      <w:bookmarkStart w:id="61" w:name="_Toc165293372"/>
      <w:r>
        <w:t xml:space="preserve">6.2. </w:t>
      </w:r>
      <w:r w:rsidR="0012575F">
        <w:t>Conclusions</w:t>
      </w:r>
      <w:bookmarkEnd w:id="61"/>
    </w:p>
    <w:p w14:paraId="4208415B" w14:textId="2AED59EB" w:rsidR="005B2541" w:rsidRDefault="005B2541" w:rsidP="005B2541">
      <w:pPr>
        <w:ind w:firstLine="720"/>
      </w:pPr>
      <w:r>
        <w:t>Work has been done to identify STING and GC interactions within the lysosome. Several procedures have been used and the results indicate these interactions</w:t>
      </w:r>
      <w:r w:rsidR="009E719C">
        <w:t xml:space="preserve"> (</w:t>
      </w:r>
      <w:r w:rsidR="009E719C" w:rsidRPr="009E719C">
        <w:rPr>
          <w:b/>
          <w:bCs/>
        </w:rPr>
        <w:t xml:space="preserve">Figures </w:t>
      </w:r>
      <w:r w:rsidR="007877A3">
        <w:rPr>
          <w:b/>
          <w:bCs/>
        </w:rPr>
        <w:t>9</w:t>
      </w:r>
      <w:r w:rsidR="009E719C" w:rsidRPr="009E719C">
        <w:rPr>
          <w:b/>
          <w:bCs/>
        </w:rPr>
        <w:t xml:space="preserve">, </w:t>
      </w:r>
      <w:r w:rsidR="00647800" w:rsidRPr="009E719C">
        <w:rPr>
          <w:b/>
          <w:bCs/>
        </w:rPr>
        <w:t>1</w:t>
      </w:r>
      <w:r w:rsidR="007877A3">
        <w:rPr>
          <w:b/>
          <w:bCs/>
        </w:rPr>
        <w:t>2</w:t>
      </w:r>
      <w:r w:rsidR="00647800" w:rsidRPr="009E719C">
        <w:rPr>
          <w:b/>
          <w:bCs/>
        </w:rPr>
        <w:t>,</w:t>
      </w:r>
      <w:r w:rsidR="009E719C" w:rsidRPr="009E719C">
        <w:rPr>
          <w:b/>
          <w:bCs/>
        </w:rPr>
        <w:t xml:space="preserve"> 1</w:t>
      </w:r>
      <w:r w:rsidR="007877A3">
        <w:rPr>
          <w:b/>
          <w:bCs/>
        </w:rPr>
        <w:t>7</w:t>
      </w:r>
      <w:r w:rsidR="009E719C" w:rsidRPr="009E719C">
        <w:rPr>
          <w:b/>
          <w:bCs/>
        </w:rPr>
        <w:t xml:space="preserve">, and </w:t>
      </w:r>
      <w:r w:rsidR="007877A3">
        <w:rPr>
          <w:b/>
          <w:bCs/>
        </w:rPr>
        <w:t>19</w:t>
      </w:r>
      <w:r w:rsidR="009E719C">
        <w:t>)</w:t>
      </w:r>
      <w:r>
        <w:t>. The western blot results show an increased STING presence in the lysosome (</w:t>
      </w:r>
      <w:r w:rsidRPr="00D63894">
        <w:rPr>
          <w:b/>
          <w:bCs/>
        </w:rPr>
        <w:t xml:space="preserve">Figures </w:t>
      </w:r>
      <w:r w:rsidR="007877A3">
        <w:rPr>
          <w:b/>
          <w:bCs/>
        </w:rPr>
        <w:t>9</w:t>
      </w:r>
      <w:r w:rsidRPr="00D63894">
        <w:rPr>
          <w:b/>
          <w:bCs/>
        </w:rPr>
        <w:t>-1</w:t>
      </w:r>
      <w:r w:rsidR="007877A3">
        <w:rPr>
          <w:b/>
          <w:bCs/>
        </w:rPr>
        <w:t>2</w:t>
      </w:r>
      <w:r>
        <w:t>), IF shows GC and STING interactions (</w:t>
      </w:r>
      <w:r w:rsidRPr="00D63894">
        <w:rPr>
          <w:b/>
          <w:bCs/>
        </w:rPr>
        <w:t>Figures 1</w:t>
      </w:r>
      <w:r w:rsidR="007877A3">
        <w:rPr>
          <w:b/>
          <w:bCs/>
        </w:rPr>
        <w:t>6</w:t>
      </w:r>
      <w:r w:rsidRPr="00D63894">
        <w:rPr>
          <w:b/>
          <w:bCs/>
        </w:rPr>
        <w:t>-</w:t>
      </w:r>
      <w:r w:rsidR="007877A3">
        <w:rPr>
          <w:b/>
          <w:bCs/>
        </w:rPr>
        <w:t>18</w:t>
      </w:r>
      <w:r>
        <w:t>), and bulk RNA sequencing data shows an upregulation of lysosomal STING dependent and NLRP3 pathway associated genes in response to GC stimulation (</w:t>
      </w:r>
      <w:r w:rsidRPr="00D63894">
        <w:rPr>
          <w:b/>
          <w:bCs/>
        </w:rPr>
        <w:t xml:space="preserve">Figures </w:t>
      </w:r>
      <w:r w:rsidR="007877A3">
        <w:rPr>
          <w:b/>
          <w:bCs/>
        </w:rPr>
        <w:t>19</w:t>
      </w:r>
      <w:r w:rsidRPr="00D63894">
        <w:rPr>
          <w:b/>
          <w:bCs/>
        </w:rPr>
        <w:t xml:space="preserve"> and 2</w:t>
      </w:r>
      <w:r w:rsidR="007877A3">
        <w:rPr>
          <w:b/>
          <w:bCs/>
        </w:rPr>
        <w:t>0</w:t>
      </w:r>
      <w:r>
        <w:t xml:space="preserve">). Our study helps elucidate GC’s cellular mechanism which will help to improve GC therapeutic applications and efficacy in future cancer treatments. </w:t>
      </w:r>
      <w:r w:rsidRPr="00D63894">
        <w:t xml:space="preserve">The question becomes now, does GC cause autophagosome swelling and leakage which in turn </w:t>
      </w:r>
      <w:r w:rsidRPr="00D63894">
        <w:lastRenderedPageBreak/>
        <w:t>activates STING or does STING traffic to the autophagosome to initiate autophagosome swelling by interacting with GC?</w:t>
      </w:r>
      <w:r>
        <w:t xml:space="preserve"> Future work will be done to investigate this question. </w:t>
      </w:r>
    </w:p>
    <w:p w14:paraId="411ECAD0" w14:textId="51C65DC5" w:rsidR="0012575F" w:rsidRPr="0012575F" w:rsidRDefault="0012575F" w:rsidP="005B2541">
      <w:pPr>
        <w:ind w:firstLine="720"/>
      </w:pPr>
      <w:r>
        <w:t xml:space="preserve"> </w:t>
      </w:r>
    </w:p>
    <w:p w14:paraId="6F4DB43B" w14:textId="5BA05D82" w:rsidR="0085200D" w:rsidRDefault="0078716E" w:rsidP="0012575F">
      <w:pPr>
        <w:pStyle w:val="Heading2"/>
      </w:pPr>
      <w:bookmarkStart w:id="62" w:name="_Toc165293373"/>
      <w:r>
        <w:t xml:space="preserve">6.3. </w:t>
      </w:r>
      <w:r w:rsidR="00100D58">
        <w:t xml:space="preserve">Future </w:t>
      </w:r>
      <w:r w:rsidR="001A7C22">
        <w:t>Directions</w:t>
      </w:r>
      <w:bookmarkEnd w:id="62"/>
      <w:r w:rsidR="00100D58">
        <w:t xml:space="preserve"> </w:t>
      </w:r>
    </w:p>
    <w:p w14:paraId="38A13B6E" w14:textId="65356BA1" w:rsidR="0085200D" w:rsidRDefault="00D32A00" w:rsidP="007C387C">
      <w:pPr>
        <w:ind w:firstLine="360"/>
      </w:pPr>
      <w:r>
        <w:t xml:space="preserve">The current work indicates GC-STING interactions and NLRP3 pathway crosstalk. </w:t>
      </w:r>
      <w:r w:rsidR="0085200D">
        <w:t>While work has been done to shed light on potential GC-STING interactions, more procedure</w:t>
      </w:r>
      <w:r>
        <w:t>s</w:t>
      </w:r>
      <w:r w:rsidR="0085200D">
        <w:t xml:space="preserve"> can be done to mitigate some of the issues addressed </w:t>
      </w:r>
      <w:r w:rsidR="006366EB">
        <w:t>in the current investigation</w:t>
      </w:r>
      <w:r w:rsidR="0085200D">
        <w:t xml:space="preserve">. While western blotting and </w:t>
      </w:r>
      <w:r>
        <w:t>IF</w:t>
      </w:r>
      <w:r w:rsidR="0085200D">
        <w:t xml:space="preserve"> were indicative of STING and GC interactions within the lysosome, some future </w:t>
      </w:r>
      <w:r w:rsidR="006366EB">
        <w:t>studies as outlined below are needed to fully understand the STING-GC interactions.</w:t>
      </w:r>
      <w:r w:rsidR="0085200D">
        <w:t xml:space="preserve"> </w:t>
      </w:r>
    </w:p>
    <w:p w14:paraId="63F2ECF6" w14:textId="6C48422B" w:rsidR="000901E6" w:rsidRDefault="00D32A00" w:rsidP="00D32A00">
      <w:pPr>
        <w:ind w:firstLine="360"/>
      </w:pPr>
      <w:r>
        <w:t xml:space="preserve">Different time points need to be investigated. While the 10 hour time point provided a good starting point, the 8 and 12 hour time points also need to be tested </w:t>
      </w:r>
      <w:proofErr w:type="gramStart"/>
      <w:r>
        <w:t>in order to</w:t>
      </w:r>
      <w:proofErr w:type="gramEnd"/>
      <w:r>
        <w:t xml:space="preserve"> better investigate GC-STING interactions. The IF imaging showed some colocalization of GC and STING at the 10 hour point </w:t>
      </w:r>
      <w:r w:rsidR="0085200D">
        <w:t xml:space="preserve">the interactions may be better detected at different </w:t>
      </w:r>
      <w:r>
        <w:t>stimulation</w:t>
      </w:r>
      <w:r w:rsidR="006366EB">
        <w:t xml:space="preserve"> durations</w:t>
      </w:r>
      <w:r w:rsidR="000901E6">
        <w:t xml:space="preserve">. </w:t>
      </w:r>
      <w:r>
        <w:t>Building on this, u</w:t>
      </w:r>
      <w:r w:rsidR="0085200D">
        <w:t xml:space="preserve">sing </w:t>
      </w:r>
      <w:r w:rsidR="000901E6">
        <w:t>e</w:t>
      </w:r>
      <w:r w:rsidR="000901E6" w:rsidRPr="004C6256">
        <w:t>lectron micrograph</w:t>
      </w:r>
      <w:r>
        <w:t xml:space="preserve"> could help</w:t>
      </w:r>
      <w:r w:rsidR="000901E6">
        <w:t xml:space="preserve"> to confirm autophagosome formation. </w:t>
      </w:r>
      <w:r>
        <w:t xml:space="preserve">This method of autophagosome confirmation was successfully utilized by </w:t>
      </w:r>
      <w:proofErr w:type="spellStart"/>
      <w:r>
        <w:t>Gui</w:t>
      </w:r>
      <w:proofErr w:type="spellEnd"/>
      <w:r>
        <w:t xml:space="preserve"> et. al., and would be beneficial in outlining</w:t>
      </w:r>
      <w:r w:rsidR="003868FA">
        <w:t xml:space="preserve"> the mechanism of cellular stress that GC induces </w:t>
      </w:r>
      <w:r w:rsidR="003868FA">
        <w:fldChar w:fldCharType="begin"/>
      </w:r>
      <w:r w:rsidR="007D5DBF">
        <w:instrText xml:space="preserve"> ADDIN ZOTERO_ITEM CSL_CITATION {"citationID":"QdTcwgpf","properties":{"formattedCitation":"[84]","plainCitation":"[84]","noteIndex":0},"citationItems":[{"id":1477,"uris":["http://zotero.org/users/13277427/items/4BA4KLHH"],"itemData":{"id":1477,"type":"article-journal","abstract":"Cyclic GMP-AMP (cGAMP) synthase (cGAS) detects infections or tissue damage by binding to microbial or self DNA in the cytoplasm1. Upon binding DNA, cGAS produces cGAMP that binds to and activates the adaptor protein STING, which then activates the kinases IKK and TBK1 to induce interferons and other cytokines2–6. Here we report that STING also activates autophagy through a mechanism that is independent of TBK1 activation and interferon induction. Upon binding cGAMP, STING translocates to the endoplasmic reticulum–Golgi intermediate compartment (ERGIC) and the Golgi in a process that is dependent on the COP-II complex and ARF GTPases. STING-containing ERGIC serves as a membrane source for LC3 lipidation, which is a key step in autophagosome biogenesis. cGAMP induced LC3 lipidation through a pathway that is dependent on WIPI2 and ATG5 but independent of the ULK and VPS34–beclin kinase complexes. Furthermore, we show that cGAMP-induced autophagy is important for the clearance of DNA and viruses in the cytosol. Interestingly, STING from the sea anemone Nematostella vectensis induces autophagy but not interferons in response to stimulation by cGAMP, which suggests that induction of autophagy is a primordial function of the cGAS–STING pathway.","container-title":"Nature","DOI":"10.1038/s41586-019-1006-9","ISSN":"1476-4687","issue":"7747","language":"en","license":"2019 The Author(s), under exclusive licence to Springer Nature Limited","note":"publisher: Nature Publishing Group","page":"262-266","source":"www.nature.com","title":"Autophagy induction via STING trafficking is a primordial function of the cGAS pathway","volume":"567","author":[{"family":"Gui","given":"Xiang"},{"family":"Yang","given":"Hui"},{"family":"Li","given":"Tuo"},{"family":"Tan","given":"Xiaojun"},{"family":"Shi","given":"Peiqing"},{"family":"Li","given":"Minghao"},{"family":"Du","given":"Fenghe"},{"family":"Chen","given":"Zhijian J."}],"issued":{"date-parts":[["2019",3]]}}}],"schema":"https://github.com/citation-style-language/schema/raw/master/csl-citation.json"} </w:instrText>
      </w:r>
      <w:r w:rsidR="003868FA">
        <w:fldChar w:fldCharType="separate"/>
      </w:r>
      <w:r w:rsidR="007D5DBF">
        <w:rPr>
          <w:noProof/>
        </w:rPr>
        <w:t>[84]</w:t>
      </w:r>
      <w:r w:rsidR="003868FA">
        <w:fldChar w:fldCharType="end"/>
      </w:r>
      <w:r w:rsidR="003868FA">
        <w:t xml:space="preserve">. </w:t>
      </w:r>
    </w:p>
    <w:p w14:paraId="7C03FDCE" w14:textId="6AF4D35E" w:rsidR="000901E6" w:rsidRDefault="000901E6" w:rsidP="003868FA">
      <w:pPr>
        <w:ind w:firstLine="360"/>
      </w:pPr>
      <w:r>
        <w:t xml:space="preserve">Investigating different </w:t>
      </w:r>
      <w:r w:rsidR="006366EB">
        <w:t>housekeeping</w:t>
      </w:r>
      <w:r>
        <w:t xml:space="preserve"> proteins</w:t>
      </w:r>
      <w:r w:rsidR="006366EB">
        <w:t xml:space="preserve"> for the Western blotting analysis</w:t>
      </w:r>
      <w:r>
        <w:t xml:space="preserve">. At this time, no </w:t>
      </w:r>
      <w:r w:rsidR="006366EB">
        <w:t>housekeeping</w:t>
      </w:r>
      <w:r>
        <w:t xml:space="preserve"> protein has been found that is not simultaneously upregulated by this pathway. However, future research may reveal another protein which may be used to normalize the data. </w:t>
      </w:r>
    </w:p>
    <w:p w14:paraId="6136272C" w14:textId="336E1FB2" w:rsidR="001C2D71" w:rsidRDefault="003868FA" w:rsidP="003868FA">
      <w:pPr>
        <w:ind w:firstLine="360"/>
      </w:pPr>
      <w:r>
        <w:t xml:space="preserve">Once the GC-STING interactions are further confirmed, steps can be taken to better illustrate these interactions. First being, isolating which STING pocket GC binds to. This can be accomplished through </w:t>
      </w:r>
      <w:r w:rsidR="00A85AE8">
        <w:t>competitive binding assay</w:t>
      </w:r>
      <w:r>
        <w:t>s</w:t>
      </w:r>
      <w:r w:rsidR="00A85AE8">
        <w:t xml:space="preserve">. </w:t>
      </w:r>
      <w:r>
        <w:t xml:space="preserve">Next, investigations are </w:t>
      </w:r>
      <w:r w:rsidR="00286F4F">
        <w:t>needed</w:t>
      </w:r>
      <w:r>
        <w:t xml:space="preserve"> to f</w:t>
      </w:r>
      <w:r w:rsidR="00523070">
        <w:t xml:space="preserve">urther </w:t>
      </w:r>
      <w:r>
        <w:t>delineate</w:t>
      </w:r>
      <w:r w:rsidR="006366EB">
        <w:t xml:space="preserve"> </w:t>
      </w:r>
      <w:r w:rsidR="00523070">
        <w:t xml:space="preserve">STING trafficking through the subcellular components. </w:t>
      </w:r>
      <w:r>
        <w:t xml:space="preserve">Additionally, </w:t>
      </w:r>
      <w:r w:rsidR="00A85AE8" w:rsidRPr="00A85AE8">
        <w:t xml:space="preserve">immunogenic cell death via the lysosomal leakage due to STING </w:t>
      </w:r>
      <w:r>
        <w:t xml:space="preserve">and NLP3 </w:t>
      </w:r>
      <w:r w:rsidR="00A85AE8" w:rsidRPr="00A85AE8">
        <w:t>pathway activation</w:t>
      </w:r>
      <w:r>
        <w:t xml:space="preserve"> needs to </w:t>
      </w:r>
      <w:r w:rsidR="00286F4F">
        <w:t xml:space="preserve">be </w:t>
      </w:r>
      <w:r>
        <w:t>confirm</w:t>
      </w:r>
      <w:r w:rsidR="00286F4F">
        <w:t>ed</w:t>
      </w:r>
      <w:r>
        <w:t xml:space="preserve">. At this moment </w:t>
      </w:r>
      <w:proofErr w:type="gramStart"/>
      <w:r>
        <w:t>it is clear that GC</w:t>
      </w:r>
      <w:proofErr w:type="gramEnd"/>
      <w:r>
        <w:t xml:space="preserve"> has interactions with both these pathways but the extent of which remains unclear. </w:t>
      </w:r>
      <w:r w:rsidR="007C387C">
        <w:t xml:space="preserve">Further outlining the link between GC and these pathways is the next step in understanding the GC mechanism within the immune system. </w:t>
      </w:r>
      <w:r w:rsidR="001C2D71">
        <w:br w:type="page"/>
      </w:r>
    </w:p>
    <w:p w14:paraId="45571B3A" w14:textId="141D4191" w:rsidR="001C2D71" w:rsidRPr="001C2D71" w:rsidRDefault="001C2D71" w:rsidP="00EA1377">
      <w:pPr>
        <w:pStyle w:val="Heading1"/>
      </w:pPr>
      <w:bookmarkStart w:id="63" w:name="_Toc165293374"/>
      <w:r>
        <w:lastRenderedPageBreak/>
        <w:t>References</w:t>
      </w:r>
      <w:bookmarkEnd w:id="63"/>
    </w:p>
    <w:p w14:paraId="07A88343" w14:textId="77777777" w:rsidR="00757DBE" w:rsidRPr="00757DBE" w:rsidRDefault="001C2D71" w:rsidP="00757DBE">
      <w:pPr>
        <w:pStyle w:val="Bibliography"/>
      </w:pPr>
      <w:r>
        <w:fldChar w:fldCharType="begin"/>
      </w:r>
      <w:r w:rsidR="00D92E09">
        <w:instrText xml:space="preserve"> ADDIN ZOTERO_BIBL {"uncited":[],"omitted":[],"custom":[]} CSL_BIBLIOGRAPHY </w:instrText>
      </w:r>
      <w:r>
        <w:fldChar w:fldCharType="separate"/>
      </w:r>
      <w:r w:rsidR="00757DBE" w:rsidRPr="00757DBE">
        <w:t>[1]</w:t>
      </w:r>
      <w:r w:rsidR="00757DBE" w:rsidRPr="00757DBE">
        <w:tab/>
        <w:t>“Immunostimulant - an overview | ScienceDirect Topics.” Accessed: Mar. 04, 2024. [Online]. Available: https://www.sciencedirect.com/topics/pharmacology-toxicology-and-pharmaceutical-science/immunostimulant</w:t>
      </w:r>
    </w:p>
    <w:p w14:paraId="66C05437" w14:textId="77777777" w:rsidR="00757DBE" w:rsidRPr="00757DBE" w:rsidRDefault="00757DBE" w:rsidP="00757DBE">
      <w:pPr>
        <w:pStyle w:val="Bibliography"/>
      </w:pPr>
      <w:r w:rsidRPr="00757DBE">
        <w:t>[2]</w:t>
      </w:r>
      <w:r w:rsidRPr="00757DBE">
        <w:tab/>
        <w:t xml:space="preserve">E. F. McCarthy, “The Toxins of William B. Coley and the Treatment of Bone and Soft-Tissue Sarcomas,” </w:t>
      </w:r>
      <w:r w:rsidRPr="00757DBE">
        <w:rPr>
          <w:i/>
          <w:iCs/>
        </w:rPr>
        <w:t>Iowa Orthop. J.</w:t>
      </w:r>
      <w:r w:rsidRPr="00757DBE">
        <w:t>, vol. 26, pp. 154–158, 2006.</w:t>
      </w:r>
    </w:p>
    <w:p w14:paraId="7B6BA8A1" w14:textId="77777777" w:rsidR="00757DBE" w:rsidRPr="00757DBE" w:rsidRDefault="00757DBE" w:rsidP="00757DBE">
      <w:pPr>
        <w:pStyle w:val="Bibliography"/>
        <w:rPr>
          <w:lang w:val="fr-FR"/>
        </w:rPr>
      </w:pPr>
      <w:r w:rsidRPr="00757DBE">
        <w:t>[3]</w:t>
      </w:r>
      <w:r w:rsidRPr="00757DBE">
        <w:tab/>
        <w:t xml:space="preserve">“Immunological Adjuvant - an overview | ScienceDirect Topics.” Accessed: Jan. 07, 2024. </w:t>
      </w:r>
      <w:r w:rsidRPr="00757DBE">
        <w:rPr>
          <w:lang w:val="fr-FR"/>
        </w:rPr>
        <w:t>[Online]. Available: https://www.sciencedirect.com/topics/medicine-and-dentistry/immunological-adjuvant</w:t>
      </w:r>
    </w:p>
    <w:p w14:paraId="6C3122D8" w14:textId="77777777" w:rsidR="00757DBE" w:rsidRPr="00757DBE" w:rsidRDefault="00757DBE" w:rsidP="00757DBE">
      <w:pPr>
        <w:pStyle w:val="Bibliography"/>
      </w:pPr>
      <w:r w:rsidRPr="00757DBE">
        <w:t>[4]</w:t>
      </w:r>
      <w:r w:rsidRPr="00757DBE">
        <w:tab/>
        <w:t xml:space="preserve">S. S. Moni </w:t>
      </w:r>
      <w:r w:rsidRPr="00757DBE">
        <w:rPr>
          <w:i/>
          <w:iCs/>
        </w:rPr>
        <w:t>et al.</w:t>
      </w:r>
      <w:r w:rsidRPr="00757DBE">
        <w:t xml:space="preserve">, “Advancements in Vaccine Adjuvants: The Journey from Alum to Nano Formulations,” </w:t>
      </w:r>
      <w:r w:rsidRPr="00757DBE">
        <w:rPr>
          <w:i/>
          <w:iCs/>
        </w:rPr>
        <w:t>Vaccines</w:t>
      </w:r>
      <w:r w:rsidRPr="00757DBE">
        <w:t>, vol. 11, no. 11, p. 1704, Nov. 2023, doi: 10.3390/vaccines11111704.</w:t>
      </w:r>
    </w:p>
    <w:p w14:paraId="3412AA23" w14:textId="77777777" w:rsidR="00757DBE" w:rsidRPr="00757DBE" w:rsidRDefault="00757DBE" w:rsidP="00757DBE">
      <w:pPr>
        <w:pStyle w:val="Bibliography"/>
      </w:pPr>
      <w:r w:rsidRPr="00757DBE">
        <w:t>[5]</w:t>
      </w:r>
      <w:r w:rsidRPr="00757DBE">
        <w:tab/>
        <w:t xml:space="preserve">D. Christensen, “Vaccine adjuvants: Why and how,” </w:t>
      </w:r>
      <w:r w:rsidRPr="00757DBE">
        <w:rPr>
          <w:i/>
          <w:iCs/>
        </w:rPr>
        <w:t>Hum. Vaccines Immunother.</w:t>
      </w:r>
      <w:r w:rsidRPr="00757DBE">
        <w:t>, vol. 12, no. 10, pp. 2709–2711, Aug. 2016, doi: 10.1080/21645515.2016.1219003.</w:t>
      </w:r>
    </w:p>
    <w:p w14:paraId="4B15C952" w14:textId="77777777" w:rsidR="00757DBE" w:rsidRPr="00757DBE" w:rsidRDefault="00757DBE" w:rsidP="00757DBE">
      <w:pPr>
        <w:pStyle w:val="Bibliography"/>
      </w:pPr>
      <w:r w:rsidRPr="00757DBE">
        <w:t>[6]</w:t>
      </w:r>
      <w:r w:rsidRPr="00757DBE">
        <w:tab/>
        <w:t>“Adjuvants and Vaccines | Vaccine Safety | CDC.” Accessed: Jan. 07, 2024. [Online]. Available: https://www.cdc.gov/vaccinesafety/concerns/adjuvants.html</w:t>
      </w:r>
    </w:p>
    <w:p w14:paraId="1DD92901" w14:textId="77777777" w:rsidR="00757DBE" w:rsidRPr="00757DBE" w:rsidRDefault="00757DBE" w:rsidP="00757DBE">
      <w:pPr>
        <w:pStyle w:val="Bibliography"/>
      </w:pPr>
      <w:r w:rsidRPr="00757DBE">
        <w:t>[7]</w:t>
      </w:r>
      <w:r w:rsidRPr="00757DBE">
        <w:tab/>
        <w:t>“Immunological Adjuvant - an overview | ScienceDirect Topics.” Accessed: Jan. 09, 2024. [Online]. Available: https://www.sciencedirect.com/topics/medicine-and-dentistry/immunological-adjuvant</w:t>
      </w:r>
    </w:p>
    <w:p w14:paraId="2F06D984" w14:textId="77777777" w:rsidR="00757DBE" w:rsidRPr="00757DBE" w:rsidRDefault="00757DBE" w:rsidP="00757DBE">
      <w:pPr>
        <w:pStyle w:val="Bibliography"/>
      </w:pPr>
      <w:r w:rsidRPr="00757DBE">
        <w:t>[8]</w:t>
      </w:r>
      <w:r w:rsidRPr="00757DBE">
        <w:tab/>
        <w:t>admin, “Challenges and State of the Art: The advanced stage patient,” memoinOncology. Accessed: Mar. 10, 2024. [Online]. Available: https://memoinoncology.com/preceptorship-cologne-2018/challenges-and-state-of-the-art-the-advanced-stage-patient/</w:t>
      </w:r>
    </w:p>
    <w:p w14:paraId="34D361BD" w14:textId="77777777" w:rsidR="00757DBE" w:rsidRPr="00757DBE" w:rsidRDefault="00757DBE" w:rsidP="00757DBE">
      <w:pPr>
        <w:pStyle w:val="Bibliography"/>
        <w:rPr>
          <w:lang w:val="fr-FR"/>
        </w:rPr>
      </w:pPr>
      <w:r w:rsidRPr="00757DBE">
        <w:t>[9]</w:t>
      </w:r>
      <w:r w:rsidRPr="00757DBE">
        <w:tab/>
        <w:t xml:space="preserve">“What Is Cancer? - NCI.” Accessed: Oct. 03, 2023. </w:t>
      </w:r>
      <w:r w:rsidRPr="00757DBE">
        <w:rPr>
          <w:lang w:val="fr-FR"/>
        </w:rPr>
        <w:t>[Online]. Available: https://www.cancer.gov/about-cancer/understanding/what-is-cancer</w:t>
      </w:r>
    </w:p>
    <w:p w14:paraId="2C595FC3" w14:textId="77777777" w:rsidR="00757DBE" w:rsidRPr="00757DBE" w:rsidRDefault="00757DBE" w:rsidP="00757DBE">
      <w:pPr>
        <w:pStyle w:val="Bibliography"/>
      </w:pPr>
      <w:r w:rsidRPr="00757DBE">
        <w:t>[10]</w:t>
      </w:r>
      <w:r w:rsidRPr="00757DBE">
        <w:tab/>
        <w:t xml:space="preserve">A. I. Riggio, K. E. Varley, and A. L. Welm, “The lingering mysteries of metastatic recurrence in breast cancer,” </w:t>
      </w:r>
      <w:r w:rsidRPr="00757DBE">
        <w:rPr>
          <w:i/>
          <w:iCs/>
        </w:rPr>
        <w:t>Br. J. Cancer</w:t>
      </w:r>
      <w:r w:rsidRPr="00757DBE">
        <w:t>, vol. 124, no. 1, pp. 13–26, Jan. 2021, doi: 10.1038/s41416-020-01161-4.</w:t>
      </w:r>
    </w:p>
    <w:p w14:paraId="7BBB75FB" w14:textId="77777777" w:rsidR="00757DBE" w:rsidRPr="00757DBE" w:rsidRDefault="00757DBE" w:rsidP="00757DBE">
      <w:pPr>
        <w:pStyle w:val="Bibliography"/>
        <w:rPr>
          <w:lang w:val="fr-FR"/>
        </w:rPr>
      </w:pPr>
      <w:r w:rsidRPr="00757DBE">
        <w:t>[11]</w:t>
      </w:r>
      <w:r w:rsidRPr="00757DBE">
        <w:tab/>
        <w:t xml:space="preserve">“Surgery for Cancer - NCI.” Accessed: Mar. 12, 2024. </w:t>
      </w:r>
      <w:r w:rsidRPr="00757DBE">
        <w:rPr>
          <w:lang w:val="fr-FR"/>
        </w:rPr>
        <w:t>[Online]. Available: https://www.cancer.gov/about-cancer/treatment/types/surgery</w:t>
      </w:r>
    </w:p>
    <w:p w14:paraId="61AA1C96" w14:textId="77777777" w:rsidR="00757DBE" w:rsidRPr="00757DBE" w:rsidRDefault="00757DBE" w:rsidP="00757DBE">
      <w:pPr>
        <w:pStyle w:val="Bibliography"/>
        <w:rPr>
          <w:lang w:val="fr-FR"/>
        </w:rPr>
      </w:pPr>
      <w:r w:rsidRPr="00757DBE">
        <w:t>[12]</w:t>
      </w:r>
      <w:r w:rsidRPr="00757DBE">
        <w:tab/>
        <w:t xml:space="preserve">“How chemotherapy works.” Accessed: Mar. 12, 2024. </w:t>
      </w:r>
      <w:r w:rsidRPr="00757DBE">
        <w:rPr>
          <w:lang w:val="fr-FR"/>
        </w:rPr>
        <w:t>[Online]. Available: https://www.cancerresearchuk.org/about-cancer/treatment/chemotherapy/how-chemotherapy-works</w:t>
      </w:r>
    </w:p>
    <w:p w14:paraId="561790D0" w14:textId="77777777" w:rsidR="00757DBE" w:rsidRPr="00757DBE" w:rsidRDefault="00757DBE" w:rsidP="00757DBE">
      <w:pPr>
        <w:pStyle w:val="Bibliography"/>
      </w:pPr>
      <w:r w:rsidRPr="00757DBE">
        <w:t>[13]</w:t>
      </w:r>
      <w:r w:rsidRPr="00757DBE">
        <w:tab/>
        <w:t xml:space="preserve">W. A. Hall </w:t>
      </w:r>
      <w:r w:rsidRPr="00757DBE">
        <w:rPr>
          <w:i/>
          <w:iCs/>
        </w:rPr>
        <w:t>et al.</w:t>
      </w:r>
      <w:r w:rsidRPr="00757DBE">
        <w:t xml:space="preserve">, “Magnetic resonance linear accelerator technology and adaptive radiation therapy: An overview for clinicians,” </w:t>
      </w:r>
      <w:r w:rsidRPr="00757DBE">
        <w:rPr>
          <w:i/>
          <w:iCs/>
        </w:rPr>
        <w:t>CA. Cancer J. Clin.</w:t>
      </w:r>
      <w:r w:rsidRPr="00757DBE">
        <w:t>, vol. 72, no. 1, pp. 34–56, 2022, doi: 10.3322/caac.21707.</w:t>
      </w:r>
    </w:p>
    <w:p w14:paraId="611B7219" w14:textId="77777777" w:rsidR="00757DBE" w:rsidRPr="00757DBE" w:rsidRDefault="00757DBE" w:rsidP="00757DBE">
      <w:pPr>
        <w:pStyle w:val="Bibliography"/>
      </w:pPr>
      <w:r w:rsidRPr="00757DBE">
        <w:t>[14]</w:t>
      </w:r>
      <w:r w:rsidRPr="00757DBE">
        <w:tab/>
        <w:t xml:space="preserve">F. S. Hodi </w:t>
      </w:r>
      <w:r w:rsidRPr="00757DBE">
        <w:rPr>
          <w:i/>
          <w:iCs/>
        </w:rPr>
        <w:t>et al.</w:t>
      </w:r>
      <w:r w:rsidRPr="00757DBE">
        <w:t xml:space="preserve">, “Improved Survival with Ipilimumab in Patients with Metastatic Melanoma,” </w:t>
      </w:r>
      <w:r w:rsidRPr="00757DBE">
        <w:rPr>
          <w:i/>
          <w:iCs/>
        </w:rPr>
        <w:t>N. Engl. J. Med.</w:t>
      </w:r>
      <w:r w:rsidRPr="00757DBE">
        <w:t>, vol. 363, no. 8, pp. 711–723, Aug. 2010, doi: 10.1056/NEJMoa1003466.</w:t>
      </w:r>
    </w:p>
    <w:p w14:paraId="74F5108E" w14:textId="77777777" w:rsidR="00757DBE" w:rsidRPr="00757DBE" w:rsidRDefault="00757DBE" w:rsidP="00757DBE">
      <w:pPr>
        <w:pStyle w:val="Bibliography"/>
      </w:pPr>
      <w:r w:rsidRPr="00757DBE">
        <w:t>[15]</w:t>
      </w:r>
      <w:r w:rsidRPr="00757DBE">
        <w:tab/>
        <w:t>“Cancer immunotherapy comes of age | Nature.” Accessed: Mar. 12, 2024. [Online]. Available: https://www.nature.com/articles/nature10673</w:t>
      </w:r>
    </w:p>
    <w:p w14:paraId="788911DE" w14:textId="77777777" w:rsidR="00757DBE" w:rsidRPr="00757DBE" w:rsidRDefault="00757DBE" w:rsidP="00757DBE">
      <w:pPr>
        <w:pStyle w:val="Bibliography"/>
      </w:pPr>
      <w:r w:rsidRPr="00757DBE">
        <w:t>[16]</w:t>
      </w:r>
      <w:r w:rsidRPr="00757DBE">
        <w:tab/>
        <w:t xml:space="preserve">D. S. Chen and I. Mellman, “Oncology meets immunology: the cancer-immunity cycle,” </w:t>
      </w:r>
      <w:r w:rsidRPr="00757DBE">
        <w:rPr>
          <w:i/>
          <w:iCs/>
        </w:rPr>
        <w:t>Immunity</w:t>
      </w:r>
      <w:r w:rsidRPr="00757DBE">
        <w:t>, vol. 39, no. 1, pp. 1–10, Jul. 2013, doi: 10.1016/j.immuni.2013.07.012.</w:t>
      </w:r>
    </w:p>
    <w:p w14:paraId="3D7F5C46" w14:textId="77777777" w:rsidR="00757DBE" w:rsidRPr="00757DBE" w:rsidRDefault="00757DBE" w:rsidP="00757DBE">
      <w:pPr>
        <w:pStyle w:val="Bibliography"/>
      </w:pPr>
      <w:r w:rsidRPr="00757DBE">
        <w:lastRenderedPageBreak/>
        <w:t>[17]</w:t>
      </w:r>
      <w:r w:rsidRPr="00757DBE">
        <w:tab/>
        <w:t xml:space="preserve">C. M. Weiss </w:t>
      </w:r>
      <w:r w:rsidRPr="00757DBE">
        <w:rPr>
          <w:i/>
          <w:iCs/>
        </w:rPr>
        <w:t>et al.</w:t>
      </w:r>
      <w:r w:rsidRPr="00757DBE">
        <w:t xml:space="preserve">, “N-dihydrogalactochitosan reduces mortality in a lethal mouse model of SARS-CoV-2,” </w:t>
      </w:r>
      <w:r w:rsidRPr="00757DBE">
        <w:rPr>
          <w:i/>
          <w:iCs/>
        </w:rPr>
        <w:t>PLOS ONE</w:t>
      </w:r>
      <w:r w:rsidRPr="00757DBE">
        <w:t>, vol. 18, no. 8, p. e0289139, Aug. 2023, doi: 10.1371/journal.pone.0289139.</w:t>
      </w:r>
    </w:p>
    <w:p w14:paraId="5A03AF30" w14:textId="77777777" w:rsidR="00757DBE" w:rsidRPr="00757DBE" w:rsidRDefault="00757DBE" w:rsidP="00757DBE">
      <w:pPr>
        <w:pStyle w:val="Bibliography"/>
        <w:rPr>
          <w:lang w:val="pt-BR"/>
        </w:rPr>
      </w:pPr>
      <w:r w:rsidRPr="00757DBE">
        <w:t>[18]</w:t>
      </w:r>
      <w:r w:rsidRPr="00757DBE">
        <w:tab/>
        <w:t xml:space="preserve">A. El-Hussein, S. S. K. Lam, J. Raker, W. R. Chen, and M. R. Hamblin, “N-dihydrogalactochitosan as a potent immune activator for dendritic cells,” </w:t>
      </w:r>
      <w:r w:rsidRPr="00757DBE">
        <w:rPr>
          <w:i/>
          <w:iCs/>
        </w:rPr>
        <w:t xml:space="preserve">J. Biomed. </w:t>
      </w:r>
      <w:r w:rsidRPr="00757DBE">
        <w:rPr>
          <w:i/>
          <w:iCs/>
          <w:lang w:val="pt-BR"/>
        </w:rPr>
        <w:t>Mater. Res. A</w:t>
      </w:r>
      <w:r w:rsidRPr="00757DBE">
        <w:rPr>
          <w:lang w:val="pt-BR"/>
        </w:rPr>
        <w:t>, vol. 105, no. 4, pp. 963–972, Apr. 2017, doi: 10.1002/jbm.a.35991.</w:t>
      </w:r>
    </w:p>
    <w:p w14:paraId="5A64A265" w14:textId="77777777" w:rsidR="00757DBE" w:rsidRPr="00757DBE" w:rsidRDefault="00757DBE" w:rsidP="00757DBE">
      <w:pPr>
        <w:pStyle w:val="Bibliography"/>
      </w:pPr>
      <w:r w:rsidRPr="00757DBE">
        <w:t>[19]</w:t>
      </w:r>
      <w:r w:rsidRPr="00757DBE">
        <w:tab/>
        <w:t xml:space="preserve">J. Ding and Y. Guo, “Recent Advances in Chitosan and its Derivatives in Cancer Treatment,” </w:t>
      </w:r>
      <w:r w:rsidRPr="00757DBE">
        <w:rPr>
          <w:i/>
          <w:iCs/>
        </w:rPr>
        <w:t>Front. Pharmacol.</w:t>
      </w:r>
      <w:r w:rsidRPr="00757DBE">
        <w:t>, vol. 13, p. 888740, Apr. 2022, doi: 10.3389/fphar.2022.888740.</w:t>
      </w:r>
    </w:p>
    <w:p w14:paraId="61B6F45A" w14:textId="77777777" w:rsidR="00757DBE" w:rsidRPr="00757DBE" w:rsidRDefault="00757DBE" w:rsidP="00757DBE">
      <w:pPr>
        <w:pStyle w:val="Bibliography"/>
      </w:pPr>
      <w:r w:rsidRPr="00757DBE">
        <w:t>[20]</w:t>
      </w:r>
      <w:r w:rsidRPr="00757DBE">
        <w:tab/>
        <w:t xml:space="preserve">S. Song, F. Zhou, R. E. Nordquist, R. Carubelli, H. Liu, and W. R. Chen, “Glycated chitosan as a new non-toxic immunological stimulant,” </w:t>
      </w:r>
      <w:r w:rsidRPr="00757DBE">
        <w:rPr>
          <w:i/>
          <w:iCs/>
        </w:rPr>
        <w:t>Immunopharmacol. Immunotoxicol.</w:t>
      </w:r>
      <w:r w:rsidRPr="00757DBE">
        <w:t>, vol. 31, no. 2, pp. 202–208, Jun. 2009, doi: 10.1080/08923970802629593.</w:t>
      </w:r>
    </w:p>
    <w:p w14:paraId="42C8FD9B" w14:textId="77777777" w:rsidR="00757DBE" w:rsidRPr="00757DBE" w:rsidRDefault="00757DBE" w:rsidP="00757DBE">
      <w:pPr>
        <w:pStyle w:val="Bibliography"/>
      </w:pPr>
      <w:r w:rsidRPr="00757DBE">
        <w:t>[21]</w:t>
      </w:r>
      <w:r w:rsidRPr="00757DBE">
        <w:tab/>
        <w:t xml:space="preserve">J. Banchereau and R. M. Steinman, “Dendritic cells and the control of immunity,” </w:t>
      </w:r>
      <w:r w:rsidRPr="00757DBE">
        <w:rPr>
          <w:i/>
          <w:iCs/>
        </w:rPr>
        <w:t>Nature</w:t>
      </w:r>
      <w:r w:rsidRPr="00757DBE">
        <w:t>, vol. 392, no. 6673, pp. 245–252, Mar. 1998, doi: 10.1038/32588.</w:t>
      </w:r>
    </w:p>
    <w:p w14:paraId="33B60624" w14:textId="77777777" w:rsidR="00757DBE" w:rsidRPr="00757DBE" w:rsidRDefault="00757DBE" w:rsidP="00757DBE">
      <w:pPr>
        <w:pStyle w:val="Bibliography"/>
      </w:pPr>
      <w:r w:rsidRPr="00757DBE">
        <w:t>[22]</w:t>
      </w:r>
      <w:r w:rsidRPr="00757DBE">
        <w:tab/>
        <w:t xml:space="preserve">Q. Xiao and Y. Xia, “Insights into dendritic cell maturation during infection with application of advanced imaging techniques,” </w:t>
      </w:r>
      <w:r w:rsidRPr="00757DBE">
        <w:rPr>
          <w:i/>
          <w:iCs/>
        </w:rPr>
        <w:t>Front. Cell. Infect. Microbiol.</w:t>
      </w:r>
      <w:r w:rsidRPr="00757DBE">
        <w:t>, vol. 13, Mar. 2023, doi: 10.3389/fcimb.2023.1140765.</w:t>
      </w:r>
    </w:p>
    <w:p w14:paraId="69165CF5" w14:textId="77777777" w:rsidR="00757DBE" w:rsidRPr="00757DBE" w:rsidRDefault="00757DBE" w:rsidP="00757DBE">
      <w:pPr>
        <w:pStyle w:val="Bibliography"/>
      </w:pPr>
      <w:r w:rsidRPr="00757DBE">
        <w:t>[23]</w:t>
      </w:r>
      <w:r w:rsidRPr="00757DBE">
        <w:tab/>
        <w:t xml:space="preserve">L. Hato </w:t>
      </w:r>
      <w:r w:rsidRPr="00757DBE">
        <w:rPr>
          <w:i/>
          <w:iCs/>
        </w:rPr>
        <w:t>et al.</w:t>
      </w:r>
      <w:r w:rsidRPr="00757DBE">
        <w:t xml:space="preserve">, “Dendritic Cells in Cancer Immunology and Immunotherapy,” </w:t>
      </w:r>
      <w:r w:rsidRPr="00757DBE">
        <w:rPr>
          <w:i/>
          <w:iCs/>
        </w:rPr>
        <w:t>Cancers</w:t>
      </w:r>
      <w:r w:rsidRPr="00757DBE">
        <w:t>, vol. 16, no. 5, p. 981, Feb. 2024, doi: 10.3390/cancers16050981.</w:t>
      </w:r>
    </w:p>
    <w:p w14:paraId="19F90098" w14:textId="77777777" w:rsidR="00757DBE" w:rsidRPr="00757DBE" w:rsidRDefault="00757DBE" w:rsidP="00757DBE">
      <w:pPr>
        <w:pStyle w:val="Bibliography"/>
      </w:pPr>
      <w:r w:rsidRPr="00757DBE">
        <w:t>[24]</w:t>
      </w:r>
      <w:r w:rsidRPr="00757DBE">
        <w:tab/>
        <w:t xml:space="preserve">D. Liu, X. Che, X. Wang, C. Ma, and G. Wu, “Tumor Vaccines: Unleashing the Power of the Immune System to Fight Cancer,” </w:t>
      </w:r>
      <w:r w:rsidRPr="00757DBE">
        <w:rPr>
          <w:i/>
          <w:iCs/>
        </w:rPr>
        <w:t>Pharmaceuticals</w:t>
      </w:r>
      <w:r w:rsidRPr="00757DBE">
        <w:t>, vol. 16, no. 10, p. 1384, Sep. 2023, doi: 10.3390/ph16101384.</w:t>
      </w:r>
    </w:p>
    <w:p w14:paraId="009875AE" w14:textId="77777777" w:rsidR="00757DBE" w:rsidRPr="00757DBE" w:rsidRDefault="00757DBE" w:rsidP="00757DBE">
      <w:pPr>
        <w:pStyle w:val="Bibliography"/>
      </w:pPr>
      <w:r w:rsidRPr="00757DBE">
        <w:t>[25]</w:t>
      </w:r>
      <w:r w:rsidRPr="00757DBE">
        <w:tab/>
        <w:t xml:space="preserve">A. Del Prete </w:t>
      </w:r>
      <w:r w:rsidRPr="00757DBE">
        <w:rPr>
          <w:i/>
          <w:iCs/>
        </w:rPr>
        <w:t>et al.</w:t>
      </w:r>
      <w:r w:rsidRPr="00757DBE">
        <w:t xml:space="preserve">, “Dendritic cell subsets in cancer immunity and tumor antigen sensing,” </w:t>
      </w:r>
      <w:r w:rsidRPr="00757DBE">
        <w:rPr>
          <w:i/>
          <w:iCs/>
        </w:rPr>
        <w:t>Cell. Mol. Immunol.</w:t>
      </w:r>
      <w:r w:rsidRPr="00757DBE">
        <w:t>, vol. 20, no. 5, pp. 432–447, May 2023, doi: 10.1038/s41423-023-00990-6.</w:t>
      </w:r>
    </w:p>
    <w:p w14:paraId="73E738FF" w14:textId="77777777" w:rsidR="00757DBE" w:rsidRPr="00757DBE" w:rsidRDefault="00757DBE" w:rsidP="00757DBE">
      <w:pPr>
        <w:pStyle w:val="Bibliography"/>
      </w:pPr>
      <w:r w:rsidRPr="00757DBE">
        <w:t>[26]</w:t>
      </w:r>
      <w:r w:rsidRPr="00757DBE">
        <w:tab/>
        <w:t xml:space="preserve">A. Decout, J. D. Katz, S. Venkatraman, and A. Ablasser, “The cGAS–STING pathway as a therapeutic target in inflammatory diseases,” </w:t>
      </w:r>
      <w:r w:rsidRPr="00757DBE">
        <w:rPr>
          <w:i/>
          <w:iCs/>
        </w:rPr>
        <w:t>Nat. Rev. Immunol.</w:t>
      </w:r>
      <w:r w:rsidRPr="00757DBE">
        <w:t>, vol. 21, no. 9, pp. 548–569, Sep. 2021, doi: 10.1038/s41577-021-00524-z.</w:t>
      </w:r>
    </w:p>
    <w:p w14:paraId="088295F6" w14:textId="77777777" w:rsidR="00757DBE" w:rsidRPr="00757DBE" w:rsidRDefault="00757DBE" w:rsidP="00757DBE">
      <w:pPr>
        <w:pStyle w:val="Bibliography"/>
      </w:pPr>
      <w:r w:rsidRPr="00757DBE">
        <w:t>[27]</w:t>
      </w:r>
      <w:r w:rsidRPr="00757DBE">
        <w:tab/>
        <w:t xml:space="preserve">A. R. Hoover </w:t>
      </w:r>
      <w:r w:rsidRPr="00757DBE">
        <w:rPr>
          <w:i/>
          <w:iCs/>
        </w:rPr>
        <w:t>et al.</w:t>
      </w:r>
      <w:r w:rsidRPr="00757DBE">
        <w:t>, “A novel biopolymer synergizes type I IFN and IL-1β production through STING,” Cancer Biology, preprint, Jul. 2022. doi: 10.1101/2022.07.22.501157.</w:t>
      </w:r>
    </w:p>
    <w:p w14:paraId="14BFBF09" w14:textId="77777777" w:rsidR="00757DBE" w:rsidRPr="00757DBE" w:rsidRDefault="00757DBE" w:rsidP="00757DBE">
      <w:pPr>
        <w:pStyle w:val="Bibliography"/>
      </w:pPr>
      <w:r w:rsidRPr="00757DBE">
        <w:t>[28]</w:t>
      </w:r>
      <w:r w:rsidRPr="00757DBE">
        <w:tab/>
        <w:t xml:space="preserve">E. S. Pang </w:t>
      </w:r>
      <w:r w:rsidRPr="00757DBE">
        <w:rPr>
          <w:i/>
          <w:iCs/>
        </w:rPr>
        <w:t>et al.</w:t>
      </w:r>
      <w:r w:rsidRPr="00757DBE">
        <w:t xml:space="preserve">, “Discordance in STING-Induced Activation and Cell Death Between Mouse and Human Dendritic Cell Populations,” </w:t>
      </w:r>
      <w:r w:rsidRPr="00757DBE">
        <w:rPr>
          <w:i/>
          <w:iCs/>
        </w:rPr>
        <w:t>Front. Immunol.</w:t>
      </w:r>
      <w:r w:rsidRPr="00757DBE">
        <w:t>, vol. 13, 2022, Accessed: Mar. 04, 2024. [Online]. Available: https://www.frontiersin.org/journals/immunology/articles/10.3389/fimmu.2022.794776</w:t>
      </w:r>
    </w:p>
    <w:p w14:paraId="1B106662" w14:textId="77777777" w:rsidR="00757DBE" w:rsidRPr="00757DBE" w:rsidRDefault="00757DBE" w:rsidP="00757DBE">
      <w:pPr>
        <w:pStyle w:val="Bibliography"/>
      </w:pPr>
      <w:r w:rsidRPr="00757DBE">
        <w:t>[29]</w:t>
      </w:r>
      <w:r w:rsidRPr="00757DBE">
        <w:tab/>
        <w:t xml:space="preserve">X. Wang, M. Lin, L. Zhu, and Z. Ye, “GAS-STING: a classical DNA recognition pathways to tumor therapy,” </w:t>
      </w:r>
      <w:r w:rsidRPr="00757DBE">
        <w:rPr>
          <w:i/>
          <w:iCs/>
        </w:rPr>
        <w:t>Front. Immunol.</w:t>
      </w:r>
      <w:r w:rsidRPr="00757DBE">
        <w:t>, vol. 14, 2023, Accessed: Mar. 04, 2024. [Online]. Available: https://www.frontiersin.org/journals/immunology/articles/10.3389/fimmu.2023.1200245</w:t>
      </w:r>
    </w:p>
    <w:p w14:paraId="5F347439" w14:textId="77777777" w:rsidR="00757DBE" w:rsidRPr="00757DBE" w:rsidRDefault="00757DBE" w:rsidP="00757DBE">
      <w:pPr>
        <w:pStyle w:val="Bibliography"/>
      </w:pPr>
      <w:r w:rsidRPr="00757DBE">
        <w:t>[30]</w:t>
      </w:r>
      <w:r w:rsidRPr="00757DBE">
        <w:tab/>
        <w:t xml:space="preserve">Z. Hu </w:t>
      </w:r>
      <w:r w:rsidRPr="00757DBE">
        <w:rPr>
          <w:i/>
          <w:iCs/>
        </w:rPr>
        <w:t>et al.</w:t>
      </w:r>
      <w:r w:rsidRPr="00757DBE">
        <w:t xml:space="preserve">, “Glycolysis drives STING signaling to facilitate dendritic cell antitumor function,” </w:t>
      </w:r>
      <w:r w:rsidRPr="00757DBE">
        <w:rPr>
          <w:i/>
          <w:iCs/>
        </w:rPr>
        <w:t>J. Clin. Invest.</w:t>
      </w:r>
      <w:r w:rsidRPr="00757DBE">
        <w:t>, vol. 133, no. 7, Apr. 2023, doi: 10.1172/JCI166031.</w:t>
      </w:r>
    </w:p>
    <w:p w14:paraId="7A5B9881" w14:textId="77777777" w:rsidR="00757DBE" w:rsidRPr="00757DBE" w:rsidRDefault="00757DBE" w:rsidP="00757DBE">
      <w:pPr>
        <w:pStyle w:val="Bibliography"/>
      </w:pPr>
      <w:r w:rsidRPr="00757DBE">
        <w:t>[31]</w:t>
      </w:r>
      <w:r w:rsidRPr="00757DBE">
        <w:tab/>
        <w:t xml:space="preserve">J. Wang </w:t>
      </w:r>
      <w:r w:rsidRPr="00757DBE">
        <w:rPr>
          <w:i/>
          <w:iCs/>
        </w:rPr>
        <w:t>et al.</w:t>
      </w:r>
      <w:r w:rsidRPr="00757DBE">
        <w:t>, “STING Licensing of Type I Dendritic Cells Potentiates Antitumor Immunity,” Immunology, preprint, Jan. 2024. doi: 10.1101/2024.01.02.573934.</w:t>
      </w:r>
    </w:p>
    <w:p w14:paraId="26F678FD" w14:textId="77777777" w:rsidR="00757DBE" w:rsidRPr="00757DBE" w:rsidRDefault="00757DBE" w:rsidP="00757DBE">
      <w:pPr>
        <w:pStyle w:val="Bibliography"/>
      </w:pPr>
      <w:r w:rsidRPr="00757DBE">
        <w:lastRenderedPageBreak/>
        <w:t>[32]</w:t>
      </w:r>
      <w:r w:rsidRPr="00757DBE">
        <w:tab/>
        <w:t xml:space="preserve">B. Larkin, V. Ilyukha, M. Sorokin, A. Buzdin, E. Vannier, and A. Poltorak, “Cutting Edge: Activation of STING in T Cells Induces Type I IFN Responses and Cell Death,” </w:t>
      </w:r>
      <w:r w:rsidRPr="00757DBE">
        <w:rPr>
          <w:i/>
          <w:iCs/>
        </w:rPr>
        <w:t>J. Immunol.</w:t>
      </w:r>
      <w:r w:rsidRPr="00757DBE">
        <w:t>, vol. 199, no. 2, pp. 397–402, Jul. 2017, doi: 10.4049/jimmunol.1601999.</w:t>
      </w:r>
    </w:p>
    <w:p w14:paraId="588C3995" w14:textId="77777777" w:rsidR="00757DBE" w:rsidRPr="00757DBE" w:rsidRDefault="00757DBE" w:rsidP="00757DBE">
      <w:pPr>
        <w:pStyle w:val="Bibliography"/>
      </w:pPr>
      <w:r w:rsidRPr="00757DBE">
        <w:t>[33]</w:t>
      </w:r>
      <w:r w:rsidRPr="00757DBE">
        <w:tab/>
        <w:t xml:space="preserve">R. E. Vatner and E. M. Janssen, “STING, DCs and the link between innate and adaptive tumor immunity,” </w:t>
      </w:r>
      <w:r w:rsidRPr="00757DBE">
        <w:rPr>
          <w:i/>
          <w:iCs/>
        </w:rPr>
        <w:t>Mol. Immunol.</w:t>
      </w:r>
      <w:r w:rsidRPr="00757DBE">
        <w:t>, vol. 110, pp. 13–23, Jun. 2019, doi: 10.1016/j.molimm.2017.12.001.</w:t>
      </w:r>
    </w:p>
    <w:p w14:paraId="1689E166" w14:textId="77777777" w:rsidR="00757DBE" w:rsidRPr="00757DBE" w:rsidRDefault="00757DBE" w:rsidP="00757DBE">
      <w:pPr>
        <w:pStyle w:val="Bibliography"/>
      </w:pPr>
      <w:r w:rsidRPr="00757DBE">
        <w:t>[34]</w:t>
      </w:r>
      <w:r w:rsidRPr="00757DBE">
        <w:tab/>
        <w:t xml:space="preserve">L. Yu and P. Liu, “Cytosolic DNA sensing by cGAS: regulation, function, and human diseases,” </w:t>
      </w:r>
      <w:r w:rsidRPr="00757DBE">
        <w:rPr>
          <w:i/>
          <w:iCs/>
        </w:rPr>
        <w:t>Signal Transduct. Target. Ther.</w:t>
      </w:r>
      <w:r w:rsidRPr="00757DBE">
        <w:t>, vol. 6, no. 1, p. 170, Apr. 2021, doi: 10.1038/s41392-021-00554-y.</w:t>
      </w:r>
    </w:p>
    <w:p w14:paraId="4298B87B" w14:textId="77777777" w:rsidR="00757DBE" w:rsidRPr="00757DBE" w:rsidRDefault="00757DBE" w:rsidP="00757DBE">
      <w:pPr>
        <w:pStyle w:val="Bibliography"/>
      </w:pPr>
      <w:r w:rsidRPr="00757DBE">
        <w:t>[35]</w:t>
      </w:r>
      <w:r w:rsidRPr="00757DBE">
        <w:tab/>
        <w:t xml:space="preserve">M. Hirschenberger </w:t>
      </w:r>
      <w:r w:rsidRPr="00757DBE">
        <w:rPr>
          <w:i/>
          <w:iCs/>
        </w:rPr>
        <w:t>et al.</w:t>
      </w:r>
      <w:r w:rsidRPr="00757DBE">
        <w:t xml:space="preserve">, “ARF1 prevents aberrant type I interferon induction by regulating STING activation and recycling,” </w:t>
      </w:r>
      <w:r w:rsidRPr="00757DBE">
        <w:rPr>
          <w:i/>
          <w:iCs/>
        </w:rPr>
        <w:t>Nat. Commun.</w:t>
      </w:r>
      <w:r w:rsidRPr="00757DBE">
        <w:t>, vol. 14, p. 6770, Nov. 2023, doi: 10.1038/s41467-023-42150-4.</w:t>
      </w:r>
    </w:p>
    <w:p w14:paraId="77EA29E3" w14:textId="77777777" w:rsidR="00757DBE" w:rsidRPr="00757DBE" w:rsidRDefault="00757DBE" w:rsidP="00757DBE">
      <w:pPr>
        <w:pStyle w:val="Bibliography"/>
      </w:pPr>
      <w:r w:rsidRPr="00757DBE">
        <w:t>[36]</w:t>
      </w:r>
      <w:r w:rsidRPr="00757DBE">
        <w:tab/>
        <w:t xml:space="preserve">Z. Li, S. Cai, Y. Sun, L. Li, S. Ding, and X. Wang, “When STING Meets Viruses: Sensing, Trafficking and Response,” </w:t>
      </w:r>
      <w:r w:rsidRPr="00757DBE">
        <w:rPr>
          <w:i/>
          <w:iCs/>
        </w:rPr>
        <w:t>Front. Immunol.</w:t>
      </w:r>
      <w:r w:rsidRPr="00757DBE">
        <w:t>, vol. 11, p. 2064, Sep. 2020, doi: 10.3389/fimmu.2020.02064.</w:t>
      </w:r>
    </w:p>
    <w:p w14:paraId="6D55D62F" w14:textId="77777777" w:rsidR="00757DBE" w:rsidRPr="00757DBE" w:rsidRDefault="00757DBE" w:rsidP="00757DBE">
      <w:pPr>
        <w:pStyle w:val="Bibliography"/>
      </w:pPr>
      <w:r w:rsidRPr="00757DBE">
        <w:t>[37]</w:t>
      </w:r>
      <w:r w:rsidRPr="00757DBE">
        <w:tab/>
        <w:t>“Targeting the STING pathway with a combination strategy promotes antitumor activity,” News-Medical. Accessed: Mar. 13, 2024. [Online]. Available: https://www.news-medical.net/news/20230327/Targeting-the-STING-pathway-with-a-combination-strategy-promotes-antitumor-activity.aspx</w:t>
      </w:r>
    </w:p>
    <w:p w14:paraId="1106B87F" w14:textId="77777777" w:rsidR="00757DBE" w:rsidRPr="00757DBE" w:rsidRDefault="00757DBE" w:rsidP="00757DBE">
      <w:pPr>
        <w:pStyle w:val="Bibliography"/>
      </w:pPr>
      <w:r w:rsidRPr="00757DBE">
        <w:t>[38]</w:t>
      </w:r>
      <w:r w:rsidRPr="00757DBE">
        <w:tab/>
        <w:t xml:space="preserve">Q. Liang </w:t>
      </w:r>
      <w:r w:rsidRPr="00757DBE">
        <w:rPr>
          <w:i/>
          <w:iCs/>
        </w:rPr>
        <w:t>et al.</w:t>
      </w:r>
      <w:r w:rsidRPr="00757DBE">
        <w:t xml:space="preserve">, “Crosstalk between the cGAS DNA sensor and Beclin-1 autophagy protein shapes innate antimicrobial immune responses,” </w:t>
      </w:r>
      <w:r w:rsidRPr="00757DBE">
        <w:rPr>
          <w:i/>
          <w:iCs/>
        </w:rPr>
        <w:t>Cell Host Microbe</w:t>
      </w:r>
      <w:r w:rsidRPr="00757DBE">
        <w:t>, vol. 15, no. 2, pp. 228–238, Feb. 2014, doi: 10.1016/j.chom.2014.01.009.</w:t>
      </w:r>
    </w:p>
    <w:p w14:paraId="49E09782" w14:textId="77777777" w:rsidR="00757DBE" w:rsidRPr="00757DBE" w:rsidRDefault="00757DBE" w:rsidP="00757DBE">
      <w:pPr>
        <w:pStyle w:val="Bibliography"/>
      </w:pPr>
      <w:r w:rsidRPr="00757DBE">
        <w:t>[39]</w:t>
      </w:r>
      <w:r w:rsidRPr="00757DBE">
        <w:tab/>
        <w:t xml:space="preserve">J. Liu, X. Zhang, and H. Wang, “The cGAS-STING-mediated NLRP3 inflammasome is involved in the neurotoxicity induced by manganese exposure,” </w:t>
      </w:r>
      <w:r w:rsidRPr="00757DBE">
        <w:rPr>
          <w:i/>
          <w:iCs/>
        </w:rPr>
        <w:t>Biomed. Pharmacother.</w:t>
      </w:r>
      <w:r w:rsidRPr="00757DBE">
        <w:t>, vol. 154, p. 113680, Oct. 2022, doi: 10.1016/j.biopha.2022.113680.</w:t>
      </w:r>
    </w:p>
    <w:p w14:paraId="482138FB" w14:textId="77777777" w:rsidR="00757DBE" w:rsidRPr="00757DBE" w:rsidRDefault="00757DBE" w:rsidP="00757DBE">
      <w:pPr>
        <w:pStyle w:val="Bibliography"/>
      </w:pPr>
      <w:r w:rsidRPr="00757DBE">
        <w:t>[40]</w:t>
      </w:r>
      <w:r w:rsidRPr="00757DBE">
        <w:tab/>
        <w:t xml:space="preserve">M. M. Gaidt </w:t>
      </w:r>
      <w:r w:rsidRPr="00757DBE">
        <w:rPr>
          <w:i/>
          <w:iCs/>
        </w:rPr>
        <w:t>et al.</w:t>
      </w:r>
      <w:r w:rsidRPr="00757DBE">
        <w:t xml:space="preserve">, “The DNA Inflammasome in Human Myeloid Cells Is Initiated by a STING-Cell Death Program Upstream of NLRP3,” </w:t>
      </w:r>
      <w:r w:rsidRPr="00757DBE">
        <w:rPr>
          <w:i/>
          <w:iCs/>
        </w:rPr>
        <w:t>Cell</w:t>
      </w:r>
      <w:r w:rsidRPr="00757DBE">
        <w:t>, vol. 171, no. 5, pp. 1110-1124.e18, Nov. 2017, doi: 10.1016/j.cell.2017.09.039.</w:t>
      </w:r>
    </w:p>
    <w:p w14:paraId="3D93DE75" w14:textId="77777777" w:rsidR="00757DBE" w:rsidRPr="00757DBE" w:rsidRDefault="00757DBE" w:rsidP="00757DBE">
      <w:pPr>
        <w:pStyle w:val="Bibliography"/>
      </w:pPr>
      <w:r w:rsidRPr="00757DBE">
        <w:t>[41]</w:t>
      </w:r>
      <w:r w:rsidRPr="00757DBE">
        <w:tab/>
        <w:t xml:space="preserve">R. Muñoz-Planillo, P. Kuffa, G. Martínez-Colón, B. L. Smith, T. M. Rajendiran, and G. Núñez, “K+ efflux is the Common Trigger of NLRP3 inflammasome Activation by Bacterial Toxins and Particulate Matter,” </w:t>
      </w:r>
      <w:r w:rsidRPr="00757DBE">
        <w:rPr>
          <w:i/>
          <w:iCs/>
        </w:rPr>
        <w:t>Immunity</w:t>
      </w:r>
      <w:r w:rsidRPr="00757DBE">
        <w:t>, vol. 38, no. 6, pp. 1142–1153, Jun. 2013, doi: 10.1016/j.immuni.2013.05.016.</w:t>
      </w:r>
    </w:p>
    <w:p w14:paraId="6CCA1035" w14:textId="77777777" w:rsidR="00757DBE" w:rsidRPr="00757DBE" w:rsidRDefault="00757DBE" w:rsidP="00757DBE">
      <w:pPr>
        <w:pStyle w:val="Bibliography"/>
      </w:pPr>
      <w:r w:rsidRPr="00757DBE">
        <w:t>[42]</w:t>
      </w:r>
      <w:r w:rsidRPr="00757DBE">
        <w:tab/>
        <w:t xml:space="preserve">C.-A. Malinczak </w:t>
      </w:r>
      <w:r w:rsidRPr="00757DBE">
        <w:rPr>
          <w:i/>
          <w:iCs/>
        </w:rPr>
        <w:t>et al.</w:t>
      </w:r>
      <w:r w:rsidRPr="00757DBE">
        <w:t xml:space="preserve">, “Sex-associated early-life viral innate immune response is transcriptionally associated with chromatin remodeling of type-I IFN-inducible genes,” </w:t>
      </w:r>
      <w:r w:rsidRPr="00757DBE">
        <w:rPr>
          <w:i/>
          <w:iCs/>
        </w:rPr>
        <w:t>Mucosal Immunol.</w:t>
      </w:r>
      <w:r w:rsidRPr="00757DBE">
        <w:t>, vol. 16, no. 5, pp. 578–592, Oct. 2023, doi: 10.1016/j.mucimm.2023.06.002.</w:t>
      </w:r>
    </w:p>
    <w:p w14:paraId="1EDCBC10" w14:textId="77777777" w:rsidR="00757DBE" w:rsidRPr="00757DBE" w:rsidRDefault="00757DBE" w:rsidP="00757DBE">
      <w:pPr>
        <w:pStyle w:val="Bibliography"/>
      </w:pPr>
      <w:r w:rsidRPr="00757DBE">
        <w:t>[43]</w:t>
      </w:r>
      <w:r w:rsidRPr="00757DBE">
        <w:tab/>
        <w:t xml:space="preserve">R. A. Gosavi </w:t>
      </w:r>
      <w:r w:rsidRPr="00757DBE">
        <w:rPr>
          <w:i/>
          <w:iCs/>
        </w:rPr>
        <w:t>et al.</w:t>
      </w:r>
      <w:r w:rsidRPr="00757DBE">
        <w:t xml:space="preserve">, “Optimization of </w:t>
      </w:r>
      <w:r w:rsidRPr="00757DBE">
        <w:rPr>
          <w:i/>
          <w:iCs/>
        </w:rPr>
        <w:t>Ex Vivo</w:t>
      </w:r>
      <w:r w:rsidRPr="00757DBE">
        <w:t xml:space="preserve"> Murine Bone Marrow Derived Immature Dendritic Cells: A Comparative Analysis of Flask Culture Method and Mouse CD11c Positive Selection Kit Method,” </w:t>
      </w:r>
      <w:r w:rsidRPr="00757DBE">
        <w:rPr>
          <w:i/>
          <w:iCs/>
        </w:rPr>
        <w:t>Bone Marrow Res.</w:t>
      </w:r>
      <w:r w:rsidRPr="00757DBE">
        <w:t>, vol. 2018, pp. 1–9, Feb. 2018, doi: 10.1155/2018/3495086.</w:t>
      </w:r>
    </w:p>
    <w:p w14:paraId="15278091" w14:textId="77777777" w:rsidR="00757DBE" w:rsidRPr="00757DBE" w:rsidRDefault="00757DBE" w:rsidP="00757DBE">
      <w:pPr>
        <w:pStyle w:val="Bibliography"/>
      </w:pPr>
      <w:r w:rsidRPr="00757DBE">
        <w:t>[44]</w:t>
      </w:r>
      <w:r w:rsidRPr="00757DBE">
        <w:tab/>
        <w:t xml:space="preserve">L. van de Laar, P. J. Coffer, and A. M. Woltman, “Regulation of dendritic cell development by GM-CSF: molecular control and implications for immune homeostasis and therapy,” </w:t>
      </w:r>
      <w:r w:rsidRPr="00757DBE">
        <w:rPr>
          <w:i/>
          <w:iCs/>
        </w:rPr>
        <w:t>Blood</w:t>
      </w:r>
      <w:r w:rsidRPr="00757DBE">
        <w:t>, vol. 119, no. 15, pp. 3383–3393, Apr. 2012, doi: 10.1182/blood-2011-11-370130.</w:t>
      </w:r>
    </w:p>
    <w:p w14:paraId="277BEA7B" w14:textId="77777777" w:rsidR="00757DBE" w:rsidRPr="00757DBE" w:rsidRDefault="00757DBE" w:rsidP="00757DBE">
      <w:pPr>
        <w:pStyle w:val="Bibliography"/>
        <w:rPr>
          <w:lang w:val="it-IT"/>
        </w:rPr>
      </w:pPr>
      <w:r w:rsidRPr="00757DBE">
        <w:lastRenderedPageBreak/>
        <w:t>[45]</w:t>
      </w:r>
      <w:r w:rsidRPr="00757DBE">
        <w:tab/>
        <w:t xml:space="preserve">S. Nair, G. E. Archer, and T. F. Tedder, “ISOLATION AND GENERATION OF HUMAN DENDRITIC CELLS,” </w:t>
      </w:r>
      <w:r w:rsidRPr="00757DBE">
        <w:rPr>
          <w:i/>
          <w:iCs/>
        </w:rPr>
        <w:t xml:space="preserve">Curr. </w:t>
      </w:r>
      <w:r w:rsidRPr="00757DBE">
        <w:rPr>
          <w:i/>
          <w:iCs/>
          <w:lang w:val="it-IT"/>
        </w:rPr>
        <w:t>Protoc. Immunol. Ed. John E Coligan Al</w:t>
      </w:r>
      <w:r w:rsidRPr="00757DBE">
        <w:rPr>
          <w:lang w:val="it-IT"/>
        </w:rPr>
        <w:t>, vol. 0 7, p. Unit7.32, Nov. 2012, doi: 10.1002/0471142735.im0732s99.</w:t>
      </w:r>
    </w:p>
    <w:p w14:paraId="57DF462D" w14:textId="77777777" w:rsidR="00757DBE" w:rsidRPr="00757DBE" w:rsidRDefault="00757DBE" w:rsidP="00757DBE">
      <w:pPr>
        <w:pStyle w:val="Bibliography"/>
      </w:pPr>
      <w:r w:rsidRPr="00757DBE">
        <w:t>[46]</w:t>
      </w:r>
      <w:r w:rsidRPr="00757DBE">
        <w:tab/>
        <w:t>PubChem, “HDAC2 - histone deacetylase 2 (human).” Accessed: Mar. 12, 2024. [Online]. Available: https://pubchem.ncbi.nlm.nih.gov/gene/HDAC2/human</w:t>
      </w:r>
    </w:p>
    <w:p w14:paraId="2B940FDB" w14:textId="77777777" w:rsidR="00757DBE" w:rsidRPr="00757DBE" w:rsidRDefault="00757DBE" w:rsidP="00757DBE">
      <w:pPr>
        <w:pStyle w:val="Bibliography"/>
      </w:pPr>
      <w:r w:rsidRPr="00757DBE">
        <w:t>[47]</w:t>
      </w:r>
      <w:r w:rsidRPr="00757DBE">
        <w:tab/>
        <w:t xml:space="preserve">A. K. S. Camara, Y. Zhou, P.-C. Wen, E. Tajkhorshid, and W.-M. Kwok, “Mitochondrial VDAC1: A Key Gatekeeper as Potential Therapeutic Target,” </w:t>
      </w:r>
      <w:r w:rsidRPr="00757DBE">
        <w:rPr>
          <w:i/>
          <w:iCs/>
        </w:rPr>
        <w:t>Front. Physiol.</w:t>
      </w:r>
      <w:r w:rsidRPr="00757DBE">
        <w:t>, vol. 8, p. 460, Jun. 2017, doi: 10.3389/fphys.2017.00460.</w:t>
      </w:r>
    </w:p>
    <w:p w14:paraId="6A31006D" w14:textId="77777777" w:rsidR="00757DBE" w:rsidRPr="00757DBE" w:rsidRDefault="00757DBE" w:rsidP="00757DBE">
      <w:pPr>
        <w:pStyle w:val="Bibliography"/>
      </w:pPr>
      <w:r w:rsidRPr="00757DBE">
        <w:t>[48]</w:t>
      </w:r>
      <w:r w:rsidRPr="00757DBE">
        <w:tab/>
        <w:t>“LAMP1 - an overview | ScienceDirect Topics.” Accessed: Mar. 14, 2024. [Online]. Available: https://www.sciencedirect.com/topics/biochemistry-genetics-and-molecular-biology/lamp1</w:t>
      </w:r>
    </w:p>
    <w:p w14:paraId="74EA3474" w14:textId="77777777" w:rsidR="00757DBE" w:rsidRPr="00757DBE" w:rsidRDefault="00757DBE" w:rsidP="00757DBE">
      <w:pPr>
        <w:pStyle w:val="Bibliography"/>
      </w:pPr>
      <w:r w:rsidRPr="00757DBE">
        <w:t>[49]</w:t>
      </w:r>
      <w:r w:rsidRPr="00757DBE">
        <w:tab/>
        <w:t>“Beta-actin Loading Control | OriGene.” Accessed: Mar. 14, 2024. [Online]. Available: https://www.origene.com/products/antibodies/primary-antibodies/loading-control-antibodies/beta-actin-loading-control</w:t>
      </w:r>
    </w:p>
    <w:p w14:paraId="57EB44B2" w14:textId="77777777" w:rsidR="00757DBE" w:rsidRPr="00757DBE" w:rsidRDefault="00757DBE" w:rsidP="00757DBE">
      <w:pPr>
        <w:pStyle w:val="Bibliography"/>
      </w:pPr>
      <w:r w:rsidRPr="00757DBE">
        <w:t>[50]</w:t>
      </w:r>
      <w:r w:rsidRPr="00757DBE">
        <w:tab/>
        <w:t>“Histone Deacetylase 2 - an overview | ScienceDirect Topics.” Accessed: Mar. 12, 2024. [Online]. Available: https://www.sciencedirect.com/topics/biochemistry-genetics-and-molecular-biology/histone-deacetylase-2</w:t>
      </w:r>
    </w:p>
    <w:p w14:paraId="77B7328F" w14:textId="77777777" w:rsidR="00757DBE" w:rsidRPr="00757DBE" w:rsidRDefault="00757DBE" w:rsidP="00757DBE">
      <w:pPr>
        <w:pStyle w:val="Bibliography"/>
      </w:pPr>
      <w:r w:rsidRPr="00757DBE">
        <w:t>[51]</w:t>
      </w:r>
      <w:r w:rsidRPr="00757DBE">
        <w:tab/>
        <w:t>“STING (D2P2F) Rabbit mAb,” Cell Signaling Technology. Accessed: Mar. 14, 2024. [Online]. Available: https://www.cellsignal.com/products/primary-antibodies/sting-d2p2f-rabbit-mab/13647</w:t>
      </w:r>
    </w:p>
    <w:p w14:paraId="4A1B863E" w14:textId="77777777" w:rsidR="00757DBE" w:rsidRPr="00757DBE" w:rsidRDefault="00757DBE" w:rsidP="00757DBE">
      <w:pPr>
        <w:pStyle w:val="Bibliography"/>
      </w:pPr>
      <w:r w:rsidRPr="00757DBE">
        <w:t>[52]</w:t>
      </w:r>
      <w:r w:rsidRPr="00757DBE">
        <w:tab/>
        <w:t xml:space="preserve">B. Hussain </w:t>
      </w:r>
      <w:r w:rsidRPr="00757DBE">
        <w:rPr>
          <w:i/>
          <w:iCs/>
        </w:rPr>
        <w:t>et al.</w:t>
      </w:r>
      <w:r w:rsidRPr="00757DBE">
        <w:t xml:space="preserve">, “Activation of STING Based on Its Structural Features,” </w:t>
      </w:r>
      <w:r w:rsidRPr="00757DBE">
        <w:rPr>
          <w:i/>
          <w:iCs/>
        </w:rPr>
        <w:t>Front. Immunol.</w:t>
      </w:r>
      <w:r w:rsidRPr="00757DBE">
        <w:t>, vol. 13, p. 808607, Jul. 2022, doi: 10.3389/fimmu.2022.808607.</w:t>
      </w:r>
    </w:p>
    <w:p w14:paraId="1CF9E0C0" w14:textId="77777777" w:rsidR="00757DBE" w:rsidRPr="00757DBE" w:rsidRDefault="00757DBE" w:rsidP="00757DBE">
      <w:pPr>
        <w:pStyle w:val="Bibliography"/>
      </w:pPr>
      <w:r w:rsidRPr="00757DBE">
        <w:t>[53]</w:t>
      </w:r>
      <w:r w:rsidRPr="00757DBE">
        <w:tab/>
        <w:t xml:space="preserve">X. Wu and J. A. Hammer, “ZEISS Airyscan: Optimizing usage for fast, gentle, super-resolution imaging,” </w:t>
      </w:r>
      <w:r w:rsidRPr="00757DBE">
        <w:rPr>
          <w:i/>
          <w:iCs/>
        </w:rPr>
        <w:t>Methods Mol. Biol. Clifton NJ</w:t>
      </w:r>
      <w:r w:rsidRPr="00757DBE">
        <w:t>, vol. 2304, pp. 111–130, 2021, doi: 10.1007/978-1-0716-1402-0_5.</w:t>
      </w:r>
    </w:p>
    <w:p w14:paraId="392FF2A1" w14:textId="77777777" w:rsidR="00757DBE" w:rsidRPr="00757DBE" w:rsidRDefault="00757DBE" w:rsidP="00757DBE">
      <w:pPr>
        <w:pStyle w:val="Bibliography"/>
      </w:pPr>
      <w:r w:rsidRPr="00757DBE">
        <w:t>[54]</w:t>
      </w:r>
      <w:r w:rsidRPr="00757DBE">
        <w:tab/>
        <w:t>“ZEISS LSM 800 with Airyscan | College of Engineering | University of Nebraska–Lincoln.” Accessed: Mar. 12, 2024. [Online]. Available: https://engineering.unl.edu/nercf/zeiss-lsm-800-airyscan/</w:t>
      </w:r>
    </w:p>
    <w:p w14:paraId="7F7BCBE6" w14:textId="77777777" w:rsidR="00757DBE" w:rsidRPr="00757DBE" w:rsidRDefault="00757DBE" w:rsidP="00757DBE">
      <w:pPr>
        <w:pStyle w:val="Bibliography"/>
      </w:pPr>
      <w:r w:rsidRPr="00757DBE">
        <w:t>[55]</w:t>
      </w:r>
      <w:r w:rsidRPr="00757DBE">
        <w:tab/>
        <w:t xml:space="preserve">J. Huff, “The Airyscan detector from ZEISS: confocal imaging with improved signal-to-noise ratio and super-resolution,” </w:t>
      </w:r>
      <w:r w:rsidRPr="00757DBE">
        <w:rPr>
          <w:i/>
          <w:iCs/>
        </w:rPr>
        <w:t>Nat. Methods</w:t>
      </w:r>
      <w:r w:rsidRPr="00757DBE">
        <w:t>, vol. 12, no. 12, pp. i–ii, Dec. 2015, doi: 10.1038/nmeth.f.388.</w:t>
      </w:r>
    </w:p>
    <w:p w14:paraId="4B4A2659" w14:textId="77777777" w:rsidR="00757DBE" w:rsidRPr="00757DBE" w:rsidRDefault="00757DBE" w:rsidP="00757DBE">
      <w:pPr>
        <w:pStyle w:val="Bibliography"/>
      </w:pPr>
      <w:r w:rsidRPr="00757DBE">
        <w:t>[56]</w:t>
      </w:r>
      <w:r w:rsidRPr="00757DBE">
        <w:tab/>
        <w:t>“Bit Depth, Full Well, and Dynamic Range - Learn,” Teledyne Photometrics. Accessed: Apr. 03, 2024. [Online]. Available: https://www.photometrics.com/learn/camera-basics/bit-depth</w:t>
      </w:r>
    </w:p>
    <w:p w14:paraId="76ADFE78" w14:textId="77777777" w:rsidR="00757DBE" w:rsidRPr="00757DBE" w:rsidRDefault="00757DBE" w:rsidP="00757DBE">
      <w:pPr>
        <w:pStyle w:val="Bibliography"/>
      </w:pPr>
      <w:r w:rsidRPr="00757DBE">
        <w:t>[57]</w:t>
      </w:r>
      <w:r w:rsidRPr="00757DBE">
        <w:tab/>
        <w:t xml:space="preserve">A. M. Bolger, M. Lohse, and B. Usadel, “Trimmomatic: a flexible trimmer for Illumina sequence data,” </w:t>
      </w:r>
      <w:r w:rsidRPr="00757DBE">
        <w:rPr>
          <w:i/>
          <w:iCs/>
        </w:rPr>
        <w:t>Bioinformatics</w:t>
      </w:r>
      <w:r w:rsidRPr="00757DBE">
        <w:t>, vol. 30, no. 15, pp. 2114–2120, Aug. 2014, doi: 10.1093/bioinformatics/btu170.</w:t>
      </w:r>
    </w:p>
    <w:p w14:paraId="0C082F24" w14:textId="77777777" w:rsidR="00757DBE" w:rsidRPr="00757DBE" w:rsidRDefault="00757DBE" w:rsidP="00757DBE">
      <w:pPr>
        <w:pStyle w:val="Bibliography"/>
      </w:pPr>
      <w:r w:rsidRPr="00757DBE">
        <w:t>[58]</w:t>
      </w:r>
      <w:r w:rsidRPr="00757DBE">
        <w:tab/>
        <w:t xml:space="preserve">H. Li </w:t>
      </w:r>
      <w:r w:rsidRPr="00757DBE">
        <w:rPr>
          <w:i/>
          <w:iCs/>
        </w:rPr>
        <w:t>et al.</w:t>
      </w:r>
      <w:r w:rsidRPr="00757DBE">
        <w:t xml:space="preserve">, “The Sequence Alignment/Map format and SAMtools,” </w:t>
      </w:r>
      <w:r w:rsidRPr="00757DBE">
        <w:rPr>
          <w:i/>
          <w:iCs/>
        </w:rPr>
        <w:t>Bioinformatics</w:t>
      </w:r>
      <w:r w:rsidRPr="00757DBE">
        <w:t>, vol. 25, no. 16, pp. 2078–2079, Aug. 2009, doi: 10.1093/bioinformatics/btp352.</w:t>
      </w:r>
    </w:p>
    <w:p w14:paraId="310540FC" w14:textId="77777777" w:rsidR="00757DBE" w:rsidRPr="00757DBE" w:rsidRDefault="00757DBE" w:rsidP="00757DBE">
      <w:pPr>
        <w:pStyle w:val="Bibliography"/>
      </w:pPr>
      <w:r w:rsidRPr="00757DBE">
        <w:t>[59]</w:t>
      </w:r>
      <w:r w:rsidRPr="00757DBE">
        <w:tab/>
        <w:t xml:space="preserve">Y. Liao, G. K. Smyth, and W. Shi, “featureCounts: an efficient general purpose program for assigning sequence reads to genomic features,” </w:t>
      </w:r>
      <w:r w:rsidRPr="00757DBE">
        <w:rPr>
          <w:i/>
          <w:iCs/>
        </w:rPr>
        <w:t>Bioinformatics</w:t>
      </w:r>
      <w:r w:rsidRPr="00757DBE">
        <w:t>, vol. 30, no. 7, pp. 923–930, Apr. 2014, doi: 10.1093/bioinformatics/btt656.</w:t>
      </w:r>
    </w:p>
    <w:p w14:paraId="319AD346" w14:textId="77777777" w:rsidR="00757DBE" w:rsidRPr="00757DBE" w:rsidRDefault="00757DBE" w:rsidP="00757DBE">
      <w:pPr>
        <w:pStyle w:val="Bibliography"/>
      </w:pPr>
      <w:r w:rsidRPr="00757DBE">
        <w:lastRenderedPageBreak/>
        <w:t>[60]</w:t>
      </w:r>
      <w:r w:rsidRPr="00757DBE">
        <w:tab/>
        <w:t xml:space="preserve">G. Yu, L.-G. Wang, Y. Han, and Q.-Y. He, “clusterProfiler: an R Package for Comparing Biological Themes Among Gene Clusters,” </w:t>
      </w:r>
      <w:r w:rsidRPr="00757DBE">
        <w:rPr>
          <w:i/>
          <w:iCs/>
        </w:rPr>
        <w:t>OMICS J. Integr. Biol.</w:t>
      </w:r>
      <w:r w:rsidRPr="00757DBE">
        <w:t>, vol. 16, no. 5, pp. 284–287, May 2012, doi: 10.1089/omi.2011.0118.</w:t>
      </w:r>
    </w:p>
    <w:p w14:paraId="1BA7E219" w14:textId="77777777" w:rsidR="00757DBE" w:rsidRPr="00757DBE" w:rsidRDefault="00757DBE" w:rsidP="00757DBE">
      <w:pPr>
        <w:pStyle w:val="Bibliography"/>
      </w:pPr>
      <w:r w:rsidRPr="00757DBE">
        <w:t>[61]</w:t>
      </w:r>
      <w:r w:rsidRPr="00757DBE">
        <w:tab/>
        <w:t>“(lysosome death) AND ‘Mus musculus’[porgn] AND (alive[prop]) - Gene - NCBI.” Accessed: Apr. 03, 2024. [Online]. Available: https://www.ncbi.nlm.nih.gov/gene?term=(lysosome+death)+AND+%22Mus+musculus%22%5Bporgn%5D+AND+(alive%5Bprop%5D)&amp;cmd=DetailsSearch&amp;log$=activity</w:t>
      </w:r>
    </w:p>
    <w:p w14:paraId="12999F5E" w14:textId="77777777" w:rsidR="00757DBE" w:rsidRPr="00757DBE" w:rsidRDefault="00757DBE" w:rsidP="00757DBE">
      <w:pPr>
        <w:pStyle w:val="Bibliography"/>
      </w:pPr>
      <w:r w:rsidRPr="00757DBE">
        <w:t>[62]</w:t>
      </w:r>
      <w:r w:rsidRPr="00757DBE">
        <w:tab/>
        <w:t>“(NLRP3 inflammasomes pathway) AND ‘Mus musculus’[porgn] AND (alive[pro - Gene - NCBI.” Accessed: Apr. 03, 2024. [Online]. Available: https://www.ncbi.nlm.nih.gov/gene?term=(NLRP3+inflammasomes+pathway)+AND+%22Mus+musculus%22%5Bporgn%5D+AND+(alive%5Bprop%5D)&amp;cmd=DetailsSearch&amp;log$=activity</w:t>
      </w:r>
    </w:p>
    <w:p w14:paraId="2A839B29" w14:textId="77777777" w:rsidR="00757DBE" w:rsidRPr="00757DBE" w:rsidRDefault="00757DBE" w:rsidP="00757DBE">
      <w:pPr>
        <w:pStyle w:val="Bibliography"/>
      </w:pPr>
      <w:r w:rsidRPr="00757DBE">
        <w:t>[63]</w:t>
      </w:r>
      <w:r w:rsidRPr="00757DBE">
        <w:tab/>
        <w:t xml:space="preserve">R. Zhang, R. Kang, and D. Tang, “The STING1 network regulates autophagy and cell death,” </w:t>
      </w:r>
      <w:r w:rsidRPr="00757DBE">
        <w:rPr>
          <w:i/>
          <w:iCs/>
        </w:rPr>
        <w:t>Signal Transduct. Target. Ther.</w:t>
      </w:r>
      <w:r w:rsidRPr="00757DBE">
        <w:t>, vol. 6, no. 1, pp. 1–13, Jun. 2021, doi: 10.1038/s41392-021-00613-4.</w:t>
      </w:r>
    </w:p>
    <w:p w14:paraId="15E44EB6" w14:textId="77777777" w:rsidR="00757DBE" w:rsidRPr="00757DBE" w:rsidRDefault="00757DBE" w:rsidP="00757DBE">
      <w:pPr>
        <w:pStyle w:val="Bibliography"/>
      </w:pPr>
      <w:r w:rsidRPr="00757DBE">
        <w:t>[64]</w:t>
      </w:r>
      <w:r w:rsidRPr="00757DBE">
        <w:tab/>
        <w:t xml:space="preserve">D. Bertheloot, E. Latz, and B. S. Franklin, “Necroptosis, pyroptosis and apoptosis: an intricate game of cell death,” </w:t>
      </w:r>
      <w:r w:rsidRPr="00757DBE">
        <w:rPr>
          <w:i/>
          <w:iCs/>
        </w:rPr>
        <w:t>Cell. Mol. Immunol.</w:t>
      </w:r>
      <w:r w:rsidRPr="00757DBE">
        <w:t>, vol. 18, no. 5, pp. 1106–1121, May 2021, doi: 10.1038/s41423-020-00630-3.</w:t>
      </w:r>
    </w:p>
    <w:p w14:paraId="72AC5549" w14:textId="77777777" w:rsidR="00757DBE" w:rsidRPr="00757DBE" w:rsidRDefault="00757DBE" w:rsidP="00757DBE">
      <w:pPr>
        <w:pStyle w:val="Bibliography"/>
      </w:pPr>
      <w:r w:rsidRPr="00757DBE">
        <w:t>[65]</w:t>
      </w:r>
      <w:r w:rsidRPr="00757DBE">
        <w:tab/>
        <w:t xml:space="preserve">Y. Cui </w:t>
      </w:r>
      <w:r w:rsidRPr="00757DBE">
        <w:rPr>
          <w:i/>
          <w:iCs/>
        </w:rPr>
        <w:t>et al.</w:t>
      </w:r>
      <w:r w:rsidRPr="00757DBE">
        <w:t xml:space="preserve">, “Mycobacterium bovis Induces Endoplasmic Reticulum Stress Mediated-Apoptosis by Activating IRF3 in a Murine Macrophage Cell Line,” </w:t>
      </w:r>
      <w:r w:rsidRPr="00757DBE">
        <w:rPr>
          <w:i/>
          <w:iCs/>
        </w:rPr>
        <w:t>Front. Cell. Infect. Microbiol.</w:t>
      </w:r>
      <w:r w:rsidRPr="00757DBE">
        <w:t>, vol. 6, Dec. 2016, doi: 10.3389/fcimb.2016.00182.</w:t>
      </w:r>
    </w:p>
    <w:p w14:paraId="5850C210" w14:textId="77777777" w:rsidR="00757DBE" w:rsidRPr="00757DBE" w:rsidRDefault="00757DBE" w:rsidP="00757DBE">
      <w:pPr>
        <w:pStyle w:val="Bibliography"/>
      </w:pPr>
      <w:r w:rsidRPr="00757DBE">
        <w:t>[66]</w:t>
      </w:r>
      <w:r w:rsidRPr="00757DBE">
        <w:tab/>
        <w:t xml:space="preserve">M. M. Gaidt </w:t>
      </w:r>
      <w:r w:rsidRPr="00757DBE">
        <w:rPr>
          <w:i/>
          <w:iCs/>
        </w:rPr>
        <w:t>et al.</w:t>
      </w:r>
      <w:r w:rsidRPr="00757DBE">
        <w:t xml:space="preserve">, “The DNA Inflammasome in Human Myeloid Cells Is Initiated by a STING-Cell Death Program Upstream of NLRP3,” </w:t>
      </w:r>
      <w:r w:rsidRPr="00757DBE">
        <w:rPr>
          <w:i/>
          <w:iCs/>
        </w:rPr>
        <w:t>Cell</w:t>
      </w:r>
      <w:r w:rsidRPr="00757DBE">
        <w:t>, vol. 171, no. 5, pp. 1110-1124.e18, Nov. 2017, doi: 10.1016/j.cell.2017.09.039.</w:t>
      </w:r>
    </w:p>
    <w:p w14:paraId="2D31B2E9" w14:textId="77777777" w:rsidR="00757DBE" w:rsidRPr="00757DBE" w:rsidRDefault="00757DBE" w:rsidP="00757DBE">
      <w:pPr>
        <w:pStyle w:val="Bibliography"/>
      </w:pPr>
      <w:r w:rsidRPr="00757DBE">
        <w:t>[67]</w:t>
      </w:r>
      <w:r w:rsidRPr="00757DBE">
        <w:tab/>
        <w:t xml:space="preserve">Z. Yan </w:t>
      </w:r>
      <w:r w:rsidRPr="00757DBE">
        <w:rPr>
          <w:i/>
          <w:iCs/>
        </w:rPr>
        <w:t>et al.</w:t>
      </w:r>
      <w:r w:rsidRPr="00757DBE">
        <w:t xml:space="preserve">, “The NLRP3 inflammasome: Multiple activation pathways and its role in primary cells during ventricular remodeling,” </w:t>
      </w:r>
      <w:r w:rsidRPr="00757DBE">
        <w:rPr>
          <w:i/>
          <w:iCs/>
        </w:rPr>
        <w:t>J. Cell. Physiol.</w:t>
      </w:r>
      <w:r w:rsidRPr="00757DBE">
        <w:t>, vol. 236, no. 8, pp. 5547–5563, 2021, doi: 10.1002/jcp.30285.</w:t>
      </w:r>
    </w:p>
    <w:p w14:paraId="66A958FA" w14:textId="77777777" w:rsidR="00757DBE" w:rsidRPr="00757DBE" w:rsidRDefault="00757DBE" w:rsidP="00757DBE">
      <w:pPr>
        <w:pStyle w:val="Bibliography"/>
      </w:pPr>
      <w:r w:rsidRPr="00757DBE">
        <w:t>[68]</w:t>
      </w:r>
      <w:r w:rsidRPr="00757DBE">
        <w:tab/>
        <w:t xml:space="preserve">A. Serrano-Puebla and P. Boya, “Lysosomal membrane permeabilization as a cell death mechanism in cancer cells,” </w:t>
      </w:r>
      <w:r w:rsidRPr="00757DBE">
        <w:rPr>
          <w:i/>
          <w:iCs/>
        </w:rPr>
        <w:t>Biochem. Soc. Trans.</w:t>
      </w:r>
      <w:r w:rsidRPr="00757DBE">
        <w:t>, vol. 46, no. 2, pp. 207–215, Apr. 2018, doi: 10.1042/BST20170130.</w:t>
      </w:r>
    </w:p>
    <w:p w14:paraId="09C761D7" w14:textId="77777777" w:rsidR="00757DBE" w:rsidRPr="00757DBE" w:rsidRDefault="00757DBE" w:rsidP="00757DBE">
      <w:pPr>
        <w:pStyle w:val="Bibliography"/>
      </w:pPr>
      <w:r w:rsidRPr="00757DBE">
        <w:t>[69]</w:t>
      </w:r>
      <w:r w:rsidRPr="00757DBE">
        <w:tab/>
        <w:t xml:space="preserve">S. Zhu </w:t>
      </w:r>
      <w:r w:rsidRPr="00757DBE">
        <w:rPr>
          <w:i/>
          <w:iCs/>
        </w:rPr>
        <w:t>et al.</w:t>
      </w:r>
      <w:r w:rsidRPr="00757DBE">
        <w:t xml:space="preserve">, “Lysosomal quality control of cell fate: a novel therapeutic target for human diseases,” </w:t>
      </w:r>
      <w:r w:rsidRPr="00757DBE">
        <w:rPr>
          <w:i/>
          <w:iCs/>
        </w:rPr>
        <w:t>Cell Death Dis.</w:t>
      </w:r>
      <w:r w:rsidRPr="00757DBE">
        <w:t>, vol. 11, no. 9, p. 817, Sep. 2020, doi: 10.1038/s41419-020-03032-5.</w:t>
      </w:r>
    </w:p>
    <w:p w14:paraId="4101219D" w14:textId="77777777" w:rsidR="00757DBE" w:rsidRPr="00757DBE" w:rsidRDefault="00757DBE" w:rsidP="00757DBE">
      <w:pPr>
        <w:pStyle w:val="Bibliography"/>
      </w:pPr>
      <w:r w:rsidRPr="00757DBE">
        <w:t>[70]</w:t>
      </w:r>
      <w:r w:rsidRPr="00757DBE">
        <w:tab/>
        <w:t xml:space="preserve">S. Paik, J. K. Kim, P. Silwal, C. Sasakawa, and E.-K. Jo, “An update on the regulatory mechanisms of NLRP3 inflammasome activation,” </w:t>
      </w:r>
      <w:r w:rsidRPr="00757DBE">
        <w:rPr>
          <w:i/>
          <w:iCs/>
        </w:rPr>
        <w:t>Cell. Mol. Immunol.</w:t>
      </w:r>
      <w:r w:rsidRPr="00757DBE">
        <w:t>, vol. 18, no. 5, pp. 1141–1160, May 2021, doi: 10.1038/s41423-021-00670-3.</w:t>
      </w:r>
    </w:p>
    <w:p w14:paraId="637359D4" w14:textId="77777777" w:rsidR="00757DBE" w:rsidRPr="00757DBE" w:rsidRDefault="00757DBE" w:rsidP="00757DBE">
      <w:pPr>
        <w:pStyle w:val="Bibliography"/>
      </w:pPr>
      <w:r w:rsidRPr="00757DBE">
        <w:t>[71]</w:t>
      </w:r>
      <w:r w:rsidRPr="00757DBE">
        <w:tab/>
        <w:t xml:space="preserve">A. Singhal and S. Kumar, “Neutrophil and remnant clearance in immunity and inflammation,” </w:t>
      </w:r>
      <w:r w:rsidRPr="00757DBE">
        <w:rPr>
          <w:i/>
          <w:iCs/>
        </w:rPr>
        <w:t>Immunology</w:t>
      </w:r>
      <w:r w:rsidRPr="00757DBE">
        <w:t>, vol. 165, no. 1, pp. 22–43, 2022, doi: 10.1111/imm.13423.</w:t>
      </w:r>
    </w:p>
    <w:p w14:paraId="5B49F307" w14:textId="77777777" w:rsidR="00757DBE" w:rsidRPr="00757DBE" w:rsidRDefault="00757DBE" w:rsidP="00757DBE">
      <w:pPr>
        <w:pStyle w:val="Bibliography"/>
      </w:pPr>
      <w:r w:rsidRPr="00757DBE">
        <w:t>[72]</w:t>
      </w:r>
      <w:r w:rsidRPr="00757DBE">
        <w:tab/>
        <w:t xml:space="preserve">Y. Liu </w:t>
      </w:r>
      <w:r w:rsidRPr="00757DBE">
        <w:rPr>
          <w:i/>
          <w:iCs/>
        </w:rPr>
        <w:t>et al.</w:t>
      </w:r>
      <w:r w:rsidRPr="00757DBE">
        <w:t xml:space="preserve">, “CAPN1 (Calpain1)-Mediated Impairment of Autophagic Flux Contributes to Cerebral Ischemia-Induced Neuronal Damage,” </w:t>
      </w:r>
      <w:r w:rsidRPr="00757DBE">
        <w:rPr>
          <w:i/>
          <w:iCs/>
        </w:rPr>
        <w:t>Stroke</w:t>
      </w:r>
      <w:r w:rsidRPr="00757DBE">
        <w:t>, vol. 52, no. 5, pp. 1809–1821, May 2021, doi: 10.1161/STROKEAHA.120.032749.</w:t>
      </w:r>
    </w:p>
    <w:p w14:paraId="3EFD4BA7" w14:textId="77777777" w:rsidR="00757DBE" w:rsidRPr="00757DBE" w:rsidRDefault="00757DBE" w:rsidP="00757DBE">
      <w:pPr>
        <w:pStyle w:val="Bibliography"/>
      </w:pPr>
      <w:r w:rsidRPr="00757DBE">
        <w:t>[73]</w:t>
      </w:r>
      <w:r w:rsidRPr="00757DBE">
        <w:tab/>
        <w:t>“ATP6V0C ATPase H+ transporting V0 subunit c [Homo sapiens (human)] - Gene - NCBI.” Accessed: Mar. 14, 2024. [Online]. Available: https://www.ncbi.nlm.nih.gov/gene/527</w:t>
      </w:r>
    </w:p>
    <w:p w14:paraId="164C2607" w14:textId="77777777" w:rsidR="00757DBE" w:rsidRPr="00757DBE" w:rsidRDefault="00757DBE" w:rsidP="00757DBE">
      <w:pPr>
        <w:pStyle w:val="Bibliography"/>
      </w:pPr>
      <w:r w:rsidRPr="00757DBE">
        <w:lastRenderedPageBreak/>
        <w:t>[74]</w:t>
      </w:r>
      <w:r w:rsidRPr="00757DBE">
        <w:tab/>
        <w:t>“ESCRT-dependent STING degradation inhibits steady-state and cGAMP-induced signalling | Nature Communications.” Accessed: Mar. 12, 2024. [Online]. Available: https://www.nature.com/articles/s41467-023-36132-9</w:t>
      </w:r>
    </w:p>
    <w:p w14:paraId="025BA4A7" w14:textId="77777777" w:rsidR="00757DBE" w:rsidRPr="00757DBE" w:rsidRDefault="00757DBE" w:rsidP="00757DBE">
      <w:pPr>
        <w:pStyle w:val="Bibliography"/>
      </w:pPr>
      <w:r w:rsidRPr="00757DBE">
        <w:t>[75]</w:t>
      </w:r>
      <w:r w:rsidRPr="00757DBE">
        <w:tab/>
        <w:t xml:space="preserve">X. Cai </w:t>
      </w:r>
      <w:r w:rsidRPr="00757DBE">
        <w:rPr>
          <w:i/>
          <w:iCs/>
        </w:rPr>
        <w:t>et al.</w:t>
      </w:r>
      <w:r w:rsidRPr="00757DBE">
        <w:t>, “Characterization, expression profiling and functional characterization of cathepsin Z (CTSZ) in turbot (</w:t>
      </w:r>
      <w:r w:rsidRPr="00757DBE">
        <w:rPr>
          <w:i/>
          <w:iCs/>
        </w:rPr>
        <w:t>Scophthalmus maximus</w:t>
      </w:r>
      <w:r w:rsidRPr="00757DBE">
        <w:t xml:space="preserve"> L.),” </w:t>
      </w:r>
      <w:r w:rsidRPr="00757DBE">
        <w:rPr>
          <w:i/>
          <w:iCs/>
        </w:rPr>
        <w:t>Fish Shellfish Immunol.</w:t>
      </w:r>
      <w:r w:rsidRPr="00757DBE">
        <w:t>, vol. 84, pp. 599–608, Jan. 2019, doi: 10.1016/j.fsi.2018.10.046.</w:t>
      </w:r>
    </w:p>
    <w:p w14:paraId="10C8406F" w14:textId="77777777" w:rsidR="00757DBE" w:rsidRPr="00757DBE" w:rsidRDefault="00757DBE" w:rsidP="00757DBE">
      <w:pPr>
        <w:pStyle w:val="Bibliography"/>
      </w:pPr>
      <w:r w:rsidRPr="00757DBE">
        <w:t>[76]</w:t>
      </w:r>
      <w:r w:rsidRPr="00757DBE">
        <w:tab/>
        <w:t xml:space="preserve">E.-L. Eskelinen </w:t>
      </w:r>
      <w:r w:rsidRPr="00757DBE">
        <w:rPr>
          <w:i/>
          <w:iCs/>
        </w:rPr>
        <w:t>et al.</w:t>
      </w:r>
      <w:r w:rsidRPr="00757DBE">
        <w:t xml:space="preserve">, “Role of LAMP-2 in Lysosome Biogenesis and Autophagy,” </w:t>
      </w:r>
      <w:r w:rsidRPr="00757DBE">
        <w:rPr>
          <w:i/>
          <w:iCs/>
        </w:rPr>
        <w:t>Mol. Biol. Cell</w:t>
      </w:r>
      <w:r w:rsidRPr="00757DBE">
        <w:t>, vol. 13, no. 9, pp. 3355–3368, Sep. 2002, doi: 10.1091/mbc.E02-02-0114.</w:t>
      </w:r>
    </w:p>
    <w:p w14:paraId="6D5CAAC8" w14:textId="77777777" w:rsidR="00757DBE" w:rsidRPr="00757DBE" w:rsidRDefault="00757DBE" w:rsidP="00757DBE">
      <w:pPr>
        <w:pStyle w:val="Bibliography"/>
      </w:pPr>
      <w:r w:rsidRPr="00757DBE">
        <w:t>[77]</w:t>
      </w:r>
      <w:r w:rsidRPr="00757DBE">
        <w:tab/>
        <w:t xml:space="preserve">Y. Xu, C. Chen, Z. Liao, and P. Xu, “cGAS-STING signaling in cell death: Mechanisms of action and implications in pathologies,” </w:t>
      </w:r>
      <w:r w:rsidRPr="00757DBE">
        <w:rPr>
          <w:i/>
          <w:iCs/>
        </w:rPr>
        <w:t>Eur. J. Immunol.</w:t>
      </w:r>
      <w:r w:rsidRPr="00757DBE">
        <w:t>, vol. 53, no. 9, p. 2350386, 2023, doi: 10.1002/eji.202350386.</w:t>
      </w:r>
    </w:p>
    <w:p w14:paraId="17109DF0" w14:textId="77777777" w:rsidR="00757DBE" w:rsidRPr="00757DBE" w:rsidRDefault="00757DBE" w:rsidP="00757DBE">
      <w:pPr>
        <w:pStyle w:val="Bibliography"/>
      </w:pPr>
      <w:r w:rsidRPr="00757DBE">
        <w:t>[78]</w:t>
      </w:r>
      <w:r w:rsidRPr="00757DBE">
        <w:tab/>
        <w:t xml:space="preserve">Z. Xu, Z. Chen, X. Wu, L. Zhang, Y. Cao, and P. Zhou, “Distinct Molecular Mechanisms Underlying Potassium Efflux for NLRP3 Inflammasome Activation,” </w:t>
      </w:r>
      <w:r w:rsidRPr="00757DBE">
        <w:rPr>
          <w:i/>
          <w:iCs/>
        </w:rPr>
        <w:t>Front. Immunol.</w:t>
      </w:r>
      <w:r w:rsidRPr="00757DBE">
        <w:t>, vol. 11, Dec. 2020, doi: 10.3389/fimmu.2020.609441.</w:t>
      </w:r>
    </w:p>
    <w:p w14:paraId="7387CD96" w14:textId="77777777" w:rsidR="00757DBE" w:rsidRPr="00757DBE" w:rsidRDefault="00757DBE" w:rsidP="00757DBE">
      <w:pPr>
        <w:pStyle w:val="Bibliography"/>
      </w:pPr>
      <w:r w:rsidRPr="00757DBE">
        <w:t>[79]</w:t>
      </w:r>
      <w:r w:rsidRPr="00757DBE">
        <w:tab/>
        <w:t xml:space="preserve">W. Chi </w:t>
      </w:r>
      <w:r w:rsidRPr="00757DBE">
        <w:rPr>
          <w:i/>
          <w:iCs/>
        </w:rPr>
        <w:t>et al.</w:t>
      </w:r>
      <w:r w:rsidRPr="00757DBE">
        <w:t xml:space="preserve">, “Caspase-8 promotes NLRP1/NLRP3 inflammasome activation and IL-1β production in acute glaucoma,” </w:t>
      </w:r>
      <w:r w:rsidRPr="00757DBE">
        <w:rPr>
          <w:i/>
          <w:iCs/>
        </w:rPr>
        <w:t>Proc. Natl. Acad. Sci.</w:t>
      </w:r>
      <w:r w:rsidRPr="00757DBE">
        <w:t>, vol. 111, no. 30, pp. 11181–11186, Jul. 2014, doi: 10.1073/pnas.1402819111.</w:t>
      </w:r>
    </w:p>
    <w:p w14:paraId="3BE6E5AF" w14:textId="77777777" w:rsidR="00757DBE" w:rsidRPr="00757DBE" w:rsidRDefault="00757DBE" w:rsidP="00757DBE">
      <w:pPr>
        <w:pStyle w:val="Bibliography"/>
      </w:pPr>
      <w:r w:rsidRPr="00757DBE">
        <w:t>[80]</w:t>
      </w:r>
      <w:r w:rsidRPr="00757DBE">
        <w:tab/>
        <w:t xml:space="preserve">L. Liu, Y. Jiang, and J. J. Steinle, “TNFAIP3 may be key to TLR4-activation of the inflammasome in the retinal vasculature,” </w:t>
      </w:r>
      <w:r w:rsidRPr="00757DBE">
        <w:rPr>
          <w:i/>
          <w:iCs/>
        </w:rPr>
        <w:t>Exp. Eye Res.</w:t>
      </w:r>
      <w:r w:rsidRPr="00757DBE">
        <w:t>, vol. 220, p. 109108, Jul. 2022, doi: 10.1016/j.exer.2022.109108.</w:t>
      </w:r>
    </w:p>
    <w:p w14:paraId="24063D86" w14:textId="77777777" w:rsidR="00757DBE" w:rsidRPr="00757DBE" w:rsidRDefault="00757DBE" w:rsidP="00757DBE">
      <w:pPr>
        <w:pStyle w:val="Bibliography"/>
      </w:pPr>
      <w:r w:rsidRPr="00757DBE">
        <w:t>[81]</w:t>
      </w:r>
      <w:r w:rsidRPr="00757DBE">
        <w:tab/>
        <w:t xml:space="preserve">S. Luo </w:t>
      </w:r>
      <w:r w:rsidRPr="00757DBE">
        <w:rPr>
          <w:i/>
          <w:iCs/>
        </w:rPr>
        <w:t>et al.</w:t>
      </w:r>
      <w:r w:rsidRPr="00757DBE">
        <w:t xml:space="preserve">, “PLCL1 regulates fibroblast-like synoviocytes inflammation via NLRP3 inflammasomes in rheumatoid arthritis,” </w:t>
      </w:r>
      <w:r w:rsidRPr="00757DBE">
        <w:rPr>
          <w:i/>
          <w:iCs/>
        </w:rPr>
        <w:t>Adv. Rheumatol. Lond. Engl.</w:t>
      </w:r>
      <w:r w:rsidRPr="00757DBE">
        <w:t>, vol. 62, no. 1, p. 25, Jul. 2022, doi: 10.1186/s42358-022-00252-5.</w:t>
      </w:r>
    </w:p>
    <w:p w14:paraId="1E72F414" w14:textId="77777777" w:rsidR="00757DBE" w:rsidRPr="00757DBE" w:rsidRDefault="00757DBE" w:rsidP="00757DBE">
      <w:pPr>
        <w:pStyle w:val="Bibliography"/>
      </w:pPr>
      <w:r w:rsidRPr="00757DBE">
        <w:t>[82]</w:t>
      </w:r>
      <w:r w:rsidRPr="00757DBE">
        <w:tab/>
        <w:t xml:space="preserve">A. N. R. Weber </w:t>
      </w:r>
      <w:r w:rsidRPr="00757DBE">
        <w:rPr>
          <w:i/>
          <w:iCs/>
        </w:rPr>
        <w:t>et al.</w:t>
      </w:r>
      <w:r w:rsidRPr="00757DBE">
        <w:t xml:space="preserve">, “Recent insights into the regulatory networks of NLRP3 inflammasome activation,” </w:t>
      </w:r>
      <w:r w:rsidRPr="00757DBE">
        <w:rPr>
          <w:i/>
          <w:iCs/>
        </w:rPr>
        <w:t>J. Cell Sci.</w:t>
      </w:r>
      <w:r w:rsidRPr="00757DBE">
        <w:t>, vol. 133, no. 23, p. jcs248344, Dec. 2020, doi: 10.1242/jcs.248344.</w:t>
      </w:r>
    </w:p>
    <w:p w14:paraId="3B0A7829" w14:textId="77777777" w:rsidR="00757DBE" w:rsidRPr="00757DBE" w:rsidRDefault="00757DBE" w:rsidP="00757DBE">
      <w:pPr>
        <w:pStyle w:val="Bibliography"/>
      </w:pPr>
      <w:r w:rsidRPr="00757DBE">
        <w:t>[83]</w:t>
      </w:r>
      <w:r w:rsidRPr="00757DBE">
        <w:tab/>
        <w:t xml:space="preserve">N. Samson and A. Ablasser, “The cGAS–STING pathway and cancer,” </w:t>
      </w:r>
      <w:r w:rsidRPr="00757DBE">
        <w:rPr>
          <w:i/>
          <w:iCs/>
        </w:rPr>
        <w:t>Nat. Cancer</w:t>
      </w:r>
      <w:r w:rsidRPr="00757DBE">
        <w:t>, vol. 3, no. 12, pp. 1452–1463, Dec. 2022, doi: 10.1038/s43018-022-00468-w.</w:t>
      </w:r>
    </w:p>
    <w:p w14:paraId="1BB08F05" w14:textId="77777777" w:rsidR="00757DBE" w:rsidRPr="00757DBE" w:rsidRDefault="00757DBE" w:rsidP="00757DBE">
      <w:pPr>
        <w:pStyle w:val="Bibliography"/>
      </w:pPr>
      <w:r w:rsidRPr="00757DBE">
        <w:t>[84]</w:t>
      </w:r>
      <w:r w:rsidRPr="00757DBE">
        <w:tab/>
        <w:t xml:space="preserve">X. Gui </w:t>
      </w:r>
      <w:r w:rsidRPr="00757DBE">
        <w:rPr>
          <w:i/>
          <w:iCs/>
        </w:rPr>
        <w:t>et al.</w:t>
      </w:r>
      <w:r w:rsidRPr="00757DBE">
        <w:t xml:space="preserve">, “Autophagy induction via STING trafficking is a primordial function of the cGAS pathway,” </w:t>
      </w:r>
      <w:r w:rsidRPr="00757DBE">
        <w:rPr>
          <w:i/>
          <w:iCs/>
        </w:rPr>
        <w:t>Nature</w:t>
      </w:r>
      <w:r w:rsidRPr="00757DBE">
        <w:t>, vol. 567, no. 7747, pp. 262–266, Mar. 2019, doi: 10.1038/s41586-019-1006-9.</w:t>
      </w:r>
    </w:p>
    <w:p w14:paraId="5F6B694A" w14:textId="77777777" w:rsidR="00757DBE" w:rsidRPr="00757DBE" w:rsidRDefault="00757DBE" w:rsidP="00757DBE">
      <w:pPr>
        <w:pStyle w:val="Bibliography"/>
      </w:pPr>
      <w:r w:rsidRPr="00757DBE">
        <w:t>[85]</w:t>
      </w:r>
      <w:r w:rsidRPr="00757DBE">
        <w:tab/>
        <w:t xml:space="preserve">H. M. Blevins, Y. Xu, S. Biby, and S. Zhang, “The NLRP3 Inflammasome Pathway: A Review of Mechanisms and Inhibitors for the Treatment of Inflammatory Diseases,” </w:t>
      </w:r>
      <w:r w:rsidRPr="00757DBE">
        <w:rPr>
          <w:i/>
          <w:iCs/>
        </w:rPr>
        <w:t>Front. Aging Neurosci.</w:t>
      </w:r>
      <w:r w:rsidRPr="00757DBE">
        <w:t>, vol. 14, Jun. 2022, doi: 10.3389/fnagi.2022.879021.</w:t>
      </w:r>
    </w:p>
    <w:p w14:paraId="36B317BF" w14:textId="77777777" w:rsidR="00757DBE" w:rsidRPr="00757DBE" w:rsidRDefault="00757DBE" w:rsidP="00757DBE">
      <w:pPr>
        <w:pStyle w:val="Bibliography"/>
      </w:pPr>
      <w:r w:rsidRPr="00757DBE">
        <w:t>[86]</w:t>
      </w:r>
      <w:r w:rsidRPr="00757DBE">
        <w:tab/>
        <w:t xml:space="preserve">A. Gritsenko </w:t>
      </w:r>
      <w:r w:rsidRPr="00757DBE">
        <w:rPr>
          <w:i/>
          <w:iCs/>
        </w:rPr>
        <w:t>et al.</w:t>
      </w:r>
      <w:r w:rsidRPr="00757DBE">
        <w:t xml:space="preserve">, “Priming Is Dispensable for NLRP3 Inflammasome Activation in Human Monocytes In Vitro,” </w:t>
      </w:r>
      <w:r w:rsidRPr="00757DBE">
        <w:rPr>
          <w:i/>
          <w:iCs/>
        </w:rPr>
        <w:t>Front. Immunol.</w:t>
      </w:r>
      <w:r w:rsidRPr="00757DBE">
        <w:t>, vol. 11, p. 565924, Sep. 2020, doi: 10.3389/fimmu.2020.565924.</w:t>
      </w:r>
    </w:p>
    <w:p w14:paraId="0FFE7C83" w14:textId="64A4DB9E" w:rsidR="00EA4F67" w:rsidRPr="00A83AFC" w:rsidRDefault="001C2D71" w:rsidP="00BA705B">
      <w:r>
        <w:fldChar w:fldCharType="end"/>
      </w:r>
    </w:p>
    <w:p w14:paraId="4F2C2D2D" w14:textId="77777777" w:rsidR="00EA4F67" w:rsidRPr="00A83AFC" w:rsidRDefault="00EA4F67">
      <w:r w:rsidRPr="00A83AFC">
        <w:br w:type="page"/>
      </w:r>
    </w:p>
    <w:p w14:paraId="41C9C996" w14:textId="40FC2438" w:rsidR="000E6793" w:rsidRDefault="00CB3D21" w:rsidP="00EA4F67">
      <w:pPr>
        <w:pStyle w:val="Heading1"/>
      </w:pPr>
      <w:bookmarkStart w:id="64" w:name="_Toc165293375"/>
      <w:r w:rsidRPr="006869B2">
        <w:lastRenderedPageBreak/>
        <w:t>Supplemental Materials</w:t>
      </w:r>
      <w:bookmarkEnd w:id="64"/>
      <w:r w:rsidRPr="006869B2">
        <w:t xml:space="preserve"> </w:t>
      </w:r>
    </w:p>
    <w:p w14:paraId="6986A8FF" w14:textId="118B78CB" w:rsidR="00137D29" w:rsidRPr="00D7747A" w:rsidRDefault="00137D29" w:rsidP="00B421F9">
      <w:pPr>
        <w:pStyle w:val="Heading2"/>
      </w:pPr>
      <w:bookmarkStart w:id="65" w:name="_Toc165293376"/>
      <w:r>
        <w:t>Appendix A: STING-GFP Transfected Cells Materials and Methods</w:t>
      </w:r>
      <w:bookmarkEnd w:id="65"/>
      <w:r>
        <w:t xml:space="preserve"> </w:t>
      </w:r>
    </w:p>
    <w:p w14:paraId="43D8974C" w14:textId="35636074" w:rsidR="00137D29" w:rsidRDefault="00137D29" w:rsidP="00137D29">
      <w:pPr>
        <w:pStyle w:val="Heading3"/>
      </w:pPr>
      <w:bookmarkStart w:id="66" w:name="_Toc165293377"/>
      <w:r>
        <w:t>A.1. Materials</w:t>
      </w:r>
      <w:bookmarkEnd w:id="66"/>
      <w:r>
        <w:t xml:space="preserve"> </w:t>
      </w:r>
    </w:p>
    <w:p w14:paraId="2686F67A" w14:textId="312BAA74" w:rsidR="00B421F9" w:rsidRPr="00B421F9" w:rsidRDefault="00EB53D8" w:rsidP="00AF2824">
      <w:pPr>
        <w:ind w:firstLine="720"/>
      </w:pPr>
      <w:r>
        <w:t>DC 2.4 cell line (</w:t>
      </w:r>
      <w:r w:rsidRPr="00A06DBB">
        <w:t>Millipore Sigma</w:t>
      </w:r>
      <w:r>
        <w:t>, Cat#</w:t>
      </w:r>
      <w:r w:rsidRPr="00A06DBB">
        <w:t xml:space="preserve"> SCC142</w:t>
      </w:r>
      <w:r>
        <w:t>)</w:t>
      </w:r>
      <w:r w:rsidR="004E59A4">
        <w:t>.</w:t>
      </w:r>
    </w:p>
    <w:p w14:paraId="6E0E33F9" w14:textId="33E17924" w:rsidR="00137D29" w:rsidRPr="00D7747A" w:rsidRDefault="00137D29" w:rsidP="00137D29">
      <w:pPr>
        <w:pStyle w:val="Heading3"/>
      </w:pPr>
      <w:bookmarkStart w:id="67" w:name="_Toc165293378"/>
      <w:r>
        <w:t xml:space="preserve">A.2. </w:t>
      </w:r>
      <w:r w:rsidRPr="00D7747A">
        <w:t>Generation of CRISPR/Cas9 and sgRNA resistant STING1 viral vectors.</w:t>
      </w:r>
      <w:bookmarkEnd w:id="67"/>
    </w:p>
    <w:p w14:paraId="31ECC288" w14:textId="77777777" w:rsidR="00137D29" w:rsidRPr="00D7747A" w:rsidRDefault="00137D29" w:rsidP="00AF2824">
      <w:pPr>
        <w:ind w:firstLine="720"/>
      </w:pPr>
      <w:r w:rsidRPr="00D7747A">
        <w:t>First, sgRNA sequences were determined by using Benchling.com. Parameters were set to target the coding sequence with the highest on-target and lowest off-target scores. The following sequences (targeting sequence underlined, mm sgSTING1 #1 sense CACCGCAGTAGTCCAAGTTCGTGCG, antisense AAACCGCACGAACTTGGACTACTGC; mm sgSTING1 #2 sense CACCGTGAGGGCTACATATTTGGAG, antisense AAACCTCCAAATATGTAGCCCTCAC; mm sgSTING1 #3 sense CACCGTCCAAGTTCGTGCGAGGCT, antisense AAACAGCCTCGCACGAACTTGGAC) were annealed and ligated into BsmB1 cut </w:t>
      </w:r>
      <w:proofErr w:type="spellStart"/>
      <w:r w:rsidRPr="00D7747A">
        <w:t>LentiCRISPR</w:t>
      </w:r>
      <w:proofErr w:type="spellEnd"/>
      <w:r w:rsidRPr="00D7747A">
        <w:t>/eCas9 1.1 Puro. </w:t>
      </w:r>
    </w:p>
    <w:p w14:paraId="62EFA49C" w14:textId="77777777" w:rsidR="00137D29" w:rsidRPr="00D7747A" w:rsidRDefault="00137D29" w:rsidP="00137D29">
      <w:r w:rsidRPr="00D7747A">
        <w:t xml:space="preserve">Briefly, to make a sgRNA resistant mouse STING1 lentiviral expression vector, a </w:t>
      </w:r>
      <w:proofErr w:type="spellStart"/>
      <w:proofErr w:type="gramStart"/>
      <w:r w:rsidRPr="00D7747A">
        <w:t>Geneblock</w:t>
      </w:r>
      <w:proofErr w:type="spellEnd"/>
      <w:r w:rsidRPr="00D7747A">
        <w:t>(</w:t>
      </w:r>
      <w:proofErr w:type="gramEnd"/>
      <w:r w:rsidRPr="00D7747A">
        <w:t>IDT) was designed with point mutations in the sgRNA targeting sequence and the PAM sequence for sgSTING1 #1-3. The original amino acid coding sequence was unaltered. PCR amplification of the </w:t>
      </w:r>
      <w:proofErr w:type="spellStart"/>
      <w:r w:rsidRPr="00D7747A">
        <w:t>Geneblock</w:t>
      </w:r>
      <w:proofErr w:type="spellEnd"/>
      <w:r w:rsidRPr="00D7747A">
        <w:t> was accomplished using the following primers: Forward 5’-AAGCGC</w:t>
      </w:r>
      <w:r w:rsidRPr="00D7747A">
        <w:rPr>
          <w:u w:val="single"/>
        </w:rPr>
        <w:t>CTCGAG</w:t>
      </w:r>
      <w:r w:rsidRPr="00D7747A">
        <w:t>GCCACCATGCCATACTCCAACCTGCATC-3’ and Reverse 5’-AAGCGC</w:t>
      </w:r>
      <w:r w:rsidRPr="00D7747A">
        <w:rPr>
          <w:u w:val="single"/>
        </w:rPr>
        <w:t>GAATTC</w:t>
      </w:r>
      <w:r w:rsidRPr="00D7747A">
        <w:t>CGTATAAGATGAGGTCAGTGCGGAGTG-3’. PCR amplicon was digested with Xho1 and EcoR1 and ligated into </w:t>
      </w:r>
      <w:proofErr w:type="spellStart"/>
      <w:r w:rsidRPr="00D7747A">
        <w:t>pENTR</w:t>
      </w:r>
      <w:proofErr w:type="spellEnd"/>
      <w:r w:rsidRPr="00D7747A">
        <w:t> </w:t>
      </w:r>
      <w:proofErr w:type="spellStart"/>
      <w:r w:rsidRPr="00D7747A">
        <w:t>TagBFP</w:t>
      </w:r>
      <w:proofErr w:type="spellEnd"/>
      <w:r w:rsidRPr="00D7747A">
        <w:t> (</w:t>
      </w:r>
      <w:proofErr w:type="spellStart"/>
      <w:r w:rsidRPr="00D7747A">
        <w:t>Evrogen</w:t>
      </w:r>
      <w:proofErr w:type="spellEnd"/>
      <w:r w:rsidRPr="00D7747A">
        <w:t>) also digested with Xho1 and EcoR1. The resulting plasmid (</w:t>
      </w:r>
      <w:proofErr w:type="spellStart"/>
      <w:r w:rsidRPr="00D7747A">
        <w:t>pENTR</w:t>
      </w:r>
      <w:proofErr w:type="spellEnd"/>
      <w:r w:rsidRPr="00D7747A">
        <w:t> mm </w:t>
      </w:r>
      <w:proofErr w:type="spellStart"/>
      <w:r w:rsidRPr="00D7747A">
        <w:t>sgRes</w:t>
      </w:r>
      <w:proofErr w:type="spellEnd"/>
      <w:r w:rsidRPr="00D7747A">
        <w:t> STING1 </w:t>
      </w:r>
      <w:proofErr w:type="spellStart"/>
      <w:r w:rsidRPr="00D7747A">
        <w:t>TagBFP</w:t>
      </w:r>
      <w:proofErr w:type="spellEnd"/>
      <w:r w:rsidRPr="00D7747A">
        <w:t>) was then recombined using </w:t>
      </w:r>
      <w:proofErr w:type="spellStart"/>
      <w:r w:rsidRPr="00D7747A">
        <w:t>Clonase</w:t>
      </w:r>
      <w:proofErr w:type="spellEnd"/>
      <w:r w:rsidRPr="00D7747A">
        <w:t> II (</w:t>
      </w:r>
      <w:proofErr w:type="spellStart"/>
      <w:r w:rsidRPr="00D7747A">
        <w:t>Thermofisher</w:t>
      </w:r>
      <w:proofErr w:type="spellEnd"/>
      <w:r w:rsidRPr="00D7747A">
        <w:t>) into the doxycycline inducible gateway destination lentiviral vector pCW57.1 (</w:t>
      </w:r>
      <w:proofErr w:type="spellStart"/>
      <w:r w:rsidRPr="00D7747A">
        <w:t>Addgene</w:t>
      </w:r>
      <w:proofErr w:type="spellEnd"/>
      <w:r w:rsidRPr="00D7747A">
        <w:t> #41393). The resulting lentiviral vector is pCW57.1 mm </w:t>
      </w:r>
      <w:proofErr w:type="spellStart"/>
      <w:r w:rsidRPr="00D7747A">
        <w:t>sgRes</w:t>
      </w:r>
      <w:proofErr w:type="spellEnd"/>
      <w:r w:rsidRPr="00D7747A">
        <w:t> STING1 </w:t>
      </w:r>
      <w:proofErr w:type="spellStart"/>
      <w:r w:rsidRPr="00D7747A">
        <w:t>TagBFP</w:t>
      </w:r>
      <w:proofErr w:type="spellEnd"/>
      <w:r w:rsidRPr="00D7747A">
        <w:t>. All vector sequences were confirmed using sanger sequencing at the Oklahoma Medical Research Foundation.</w:t>
      </w:r>
    </w:p>
    <w:p w14:paraId="1E8AE045" w14:textId="77777777" w:rsidR="00137D29" w:rsidRDefault="00137D29" w:rsidP="00137D29">
      <w:pPr>
        <w:pStyle w:val="Heading3"/>
      </w:pPr>
    </w:p>
    <w:p w14:paraId="50CA8A9C" w14:textId="367815A1" w:rsidR="00137D29" w:rsidRPr="00D7747A" w:rsidRDefault="00137D29" w:rsidP="00137D29">
      <w:pPr>
        <w:pStyle w:val="Heading3"/>
      </w:pPr>
      <w:bookmarkStart w:id="68" w:name="_Toc165293379"/>
      <w:r>
        <w:t xml:space="preserve">A.3. </w:t>
      </w:r>
      <w:r w:rsidRPr="00D7747A">
        <w:t>Lentivirus Generation and Transduction</w:t>
      </w:r>
      <w:bookmarkEnd w:id="68"/>
    </w:p>
    <w:p w14:paraId="053470D2" w14:textId="77777777" w:rsidR="00137D29" w:rsidRPr="00D7747A" w:rsidRDefault="00137D29" w:rsidP="00AF2824">
      <w:pPr>
        <w:ind w:firstLine="720"/>
      </w:pPr>
      <w:proofErr w:type="spellStart"/>
      <w:r w:rsidRPr="00D7747A">
        <w:t>LentiCRISPR</w:t>
      </w:r>
      <w:proofErr w:type="spellEnd"/>
      <w:r w:rsidRPr="00D7747A">
        <w:t>/eCas9 1.1 with </w:t>
      </w:r>
      <w:proofErr w:type="spellStart"/>
      <w:r w:rsidRPr="00D7747A">
        <w:t>sgLacZ</w:t>
      </w:r>
      <w:proofErr w:type="spellEnd"/>
      <w:r w:rsidRPr="00D7747A">
        <w:t>, </w:t>
      </w:r>
      <w:proofErr w:type="spellStart"/>
      <w:r w:rsidRPr="00D7747A">
        <w:t>sgSTING</w:t>
      </w:r>
      <w:proofErr w:type="spellEnd"/>
      <w:r w:rsidRPr="00D7747A">
        <w:t> #1, sgSTING1 #2, sgSTING1 #3 and rescue with sgRNA resistant STING1 overexpression vectors were packaged into lentivirus by co-transfection into HEK 293T cells. Briefly 16ug of DNA [(8ug expression vector, 6ug of PsPax2 (</w:t>
      </w:r>
      <w:proofErr w:type="spellStart"/>
      <w:r w:rsidRPr="00D7747A">
        <w:t>Addgene</w:t>
      </w:r>
      <w:proofErr w:type="spellEnd"/>
      <w:r w:rsidRPr="00D7747A">
        <w:t> #12260), and 2ug PMD2.G (</w:t>
      </w:r>
      <w:proofErr w:type="spellStart"/>
      <w:r w:rsidRPr="00D7747A">
        <w:t>Addgene</w:t>
      </w:r>
      <w:proofErr w:type="spellEnd"/>
      <w:r w:rsidRPr="00D7747A">
        <w:t> #12259)] was mixed with 64ul of Transporter 5 (</w:t>
      </w:r>
      <w:proofErr w:type="spellStart"/>
      <w:r w:rsidRPr="00D7747A">
        <w:t>Polysciences</w:t>
      </w:r>
      <w:proofErr w:type="spellEnd"/>
      <w:r w:rsidRPr="00D7747A">
        <w:t>) in 500ul of </w:t>
      </w:r>
      <w:proofErr w:type="spellStart"/>
      <w:r w:rsidRPr="00D7747A">
        <w:t>OptiMem</w:t>
      </w:r>
      <w:proofErr w:type="spellEnd"/>
      <w:r w:rsidRPr="00D7747A">
        <w:t> (</w:t>
      </w:r>
      <w:proofErr w:type="spellStart"/>
      <w:r w:rsidRPr="00D7747A">
        <w:t>Thermofisher</w:t>
      </w:r>
      <w:proofErr w:type="spellEnd"/>
      <w:r w:rsidRPr="00D7747A">
        <w:t>). DNA Transporter 5 mix was added to 10cm petri dish of HEK 293T that were nearly confluent. Virus containing medium was collected at 48h and 72h post-transfection and combined. Medium was then filtered using a 0.45micron PVDF syringe filter and concentrated by adding 5% PEG 8000 solution followed by centrifugation at 1500xg for 30 min. Viral containing pellet was resuspended in 500ul of </w:t>
      </w:r>
      <w:proofErr w:type="spellStart"/>
      <w:r w:rsidRPr="00D7747A">
        <w:t>OptiMem</w:t>
      </w:r>
      <w:proofErr w:type="spellEnd"/>
      <w:r w:rsidRPr="00D7747A">
        <w:t xml:space="preserve">. Concentrated viruses were then added to add DC 2.4 in the presence of 10ug/mL of Polybrene. Cells were selected with 10µg/mL of puromycin. Surviving cells were pooled together. Knockout and overexpression </w:t>
      </w:r>
      <w:proofErr w:type="gramStart"/>
      <w:r w:rsidRPr="00D7747A">
        <w:t>was</w:t>
      </w:r>
      <w:proofErr w:type="gramEnd"/>
      <w:r w:rsidRPr="00D7747A">
        <w:t> confirmed by Western blotting.</w:t>
      </w:r>
    </w:p>
    <w:p w14:paraId="47D8DC37" w14:textId="77777777" w:rsidR="00137D29" w:rsidRDefault="00137D29" w:rsidP="00137D29"/>
    <w:p w14:paraId="0C596C96" w14:textId="77777777" w:rsidR="00137D29" w:rsidRDefault="00137D29" w:rsidP="00137D29"/>
    <w:p w14:paraId="7BA194DD" w14:textId="77777777" w:rsidR="00137D29" w:rsidRDefault="00137D29" w:rsidP="00137D29"/>
    <w:p w14:paraId="1C10E02D" w14:textId="36602F4E" w:rsidR="00137D29" w:rsidRDefault="004C25C3" w:rsidP="004C25C3">
      <w:pPr>
        <w:pStyle w:val="Heading3"/>
      </w:pPr>
      <w:bookmarkStart w:id="69" w:name="_Toc165293380"/>
      <w:r>
        <w:lastRenderedPageBreak/>
        <w:t>A.4. Results</w:t>
      </w:r>
      <w:bookmarkEnd w:id="69"/>
      <w:r>
        <w:t xml:space="preserve"> </w:t>
      </w:r>
    </w:p>
    <w:p w14:paraId="4FB4EBDD" w14:textId="194B65EF" w:rsidR="004C25C3" w:rsidRPr="004C25C3" w:rsidRDefault="004C25C3" w:rsidP="009A2E21">
      <w:pPr>
        <w:ind w:firstLine="720"/>
      </w:pPr>
      <w:r>
        <w:t xml:space="preserve">The knockout was confirmed via western blotting. This can be seen below in </w:t>
      </w:r>
      <w:r>
        <w:rPr>
          <w:b/>
          <w:bCs/>
        </w:rPr>
        <w:t>Figure 23</w:t>
      </w:r>
      <w:r>
        <w:t>.</w:t>
      </w:r>
    </w:p>
    <w:p w14:paraId="0F7087A6" w14:textId="77777777" w:rsidR="00137D29" w:rsidRPr="00EA4F67" w:rsidRDefault="00137D29" w:rsidP="009A439A">
      <w:pPr>
        <w:jc w:val="center"/>
      </w:pPr>
      <w:r w:rsidRPr="00EA4F67">
        <w:rPr>
          <w:noProof/>
        </w:rPr>
        <w:drawing>
          <wp:inline distT="0" distB="0" distL="0" distR="0" wp14:anchorId="288FA8BE" wp14:editId="5C920625">
            <wp:extent cx="2502040" cy="2545407"/>
            <wp:effectExtent l="0" t="0" r="0" b="0"/>
            <wp:docPr id="3" name="Picture 3" descr="A close-up of a tes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test&#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540448" cy="2584481"/>
                    </a:xfrm>
                    <a:prstGeom prst="rect">
                      <a:avLst/>
                    </a:prstGeom>
                    <a:noFill/>
                    <a:ln>
                      <a:noFill/>
                    </a:ln>
                  </pic:spPr>
                </pic:pic>
              </a:graphicData>
            </a:graphic>
          </wp:inline>
        </w:drawing>
      </w:r>
    </w:p>
    <w:p w14:paraId="5461BD50" w14:textId="79507E1A" w:rsidR="004C25C3" w:rsidRPr="003944E4" w:rsidRDefault="003944E4" w:rsidP="003944E4">
      <w:pPr>
        <w:pStyle w:val="Caption"/>
        <w:rPr>
          <w:i w:val="0"/>
          <w:iCs w:val="0"/>
          <w:color w:val="000000" w:themeColor="text1"/>
          <w:sz w:val="20"/>
          <w:szCs w:val="20"/>
        </w:rPr>
      </w:pPr>
      <w:bookmarkStart w:id="70" w:name="_Toc165201240"/>
      <w:r w:rsidRPr="003944E4">
        <w:rPr>
          <w:b/>
          <w:bCs/>
          <w:i w:val="0"/>
          <w:iCs w:val="0"/>
          <w:color w:val="000000" w:themeColor="text1"/>
          <w:sz w:val="20"/>
          <w:szCs w:val="20"/>
        </w:rPr>
        <w:t xml:space="preserve">Figure </w:t>
      </w:r>
      <w:r w:rsidRPr="003944E4">
        <w:rPr>
          <w:b/>
          <w:bCs/>
          <w:i w:val="0"/>
          <w:iCs w:val="0"/>
          <w:color w:val="000000" w:themeColor="text1"/>
          <w:sz w:val="20"/>
          <w:szCs w:val="20"/>
        </w:rPr>
        <w:fldChar w:fldCharType="begin"/>
      </w:r>
      <w:r w:rsidRPr="003944E4">
        <w:rPr>
          <w:b/>
          <w:bCs/>
          <w:i w:val="0"/>
          <w:iCs w:val="0"/>
          <w:color w:val="000000" w:themeColor="text1"/>
          <w:sz w:val="20"/>
          <w:szCs w:val="20"/>
        </w:rPr>
        <w:instrText xml:space="preserve"> SEQ Figure \* ARABIC </w:instrText>
      </w:r>
      <w:r w:rsidRPr="003944E4">
        <w:rPr>
          <w:b/>
          <w:bCs/>
          <w:i w:val="0"/>
          <w:iCs w:val="0"/>
          <w:color w:val="000000" w:themeColor="text1"/>
          <w:sz w:val="20"/>
          <w:szCs w:val="20"/>
        </w:rPr>
        <w:fldChar w:fldCharType="separate"/>
      </w:r>
      <w:r w:rsidR="0021770C">
        <w:rPr>
          <w:b/>
          <w:bCs/>
          <w:i w:val="0"/>
          <w:iCs w:val="0"/>
          <w:noProof/>
          <w:color w:val="000000" w:themeColor="text1"/>
          <w:sz w:val="20"/>
          <w:szCs w:val="20"/>
        </w:rPr>
        <w:t>21</w:t>
      </w:r>
      <w:r w:rsidRPr="003944E4">
        <w:rPr>
          <w:b/>
          <w:bCs/>
          <w:i w:val="0"/>
          <w:iCs w:val="0"/>
          <w:color w:val="000000" w:themeColor="text1"/>
          <w:sz w:val="20"/>
          <w:szCs w:val="20"/>
        </w:rPr>
        <w:fldChar w:fldCharType="end"/>
      </w:r>
      <w:r w:rsidR="004C25C3" w:rsidRPr="003944E4">
        <w:rPr>
          <w:b/>
          <w:bCs/>
          <w:i w:val="0"/>
          <w:iCs w:val="0"/>
          <w:color w:val="000000" w:themeColor="text1"/>
          <w:sz w:val="20"/>
          <w:szCs w:val="20"/>
        </w:rPr>
        <w:t xml:space="preserve">: </w:t>
      </w:r>
      <w:r w:rsidR="00D34A4B" w:rsidRPr="003944E4">
        <w:rPr>
          <w:b/>
          <w:bCs/>
          <w:i w:val="0"/>
          <w:iCs w:val="0"/>
          <w:color w:val="000000" w:themeColor="text1"/>
          <w:sz w:val="20"/>
          <w:szCs w:val="20"/>
        </w:rPr>
        <w:t xml:space="preserve">Western blot illustrating STING KO cell lines. </w:t>
      </w:r>
      <w:r w:rsidR="00D34A4B" w:rsidRPr="003944E4">
        <w:rPr>
          <w:i w:val="0"/>
          <w:iCs w:val="0"/>
          <w:color w:val="000000" w:themeColor="text1"/>
          <w:sz w:val="20"/>
          <w:szCs w:val="20"/>
        </w:rPr>
        <w:t xml:space="preserve">LV Cas9 </w:t>
      </w:r>
      <w:proofErr w:type="spellStart"/>
      <w:r w:rsidR="00D34A4B" w:rsidRPr="003944E4">
        <w:rPr>
          <w:i w:val="0"/>
          <w:iCs w:val="0"/>
          <w:color w:val="000000" w:themeColor="text1"/>
          <w:sz w:val="20"/>
          <w:szCs w:val="20"/>
        </w:rPr>
        <w:t>sgLacZ</w:t>
      </w:r>
      <w:proofErr w:type="spellEnd"/>
      <w:r w:rsidR="00D34A4B" w:rsidRPr="003944E4">
        <w:rPr>
          <w:i w:val="0"/>
          <w:iCs w:val="0"/>
          <w:color w:val="000000" w:themeColor="text1"/>
          <w:sz w:val="20"/>
          <w:szCs w:val="20"/>
        </w:rPr>
        <w:t xml:space="preserve"> shows expression of STING in</w:t>
      </w:r>
      <w:r w:rsidR="00EE301D" w:rsidRPr="003944E4">
        <w:rPr>
          <w:i w:val="0"/>
          <w:iCs w:val="0"/>
          <w:color w:val="000000" w:themeColor="text1"/>
          <w:sz w:val="20"/>
          <w:szCs w:val="20"/>
        </w:rPr>
        <w:t xml:space="preserve"> a</w:t>
      </w:r>
      <w:r w:rsidR="00D34A4B" w:rsidRPr="003944E4">
        <w:rPr>
          <w:i w:val="0"/>
          <w:iCs w:val="0"/>
          <w:color w:val="000000" w:themeColor="text1"/>
          <w:sz w:val="20"/>
          <w:szCs w:val="20"/>
        </w:rPr>
        <w:t xml:space="preserve"> cell line</w:t>
      </w:r>
      <w:r w:rsidR="00EE301D" w:rsidRPr="003944E4">
        <w:rPr>
          <w:i w:val="0"/>
          <w:iCs w:val="0"/>
          <w:color w:val="000000" w:themeColor="text1"/>
          <w:sz w:val="20"/>
          <w:szCs w:val="20"/>
        </w:rPr>
        <w:t xml:space="preserve"> that underwent CRISPR/Cas9 editing without targeting the STING sequencing. LV Cas9 SgSTING1 #1-3 show STING expression in cell lines that underwent CRISPR/Cas9 targeting 3 variations of STING. Histone 3 serves as a control for protein loading, STING 1 shows protein expression, and Cas9 illustrates success of the CRISPR/Cas9 procedures.</w:t>
      </w:r>
      <w:bookmarkEnd w:id="70"/>
      <w:r w:rsidR="00EE301D" w:rsidRPr="003944E4">
        <w:rPr>
          <w:i w:val="0"/>
          <w:iCs w:val="0"/>
          <w:color w:val="000000" w:themeColor="text1"/>
          <w:sz w:val="20"/>
          <w:szCs w:val="20"/>
        </w:rPr>
        <w:t xml:space="preserve"> </w:t>
      </w:r>
    </w:p>
    <w:p w14:paraId="7820EAE5" w14:textId="0C2924AF" w:rsidR="00137D29" w:rsidRDefault="004C25C3" w:rsidP="005440D5">
      <w:pPr>
        <w:pStyle w:val="Heading3"/>
      </w:pPr>
      <w:bookmarkStart w:id="71" w:name="_Toc165293381"/>
      <w:r>
        <w:t>A.5. Conclusions</w:t>
      </w:r>
      <w:bookmarkEnd w:id="71"/>
      <w:r>
        <w:t xml:space="preserve"> </w:t>
      </w:r>
    </w:p>
    <w:p w14:paraId="1CC4A7E9" w14:textId="77777777" w:rsidR="00244492" w:rsidRDefault="00244492" w:rsidP="00244492">
      <w:pPr>
        <w:ind w:firstLine="720"/>
      </w:pPr>
      <w:r>
        <w:t xml:space="preserve">From this several cell lines were created: 1281, 2084, and 2085. The cell line 1281 was a control cell line </w:t>
      </w:r>
      <w:r w:rsidRPr="00EA4F67">
        <w:t>(CRISPER w/ Lag Z)</w:t>
      </w:r>
      <w:r>
        <w:t xml:space="preserve"> representing a cell population that had undergone CRISPER genome editing but still contained endogenous STING. The lines 2084 and 2085 are both DC 2.4 cell lines with different levels of STING expression. Cell line 2084 corresponds with LV Cas9 </w:t>
      </w:r>
      <w:proofErr w:type="spellStart"/>
      <w:r>
        <w:t>sgSTING</w:t>
      </w:r>
      <w:proofErr w:type="spellEnd"/>
      <w:r>
        <w:t xml:space="preserve"> 1 #2 in </w:t>
      </w:r>
      <w:r>
        <w:rPr>
          <w:b/>
          <w:bCs/>
        </w:rPr>
        <w:t>Figure 23</w:t>
      </w:r>
      <w:r>
        <w:t xml:space="preserve"> and correlates with an 80% deletion of endogenous STING. Cell line 2085 corresponds with LV Cas9 </w:t>
      </w:r>
      <w:proofErr w:type="spellStart"/>
      <w:r>
        <w:t>sgSTING</w:t>
      </w:r>
      <w:proofErr w:type="spellEnd"/>
      <w:r>
        <w:t xml:space="preserve"> 1 #3 in </w:t>
      </w:r>
      <w:r>
        <w:rPr>
          <w:b/>
          <w:bCs/>
        </w:rPr>
        <w:t>Figure 23</w:t>
      </w:r>
      <w:r>
        <w:t xml:space="preserve"> and correlates with approximately a 95% deletion of endogenous STING.</w:t>
      </w:r>
    </w:p>
    <w:p w14:paraId="615BF399" w14:textId="7EE3BCEB" w:rsidR="00244492" w:rsidRPr="00244492" w:rsidRDefault="00244492" w:rsidP="00AF2824">
      <w:pPr>
        <w:ind w:firstLine="720"/>
      </w:pPr>
      <w:r>
        <w:t xml:space="preserve">While both STING-GFP and STING-KO cell lines were created, the STING-KO </w:t>
      </w:r>
      <w:r w:rsidR="00232173">
        <w:t>cell lines (1281, 2084, and 2085)</w:t>
      </w:r>
      <w:r>
        <w:t xml:space="preserve"> were utilized in the initial testing. This initial testing consisted of IL-1</w:t>
      </w:r>
      <w:r>
        <w:sym w:font="Symbol" w:char="F062"/>
      </w:r>
      <w:r>
        <w:t xml:space="preserve"> and IFN-</w:t>
      </w:r>
      <w:r>
        <w:sym w:font="Symbol" w:char="F062"/>
      </w:r>
      <w:r>
        <w:t xml:space="preserve"> </w:t>
      </w:r>
      <w:r w:rsidRPr="00244492">
        <w:t>enzyme-linked immunosorbent assay</w:t>
      </w:r>
      <w:r>
        <w:t>s</w:t>
      </w:r>
      <w:r w:rsidRPr="00244492">
        <w:t> (ELISA)</w:t>
      </w:r>
      <w:r>
        <w:t xml:space="preserve">. The methodology, results, and conclusions of these procedures can be seen in </w:t>
      </w:r>
      <w:r>
        <w:rPr>
          <w:b/>
          <w:bCs/>
        </w:rPr>
        <w:t xml:space="preserve">Appendix B. </w:t>
      </w:r>
    </w:p>
    <w:p w14:paraId="6ACEE414" w14:textId="77777777" w:rsidR="00244492" w:rsidRPr="004C25C3" w:rsidRDefault="00244492" w:rsidP="00244492"/>
    <w:p w14:paraId="077B9ED0" w14:textId="77777777" w:rsidR="004C25C3" w:rsidRPr="004C25C3" w:rsidRDefault="004C25C3" w:rsidP="004C25C3"/>
    <w:p w14:paraId="21E03F51" w14:textId="3B5CD715" w:rsidR="00137D29" w:rsidRDefault="001D1C00" w:rsidP="00137D29">
      <w:pPr>
        <w:rPr>
          <w:rFonts w:asciiTheme="majorHAnsi" w:eastAsiaTheme="majorEastAsia" w:hAnsiTheme="majorHAnsi" w:cstheme="majorBidi"/>
          <w:color w:val="2F5496" w:themeColor="accent1" w:themeShade="BF"/>
          <w:sz w:val="26"/>
          <w:szCs w:val="26"/>
        </w:rPr>
      </w:pPr>
      <w:r>
        <w:br w:type="column"/>
      </w:r>
    </w:p>
    <w:p w14:paraId="32E9BE19" w14:textId="3BDE451F" w:rsidR="00137D29" w:rsidRDefault="00137D29" w:rsidP="00137D29">
      <w:pPr>
        <w:pStyle w:val="Heading2"/>
      </w:pPr>
      <w:bookmarkStart w:id="72" w:name="_Toc165293382"/>
      <w:r>
        <w:t xml:space="preserve">Appendix </w:t>
      </w:r>
      <w:r w:rsidR="00B421F9">
        <w:t>B</w:t>
      </w:r>
      <w:r>
        <w:t>: STING KO Procedures and Results</w:t>
      </w:r>
      <w:bookmarkEnd w:id="72"/>
      <w:r>
        <w:t xml:space="preserve"> </w:t>
      </w:r>
    </w:p>
    <w:p w14:paraId="62A29367" w14:textId="0C024C42" w:rsidR="001D1C00" w:rsidRPr="00697F91" w:rsidRDefault="001D1C00" w:rsidP="001D1C00">
      <w:pPr>
        <w:pStyle w:val="Heading3"/>
      </w:pPr>
      <w:bookmarkStart w:id="73" w:name="_Toc165293383"/>
      <w:r w:rsidRPr="00697F91">
        <w:t>B.1. Materials</w:t>
      </w:r>
      <w:bookmarkEnd w:id="73"/>
      <w:r w:rsidRPr="00697F91">
        <w:t xml:space="preserve"> </w:t>
      </w:r>
    </w:p>
    <w:p w14:paraId="5D20B8E9" w14:textId="611FB6AB" w:rsidR="00232173" w:rsidRDefault="00EA6FB6" w:rsidP="00AF2824">
      <w:pPr>
        <w:ind w:firstLine="720"/>
      </w:pPr>
      <w:r>
        <w:t>DC 2.4 cell line (</w:t>
      </w:r>
      <w:r w:rsidRPr="00A06DBB">
        <w:t>Millipore Sigma</w:t>
      </w:r>
      <w:r>
        <w:t>, Cat#</w:t>
      </w:r>
      <w:r w:rsidRPr="00A06DBB">
        <w:t xml:space="preserve"> SCC142</w:t>
      </w:r>
      <w:r>
        <w:t xml:space="preserve">). STING-KO DC 2.4 lines 1281, 2084, and 2085 (protocols for cell line derivation can be found above in </w:t>
      </w:r>
      <w:r>
        <w:rPr>
          <w:b/>
          <w:bCs/>
        </w:rPr>
        <w:t xml:space="preserve">Appendix </w:t>
      </w:r>
      <w:r w:rsidR="003B0604">
        <w:rPr>
          <w:b/>
          <w:bCs/>
        </w:rPr>
        <w:t>A</w:t>
      </w:r>
      <w:r>
        <w:t xml:space="preserve">). </w:t>
      </w:r>
    </w:p>
    <w:p w14:paraId="4D2FBE7B" w14:textId="77777777" w:rsidR="00EA6FB6" w:rsidRPr="00EA6FB6" w:rsidRDefault="00EA6FB6" w:rsidP="00EA6FB6"/>
    <w:p w14:paraId="0F1F4929" w14:textId="77777777" w:rsidR="001D1C00" w:rsidRPr="00EA6FB6" w:rsidRDefault="001D1C00" w:rsidP="001D1C00">
      <w:pPr>
        <w:pStyle w:val="Heading3"/>
      </w:pPr>
      <w:bookmarkStart w:id="74" w:name="_Toc165293384"/>
      <w:r w:rsidRPr="00EA6FB6">
        <w:t>B.2. Methods</w:t>
      </w:r>
      <w:bookmarkEnd w:id="74"/>
    </w:p>
    <w:p w14:paraId="4D43E5BE" w14:textId="657ADB63" w:rsidR="002657BC" w:rsidRDefault="002657BC" w:rsidP="00AF2824">
      <w:pPr>
        <w:ind w:firstLine="720"/>
      </w:pPr>
      <w:r>
        <w:t xml:space="preserve">A 96 well plate was utilized throughout the procedure. Plate preparation is as follows: GC stimulation concentrations were made, </w:t>
      </w:r>
      <w:r w:rsidRPr="00EA4F67">
        <w:t>10</w:t>
      </w:r>
      <w:r w:rsidRPr="00EA4F67">
        <w:sym w:font="Symbol" w:char="F06D"/>
      </w:r>
      <w:r w:rsidRPr="00EA4F67">
        <w:t xml:space="preserve">l of GC solution </w:t>
      </w:r>
      <w:r w:rsidR="00D66B76">
        <w:t xml:space="preserve">and </w:t>
      </w:r>
      <w:r w:rsidR="00D66B76" w:rsidRPr="00EA4F67">
        <w:t>200</w:t>
      </w:r>
      <w:r w:rsidR="00D66B76" w:rsidRPr="00EA4F67">
        <w:sym w:font="Symbol" w:char="F06D"/>
      </w:r>
      <w:r w:rsidR="00D66B76" w:rsidRPr="00EA4F67">
        <w:t xml:space="preserve">l </w:t>
      </w:r>
      <w:r w:rsidR="00D66B76">
        <w:t xml:space="preserve">of cells at a </w:t>
      </w:r>
      <w:r w:rsidR="00D66B76" w:rsidRPr="00EA4F67">
        <w:t>1mil</w:t>
      </w:r>
      <w:r w:rsidR="00D66B76">
        <w:t>lion</w:t>
      </w:r>
      <w:r w:rsidR="00D66B76" w:rsidRPr="00EA4F67">
        <w:t>/mL cell suspension</w:t>
      </w:r>
      <w:r w:rsidR="00D66B76">
        <w:t xml:space="preserve"> were</w:t>
      </w:r>
      <w:r>
        <w:t xml:space="preserve"> added </w:t>
      </w:r>
      <w:r w:rsidRPr="00EA4F67">
        <w:t xml:space="preserve">to </w:t>
      </w:r>
      <w:r>
        <w:t xml:space="preserve">the </w:t>
      </w:r>
      <w:r w:rsidRPr="00EA4F67">
        <w:t>appropriate wel</w:t>
      </w:r>
      <w:r>
        <w:t>ls</w:t>
      </w:r>
      <w:r w:rsidR="00D66B76">
        <w:t xml:space="preserve">, </w:t>
      </w:r>
      <w:r>
        <w:t>and</w:t>
      </w:r>
      <w:r w:rsidR="00D66B76">
        <w:t xml:space="preserve"> the</w:t>
      </w:r>
      <w:r>
        <w:t xml:space="preserve"> plate was allowed to incubate overnight at 37</w:t>
      </w:r>
      <w:r>
        <w:sym w:font="Symbol" w:char="F0B0"/>
      </w:r>
      <w:r>
        <w:t>C. Post incubation supernatants were collects for use within ELISA protocols.</w:t>
      </w:r>
      <w:r w:rsidR="00764F0F">
        <w:t xml:space="preserve"> Below </w:t>
      </w:r>
      <w:r w:rsidR="00764F0F">
        <w:rPr>
          <w:b/>
          <w:bCs/>
        </w:rPr>
        <w:t xml:space="preserve">Table </w:t>
      </w:r>
      <w:r w:rsidR="00D66B76">
        <w:rPr>
          <w:b/>
          <w:bCs/>
        </w:rPr>
        <w:t xml:space="preserve">4 </w:t>
      </w:r>
      <w:r w:rsidR="00D66B76">
        <w:t>illustrates</w:t>
      </w:r>
      <w:r w:rsidR="00764F0F">
        <w:t xml:space="preserve"> how GC concentrations were made. The stock solution was dilution by 1/100 and 1/10 to make the 0.8</w:t>
      </w:r>
      <w:r w:rsidR="00764F0F">
        <w:sym w:font="Symbol" w:char="F06D"/>
      </w:r>
      <w:r w:rsidR="00764F0F">
        <w:t>g/mL and 4-32</w:t>
      </w:r>
      <w:r w:rsidR="00764F0F">
        <w:sym w:font="Symbol" w:char="F06D"/>
      </w:r>
      <w:r w:rsidR="00764F0F">
        <w:t xml:space="preserve">g/mL concentrations respectively. </w:t>
      </w:r>
    </w:p>
    <w:p w14:paraId="43BA29EF" w14:textId="77777777" w:rsidR="001D1C00" w:rsidRPr="003D3A80" w:rsidRDefault="001D1C00" w:rsidP="001D1C00">
      <w:pPr>
        <w:rPr>
          <w:b/>
          <w:bCs/>
        </w:rPr>
      </w:pPr>
    </w:p>
    <w:p w14:paraId="130BECCA" w14:textId="388D1788" w:rsidR="001D1C00" w:rsidRPr="003D3A80" w:rsidRDefault="002657BC" w:rsidP="002657BC">
      <w:pPr>
        <w:pStyle w:val="Caption"/>
        <w:spacing w:after="0"/>
        <w:rPr>
          <w:b/>
          <w:bCs/>
          <w:i w:val="0"/>
          <w:iCs w:val="0"/>
          <w:color w:val="000000" w:themeColor="text1"/>
          <w:sz w:val="24"/>
          <w:szCs w:val="24"/>
          <w:lang w:val="it-IT"/>
        </w:rPr>
      </w:pPr>
      <w:bookmarkStart w:id="75" w:name="_Toc165201213"/>
      <w:r w:rsidRPr="003D3A80">
        <w:rPr>
          <w:b/>
          <w:bCs/>
          <w:i w:val="0"/>
          <w:iCs w:val="0"/>
          <w:color w:val="000000" w:themeColor="text1"/>
          <w:sz w:val="24"/>
          <w:szCs w:val="24"/>
        </w:rPr>
        <w:t xml:space="preserve">Table </w:t>
      </w:r>
      <w:r w:rsidRPr="003D3A80">
        <w:rPr>
          <w:b/>
          <w:bCs/>
          <w:i w:val="0"/>
          <w:iCs w:val="0"/>
          <w:color w:val="000000" w:themeColor="text1"/>
          <w:sz w:val="24"/>
          <w:szCs w:val="24"/>
        </w:rPr>
        <w:fldChar w:fldCharType="begin"/>
      </w:r>
      <w:r w:rsidRPr="003D3A80">
        <w:rPr>
          <w:b/>
          <w:bCs/>
          <w:i w:val="0"/>
          <w:iCs w:val="0"/>
          <w:color w:val="000000" w:themeColor="text1"/>
          <w:sz w:val="24"/>
          <w:szCs w:val="24"/>
        </w:rPr>
        <w:instrText xml:space="preserve"> SEQ Table \* ARABIC </w:instrText>
      </w:r>
      <w:r w:rsidRPr="003D3A80">
        <w:rPr>
          <w:b/>
          <w:bCs/>
          <w:i w:val="0"/>
          <w:iCs w:val="0"/>
          <w:color w:val="000000" w:themeColor="text1"/>
          <w:sz w:val="24"/>
          <w:szCs w:val="24"/>
        </w:rPr>
        <w:fldChar w:fldCharType="separate"/>
      </w:r>
      <w:r w:rsidR="0021770C">
        <w:rPr>
          <w:b/>
          <w:bCs/>
          <w:i w:val="0"/>
          <w:iCs w:val="0"/>
          <w:noProof/>
          <w:color w:val="000000" w:themeColor="text1"/>
          <w:sz w:val="24"/>
          <w:szCs w:val="24"/>
        </w:rPr>
        <w:t>4</w:t>
      </w:r>
      <w:r w:rsidRPr="003D3A80">
        <w:rPr>
          <w:b/>
          <w:bCs/>
          <w:i w:val="0"/>
          <w:iCs w:val="0"/>
          <w:color w:val="000000" w:themeColor="text1"/>
          <w:sz w:val="24"/>
          <w:szCs w:val="24"/>
        </w:rPr>
        <w:fldChar w:fldCharType="end"/>
      </w:r>
      <w:r w:rsidRPr="003D3A80">
        <w:rPr>
          <w:b/>
          <w:bCs/>
          <w:i w:val="0"/>
          <w:iCs w:val="0"/>
          <w:color w:val="000000" w:themeColor="text1"/>
          <w:sz w:val="24"/>
          <w:szCs w:val="24"/>
        </w:rPr>
        <w:t>: GC Concentration Preparation</w:t>
      </w:r>
      <w:bookmarkEnd w:id="75"/>
    </w:p>
    <w:tbl>
      <w:tblPr>
        <w:tblStyle w:val="TableGrid"/>
        <w:tblW w:w="0" w:type="auto"/>
        <w:tblLook w:val="04A0" w:firstRow="1" w:lastRow="0" w:firstColumn="1" w:lastColumn="0" w:noHBand="0" w:noVBand="1"/>
      </w:tblPr>
      <w:tblGrid>
        <w:gridCol w:w="1627"/>
        <w:gridCol w:w="905"/>
        <w:gridCol w:w="886"/>
        <w:gridCol w:w="886"/>
        <w:gridCol w:w="895"/>
        <w:gridCol w:w="895"/>
        <w:gridCol w:w="895"/>
      </w:tblGrid>
      <w:tr w:rsidR="001D1C00" w:rsidRPr="00EA4F67" w14:paraId="20458B27" w14:textId="77777777" w:rsidTr="008E17C1">
        <w:trPr>
          <w:trHeight w:val="294"/>
        </w:trPr>
        <w:tc>
          <w:tcPr>
            <w:tcW w:w="1310" w:type="dxa"/>
            <w:tcBorders>
              <w:bottom w:val="single" w:sz="4" w:space="0" w:color="auto"/>
            </w:tcBorders>
          </w:tcPr>
          <w:p w14:paraId="4B87C2CB" w14:textId="77777777" w:rsidR="001D1C00" w:rsidRPr="00EA4F67" w:rsidRDefault="001D1C00" w:rsidP="008E17C1">
            <w:pPr>
              <w:rPr>
                <w:b/>
                <w:bCs/>
              </w:rPr>
            </w:pPr>
            <w:r w:rsidRPr="00EA4F67">
              <w:rPr>
                <w:b/>
                <w:bCs/>
              </w:rPr>
              <w:t>Concentration</w:t>
            </w:r>
          </w:p>
        </w:tc>
        <w:tc>
          <w:tcPr>
            <w:tcW w:w="905" w:type="dxa"/>
            <w:tcBorders>
              <w:bottom w:val="single" w:sz="4" w:space="0" w:color="auto"/>
              <w:right w:val="nil"/>
            </w:tcBorders>
          </w:tcPr>
          <w:p w14:paraId="3248D58A" w14:textId="77777777" w:rsidR="001D1C00" w:rsidRPr="00EA4F67" w:rsidRDefault="001D1C00" w:rsidP="008E17C1">
            <w:pPr>
              <w:rPr>
                <w:b/>
                <w:bCs/>
              </w:rPr>
            </w:pPr>
            <w:r w:rsidRPr="00EA4F67">
              <w:rPr>
                <w:b/>
                <w:bCs/>
              </w:rPr>
              <w:t>0.8</w:t>
            </w:r>
          </w:p>
        </w:tc>
        <w:tc>
          <w:tcPr>
            <w:tcW w:w="886" w:type="dxa"/>
            <w:tcBorders>
              <w:left w:val="nil"/>
              <w:bottom w:val="single" w:sz="4" w:space="0" w:color="auto"/>
              <w:right w:val="nil"/>
            </w:tcBorders>
          </w:tcPr>
          <w:p w14:paraId="2F34E946" w14:textId="77777777" w:rsidR="001D1C00" w:rsidRPr="00EA4F67" w:rsidRDefault="001D1C00" w:rsidP="008E17C1">
            <w:pPr>
              <w:rPr>
                <w:b/>
                <w:bCs/>
              </w:rPr>
            </w:pPr>
            <w:r w:rsidRPr="00EA4F67">
              <w:rPr>
                <w:b/>
                <w:bCs/>
              </w:rPr>
              <w:t>4</w:t>
            </w:r>
          </w:p>
        </w:tc>
        <w:tc>
          <w:tcPr>
            <w:tcW w:w="886" w:type="dxa"/>
            <w:tcBorders>
              <w:left w:val="nil"/>
              <w:bottom w:val="single" w:sz="4" w:space="0" w:color="auto"/>
              <w:right w:val="nil"/>
            </w:tcBorders>
          </w:tcPr>
          <w:p w14:paraId="1BE5E99D" w14:textId="77777777" w:rsidR="001D1C00" w:rsidRPr="00EA4F67" w:rsidRDefault="001D1C00" w:rsidP="008E17C1">
            <w:pPr>
              <w:rPr>
                <w:b/>
                <w:bCs/>
              </w:rPr>
            </w:pPr>
            <w:r w:rsidRPr="00EA4F67">
              <w:rPr>
                <w:b/>
                <w:bCs/>
              </w:rPr>
              <w:t>8</w:t>
            </w:r>
          </w:p>
        </w:tc>
        <w:tc>
          <w:tcPr>
            <w:tcW w:w="895" w:type="dxa"/>
            <w:tcBorders>
              <w:left w:val="nil"/>
              <w:bottom w:val="single" w:sz="4" w:space="0" w:color="auto"/>
              <w:right w:val="nil"/>
            </w:tcBorders>
          </w:tcPr>
          <w:p w14:paraId="5E3FF4F0" w14:textId="77777777" w:rsidR="001D1C00" w:rsidRPr="00EA4F67" w:rsidRDefault="001D1C00" w:rsidP="008E17C1">
            <w:pPr>
              <w:rPr>
                <w:b/>
                <w:bCs/>
              </w:rPr>
            </w:pPr>
            <w:r w:rsidRPr="00EA4F67">
              <w:rPr>
                <w:b/>
                <w:bCs/>
              </w:rPr>
              <w:t>16</w:t>
            </w:r>
          </w:p>
        </w:tc>
        <w:tc>
          <w:tcPr>
            <w:tcW w:w="895" w:type="dxa"/>
            <w:tcBorders>
              <w:left w:val="nil"/>
              <w:bottom w:val="single" w:sz="4" w:space="0" w:color="auto"/>
              <w:right w:val="nil"/>
            </w:tcBorders>
          </w:tcPr>
          <w:p w14:paraId="56A49146" w14:textId="77777777" w:rsidR="001D1C00" w:rsidRPr="00EA4F67" w:rsidRDefault="001D1C00" w:rsidP="008E17C1">
            <w:pPr>
              <w:rPr>
                <w:b/>
                <w:bCs/>
              </w:rPr>
            </w:pPr>
            <w:r w:rsidRPr="00EA4F67">
              <w:rPr>
                <w:b/>
                <w:bCs/>
              </w:rPr>
              <w:t>32</w:t>
            </w:r>
          </w:p>
        </w:tc>
        <w:tc>
          <w:tcPr>
            <w:tcW w:w="895" w:type="dxa"/>
            <w:tcBorders>
              <w:left w:val="nil"/>
              <w:bottom w:val="single" w:sz="4" w:space="0" w:color="auto"/>
            </w:tcBorders>
          </w:tcPr>
          <w:p w14:paraId="02660E77" w14:textId="77777777" w:rsidR="001D1C00" w:rsidRPr="00EA4F67" w:rsidRDefault="001D1C00" w:rsidP="008E17C1">
            <w:pPr>
              <w:rPr>
                <w:b/>
                <w:bCs/>
              </w:rPr>
            </w:pPr>
            <w:r w:rsidRPr="00EA4F67">
              <w:rPr>
                <w:b/>
                <w:bCs/>
              </w:rPr>
              <w:t>64</w:t>
            </w:r>
          </w:p>
        </w:tc>
      </w:tr>
      <w:tr w:rsidR="001D1C00" w:rsidRPr="00EA4F67" w14:paraId="52D57271" w14:textId="77777777" w:rsidTr="008E17C1">
        <w:trPr>
          <w:trHeight w:val="333"/>
        </w:trPr>
        <w:tc>
          <w:tcPr>
            <w:tcW w:w="1310" w:type="dxa"/>
            <w:tcBorders>
              <w:top w:val="single" w:sz="4" w:space="0" w:color="auto"/>
              <w:bottom w:val="nil"/>
            </w:tcBorders>
            <w:shd w:val="clear" w:color="auto" w:fill="E2EFD9" w:themeFill="accent6" w:themeFillTint="33"/>
          </w:tcPr>
          <w:p w14:paraId="26F8192F" w14:textId="77777777" w:rsidR="001D1C00" w:rsidRPr="00EA4F67" w:rsidRDefault="001D1C00" w:rsidP="008E17C1">
            <w:pPr>
              <w:rPr>
                <w:b/>
                <w:bCs/>
              </w:rPr>
            </w:pPr>
            <w:r w:rsidRPr="00EA4F67">
              <w:rPr>
                <w:b/>
                <w:bCs/>
              </w:rPr>
              <w:t>GC Stock (</w:t>
            </w:r>
            <w:r w:rsidRPr="00EA4F67">
              <w:rPr>
                <w:b/>
                <w:bCs/>
              </w:rPr>
              <w:sym w:font="Symbol" w:char="F06D"/>
            </w:r>
            <w:r w:rsidRPr="00EA4F67">
              <w:rPr>
                <w:b/>
                <w:bCs/>
              </w:rPr>
              <w:t>l)</w:t>
            </w:r>
          </w:p>
        </w:tc>
        <w:tc>
          <w:tcPr>
            <w:tcW w:w="905" w:type="dxa"/>
            <w:vMerge w:val="restart"/>
            <w:tcBorders>
              <w:bottom w:val="nil"/>
              <w:right w:val="nil"/>
            </w:tcBorders>
            <w:shd w:val="clear" w:color="auto" w:fill="auto"/>
          </w:tcPr>
          <w:p w14:paraId="16EAEB88" w14:textId="77777777" w:rsidR="001D1C00" w:rsidRPr="00EA4F67" w:rsidRDefault="001D1C00" w:rsidP="008E17C1"/>
        </w:tc>
        <w:tc>
          <w:tcPr>
            <w:tcW w:w="886" w:type="dxa"/>
            <w:tcBorders>
              <w:left w:val="nil"/>
              <w:bottom w:val="nil"/>
              <w:right w:val="nil"/>
            </w:tcBorders>
            <w:shd w:val="clear" w:color="auto" w:fill="auto"/>
          </w:tcPr>
          <w:p w14:paraId="4D5A7082" w14:textId="77777777" w:rsidR="001D1C00" w:rsidRPr="00EA4F67" w:rsidRDefault="001D1C00" w:rsidP="008E17C1"/>
        </w:tc>
        <w:tc>
          <w:tcPr>
            <w:tcW w:w="886" w:type="dxa"/>
            <w:tcBorders>
              <w:left w:val="nil"/>
              <w:bottom w:val="nil"/>
              <w:right w:val="nil"/>
            </w:tcBorders>
            <w:shd w:val="clear" w:color="auto" w:fill="auto"/>
          </w:tcPr>
          <w:p w14:paraId="219B1C98" w14:textId="77777777" w:rsidR="001D1C00" w:rsidRPr="00EA4F67" w:rsidRDefault="001D1C00" w:rsidP="008E17C1"/>
        </w:tc>
        <w:tc>
          <w:tcPr>
            <w:tcW w:w="895" w:type="dxa"/>
            <w:tcBorders>
              <w:left w:val="nil"/>
              <w:bottom w:val="nil"/>
              <w:right w:val="nil"/>
            </w:tcBorders>
            <w:shd w:val="clear" w:color="auto" w:fill="auto"/>
          </w:tcPr>
          <w:p w14:paraId="56A4C63D" w14:textId="77777777" w:rsidR="001D1C00" w:rsidRPr="00EA4F67" w:rsidRDefault="001D1C00" w:rsidP="008E17C1"/>
        </w:tc>
        <w:tc>
          <w:tcPr>
            <w:tcW w:w="895" w:type="dxa"/>
            <w:tcBorders>
              <w:left w:val="nil"/>
              <w:bottom w:val="nil"/>
              <w:right w:val="nil"/>
            </w:tcBorders>
            <w:shd w:val="clear" w:color="auto" w:fill="auto"/>
          </w:tcPr>
          <w:p w14:paraId="0A55F5E5" w14:textId="77777777" w:rsidR="001D1C00" w:rsidRPr="00EA4F67" w:rsidRDefault="001D1C00" w:rsidP="008E17C1"/>
        </w:tc>
        <w:tc>
          <w:tcPr>
            <w:tcW w:w="895" w:type="dxa"/>
            <w:tcBorders>
              <w:left w:val="nil"/>
              <w:bottom w:val="nil"/>
            </w:tcBorders>
            <w:shd w:val="clear" w:color="auto" w:fill="E2EFD9" w:themeFill="accent6" w:themeFillTint="33"/>
          </w:tcPr>
          <w:p w14:paraId="1EC6FC9A" w14:textId="77777777" w:rsidR="001D1C00" w:rsidRPr="00EA4F67" w:rsidRDefault="001D1C00" w:rsidP="008E17C1">
            <w:r w:rsidRPr="00EA4F67">
              <w:t>25.6</w:t>
            </w:r>
          </w:p>
        </w:tc>
      </w:tr>
      <w:tr w:rsidR="001D1C00" w:rsidRPr="00EA4F67" w14:paraId="7F61DB84" w14:textId="77777777" w:rsidTr="008E17C1">
        <w:trPr>
          <w:trHeight w:val="308"/>
        </w:trPr>
        <w:tc>
          <w:tcPr>
            <w:tcW w:w="1310" w:type="dxa"/>
            <w:tcBorders>
              <w:top w:val="nil"/>
              <w:bottom w:val="nil"/>
            </w:tcBorders>
            <w:shd w:val="clear" w:color="auto" w:fill="DEEAF6" w:themeFill="accent5" w:themeFillTint="33"/>
          </w:tcPr>
          <w:p w14:paraId="6194325D" w14:textId="77777777" w:rsidR="001D1C00" w:rsidRPr="00EA4F67" w:rsidRDefault="001D1C00" w:rsidP="008E17C1">
            <w:pPr>
              <w:rPr>
                <w:b/>
                <w:bCs/>
              </w:rPr>
            </w:pPr>
            <w:r w:rsidRPr="00EA4F67">
              <w:rPr>
                <w:b/>
                <w:bCs/>
              </w:rPr>
              <w:t>1/10 (</w:t>
            </w:r>
            <w:r w:rsidRPr="00EA4F67">
              <w:rPr>
                <w:b/>
                <w:bCs/>
              </w:rPr>
              <w:sym w:font="Symbol" w:char="F06D"/>
            </w:r>
            <w:r w:rsidRPr="00EA4F67">
              <w:rPr>
                <w:b/>
                <w:bCs/>
              </w:rPr>
              <w:t>l)</w:t>
            </w:r>
          </w:p>
        </w:tc>
        <w:tc>
          <w:tcPr>
            <w:tcW w:w="905" w:type="dxa"/>
            <w:vMerge/>
            <w:tcBorders>
              <w:top w:val="nil"/>
              <w:bottom w:val="nil"/>
              <w:right w:val="nil"/>
            </w:tcBorders>
            <w:shd w:val="clear" w:color="auto" w:fill="auto"/>
          </w:tcPr>
          <w:p w14:paraId="0D5D0769" w14:textId="77777777" w:rsidR="001D1C00" w:rsidRPr="00EA4F67" w:rsidRDefault="001D1C00" w:rsidP="008E17C1"/>
        </w:tc>
        <w:tc>
          <w:tcPr>
            <w:tcW w:w="886" w:type="dxa"/>
            <w:tcBorders>
              <w:top w:val="nil"/>
              <w:left w:val="nil"/>
              <w:bottom w:val="nil"/>
              <w:right w:val="nil"/>
            </w:tcBorders>
            <w:shd w:val="clear" w:color="auto" w:fill="DEEAF6" w:themeFill="accent5" w:themeFillTint="33"/>
          </w:tcPr>
          <w:p w14:paraId="44F1F0A8" w14:textId="77777777" w:rsidR="001D1C00" w:rsidRPr="00EA4F67" w:rsidRDefault="001D1C00" w:rsidP="008E17C1">
            <w:r w:rsidRPr="00EA4F67">
              <w:t>16</w:t>
            </w:r>
          </w:p>
        </w:tc>
        <w:tc>
          <w:tcPr>
            <w:tcW w:w="886" w:type="dxa"/>
            <w:tcBorders>
              <w:top w:val="nil"/>
              <w:left w:val="nil"/>
              <w:bottom w:val="nil"/>
              <w:right w:val="nil"/>
            </w:tcBorders>
            <w:shd w:val="clear" w:color="auto" w:fill="DEEAF6" w:themeFill="accent5" w:themeFillTint="33"/>
          </w:tcPr>
          <w:p w14:paraId="10AA28A3" w14:textId="77777777" w:rsidR="001D1C00" w:rsidRPr="00EA4F67" w:rsidRDefault="001D1C00" w:rsidP="008E17C1">
            <w:r w:rsidRPr="00EA4F67">
              <w:t>32</w:t>
            </w:r>
          </w:p>
        </w:tc>
        <w:tc>
          <w:tcPr>
            <w:tcW w:w="895" w:type="dxa"/>
            <w:tcBorders>
              <w:top w:val="nil"/>
              <w:left w:val="nil"/>
              <w:bottom w:val="nil"/>
              <w:right w:val="nil"/>
            </w:tcBorders>
            <w:shd w:val="clear" w:color="auto" w:fill="DEEAF6" w:themeFill="accent5" w:themeFillTint="33"/>
          </w:tcPr>
          <w:p w14:paraId="6AE5B341" w14:textId="77777777" w:rsidR="001D1C00" w:rsidRPr="00EA4F67" w:rsidRDefault="001D1C00" w:rsidP="008E17C1">
            <w:r w:rsidRPr="00EA4F67">
              <w:t>64</w:t>
            </w:r>
          </w:p>
        </w:tc>
        <w:tc>
          <w:tcPr>
            <w:tcW w:w="895" w:type="dxa"/>
            <w:tcBorders>
              <w:top w:val="nil"/>
              <w:left w:val="nil"/>
              <w:bottom w:val="nil"/>
              <w:right w:val="nil"/>
            </w:tcBorders>
            <w:shd w:val="clear" w:color="auto" w:fill="DEEAF6" w:themeFill="accent5" w:themeFillTint="33"/>
          </w:tcPr>
          <w:p w14:paraId="091AADBE" w14:textId="77777777" w:rsidR="001D1C00" w:rsidRPr="00EA4F67" w:rsidRDefault="001D1C00" w:rsidP="008E17C1">
            <w:r w:rsidRPr="00EA4F67">
              <w:t>128</w:t>
            </w:r>
          </w:p>
        </w:tc>
        <w:tc>
          <w:tcPr>
            <w:tcW w:w="895" w:type="dxa"/>
            <w:vMerge w:val="restart"/>
            <w:tcBorders>
              <w:top w:val="nil"/>
              <w:left w:val="nil"/>
              <w:bottom w:val="nil"/>
            </w:tcBorders>
            <w:shd w:val="clear" w:color="auto" w:fill="auto"/>
          </w:tcPr>
          <w:p w14:paraId="5F87FF81" w14:textId="77777777" w:rsidR="001D1C00" w:rsidRPr="00EA4F67" w:rsidRDefault="001D1C00" w:rsidP="008E17C1"/>
        </w:tc>
      </w:tr>
      <w:tr w:rsidR="001D1C00" w:rsidRPr="00EA4F67" w14:paraId="39B4BE3E" w14:textId="77777777" w:rsidTr="008E17C1">
        <w:trPr>
          <w:trHeight w:val="334"/>
        </w:trPr>
        <w:tc>
          <w:tcPr>
            <w:tcW w:w="1310" w:type="dxa"/>
            <w:tcBorders>
              <w:top w:val="nil"/>
              <w:bottom w:val="nil"/>
            </w:tcBorders>
            <w:shd w:val="clear" w:color="auto" w:fill="FCE7EB"/>
          </w:tcPr>
          <w:p w14:paraId="682F471E" w14:textId="77777777" w:rsidR="001D1C00" w:rsidRPr="00EA4F67" w:rsidRDefault="001D1C00" w:rsidP="008E17C1">
            <w:pPr>
              <w:rPr>
                <w:b/>
                <w:bCs/>
              </w:rPr>
            </w:pPr>
            <w:r w:rsidRPr="00EA4F67">
              <w:rPr>
                <w:b/>
                <w:bCs/>
              </w:rPr>
              <w:t>1/100 (</w:t>
            </w:r>
            <w:r w:rsidRPr="00EA4F67">
              <w:rPr>
                <w:b/>
                <w:bCs/>
              </w:rPr>
              <w:sym w:font="Symbol" w:char="F06D"/>
            </w:r>
            <w:r w:rsidRPr="00EA4F67">
              <w:rPr>
                <w:b/>
                <w:bCs/>
              </w:rPr>
              <w:t>l)</w:t>
            </w:r>
          </w:p>
        </w:tc>
        <w:tc>
          <w:tcPr>
            <w:tcW w:w="905" w:type="dxa"/>
            <w:tcBorders>
              <w:top w:val="nil"/>
              <w:bottom w:val="nil"/>
              <w:right w:val="nil"/>
            </w:tcBorders>
            <w:shd w:val="clear" w:color="auto" w:fill="FCE7EB"/>
          </w:tcPr>
          <w:p w14:paraId="78C846F3" w14:textId="77777777" w:rsidR="001D1C00" w:rsidRPr="00EA4F67" w:rsidRDefault="001D1C00" w:rsidP="008E17C1">
            <w:r w:rsidRPr="00EA4F67">
              <w:t>32</w:t>
            </w:r>
          </w:p>
        </w:tc>
        <w:tc>
          <w:tcPr>
            <w:tcW w:w="886" w:type="dxa"/>
            <w:tcBorders>
              <w:top w:val="nil"/>
              <w:left w:val="nil"/>
              <w:bottom w:val="nil"/>
              <w:right w:val="nil"/>
            </w:tcBorders>
            <w:shd w:val="clear" w:color="auto" w:fill="auto"/>
          </w:tcPr>
          <w:p w14:paraId="3656DE8D" w14:textId="77777777" w:rsidR="001D1C00" w:rsidRPr="00EA4F67" w:rsidRDefault="001D1C00" w:rsidP="008E17C1"/>
        </w:tc>
        <w:tc>
          <w:tcPr>
            <w:tcW w:w="886" w:type="dxa"/>
            <w:tcBorders>
              <w:top w:val="nil"/>
              <w:left w:val="nil"/>
              <w:bottom w:val="nil"/>
              <w:right w:val="nil"/>
            </w:tcBorders>
            <w:shd w:val="clear" w:color="auto" w:fill="auto"/>
          </w:tcPr>
          <w:p w14:paraId="3DA48DE1" w14:textId="77777777" w:rsidR="001D1C00" w:rsidRPr="00EA4F67" w:rsidRDefault="001D1C00" w:rsidP="008E17C1"/>
        </w:tc>
        <w:tc>
          <w:tcPr>
            <w:tcW w:w="895" w:type="dxa"/>
            <w:tcBorders>
              <w:top w:val="nil"/>
              <w:left w:val="nil"/>
              <w:bottom w:val="nil"/>
              <w:right w:val="nil"/>
            </w:tcBorders>
            <w:shd w:val="clear" w:color="auto" w:fill="auto"/>
          </w:tcPr>
          <w:p w14:paraId="6CE3D597" w14:textId="77777777" w:rsidR="001D1C00" w:rsidRPr="00EA4F67" w:rsidRDefault="001D1C00" w:rsidP="008E17C1"/>
        </w:tc>
        <w:tc>
          <w:tcPr>
            <w:tcW w:w="895" w:type="dxa"/>
            <w:tcBorders>
              <w:top w:val="nil"/>
              <w:left w:val="nil"/>
              <w:bottom w:val="nil"/>
              <w:right w:val="nil"/>
            </w:tcBorders>
            <w:shd w:val="clear" w:color="auto" w:fill="auto"/>
          </w:tcPr>
          <w:p w14:paraId="7B85EE6C" w14:textId="77777777" w:rsidR="001D1C00" w:rsidRPr="00EA4F67" w:rsidRDefault="001D1C00" w:rsidP="008E17C1"/>
        </w:tc>
        <w:tc>
          <w:tcPr>
            <w:tcW w:w="895" w:type="dxa"/>
            <w:vMerge/>
            <w:tcBorders>
              <w:top w:val="nil"/>
              <w:left w:val="nil"/>
              <w:bottom w:val="nil"/>
            </w:tcBorders>
            <w:shd w:val="clear" w:color="auto" w:fill="auto"/>
          </w:tcPr>
          <w:p w14:paraId="5C18AD14" w14:textId="77777777" w:rsidR="001D1C00" w:rsidRPr="00EA4F67" w:rsidRDefault="001D1C00" w:rsidP="008E17C1"/>
        </w:tc>
      </w:tr>
      <w:tr w:rsidR="001D1C00" w:rsidRPr="00EA4F67" w14:paraId="4A21FAA7" w14:textId="77777777" w:rsidTr="008E17C1">
        <w:trPr>
          <w:trHeight w:val="227"/>
        </w:trPr>
        <w:tc>
          <w:tcPr>
            <w:tcW w:w="1310" w:type="dxa"/>
            <w:tcBorders>
              <w:top w:val="nil"/>
            </w:tcBorders>
            <w:shd w:val="clear" w:color="auto" w:fill="FDE9CB"/>
          </w:tcPr>
          <w:p w14:paraId="65F33287" w14:textId="77777777" w:rsidR="001D1C00" w:rsidRPr="00EA4F67" w:rsidRDefault="001D1C00" w:rsidP="008E17C1">
            <w:pPr>
              <w:rPr>
                <w:b/>
                <w:bCs/>
              </w:rPr>
            </w:pPr>
            <w:r w:rsidRPr="00EA4F67">
              <w:rPr>
                <w:b/>
                <w:bCs/>
              </w:rPr>
              <w:t>Media (</w:t>
            </w:r>
            <w:r w:rsidRPr="00EA4F67">
              <w:rPr>
                <w:b/>
                <w:bCs/>
              </w:rPr>
              <w:sym w:font="Symbol" w:char="F06D"/>
            </w:r>
            <w:r w:rsidRPr="00EA4F67">
              <w:rPr>
                <w:b/>
                <w:bCs/>
              </w:rPr>
              <w:t>l)</w:t>
            </w:r>
          </w:p>
        </w:tc>
        <w:tc>
          <w:tcPr>
            <w:tcW w:w="905" w:type="dxa"/>
            <w:tcBorders>
              <w:top w:val="nil"/>
              <w:right w:val="nil"/>
            </w:tcBorders>
            <w:shd w:val="clear" w:color="auto" w:fill="FDE9CB"/>
          </w:tcPr>
          <w:p w14:paraId="3DE6555C" w14:textId="77777777" w:rsidR="001D1C00" w:rsidRPr="00EA4F67" w:rsidRDefault="001D1C00" w:rsidP="008E17C1">
            <w:r w:rsidRPr="00EA4F67">
              <w:t>168</w:t>
            </w:r>
          </w:p>
        </w:tc>
        <w:tc>
          <w:tcPr>
            <w:tcW w:w="886" w:type="dxa"/>
            <w:tcBorders>
              <w:top w:val="nil"/>
              <w:left w:val="nil"/>
              <w:right w:val="nil"/>
            </w:tcBorders>
            <w:shd w:val="clear" w:color="auto" w:fill="FDE9CB"/>
          </w:tcPr>
          <w:p w14:paraId="48658EFA" w14:textId="77777777" w:rsidR="001D1C00" w:rsidRPr="00EA4F67" w:rsidRDefault="001D1C00" w:rsidP="008E17C1">
            <w:r w:rsidRPr="00EA4F67">
              <w:t>184</w:t>
            </w:r>
          </w:p>
        </w:tc>
        <w:tc>
          <w:tcPr>
            <w:tcW w:w="886" w:type="dxa"/>
            <w:tcBorders>
              <w:top w:val="nil"/>
              <w:left w:val="nil"/>
              <w:right w:val="nil"/>
            </w:tcBorders>
            <w:shd w:val="clear" w:color="auto" w:fill="FDE9CB"/>
          </w:tcPr>
          <w:p w14:paraId="7B2ADD84" w14:textId="77777777" w:rsidR="001D1C00" w:rsidRPr="00EA4F67" w:rsidRDefault="001D1C00" w:rsidP="008E17C1">
            <w:r w:rsidRPr="00EA4F67">
              <w:t>168</w:t>
            </w:r>
          </w:p>
        </w:tc>
        <w:tc>
          <w:tcPr>
            <w:tcW w:w="895" w:type="dxa"/>
            <w:tcBorders>
              <w:top w:val="nil"/>
              <w:left w:val="nil"/>
              <w:right w:val="nil"/>
            </w:tcBorders>
            <w:shd w:val="clear" w:color="auto" w:fill="FDE9CB"/>
          </w:tcPr>
          <w:p w14:paraId="368102D8" w14:textId="77777777" w:rsidR="001D1C00" w:rsidRPr="00EA4F67" w:rsidRDefault="001D1C00" w:rsidP="008E17C1">
            <w:r w:rsidRPr="00EA4F67">
              <w:t>136</w:t>
            </w:r>
          </w:p>
        </w:tc>
        <w:tc>
          <w:tcPr>
            <w:tcW w:w="895" w:type="dxa"/>
            <w:tcBorders>
              <w:top w:val="nil"/>
              <w:left w:val="nil"/>
              <w:right w:val="nil"/>
            </w:tcBorders>
            <w:shd w:val="clear" w:color="auto" w:fill="FDE9CB"/>
          </w:tcPr>
          <w:p w14:paraId="0E56F5E8" w14:textId="77777777" w:rsidR="001D1C00" w:rsidRPr="00EA4F67" w:rsidRDefault="001D1C00" w:rsidP="008E17C1">
            <w:r w:rsidRPr="00EA4F67">
              <w:t>72</w:t>
            </w:r>
          </w:p>
        </w:tc>
        <w:tc>
          <w:tcPr>
            <w:tcW w:w="895" w:type="dxa"/>
            <w:tcBorders>
              <w:top w:val="nil"/>
              <w:left w:val="nil"/>
            </w:tcBorders>
            <w:shd w:val="clear" w:color="auto" w:fill="FDE9CB"/>
          </w:tcPr>
          <w:p w14:paraId="39248C2A" w14:textId="77777777" w:rsidR="001D1C00" w:rsidRPr="00EA4F67" w:rsidRDefault="001D1C00" w:rsidP="008E17C1">
            <w:r w:rsidRPr="00EA4F67">
              <w:t>174.4</w:t>
            </w:r>
          </w:p>
        </w:tc>
      </w:tr>
    </w:tbl>
    <w:p w14:paraId="2C7EAEFD" w14:textId="77777777" w:rsidR="001D1C00" w:rsidRDefault="001D1C00" w:rsidP="001D1C00">
      <w:pPr>
        <w:rPr>
          <w:lang w:val="sv-SE"/>
        </w:rPr>
      </w:pPr>
    </w:p>
    <w:p w14:paraId="0B92DA3E" w14:textId="24C7ABDB" w:rsidR="002657BC" w:rsidRDefault="002657BC" w:rsidP="001E7995">
      <w:pPr>
        <w:rPr>
          <w:rFonts w:ascii="Calibri" w:eastAsia="Times New Roman" w:hAnsi="Calibri" w:cs="Calibri"/>
          <w:color w:val="000000"/>
        </w:rPr>
      </w:pPr>
      <w:r>
        <w:t xml:space="preserve">The ELISAs were conducted using kits purchased from R&amp;D Systems and </w:t>
      </w:r>
      <w:proofErr w:type="spellStart"/>
      <w:r>
        <w:t>Thermo</w:t>
      </w:r>
      <w:proofErr w:type="spellEnd"/>
      <w:r>
        <w:t xml:space="preserve"> Fisher. </w:t>
      </w:r>
      <w:r w:rsidR="00EA6FB6">
        <w:t>ELISAs run include IL-1</w:t>
      </w:r>
      <w:r w:rsidR="00EA6FB6">
        <w:sym w:font="Symbol" w:char="F062"/>
      </w:r>
      <w:r w:rsidR="00EA6FB6">
        <w:t xml:space="preserve"> (</w:t>
      </w:r>
      <w:proofErr w:type="spellStart"/>
      <w:r w:rsidR="00EA6FB6">
        <w:t>Thermo</w:t>
      </w:r>
      <w:proofErr w:type="spellEnd"/>
      <w:r w:rsidR="00EA6FB6">
        <w:t xml:space="preserve"> Fisher, Cat#</w:t>
      </w:r>
      <w:r w:rsidR="00EA6FB6" w:rsidRPr="00EA6FB6">
        <w:t>88-7013-22</w:t>
      </w:r>
      <w:r w:rsidR="00EA6FB6">
        <w:t>) and IFN-</w:t>
      </w:r>
      <w:r w:rsidR="00EA6FB6">
        <w:sym w:font="Symbol" w:char="F062"/>
      </w:r>
      <w:r w:rsidR="00EA6FB6">
        <w:t xml:space="preserve"> (R&amp;D systems, Cat#</w:t>
      </w:r>
      <w:r w:rsidR="00EA6FB6" w:rsidRPr="00EA6FB6">
        <w:rPr>
          <w:rFonts w:ascii="Calibri" w:eastAsia="Times New Roman" w:hAnsi="Calibri" w:cs="Calibri"/>
          <w:color w:val="000000"/>
        </w:rPr>
        <w:t>MIFNB0</w:t>
      </w:r>
      <w:r w:rsidR="00EA6FB6">
        <w:rPr>
          <w:rFonts w:ascii="Calibri" w:eastAsia="Times New Roman" w:hAnsi="Calibri" w:cs="Calibri"/>
          <w:color w:val="000000"/>
        </w:rPr>
        <w:t xml:space="preserve">). Kits were conducted as per manufacture protocols. Analysis was conducted using GraphPad Prism. </w:t>
      </w:r>
    </w:p>
    <w:p w14:paraId="1D790680" w14:textId="77777777" w:rsidR="001E7995" w:rsidRPr="001E7995" w:rsidRDefault="001E7995" w:rsidP="001E7995">
      <w:pPr>
        <w:rPr>
          <w:rFonts w:ascii="Calibri" w:eastAsia="Times New Roman" w:hAnsi="Calibri" w:cs="Calibri"/>
          <w:color w:val="000000"/>
        </w:rPr>
      </w:pPr>
    </w:p>
    <w:p w14:paraId="0AC7B0B3" w14:textId="19109D5F" w:rsidR="00AF2824" w:rsidRDefault="00AF2824"/>
    <w:p w14:paraId="2FED3307" w14:textId="1D100620" w:rsidR="001D1C00" w:rsidRDefault="001D1C00" w:rsidP="00532024">
      <w:pPr>
        <w:jc w:val="center"/>
      </w:pPr>
      <w:r>
        <w:rPr>
          <w:noProof/>
        </w:rPr>
        <w:drawing>
          <wp:inline distT="0" distB="0" distL="0" distR="0" wp14:anchorId="5018C134" wp14:editId="60B8BD75">
            <wp:extent cx="4957382" cy="2351314"/>
            <wp:effectExtent l="0" t="0" r="0" b="0"/>
            <wp:docPr id="2708007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254782" name=""/>
                    <pic:cNvPicPr/>
                  </pic:nvPicPr>
                  <pic:blipFill>
                    <a:blip r:embed="rId37"/>
                    <a:stretch>
                      <a:fillRect/>
                    </a:stretch>
                  </pic:blipFill>
                  <pic:spPr>
                    <a:xfrm>
                      <a:off x="0" y="0"/>
                      <a:ext cx="4987294" cy="2365501"/>
                    </a:xfrm>
                    <a:prstGeom prst="rect">
                      <a:avLst/>
                    </a:prstGeom>
                  </pic:spPr>
                </pic:pic>
              </a:graphicData>
            </a:graphic>
          </wp:inline>
        </w:drawing>
      </w:r>
    </w:p>
    <w:p w14:paraId="483967ED" w14:textId="4AEFAA74" w:rsidR="001D1C00" w:rsidRPr="009A2E21" w:rsidRDefault="00520A20" w:rsidP="009A2E21">
      <w:pPr>
        <w:pStyle w:val="Caption"/>
        <w:jc w:val="both"/>
        <w:rPr>
          <w:b/>
          <w:bCs/>
          <w:i w:val="0"/>
          <w:iCs w:val="0"/>
          <w:color w:val="000000" w:themeColor="text1"/>
          <w:sz w:val="20"/>
          <w:szCs w:val="20"/>
        </w:rPr>
      </w:pPr>
      <w:bookmarkStart w:id="76" w:name="_Toc165201241"/>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22</w:t>
      </w:r>
      <w:r w:rsidRPr="009A2E21">
        <w:rPr>
          <w:b/>
          <w:bCs/>
          <w:i w:val="0"/>
          <w:iCs w:val="0"/>
          <w:color w:val="000000" w:themeColor="text1"/>
          <w:sz w:val="20"/>
          <w:szCs w:val="20"/>
        </w:rPr>
        <w:fldChar w:fldCharType="end"/>
      </w:r>
      <w:r w:rsidRPr="009A2E21">
        <w:rPr>
          <w:b/>
          <w:bCs/>
          <w:i w:val="0"/>
          <w:iCs w:val="0"/>
          <w:color w:val="000000" w:themeColor="text1"/>
          <w:sz w:val="20"/>
          <w:szCs w:val="20"/>
        </w:rPr>
        <w:t>: First iteration of IL-1</w:t>
      </w:r>
      <w:r w:rsidRPr="009A2E21">
        <w:rPr>
          <w:b/>
          <w:bCs/>
          <w:i w:val="0"/>
          <w:iCs w:val="0"/>
          <w:color w:val="000000" w:themeColor="text1"/>
          <w:sz w:val="20"/>
          <w:szCs w:val="20"/>
        </w:rPr>
        <w:sym w:font="Symbol" w:char="F062"/>
      </w:r>
      <w:r w:rsidRPr="009A2E21">
        <w:rPr>
          <w:b/>
          <w:bCs/>
          <w:i w:val="0"/>
          <w:iCs w:val="0"/>
          <w:color w:val="000000" w:themeColor="text1"/>
          <w:sz w:val="20"/>
          <w:szCs w:val="20"/>
        </w:rPr>
        <w:t xml:space="preserve"> ELISA. </w:t>
      </w:r>
      <w:r w:rsidRPr="009A2E21">
        <w:rPr>
          <w:i w:val="0"/>
          <w:iCs w:val="0"/>
          <w:color w:val="000000" w:themeColor="text1"/>
          <w:sz w:val="20"/>
          <w:szCs w:val="20"/>
        </w:rPr>
        <w:t>Four different cell lines were utilized, two STING KO lines and two control lines. Six different GC concentrations were tested. The general trend here aligns with prior data collected in our lab.</w:t>
      </w:r>
      <w:bookmarkEnd w:id="76"/>
      <w:r w:rsidRPr="009A2E21">
        <w:rPr>
          <w:b/>
          <w:bCs/>
          <w:i w:val="0"/>
          <w:iCs w:val="0"/>
          <w:color w:val="000000" w:themeColor="text1"/>
          <w:sz w:val="20"/>
          <w:szCs w:val="20"/>
        </w:rPr>
        <w:t xml:space="preserve"> </w:t>
      </w:r>
    </w:p>
    <w:p w14:paraId="31B548EB" w14:textId="77777777" w:rsidR="00EC6202" w:rsidRPr="002657BC" w:rsidRDefault="00EC6202" w:rsidP="00EC6202">
      <w:pPr>
        <w:pStyle w:val="Heading3"/>
        <w:rPr>
          <w:lang w:val="sv-SE"/>
        </w:rPr>
      </w:pPr>
      <w:bookmarkStart w:id="77" w:name="_Toc165293385"/>
      <w:r w:rsidRPr="001D1C00">
        <w:rPr>
          <w:lang w:val="sv-SE"/>
        </w:rPr>
        <w:lastRenderedPageBreak/>
        <w:t>B.</w:t>
      </w:r>
      <w:r>
        <w:rPr>
          <w:lang w:val="sv-SE"/>
        </w:rPr>
        <w:t>3</w:t>
      </w:r>
      <w:r w:rsidRPr="001D1C00">
        <w:rPr>
          <w:lang w:val="sv-SE"/>
        </w:rPr>
        <w:t xml:space="preserve">. </w:t>
      </w:r>
      <w:proofErr w:type="spellStart"/>
      <w:r>
        <w:rPr>
          <w:lang w:val="sv-SE"/>
        </w:rPr>
        <w:t>Results</w:t>
      </w:r>
      <w:proofErr w:type="spellEnd"/>
      <w:r>
        <w:rPr>
          <w:lang w:val="sv-SE"/>
        </w:rPr>
        <w:t xml:space="preserve">: </w:t>
      </w:r>
      <w:r w:rsidRPr="001D1C00">
        <w:rPr>
          <w:lang w:val="sv-SE"/>
        </w:rPr>
        <w:t>ELISA on STING K</w:t>
      </w:r>
      <w:r w:rsidRPr="002657BC">
        <w:rPr>
          <w:lang w:val="sv-SE"/>
        </w:rPr>
        <w:t>O</w:t>
      </w:r>
      <w:bookmarkEnd w:id="77"/>
    </w:p>
    <w:p w14:paraId="12BB29A1" w14:textId="77777777" w:rsidR="00EC6202" w:rsidRDefault="00EC6202" w:rsidP="00EC6202">
      <w:pPr>
        <w:ind w:firstLine="720"/>
      </w:pPr>
      <w:r>
        <w:t>Several iterations of</w:t>
      </w:r>
      <w:r w:rsidRPr="00EA6FB6">
        <w:t xml:space="preserve"> IL-1</w:t>
      </w:r>
      <w:r>
        <w:sym w:font="Symbol" w:char="F062"/>
      </w:r>
      <w:r>
        <w:t xml:space="preserve"> and IFN- </w:t>
      </w:r>
      <w:r>
        <w:sym w:font="Symbol" w:char="F062"/>
      </w:r>
      <w:r>
        <w:t xml:space="preserve"> ELISAs were conducted. The results from these trials can be seen below. The first iteration yielded the expected trend if cytokine production. However, in subsequent trials, this trend was no longer observed. </w:t>
      </w:r>
    </w:p>
    <w:p w14:paraId="4498B1DC" w14:textId="657035C2" w:rsidR="00520A20" w:rsidRPr="00520A20" w:rsidRDefault="00520A20" w:rsidP="00EA1377">
      <w:pPr>
        <w:pStyle w:val="Caption"/>
        <w:spacing w:after="0"/>
        <w:ind w:firstLine="720"/>
        <w:rPr>
          <w:i w:val="0"/>
          <w:iCs w:val="0"/>
          <w:color w:val="000000" w:themeColor="text1"/>
          <w:sz w:val="24"/>
          <w:szCs w:val="24"/>
        </w:rPr>
      </w:pPr>
      <w:r>
        <w:rPr>
          <w:i w:val="0"/>
          <w:iCs w:val="0"/>
          <w:color w:val="000000" w:themeColor="text1"/>
          <w:sz w:val="24"/>
          <w:szCs w:val="24"/>
        </w:rPr>
        <w:t>The first iteration of the IL-1</w:t>
      </w:r>
      <w:r>
        <w:rPr>
          <w:i w:val="0"/>
          <w:iCs w:val="0"/>
          <w:color w:val="000000" w:themeColor="text1"/>
          <w:sz w:val="24"/>
          <w:szCs w:val="24"/>
        </w:rPr>
        <w:sym w:font="Symbol" w:char="F062"/>
      </w:r>
      <w:r>
        <w:rPr>
          <w:i w:val="0"/>
          <w:iCs w:val="0"/>
          <w:color w:val="000000" w:themeColor="text1"/>
          <w:sz w:val="24"/>
          <w:szCs w:val="24"/>
        </w:rPr>
        <w:t xml:space="preserve"> ELISA yielded the expected trend</w:t>
      </w:r>
      <w:r w:rsidR="00AF2824">
        <w:rPr>
          <w:i w:val="0"/>
          <w:iCs w:val="0"/>
          <w:color w:val="000000" w:themeColor="text1"/>
          <w:sz w:val="24"/>
          <w:szCs w:val="24"/>
        </w:rPr>
        <w:t xml:space="preserve"> aligning with cytokine production from our prior experimentation</w:t>
      </w:r>
      <w:r>
        <w:rPr>
          <w:i w:val="0"/>
          <w:iCs w:val="0"/>
          <w:color w:val="000000" w:themeColor="text1"/>
          <w:sz w:val="24"/>
          <w:szCs w:val="24"/>
        </w:rPr>
        <w:t xml:space="preserve">. However, </w:t>
      </w:r>
      <w:r w:rsidR="00AF2824">
        <w:rPr>
          <w:i w:val="0"/>
          <w:iCs w:val="0"/>
          <w:color w:val="000000" w:themeColor="text1"/>
          <w:sz w:val="24"/>
          <w:szCs w:val="24"/>
        </w:rPr>
        <w:t>following</w:t>
      </w:r>
      <w:r>
        <w:rPr>
          <w:i w:val="0"/>
          <w:iCs w:val="0"/>
          <w:color w:val="000000" w:themeColor="text1"/>
          <w:sz w:val="24"/>
          <w:szCs w:val="24"/>
        </w:rPr>
        <w:t xml:space="preserve"> iterations did not show any significant cytokine production, with absorbances reading close to 0. The absorbance results from these trials can be seen below in </w:t>
      </w:r>
      <w:r>
        <w:rPr>
          <w:b/>
          <w:bCs/>
          <w:i w:val="0"/>
          <w:iCs w:val="0"/>
          <w:color w:val="000000" w:themeColor="text1"/>
          <w:sz w:val="24"/>
          <w:szCs w:val="24"/>
        </w:rPr>
        <w:t>Tables 5-7</w:t>
      </w:r>
      <w:r>
        <w:rPr>
          <w:i w:val="0"/>
          <w:iCs w:val="0"/>
          <w:color w:val="000000" w:themeColor="text1"/>
          <w:sz w:val="24"/>
          <w:szCs w:val="24"/>
        </w:rPr>
        <w:t xml:space="preserve">. </w:t>
      </w:r>
    </w:p>
    <w:p w14:paraId="32736BA2" w14:textId="77777777" w:rsidR="00520A20" w:rsidRDefault="00520A20" w:rsidP="00520A20">
      <w:pPr>
        <w:pStyle w:val="Caption"/>
        <w:spacing w:after="0"/>
        <w:rPr>
          <w:b/>
          <w:bCs/>
          <w:color w:val="000000" w:themeColor="text1"/>
          <w:sz w:val="24"/>
          <w:szCs w:val="24"/>
        </w:rPr>
      </w:pPr>
    </w:p>
    <w:p w14:paraId="4B382DFC" w14:textId="453707F9" w:rsidR="001D1C00" w:rsidRPr="00520A20" w:rsidRDefault="00520A20" w:rsidP="00520A20">
      <w:pPr>
        <w:pStyle w:val="Caption"/>
        <w:spacing w:after="0"/>
        <w:rPr>
          <w:b/>
          <w:bCs/>
          <w:i w:val="0"/>
          <w:iCs w:val="0"/>
          <w:color w:val="000000" w:themeColor="text1"/>
          <w:sz w:val="24"/>
          <w:szCs w:val="24"/>
        </w:rPr>
      </w:pPr>
      <w:bookmarkStart w:id="78" w:name="_Toc165201214"/>
      <w:r w:rsidRPr="00520A20">
        <w:rPr>
          <w:b/>
          <w:bCs/>
          <w:i w:val="0"/>
          <w:iCs w:val="0"/>
          <w:color w:val="000000" w:themeColor="text1"/>
          <w:sz w:val="24"/>
          <w:szCs w:val="24"/>
        </w:rPr>
        <w:t xml:space="preserve">Table </w:t>
      </w:r>
      <w:r w:rsidRPr="00520A20">
        <w:rPr>
          <w:b/>
          <w:bCs/>
          <w:i w:val="0"/>
          <w:iCs w:val="0"/>
          <w:color w:val="000000" w:themeColor="text1"/>
          <w:sz w:val="24"/>
          <w:szCs w:val="24"/>
        </w:rPr>
        <w:fldChar w:fldCharType="begin"/>
      </w:r>
      <w:r w:rsidRPr="00520A20">
        <w:rPr>
          <w:b/>
          <w:bCs/>
          <w:i w:val="0"/>
          <w:iCs w:val="0"/>
          <w:color w:val="000000" w:themeColor="text1"/>
          <w:sz w:val="24"/>
          <w:szCs w:val="24"/>
        </w:rPr>
        <w:instrText xml:space="preserve"> SEQ Table \* ARABIC </w:instrText>
      </w:r>
      <w:r w:rsidRPr="00520A20">
        <w:rPr>
          <w:b/>
          <w:bCs/>
          <w:i w:val="0"/>
          <w:iCs w:val="0"/>
          <w:color w:val="000000" w:themeColor="text1"/>
          <w:sz w:val="24"/>
          <w:szCs w:val="24"/>
        </w:rPr>
        <w:fldChar w:fldCharType="separate"/>
      </w:r>
      <w:r w:rsidR="0021770C">
        <w:rPr>
          <w:b/>
          <w:bCs/>
          <w:i w:val="0"/>
          <w:iCs w:val="0"/>
          <w:noProof/>
          <w:color w:val="000000" w:themeColor="text1"/>
          <w:sz w:val="24"/>
          <w:szCs w:val="24"/>
        </w:rPr>
        <w:t>5</w:t>
      </w:r>
      <w:r w:rsidRPr="00520A20">
        <w:rPr>
          <w:b/>
          <w:bCs/>
          <w:i w:val="0"/>
          <w:iCs w:val="0"/>
          <w:color w:val="000000" w:themeColor="text1"/>
          <w:sz w:val="24"/>
          <w:szCs w:val="24"/>
        </w:rPr>
        <w:fldChar w:fldCharType="end"/>
      </w:r>
      <w:r w:rsidRPr="00520A20">
        <w:rPr>
          <w:b/>
          <w:bCs/>
          <w:i w:val="0"/>
          <w:iCs w:val="0"/>
          <w:color w:val="000000" w:themeColor="text1"/>
          <w:sz w:val="24"/>
          <w:szCs w:val="24"/>
        </w:rPr>
        <w:t xml:space="preserve">: </w:t>
      </w:r>
      <w:r w:rsidR="001D1C00" w:rsidRPr="00520A20">
        <w:rPr>
          <w:b/>
          <w:bCs/>
          <w:i w:val="0"/>
          <w:iCs w:val="0"/>
          <w:color w:val="000000" w:themeColor="text1"/>
          <w:sz w:val="24"/>
          <w:szCs w:val="24"/>
        </w:rPr>
        <w:t>ELISA IL-1</w:t>
      </w:r>
      <w:r w:rsidR="001D1C00" w:rsidRPr="00520A20">
        <w:rPr>
          <w:b/>
          <w:bCs/>
          <w:i w:val="0"/>
          <w:iCs w:val="0"/>
          <w:color w:val="000000" w:themeColor="text1"/>
          <w:sz w:val="24"/>
          <w:szCs w:val="24"/>
        </w:rPr>
        <w:sym w:font="Symbol" w:char="F062"/>
      </w:r>
      <w:r w:rsidR="001D1C00" w:rsidRPr="00520A20">
        <w:rPr>
          <w:b/>
          <w:bCs/>
          <w:i w:val="0"/>
          <w:iCs w:val="0"/>
          <w:color w:val="000000" w:themeColor="text1"/>
          <w:sz w:val="24"/>
          <w:szCs w:val="24"/>
        </w:rPr>
        <w:t xml:space="preserve"> </w:t>
      </w:r>
      <w:r w:rsidRPr="00520A20">
        <w:rPr>
          <w:b/>
          <w:bCs/>
          <w:i w:val="0"/>
          <w:iCs w:val="0"/>
          <w:color w:val="000000" w:themeColor="text1"/>
          <w:sz w:val="24"/>
          <w:szCs w:val="24"/>
        </w:rPr>
        <w:t>#2</w:t>
      </w:r>
      <w:bookmarkEnd w:id="78"/>
    </w:p>
    <w:p w14:paraId="1C96B4D4" w14:textId="675683E2" w:rsidR="001D1C00" w:rsidRDefault="001D1C00" w:rsidP="00520A20">
      <w:pPr>
        <w:jc w:val="center"/>
      </w:pPr>
      <w:r w:rsidRPr="00E40E62">
        <w:rPr>
          <w:noProof/>
        </w:rPr>
        <w:drawing>
          <wp:inline distT="0" distB="0" distL="0" distR="0" wp14:anchorId="7510BC7E" wp14:editId="09ADCE7D">
            <wp:extent cx="6135624" cy="703369"/>
            <wp:effectExtent l="0" t="0" r="0" b="0"/>
            <wp:docPr id="883925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393485" name=""/>
                    <pic:cNvPicPr/>
                  </pic:nvPicPr>
                  <pic:blipFill>
                    <a:blip r:embed="rId38"/>
                    <a:stretch>
                      <a:fillRect/>
                    </a:stretch>
                  </pic:blipFill>
                  <pic:spPr>
                    <a:xfrm>
                      <a:off x="0" y="0"/>
                      <a:ext cx="6135624" cy="703369"/>
                    </a:xfrm>
                    <a:prstGeom prst="rect">
                      <a:avLst/>
                    </a:prstGeom>
                  </pic:spPr>
                </pic:pic>
              </a:graphicData>
            </a:graphic>
          </wp:inline>
        </w:drawing>
      </w:r>
    </w:p>
    <w:p w14:paraId="5CA3DD64" w14:textId="42AE12A7" w:rsidR="001D1C00" w:rsidRDefault="001D1C00" w:rsidP="001D1C00">
      <w:pPr>
        <w:jc w:val="center"/>
      </w:pPr>
    </w:p>
    <w:p w14:paraId="15711DE5" w14:textId="6A07DFCC" w:rsidR="001D1C00" w:rsidRPr="00520A20" w:rsidRDefault="00520A20" w:rsidP="00520A20">
      <w:pPr>
        <w:pStyle w:val="Caption"/>
        <w:spacing w:after="0"/>
        <w:rPr>
          <w:b/>
          <w:bCs/>
          <w:i w:val="0"/>
          <w:iCs w:val="0"/>
          <w:color w:val="000000" w:themeColor="text1"/>
          <w:sz w:val="24"/>
          <w:szCs w:val="24"/>
          <w:lang w:val="it-IT"/>
        </w:rPr>
      </w:pPr>
      <w:bookmarkStart w:id="79" w:name="_Toc165201215"/>
      <w:r w:rsidRPr="00520A20">
        <w:rPr>
          <w:b/>
          <w:bCs/>
          <w:i w:val="0"/>
          <w:iCs w:val="0"/>
          <w:color w:val="000000" w:themeColor="text1"/>
          <w:sz w:val="24"/>
          <w:szCs w:val="24"/>
        </w:rPr>
        <w:t xml:space="preserve">Table </w:t>
      </w:r>
      <w:r w:rsidRPr="00520A20">
        <w:rPr>
          <w:b/>
          <w:bCs/>
          <w:i w:val="0"/>
          <w:iCs w:val="0"/>
          <w:color w:val="000000" w:themeColor="text1"/>
          <w:sz w:val="24"/>
          <w:szCs w:val="24"/>
        </w:rPr>
        <w:fldChar w:fldCharType="begin"/>
      </w:r>
      <w:r w:rsidRPr="00520A20">
        <w:rPr>
          <w:b/>
          <w:bCs/>
          <w:i w:val="0"/>
          <w:iCs w:val="0"/>
          <w:color w:val="000000" w:themeColor="text1"/>
          <w:sz w:val="24"/>
          <w:szCs w:val="24"/>
        </w:rPr>
        <w:instrText xml:space="preserve"> SEQ Table \* ARABIC </w:instrText>
      </w:r>
      <w:r w:rsidRPr="00520A20">
        <w:rPr>
          <w:b/>
          <w:bCs/>
          <w:i w:val="0"/>
          <w:iCs w:val="0"/>
          <w:color w:val="000000" w:themeColor="text1"/>
          <w:sz w:val="24"/>
          <w:szCs w:val="24"/>
        </w:rPr>
        <w:fldChar w:fldCharType="separate"/>
      </w:r>
      <w:r w:rsidR="0021770C">
        <w:rPr>
          <w:b/>
          <w:bCs/>
          <w:i w:val="0"/>
          <w:iCs w:val="0"/>
          <w:noProof/>
          <w:color w:val="000000" w:themeColor="text1"/>
          <w:sz w:val="24"/>
          <w:szCs w:val="24"/>
        </w:rPr>
        <w:t>6</w:t>
      </w:r>
      <w:r w:rsidRPr="00520A20">
        <w:rPr>
          <w:b/>
          <w:bCs/>
          <w:i w:val="0"/>
          <w:iCs w:val="0"/>
          <w:color w:val="000000" w:themeColor="text1"/>
          <w:sz w:val="24"/>
          <w:szCs w:val="24"/>
        </w:rPr>
        <w:fldChar w:fldCharType="end"/>
      </w:r>
      <w:r w:rsidRPr="00520A20">
        <w:rPr>
          <w:b/>
          <w:bCs/>
          <w:i w:val="0"/>
          <w:iCs w:val="0"/>
          <w:color w:val="000000" w:themeColor="text1"/>
          <w:sz w:val="24"/>
          <w:szCs w:val="24"/>
        </w:rPr>
        <w:t xml:space="preserve">: </w:t>
      </w:r>
      <w:r w:rsidR="001D1C00" w:rsidRPr="00520A20">
        <w:rPr>
          <w:b/>
          <w:bCs/>
          <w:i w:val="0"/>
          <w:iCs w:val="0"/>
          <w:color w:val="000000" w:themeColor="text1"/>
          <w:sz w:val="24"/>
          <w:szCs w:val="24"/>
          <w:lang w:val="it-IT"/>
        </w:rPr>
        <w:t>ELISA IL-1</w:t>
      </w:r>
      <w:r w:rsidR="001D1C00" w:rsidRPr="00520A20">
        <w:rPr>
          <w:b/>
          <w:bCs/>
          <w:i w:val="0"/>
          <w:iCs w:val="0"/>
          <w:color w:val="000000" w:themeColor="text1"/>
          <w:sz w:val="24"/>
          <w:szCs w:val="24"/>
        </w:rPr>
        <w:sym w:font="Symbol" w:char="F062"/>
      </w:r>
      <w:r w:rsidR="001D1C00" w:rsidRPr="00520A20">
        <w:rPr>
          <w:b/>
          <w:bCs/>
          <w:i w:val="0"/>
          <w:iCs w:val="0"/>
          <w:color w:val="000000" w:themeColor="text1"/>
          <w:sz w:val="24"/>
          <w:szCs w:val="24"/>
          <w:lang w:val="it-IT"/>
        </w:rPr>
        <w:t xml:space="preserve"> </w:t>
      </w:r>
      <w:r w:rsidRPr="00520A20">
        <w:rPr>
          <w:b/>
          <w:bCs/>
          <w:i w:val="0"/>
          <w:iCs w:val="0"/>
          <w:color w:val="000000" w:themeColor="text1"/>
          <w:sz w:val="24"/>
          <w:szCs w:val="24"/>
          <w:lang w:val="it-IT"/>
        </w:rPr>
        <w:t>#3</w:t>
      </w:r>
      <w:bookmarkEnd w:id="79"/>
    </w:p>
    <w:p w14:paraId="7D0109E6" w14:textId="24FC0F52" w:rsidR="00C23997" w:rsidRPr="001D1C00" w:rsidRDefault="00697F91" w:rsidP="00F0270B">
      <w:pPr>
        <w:tabs>
          <w:tab w:val="left" w:pos="2372"/>
        </w:tabs>
        <w:rPr>
          <w:lang w:val="it-IT"/>
        </w:rPr>
      </w:pPr>
      <w:r w:rsidRPr="00697F91">
        <w:rPr>
          <w:noProof/>
          <w:lang w:val="it-IT"/>
        </w:rPr>
        <w:drawing>
          <wp:inline distT="0" distB="0" distL="0" distR="0" wp14:anchorId="74E48F5B" wp14:editId="23830D99">
            <wp:extent cx="6135624" cy="703368"/>
            <wp:effectExtent l="0" t="0" r="0" b="0"/>
            <wp:docPr id="155197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97156" name=""/>
                    <pic:cNvPicPr/>
                  </pic:nvPicPr>
                  <pic:blipFill>
                    <a:blip r:embed="rId39"/>
                    <a:stretch>
                      <a:fillRect/>
                    </a:stretch>
                  </pic:blipFill>
                  <pic:spPr>
                    <a:xfrm>
                      <a:off x="0" y="0"/>
                      <a:ext cx="6135624" cy="703368"/>
                    </a:xfrm>
                    <a:prstGeom prst="rect">
                      <a:avLst/>
                    </a:prstGeom>
                  </pic:spPr>
                </pic:pic>
              </a:graphicData>
            </a:graphic>
          </wp:inline>
        </w:drawing>
      </w:r>
      <w:r w:rsidR="00F0270B">
        <w:rPr>
          <w:lang w:val="it-IT"/>
        </w:rPr>
        <w:tab/>
      </w:r>
    </w:p>
    <w:p w14:paraId="2F94A87E" w14:textId="2F51FC93" w:rsidR="001D1C00" w:rsidRPr="00520A20" w:rsidRDefault="00520A20" w:rsidP="00520A20">
      <w:pPr>
        <w:pStyle w:val="Caption"/>
        <w:spacing w:after="0"/>
        <w:rPr>
          <w:b/>
          <w:bCs/>
          <w:i w:val="0"/>
          <w:iCs w:val="0"/>
          <w:color w:val="000000" w:themeColor="text1"/>
          <w:sz w:val="24"/>
          <w:szCs w:val="24"/>
        </w:rPr>
      </w:pPr>
      <w:bookmarkStart w:id="80" w:name="_Toc165201216"/>
      <w:r w:rsidRPr="00520A20">
        <w:rPr>
          <w:b/>
          <w:bCs/>
          <w:i w:val="0"/>
          <w:iCs w:val="0"/>
          <w:color w:val="000000" w:themeColor="text1"/>
          <w:sz w:val="24"/>
          <w:szCs w:val="24"/>
        </w:rPr>
        <w:t xml:space="preserve">Table </w:t>
      </w:r>
      <w:r w:rsidRPr="00520A20">
        <w:rPr>
          <w:b/>
          <w:bCs/>
          <w:i w:val="0"/>
          <w:iCs w:val="0"/>
          <w:color w:val="000000" w:themeColor="text1"/>
          <w:sz w:val="24"/>
          <w:szCs w:val="24"/>
        </w:rPr>
        <w:fldChar w:fldCharType="begin"/>
      </w:r>
      <w:r w:rsidRPr="00520A20">
        <w:rPr>
          <w:b/>
          <w:bCs/>
          <w:i w:val="0"/>
          <w:iCs w:val="0"/>
          <w:color w:val="000000" w:themeColor="text1"/>
          <w:sz w:val="24"/>
          <w:szCs w:val="24"/>
        </w:rPr>
        <w:instrText xml:space="preserve"> SEQ Table \* ARABIC </w:instrText>
      </w:r>
      <w:r w:rsidRPr="00520A20">
        <w:rPr>
          <w:b/>
          <w:bCs/>
          <w:i w:val="0"/>
          <w:iCs w:val="0"/>
          <w:color w:val="000000" w:themeColor="text1"/>
          <w:sz w:val="24"/>
          <w:szCs w:val="24"/>
        </w:rPr>
        <w:fldChar w:fldCharType="separate"/>
      </w:r>
      <w:r w:rsidR="0021770C">
        <w:rPr>
          <w:b/>
          <w:bCs/>
          <w:i w:val="0"/>
          <w:iCs w:val="0"/>
          <w:noProof/>
          <w:color w:val="000000" w:themeColor="text1"/>
          <w:sz w:val="24"/>
          <w:szCs w:val="24"/>
        </w:rPr>
        <w:t>7</w:t>
      </w:r>
      <w:r w:rsidRPr="00520A20">
        <w:rPr>
          <w:b/>
          <w:bCs/>
          <w:i w:val="0"/>
          <w:iCs w:val="0"/>
          <w:color w:val="000000" w:themeColor="text1"/>
          <w:sz w:val="24"/>
          <w:szCs w:val="24"/>
        </w:rPr>
        <w:fldChar w:fldCharType="end"/>
      </w:r>
      <w:r w:rsidRPr="00520A20">
        <w:rPr>
          <w:b/>
          <w:bCs/>
          <w:i w:val="0"/>
          <w:iCs w:val="0"/>
          <w:color w:val="000000" w:themeColor="text1"/>
          <w:sz w:val="24"/>
          <w:szCs w:val="24"/>
        </w:rPr>
        <w:t xml:space="preserve">: </w:t>
      </w:r>
      <w:r w:rsidR="001D1C00" w:rsidRPr="00520A20">
        <w:rPr>
          <w:b/>
          <w:bCs/>
          <w:i w:val="0"/>
          <w:iCs w:val="0"/>
          <w:color w:val="000000" w:themeColor="text1"/>
          <w:sz w:val="24"/>
          <w:szCs w:val="24"/>
        </w:rPr>
        <w:t>ELISA IL-1</w:t>
      </w:r>
      <w:r w:rsidR="001D1C00" w:rsidRPr="00520A20">
        <w:rPr>
          <w:b/>
          <w:bCs/>
          <w:i w:val="0"/>
          <w:iCs w:val="0"/>
          <w:color w:val="000000" w:themeColor="text1"/>
          <w:sz w:val="24"/>
          <w:szCs w:val="24"/>
        </w:rPr>
        <w:sym w:font="Symbol" w:char="F062"/>
      </w:r>
      <w:r w:rsidR="001D1C00" w:rsidRPr="00520A20">
        <w:rPr>
          <w:b/>
          <w:bCs/>
          <w:i w:val="0"/>
          <w:iCs w:val="0"/>
          <w:color w:val="000000" w:themeColor="text1"/>
          <w:sz w:val="24"/>
          <w:szCs w:val="24"/>
        </w:rPr>
        <w:t xml:space="preserve"> </w:t>
      </w:r>
      <w:r w:rsidRPr="00520A20">
        <w:rPr>
          <w:b/>
          <w:bCs/>
          <w:i w:val="0"/>
          <w:iCs w:val="0"/>
          <w:color w:val="000000" w:themeColor="text1"/>
          <w:sz w:val="24"/>
          <w:szCs w:val="24"/>
        </w:rPr>
        <w:t>#4</w:t>
      </w:r>
      <w:bookmarkEnd w:id="80"/>
    </w:p>
    <w:p w14:paraId="570DBC24" w14:textId="702CDBA7" w:rsidR="001D1C00" w:rsidRPr="00697F91" w:rsidRDefault="008366ED" w:rsidP="001D1C00">
      <w:r w:rsidRPr="008366ED">
        <w:rPr>
          <w:noProof/>
        </w:rPr>
        <w:drawing>
          <wp:inline distT="0" distB="0" distL="0" distR="0" wp14:anchorId="03F37D39" wp14:editId="1226052E">
            <wp:extent cx="5784574" cy="1223660"/>
            <wp:effectExtent l="0" t="0" r="0" b="0"/>
            <wp:docPr id="17703854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385429" name=""/>
                    <pic:cNvPicPr/>
                  </pic:nvPicPr>
                  <pic:blipFill>
                    <a:blip r:embed="rId40"/>
                    <a:stretch>
                      <a:fillRect/>
                    </a:stretch>
                  </pic:blipFill>
                  <pic:spPr>
                    <a:xfrm>
                      <a:off x="0" y="0"/>
                      <a:ext cx="5793300" cy="1225506"/>
                    </a:xfrm>
                    <a:prstGeom prst="rect">
                      <a:avLst/>
                    </a:prstGeom>
                  </pic:spPr>
                </pic:pic>
              </a:graphicData>
            </a:graphic>
          </wp:inline>
        </w:drawing>
      </w:r>
    </w:p>
    <w:p w14:paraId="293C421F" w14:textId="77777777" w:rsidR="00520A20" w:rsidRDefault="00520A20" w:rsidP="000D49F4"/>
    <w:p w14:paraId="4ED086A3" w14:textId="07C1627A" w:rsidR="000D49F4" w:rsidRDefault="00520A20" w:rsidP="000D49F4">
      <w:r w:rsidRPr="00B05FE1">
        <w:rPr>
          <w:noProof/>
        </w:rPr>
        <w:drawing>
          <wp:inline distT="0" distB="0" distL="0" distR="0" wp14:anchorId="638BC9B9" wp14:editId="04C6B293">
            <wp:extent cx="4791740" cy="2439234"/>
            <wp:effectExtent l="0" t="0" r="0" b="0"/>
            <wp:docPr id="459940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4673848" name=""/>
                    <pic:cNvPicPr/>
                  </pic:nvPicPr>
                  <pic:blipFill>
                    <a:blip r:embed="rId41"/>
                    <a:stretch>
                      <a:fillRect/>
                    </a:stretch>
                  </pic:blipFill>
                  <pic:spPr>
                    <a:xfrm>
                      <a:off x="0" y="0"/>
                      <a:ext cx="4816368" cy="2451771"/>
                    </a:xfrm>
                    <a:prstGeom prst="rect">
                      <a:avLst/>
                    </a:prstGeom>
                  </pic:spPr>
                </pic:pic>
              </a:graphicData>
            </a:graphic>
          </wp:inline>
        </w:drawing>
      </w:r>
    </w:p>
    <w:p w14:paraId="6AED3D63" w14:textId="15D45704" w:rsidR="00520A20" w:rsidRPr="009A2E21" w:rsidRDefault="00520A20" w:rsidP="009A2E21">
      <w:pPr>
        <w:pStyle w:val="Caption"/>
        <w:jc w:val="both"/>
        <w:rPr>
          <w:i w:val="0"/>
          <w:iCs w:val="0"/>
          <w:color w:val="000000" w:themeColor="text1"/>
          <w:sz w:val="20"/>
          <w:szCs w:val="20"/>
        </w:rPr>
      </w:pPr>
      <w:bookmarkStart w:id="81" w:name="_Toc165201242"/>
      <w:r w:rsidRPr="009A2E21">
        <w:rPr>
          <w:b/>
          <w:bCs/>
          <w:i w:val="0"/>
          <w:iCs w:val="0"/>
          <w:color w:val="000000" w:themeColor="text1"/>
          <w:sz w:val="20"/>
          <w:szCs w:val="20"/>
        </w:rPr>
        <w:lastRenderedPageBreak/>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23</w:t>
      </w:r>
      <w:r w:rsidRPr="009A2E21">
        <w:rPr>
          <w:b/>
          <w:bCs/>
          <w:i w:val="0"/>
          <w:iCs w:val="0"/>
          <w:color w:val="000000" w:themeColor="text1"/>
          <w:sz w:val="20"/>
          <w:szCs w:val="20"/>
        </w:rPr>
        <w:fldChar w:fldCharType="end"/>
      </w:r>
      <w:r w:rsidRPr="009A2E21">
        <w:rPr>
          <w:b/>
          <w:bCs/>
          <w:i w:val="0"/>
          <w:iCs w:val="0"/>
          <w:color w:val="000000" w:themeColor="text1"/>
          <w:sz w:val="20"/>
          <w:szCs w:val="20"/>
        </w:rPr>
        <w:t xml:space="preserve">: </w:t>
      </w:r>
      <w:r w:rsidR="00A27BB1" w:rsidRPr="009A2E21">
        <w:rPr>
          <w:b/>
          <w:bCs/>
          <w:i w:val="0"/>
          <w:iCs w:val="0"/>
          <w:color w:val="000000" w:themeColor="text1"/>
          <w:sz w:val="20"/>
          <w:szCs w:val="20"/>
        </w:rPr>
        <w:t>IL-1</w:t>
      </w:r>
      <w:r w:rsidR="00A27BB1" w:rsidRPr="009A2E21">
        <w:rPr>
          <w:b/>
          <w:bCs/>
          <w:i w:val="0"/>
          <w:iCs w:val="0"/>
          <w:color w:val="000000" w:themeColor="text1"/>
          <w:sz w:val="20"/>
          <w:szCs w:val="20"/>
        </w:rPr>
        <w:sym w:font="Symbol" w:char="F062"/>
      </w:r>
      <w:r w:rsidR="00A27BB1" w:rsidRPr="009A2E21">
        <w:rPr>
          <w:b/>
          <w:bCs/>
          <w:i w:val="0"/>
          <w:iCs w:val="0"/>
          <w:color w:val="000000" w:themeColor="text1"/>
          <w:sz w:val="20"/>
          <w:szCs w:val="20"/>
        </w:rPr>
        <w:t xml:space="preserve"> ELISA on STING KO STING lines. </w:t>
      </w:r>
      <w:r w:rsidR="00A27BB1" w:rsidRPr="009A2E21">
        <w:rPr>
          <w:i w:val="0"/>
          <w:iCs w:val="0"/>
          <w:color w:val="000000" w:themeColor="text1"/>
          <w:sz w:val="20"/>
          <w:szCs w:val="20"/>
        </w:rPr>
        <w:t xml:space="preserve">No detectable trend can be seen and most of data falls below the detectable range of protein concentrations. DC 2.4 and 1281 are the control cell lines while 2085 is </w:t>
      </w:r>
      <w:proofErr w:type="gramStart"/>
      <w:r w:rsidR="00A27BB1" w:rsidRPr="009A2E21">
        <w:rPr>
          <w:i w:val="0"/>
          <w:iCs w:val="0"/>
          <w:color w:val="000000" w:themeColor="text1"/>
          <w:sz w:val="20"/>
          <w:szCs w:val="20"/>
        </w:rPr>
        <w:t>a</w:t>
      </w:r>
      <w:proofErr w:type="gramEnd"/>
      <w:r w:rsidR="00A27BB1" w:rsidRPr="009A2E21">
        <w:rPr>
          <w:i w:val="0"/>
          <w:iCs w:val="0"/>
          <w:color w:val="000000" w:themeColor="text1"/>
          <w:sz w:val="20"/>
          <w:szCs w:val="20"/>
        </w:rPr>
        <w:t xml:space="preserve"> 80% KO and 2085 is a 90% KO.</w:t>
      </w:r>
      <w:bookmarkEnd w:id="81"/>
      <w:r w:rsidR="00A27BB1" w:rsidRPr="009A2E21">
        <w:rPr>
          <w:i w:val="0"/>
          <w:iCs w:val="0"/>
          <w:color w:val="000000" w:themeColor="text1"/>
          <w:sz w:val="20"/>
          <w:szCs w:val="20"/>
        </w:rPr>
        <w:t xml:space="preserve"> </w:t>
      </w:r>
    </w:p>
    <w:p w14:paraId="4634FF75" w14:textId="77777777" w:rsidR="00EC6202" w:rsidRPr="00520A20" w:rsidRDefault="00EC6202" w:rsidP="00EC6202">
      <w:r>
        <w:t xml:space="preserve">The absorbances from the ELISA trials can be seen above in </w:t>
      </w:r>
      <w:r>
        <w:rPr>
          <w:b/>
          <w:bCs/>
        </w:rPr>
        <w:t>Tables 5-7</w:t>
      </w:r>
      <w:r>
        <w:t xml:space="preserve">. These absorbances primarily registered below the standard curves placing them out of range for protein detection. Below, </w:t>
      </w:r>
      <w:r>
        <w:rPr>
          <w:b/>
          <w:bCs/>
        </w:rPr>
        <w:t xml:space="preserve">Figure 25 </w:t>
      </w:r>
      <w:r>
        <w:t xml:space="preserve">shows the measured concentration from one such trial. </w:t>
      </w:r>
    </w:p>
    <w:p w14:paraId="2A305681" w14:textId="406789B5" w:rsidR="00A27BB1" w:rsidRPr="00A27BB1" w:rsidRDefault="00A27BB1" w:rsidP="00EA1377">
      <w:pPr>
        <w:ind w:firstLine="720"/>
        <w:rPr>
          <w:b/>
          <w:bCs/>
        </w:rPr>
      </w:pPr>
      <w:r>
        <w:t>Inconsistencies in the IL-1</w:t>
      </w:r>
      <w:r>
        <w:sym w:font="Symbol" w:char="F062"/>
      </w:r>
      <w:r>
        <w:t xml:space="preserve"> results prompted the investigation of another cytokine. IFN-</w:t>
      </w:r>
      <w:r>
        <w:sym w:font="Symbol" w:char="F062"/>
      </w:r>
      <w:r>
        <w:t xml:space="preserve"> was chosen as the lab we have seen consistent expression of this proinflammatory cytokine by DC 2.4 before. However, the absorbances for these trials were also below the detectable protein range. The results from these trials can be seen below in </w:t>
      </w:r>
      <w:r>
        <w:rPr>
          <w:b/>
          <w:bCs/>
        </w:rPr>
        <w:t>Tables 8-9.</w:t>
      </w:r>
    </w:p>
    <w:p w14:paraId="136449D1" w14:textId="77777777" w:rsidR="00A27BB1" w:rsidRDefault="00A27BB1" w:rsidP="000D49F4"/>
    <w:p w14:paraId="51AC3A9F" w14:textId="5960E514" w:rsidR="000D49F4" w:rsidRPr="00A27BB1" w:rsidRDefault="00A27BB1" w:rsidP="00A27BB1">
      <w:pPr>
        <w:pStyle w:val="Caption"/>
        <w:spacing w:after="0"/>
        <w:rPr>
          <w:b/>
          <w:bCs/>
          <w:i w:val="0"/>
          <w:iCs w:val="0"/>
          <w:color w:val="000000" w:themeColor="text1"/>
          <w:sz w:val="24"/>
          <w:szCs w:val="24"/>
        </w:rPr>
      </w:pPr>
      <w:bookmarkStart w:id="82" w:name="_Toc165201217"/>
      <w:r w:rsidRPr="00A27BB1">
        <w:rPr>
          <w:b/>
          <w:bCs/>
          <w:i w:val="0"/>
          <w:iCs w:val="0"/>
          <w:color w:val="000000" w:themeColor="text1"/>
          <w:sz w:val="24"/>
          <w:szCs w:val="24"/>
        </w:rPr>
        <w:t xml:space="preserve">Table </w:t>
      </w:r>
      <w:r w:rsidRPr="00A27BB1">
        <w:rPr>
          <w:b/>
          <w:bCs/>
          <w:i w:val="0"/>
          <w:iCs w:val="0"/>
          <w:color w:val="000000" w:themeColor="text1"/>
          <w:sz w:val="24"/>
          <w:szCs w:val="24"/>
        </w:rPr>
        <w:fldChar w:fldCharType="begin"/>
      </w:r>
      <w:r w:rsidRPr="00A27BB1">
        <w:rPr>
          <w:b/>
          <w:bCs/>
          <w:i w:val="0"/>
          <w:iCs w:val="0"/>
          <w:color w:val="000000" w:themeColor="text1"/>
          <w:sz w:val="24"/>
          <w:szCs w:val="24"/>
        </w:rPr>
        <w:instrText xml:space="preserve"> SEQ Table \* ARABIC </w:instrText>
      </w:r>
      <w:r w:rsidRPr="00A27BB1">
        <w:rPr>
          <w:b/>
          <w:bCs/>
          <w:i w:val="0"/>
          <w:iCs w:val="0"/>
          <w:color w:val="000000" w:themeColor="text1"/>
          <w:sz w:val="24"/>
          <w:szCs w:val="24"/>
        </w:rPr>
        <w:fldChar w:fldCharType="separate"/>
      </w:r>
      <w:r w:rsidR="0021770C">
        <w:rPr>
          <w:b/>
          <w:bCs/>
          <w:i w:val="0"/>
          <w:iCs w:val="0"/>
          <w:noProof/>
          <w:color w:val="000000" w:themeColor="text1"/>
          <w:sz w:val="24"/>
          <w:szCs w:val="24"/>
        </w:rPr>
        <w:t>8</w:t>
      </w:r>
      <w:r w:rsidRPr="00A27BB1">
        <w:rPr>
          <w:b/>
          <w:bCs/>
          <w:i w:val="0"/>
          <w:iCs w:val="0"/>
          <w:color w:val="000000" w:themeColor="text1"/>
          <w:sz w:val="24"/>
          <w:szCs w:val="24"/>
        </w:rPr>
        <w:fldChar w:fldCharType="end"/>
      </w:r>
      <w:r w:rsidRPr="00A27BB1">
        <w:rPr>
          <w:b/>
          <w:bCs/>
          <w:i w:val="0"/>
          <w:iCs w:val="0"/>
          <w:color w:val="000000" w:themeColor="text1"/>
          <w:sz w:val="24"/>
          <w:szCs w:val="24"/>
        </w:rPr>
        <w:t>:</w:t>
      </w:r>
      <w:r w:rsidR="000D49F4" w:rsidRPr="00A27BB1">
        <w:rPr>
          <w:b/>
          <w:bCs/>
          <w:i w:val="0"/>
          <w:iCs w:val="0"/>
          <w:color w:val="000000" w:themeColor="text1"/>
          <w:sz w:val="24"/>
          <w:szCs w:val="24"/>
        </w:rPr>
        <w:t>ELISA IFN-</w:t>
      </w:r>
      <w:r w:rsidR="000D49F4" w:rsidRPr="00A27BB1">
        <w:rPr>
          <w:b/>
          <w:bCs/>
          <w:i w:val="0"/>
          <w:iCs w:val="0"/>
          <w:color w:val="000000" w:themeColor="text1"/>
          <w:sz w:val="24"/>
          <w:szCs w:val="24"/>
        </w:rPr>
        <w:sym w:font="Symbol" w:char="F062"/>
      </w:r>
      <w:r w:rsidR="000D49F4" w:rsidRPr="00A27BB1">
        <w:rPr>
          <w:b/>
          <w:bCs/>
          <w:i w:val="0"/>
          <w:iCs w:val="0"/>
          <w:color w:val="000000" w:themeColor="text1"/>
          <w:sz w:val="24"/>
          <w:szCs w:val="24"/>
        </w:rPr>
        <w:t xml:space="preserve"> </w:t>
      </w:r>
      <w:r w:rsidRPr="00A27BB1">
        <w:rPr>
          <w:b/>
          <w:bCs/>
          <w:i w:val="0"/>
          <w:iCs w:val="0"/>
          <w:color w:val="000000" w:themeColor="text1"/>
          <w:sz w:val="24"/>
          <w:szCs w:val="24"/>
        </w:rPr>
        <w:t>#1</w:t>
      </w:r>
      <w:bookmarkEnd w:id="82"/>
    </w:p>
    <w:p w14:paraId="0B754C60" w14:textId="30CA0846" w:rsidR="000D49F4" w:rsidRDefault="000D49F4" w:rsidP="000D49F4">
      <w:r w:rsidRPr="000D49F4">
        <w:rPr>
          <w:noProof/>
        </w:rPr>
        <w:drawing>
          <wp:inline distT="0" distB="0" distL="0" distR="0" wp14:anchorId="47F44F44" wp14:editId="6CA30C8C">
            <wp:extent cx="5943600" cy="1257300"/>
            <wp:effectExtent l="0" t="0" r="0" b="0"/>
            <wp:docPr id="850803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803701" name=""/>
                    <pic:cNvPicPr/>
                  </pic:nvPicPr>
                  <pic:blipFill>
                    <a:blip r:embed="rId42"/>
                    <a:stretch>
                      <a:fillRect/>
                    </a:stretch>
                  </pic:blipFill>
                  <pic:spPr>
                    <a:xfrm>
                      <a:off x="0" y="0"/>
                      <a:ext cx="5943600" cy="1257300"/>
                    </a:xfrm>
                    <a:prstGeom prst="rect">
                      <a:avLst/>
                    </a:prstGeom>
                  </pic:spPr>
                </pic:pic>
              </a:graphicData>
            </a:graphic>
          </wp:inline>
        </w:drawing>
      </w:r>
    </w:p>
    <w:p w14:paraId="5B46E549" w14:textId="77777777" w:rsidR="00B75FCB" w:rsidRDefault="00B75FCB" w:rsidP="000D49F4"/>
    <w:p w14:paraId="05A15534" w14:textId="5F16ED61" w:rsidR="00B75FCB" w:rsidRPr="00A27BB1" w:rsidRDefault="00A27BB1" w:rsidP="00A27BB1">
      <w:pPr>
        <w:pStyle w:val="Caption"/>
        <w:spacing w:after="0"/>
        <w:rPr>
          <w:b/>
          <w:bCs/>
          <w:i w:val="0"/>
          <w:iCs w:val="0"/>
          <w:color w:val="000000" w:themeColor="text1"/>
          <w:sz w:val="24"/>
          <w:szCs w:val="24"/>
        </w:rPr>
      </w:pPr>
      <w:bookmarkStart w:id="83" w:name="_Toc165201218"/>
      <w:r w:rsidRPr="00A27BB1">
        <w:rPr>
          <w:b/>
          <w:bCs/>
          <w:i w:val="0"/>
          <w:iCs w:val="0"/>
          <w:color w:val="000000" w:themeColor="text1"/>
          <w:sz w:val="24"/>
          <w:szCs w:val="24"/>
        </w:rPr>
        <w:t xml:space="preserve">Table </w:t>
      </w:r>
      <w:r w:rsidRPr="00A27BB1">
        <w:rPr>
          <w:b/>
          <w:bCs/>
          <w:i w:val="0"/>
          <w:iCs w:val="0"/>
          <w:color w:val="000000" w:themeColor="text1"/>
          <w:sz w:val="24"/>
          <w:szCs w:val="24"/>
        </w:rPr>
        <w:fldChar w:fldCharType="begin"/>
      </w:r>
      <w:r w:rsidRPr="00A27BB1">
        <w:rPr>
          <w:b/>
          <w:bCs/>
          <w:i w:val="0"/>
          <w:iCs w:val="0"/>
          <w:color w:val="000000" w:themeColor="text1"/>
          <w:sz w:val="24"/>
          <w:szCs w:val="24"/>
        </w:rPr>
        <w:instrText xml:space="preserve"> SEQ Table \* ARABIC </w:instrText>
      </w:r>
      <w:r w:rsidRPr="00A27BB1">
        <w:rPr>
          <w:b/>
          <w:bCs/>
          <w:i w:val="0"/>
          <w:iCs w:val="0"/>
          <w:color w:val="000000" w:themeColor="text1"/>
          <w:sz w:val="24"/>
          <w:szCs w:val="24"/>
        </w:rPr>
        <w:fldChar w:fldCharType="separate"/>
      </w:r>
      <w:r w:rsidR="0021770C">
        <w:rPr>
          <w:b/>
          <w:bCs/>
          <w:i w:val="0"/>
          <w:iCs w:val="0"/>
          <w:noProof/>
          <w:color w:val="000000" w:themeColor="text1"/>
          <w:sz w:val="24"/>
          <w:szCs w:val="24"/>
        </w:rPr>
        <w:t>9</w:t>
      </w:r>
      <w:r w:rsidRPr="00A27BB1">
        <w:rPr>
          <w:b/>
          <w:bCs/>
          <w:i w:val="0"/>
          <w:iCs w:val="0"/>
          <w:color w:val="000000" w:themeColor="text1"/>
          <w:sz w:val="24"/>
          <w:szCs w:val="24"/>
        </w:rPr>
        <w:fldChar w:fldCharType="end"/>
      </w:r>
      <w:r w:rsidRPr="00A27BB1">
        <w:rPr>
          <w:b/>
          <w:bCs/>
          <w:i w:val="0"/>
          <w:iCs w:val="0"/>
          <w:color w:val="000000" w:themeColor="text1"/>
          <w:sz w:val="24"/>
          <w:szCs w:val="24"/>
        </w:rPr>
        <w:t xml:space="preserve">: </w:t>
      </w:r>
      <w:r w:rsidR="00B75FCB" w:rsidRPr="00A27BB1">
        <w:rPr>
          <w:b/>
          <w:bCs/>
          <w:i w:val="0"/>
          <w:iCs w:val="0"/>
          <w:color w:val="000000" w:themeColor="text1"/>
          <w:sz w:val="24"/>
          <w:szCs w:val="24"/>
        </w:rPr>
        <w:t>ELISA IFN-</w:t>
      </w:r>
      <w:r w:rsidR="00B75FCB" w:rsidRPr="00A27BB1">
        <w:rPr>
          <w:b/>
          <w:bCs/>
          <w:i w:val="0"/>
          <w:iCs w:val="0"/>
          <w:color w:val="000000" w:themeColor="text1"/>
          <w:sz w:val="24"/>
          <w:szCs w:val="24"/>
        </w:rPr>
        <w:sym w:font="Symbol" w:char="F062"/>
      </w:r>
      <w:r w:rsidR="00B75FCB" w:rsidRPr="00A27BB1">
        <w:rPr>
          <w:b/>
          <w:bCs/>
          <w:i w:val="0"/>
          <w:iCs w:val="0"/>
          <w:color w:val="000000" w:themeColor="text1"/>
          <w:sz w:val="24"/>
          <w:szCs w:val="24"/>
        </w:rPr>
        <w:t xml:space="preserve"> </w:t>
      </w:r>
      <w:r w:rsidRPr="00A27BB1">
        <w:rPr>
          <w:b/>
          <w:bCs/>
          <w:i w:val="0"/>
          <w:iCs w:val="0"/>
          <w:color w:val="000000" w:themeColor="text1"/>
          <w:sz w:val="24"/>
          <w:szCs w:val="24"/>
        </w:rPr>
        <w:t>#2</w:t>
      </w:r>
      <w:bookmarkEnd w:id="83"/>
    </w:p>
    <w:p w14:paraId="5AD7032A" w14:textId="07D1F729" w:rsidR="00B75FCB" w:rsidRDefault="00D34A4B" w:rsidP="000D49F4">
      <w:r w:rsidRPr="00D34A4B">
        <w:rPr>
          <w:noProof/>
        </w:rPr>
        <w:drawing>
          <wp:inline distT="0" distB="0" distL="0" distR="0" wp14:anchorId="1D0389A2" wp14:editId="663D7A49">
            <wp:extent cx="5943600" cy="1257300"/>
            <wp:effectExtent l="0" t="0" r="0" b="0"/>
            <wp:docPr id="7242614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61463" name=""/>
                    <pic:cNvPicPr/>
                  </pic:nvPicPr>
                  <pic:blipFill>
                    <a:blip r:embed="rId43"/>
                    <a:stretch>
                      <a:fillRect/>
                    </a:stretch>
                  </pic:blipFill>
                  <pic:spPr>
                    <a:xfrm>
                      <a:off x="0" y="0"/>
                      <a:ext cx="5943600" cy="1257300"/>
                    </a:xfrm>
                    <a:prstGeom prst="rect">
                      <a:avLst/>
                    </a:prstGeom>
                  </pic:spPr>
                </pic:pic>
              </a:graphicData>
            </a:graphic>
          </wp:inline>
        </w:drawing>
      </w:r>
    </w:p>
    <w:p w14:paraId="2CBDE851" w14:textId="77777777" w:rsidR="00D34A4B" w:rsidRDefault="00D34A4B" w:rsidP="001D1C00">
      <w:pPr>
        <w:pStyle w:val="Heading3"/>
      </w:pPr>
    </w:p>
    <w:p w14:paraId="44F79136" w14:textId="0E993A47" w:rsidR="001D1C00" w:rsidRDefault="001D1C00" w:rsidP="001D1C00">
      <w:pPr>
        <w:pStyle w:val="Heading3"/>
      </w:pPr>
      <w:bookmarkStart w:id="84" w:name="_Toc165293386"/>
      <w:r>
        <w:t xml:space="preserve">B.4. </w:t>
      </w:r>
      <w:r w:rsidR="00770A34">
        <w:t xml:space="preserve">Discussion and </w:t>
      </w:r>
      <w:r>
        <w:t>Conclusions</w:t>
      </w:r>
      <w:bookmarkEnd w:id="84"/>
      <w:r>
        <w:t xml:space="preserve"> </w:t>
      </w:r>
    </w:p>
    <w:p w14:paraId="1F152D66" w14:textId="1190D427" w:rsidR="00EA6FB6" w:rsidRDefault="00EA6FB6" w:rsidP="00717C17">
      <w:pPr>
        <w:ind w:firstLine="720"/>
      </w:pPr>
      <w:r>
        <w:t>While the first IL-1</w:t>
      </w:r>
      <w:r>
        <w:sym w:font="Symbol" w:char="F062"/>
      </w:r>
      <w:r>
        <w:t xml:space="preserve"> yielded the predicted trend, the results were unable to be replicated. </w:t>
      </w:r>
      <w:r w:rsidR="00A27BB1">
        <w:t xml:space="preserve">Following this iteration, all other ELISAs showed no detectable cytokine concentrations. While the subsequent iterations showed no cytokine presence, the controls and standard curves present as expected indicating the ELISA itself was functioning as expected.  </w:t>
      </w:r>
    </w:p>
    <w:p w14:paraId="49F0EF40" w14:textId="1F4A1EFE" w:rsidR="001D1C00" w:rsidRDefault="001D1C00" w:rsidP="00717C17">
      <w:pPr>
        <w:ind w:firstLine="720"/>
      </w:pPr>
      <w:r>
        <w:t xml:space="preserve">From the ELISA data two main conclusions can be drawn. First, the control cell line for the STING KO cell line did not behave consistently with the DC 2.4 cell line. This showed that the act of </w:t>
      </w:r>
      <w:r w:rsidR="00A27BB1">
        <w:t>Cas9</w:t>
      </w:r>
      <w:r>
        <w:t xml:space="preserve"> gene editing changed the native behavior of the cells. Secondly, </w:t>
      </w:r>
      <w:r w:rsidR="00A27BB1">
        <w:t>the DC 2.4 cell line did not behave as expected. In prior experiments, we have seen a consistent expression of IL-1</w:t>
      </w:r>
      <w:r w:rsidR="00A27BB1">
        <w:sym w:font="Symbol" w:char="F062"/>
      </w:r>
      <w:r w:rsidR="00A27BB1">
        <w:t xml:space="preserve"> and IFN-</w:t>
      </w:r>
      <w:r w:rsidR="00A27BB1">
        <w:sym w:font="Symbol" w:char="F062"/>
      </w:r>
      <w:r w:rsidR="00A27BB1">
        <w:t xml:space="preserve"> by DC 2.4 when stimulation with concentration at of higher </w:t>
      </w:r>
      <w:proofErr w:type="gramStart"/>
      <w:r w:rsidR="00A27BB1">
        <w:t>then</w:t>
      </w:r>
      <w:proofErr w:type="gramEnd"/>
      <w:r w:rsidR="00A27BB1">
        <w:t xml:space="preserve"> 8</w:t>
      </w:r>
      <w:r w:rsidR="00A27BB1">
        <w:sym w:font="Symbol" w:char="F06D"/>
      </w:r>
      <w:r w:rsidR="00A27BB1">
        <w:t>g/</w:t>
      </w:r>
      <w:proofErr w:type="spellStart"/>
      <w:r w:rsidR="00A27BB1">
        <w:t>mL.</w:t>
      </w:r>
      <w:proofErr w:type="spellEnd"/>
      <w:r w:rsidR="00A27BB1">
        <w:t xml:space="preserve"> As this trend was no longer being observed, it was hypothesized that there may be</w:t>
      </w:r>
      <w:r w:rsidR="00717C17">
        <w:t xml:space="preserve"> inconsistencies withi</w:t>
      </w:r>
      <w:r w:rsidR="00A27BB1">
        <w:t xml:space="preserve">n the cell line. </w:t>
      </w:r>
      <w:r w:rsidR="00717C17">
        <w:t xml:space="preserve">This prompted the use of BMDCs for the remainder of the experimentation. As this cell line would more closely mimic the native murine environment. </w:t>
      </w:r>
    </w:p>
    <w:p w14:paraId="57EDE4E4" w14:textId="6915E1AA" w:rsidR="003B0604" w:rsidRDefault="003B0604" w:rsidP="00EA1377">
      <w:r>
        <w:lastRenderedPageBreak/>
        <w:t>Appendix C: Optimization of Lysate Protocols</w:t>
      </w:r>
    </w:p>
    <w:p w14:paraId="3D6D641A" w14:textId="77777777" w:rsidR="003B0604" w:rsidRDefault="003B0604" w:rsidP="003B0604">
      <w:pPr>
        <w:ind w:firstLine="720"/>
      </w:pPr>
      <w:r>
        <w:t>The beforementioned subcellular fractionation and lysosomal isolation are conducted utilizing kits design for human cells. As these kits were being applied to murine cells optimization was required to ensure kit efficacy was maintained. Optimization studies were conducted on the DC 2.4 cell line (</w:t>
      </w:r>
      <w:r w:rsidRPr="00A06DBB">
        <w:t>Millipore Sigma</w:t>
      </w:r>
      <w:r>
        <w:t>, Cat#</w:t>
      </w:r>
      <w:r w:rsidRPr="00A06DBB">
        <w:t xml:space="preserve"> SCC142</w:t>
      </w:r>
      <w:r>
        <w:t xml:space="preserve">) and once protein levels optimal for western blotting was achieved, the protocols were applied to murine primary cells. </w:t>
      </w:r>
    </w:p>
    <w:p w14:paraId="28A61D54" w14:textId="77777777" w:rsidR="003B0604" w:rsidRDefault="003B0604" w:rsidP="003B0604">
      <w:pPr>
        <w:ind w:firstLine="720"/>
      </w:pPr>
      <w:r>
        <w:t>The cellular fractionation kit called for a cell count of 1-10 x 10</w:t>
      </w:r>
      <w:r>
        <w:rPr>
          <w:vertAlign w:val="superscript"/>
        </w:rPr>
        <w:t>6</w:t>
      </w:r>
      <w:r>
        <w:t xml:space="preserve"> cells to be utilized throughout the protocol. While 10 x 10</w:t>
      </w:r>
      <w:r>
        <w:rPr>
          <w:vertAlign w:val="superscript"/>
        </w:rPr>
        <w:t>6</w:t>
      </w:r>
      <w:r>
        <w:t xml:space="preserve"> yielded detectable lysates, with acceptable protein concentrations demonstrated by the BCA, the volume was insufficient to create western blot lysates. Iterative trials showed that the lysate volume yielded from greater than 20 x 10</w:t>
      </w:r>
      <w:r>
        <w:rPr>
          <w:vertAlign w:val="superscript"/>
        </w:rPr>
        <w:t>6</w:t>
      </w:r>
      <w:r>
        <w:t xml:space="preserve"> cells would suffice. Increased cell count utilized within the protocol increased volumetric output of lysate while maintaining protein potency. </w:t>
      </w:r>
      <w:r w:rsidRPr="00624447">
        <w:t xml:space="preserve">This trend is demonstrated below in </w:t>
      </w:r>
      <w:r w:rsidRPr="00624447">
        <w:rPr>
          <w:b/>
          <w:bCs/>
        </w:rPr>
        <w:t xml:space="preserve">Figure </w:t>
      </w:r>
      <w:r>
        <w:rPr>
          <w:b/>
          <w:bCs/>
        </w:rPr>
        <w:t>8</w:t>
      </w:r>
      <w:r>
        <w:t xml:space="preserve">. </w:t>
      </w:r>
    </w:p>
    <w:p w14:paraId="07BFD7DE" w14:textId="77777777" w:rsidR="003B0604" w:rsidRDefault="003B0604" w:rsidP="003B0604">
      <w:r>
        <w:rPr>
          <w:noProof/>
        </w:rPr>
        <w:drawing>
          <wp:inline distT="0" distB="0" distL="0" distR="0" wp14:anchorId="7F6A711F" wp14:editId="61F34FA2">
            <wp:extent cx="2743200" cy="3657600"/>
            <wp:effectExtent l="0" t="0" r="0" b="0"/>
            <wp:docPr id="143333827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338275" name="Picture 1433338275"/>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43200" cy="3657600"/>
                    </a:xfrm>
                    <a:prstGeom prst="rect">
                      <a:avLst/>
                    </a:prstGeom>
                  </pic:spPr>
                </pic:pic>
              </a:graphicData>
            </a:graphic>
          </wp:inline>
        </w:drawing>
      </w:r>
      <w:r>
        <w:rPr>
          <w:noProof/>
        </w:rPr>
        <w:drawing>
          <wp:inline distT="0" distB="0" distL="0" distR="0" wp14:anchorId="7D8116EC" wp14:editId="413D264E">
            <wp:extent cx="2618509" cy="3657600"/>
            <wp:effectExtent l="0" t="0" r="0" b="0"/>
            <wp:docPr id="191271055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710554" name="Picture 1912710554"/>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18509" cy="3657600"/>
                    </a:xfrm>
                    <a:prstGeom prst="rect">
                      <a:avLst/>
                    </a:prstGeom>
                  </pic:spPr>
                </pic:pic>
              </a:graphicData>
            </a:graphic>
          </wp:inline>
        </w:drawing>
      </w:r>
    </w:p>
    <w:p w14:paraId="65C9038A" w14:textId="407D0EE2" w:rsidR="003B0604" w:rsidRPr="001D4EBC" w:rsidRDefault="003B0604" w:rsidP="003B0604">
      <w:pPr>
        <w:pStyle w:val="Caption"/>
        <w:jc w:val="both"/>
        <w:rPr>
          <w:color w:val="000000" w:themeColor="text1"/>
          <w:sz w:val="20"/>
          <w:szCs w:val="20"/>
        </w:rPr>
      </w:pPr>
      <w:bookmarkStart w:id="85" w:name="_Toc165201243"/>
      <w:r w:rsidRPr="001D4EBC">
        <w:rPr>
          <w:b/>
          <w:bCs/>
          <w:i w:val="0"/>
          <w:iCs w:val="0"/>
          <w:color w:val="000000" w:themeColor="text1"/>
          <w:sz w:val="20"/>
          <w:szCs w:val="20"/>
        </w:rPr>
        <w:t xml:space="preserve">Figure </w:t>
      </w:r>
      <w:r w:rsidRPr="001D4EBC">
        <w:rPr>
          <w:b/>
          <w:bCs/>
          <w:i w:val="0"/>
          <w:iCs w:val="0"/>
          <w:color w:val="000000" w:themeColor="text1"/>
          <w:sz w:val="20"/>
          <w:szCs w:val="20"/>
        </w:rPr>
        <w:fldChar w:fldCharType="begin"/>
      </w:r>
      <w:r w:rsidRPr="001D4EBC">
        <w:rPr>
          <w:b/>
          <w:bCs/>
          <w:i w:val="0"/>
          <w:iCs w:val="0"/>
          <w:color w:val="000000" w:themeColor="text1"/>
          <w:sz w:val="20"/>
          <w:szCs w:val="20"/>
        </w:rPr>
        <w:instrText xml:space="preserve"> SEQ Figure \* ARABIC </w:instrText>
      </w:r>
      <w:r w:rsidRPr="001D4EBC">
        <w:rPr>
          <w:b/>
          <w:bCs/>
          <w:i w:val="0"/>
          <w:iCs w:val="0"/>
          <w:color w:val="000000" w:themeColor="text1"/>
          <w:sz w:val="20"/>
          <w:szCs w:val="20"/>
        </w:rPr>
        <w:fldChar w:fldCharType="separate"/>
      </w:r>
      <w:r w:rsidR="0021770C">
        <w:rPr>
          <w:b/>
          <w:bCs/>
          <w:i w:val="0"/>
          <w:iCs w:val="0"/>
          <w:noProof/>
          <w:color w:val="000000" w:themeColor="text1"/>
          <w:sz w:val="20"/>
          <w:szCs w:val="20"/>
        </w:rPr>
        <w:t>24</w:t>
      </w:r>
      <w:r w:rsidRPr="001D4EBC">
        <w:rPr>
          <w:b/>
          <w:bCs/>
          <w:i w:val="0"/>
          <w:iCs w:val="0"/>
          <w:color w:val="000000" w:themeColor="text1"/>
          <w:sz w:val="20"/>
          <w:szCs w:val="20"/>
        </w:rPr>
        <w:fldChar w:fldCharType="end"/>
      </w:r>
      <w:r w:rsidRPr="001D4EBC">
        <w:rPr>
          <w:b/>
          <w:bCs/>
          <w:i w:val="0"/>
          <w:iCs w:val="0"/>
          <w:color w:val="000000" w:themeColor="text1"/>
          <w:sz w:val="20"/>
          <w:szCs w:val="20"/>
        </w:rPr>
        <w:t xml:space="preserve">: Cellular Fractionation BCA. </w:t>
      </w:r>
      <w:r w:rsidRPr="001D4EBC">
        <w:rPr>
          <w:i w:val="0"/>
          <w:iCs w:val="0"/>
          <w:color w:val="000000" w:themeColor="text1"/>
          <w:sz w:val="20"/>
          <w:szCs w:val="20"/>
        </w:rPr>
        <w:t>BCA results from cellular fractionation on DC 2.4 cell line utilizing 10 million and 20 million cells. Higher cell count yielded a larger volume of lysate but maintained protein potency ideal for western blotting applications.</w:t>
      </w:r>
      <w:bookmarkEnd w:id="85"/>
      <w:r w:rsidRPr="001D4EBC">
        <w:rPr>
          <w:color w:val="000000" w:themeColor="text1"/>
          <w:sz w:val="20"/>
          <w:szCs w:val="20"/>
        </w:rPr>
        <w:t xml:space="preserve"> </w:t>
      </w:r>
    </w:p>
    <w:p w14:paraId="6B999F32" w14:textId="77777777" w:rsidR="003B0604" w:rsidRPr="00E07C3F" w:rsidRDefault="003B0604" w:rsidP="003B0604">
      <w:pPr>
        <w:ind w:firstLine="720"/>
      </w:pPr>
      <w:r>
        <w:t>The lysosomal isolation called for 50-200mg of cells to be utilized for the procedure. Initially 50 x10</w:t>
      </w:r>
      <w:r>
        <w:rPr>
          <w:vertAlign w:val="superscript"/>
        </w:rPr>
        <w:t>6</w:t>
      </w:r>
      <w:r>
        <w:t xml:space="preserve"> cells were used for the procedure. However, this did not yield a lysosomal pellet. In the subsequent iterations approximately 150 x10</w:t>
      </w:r>
      <w:r>
        <w:rPr>
          <w:vertAlign w:val="superscript"/>
        </w:rPr>
        <w:t>6</w:t>
      </w:r>
      <w:r>
        <w:t xml:space="preserve"> cells were used yielding 80-110mg cell pellets. These cell concentrations yielded a visible cell </w:t>
      </w:r>
      <w:proofErr w:type="gramStart"/>
      <w:r>
        <w:t>pellet</w:t>
      </w:r>
      <w:proofErr w:type="gramEnd"/>
      <w:r>
        <w:t xml:space="preserve"> but protein concentrations were too low to be used for western blot procedures. A cell pellet with optimal protein concentration was yielded with approximately 200</w:t>
      </w:r>
      <w:r w:rsidRPr="00E07C3F">
        <w:t xml:space="preserve"> </w:t>
      </w:r>
      <w:r>
        <w:t>x10</w:t>
      </w:r>
      <w:r>
        <w:rPr>
          <w:vertAlign w:val="superscript"/>
        </w:rPr>
        <w:t>6</w:t>
      </w:r>
      <w:r>
        <w:t xml:space="preserve">, this was used as the target cell count for all subsequent iterations of the protocol. </w:t>
      </w:r>
    </w:p>
    <w:p w14:paraId="7F7D27BD" w14:textId="77777777" w:rsidR="003B0604" w:rsidRPr="004D2C12" w:rsidRDefault="003B0604" w:rsidP="003B0604"/>
    <w:p w14:paraId="28B24D00" w14:textId="7B67CB44" w:rsidR="003B0604" w:rsidRDefault="003B0604">
      <w:pPr>
        <w:rPr>
          <w:rFonts w:asciiTheme="majorHAnsi" w:eastAsiaTheme="majorEastAsia" w:hAnsiTheme="majorHAnsi" w:cstheme="majorBidi"/>
          <w:color w:val="2F5496" w:themeColor="accent1" w:themeShade="BF"/>
          <w:sz w:val="26"/>
          <w:szCs w:val="26"/>
        </w:rPr>
      </w:pPr>
      <w:r>
        <w:br w:type="page"/>
      </w:r>
    </w:p>
    <w:p w14:paraId="77B61FB5" w14:textId="3C8F5E0C" w:rsidR="001D1C00" w:rsidRPr="001D1C00" w:rsidRDefault="001D1C00" w:rsidP="00E04EBF">
      <w:pPr>
        <w:pStyle w:val="Heading2"/>
      </w:pPr>
      <w:bookmarkStart w:id="86" w:name="_Toc165293387"/>
      <w:r>
        <w:lastRenderedPageBreak/>
        <w:t xml:space="preserve">Appendix </w:t>
      </w:r>
      <w:r w:rsidR="003B0604">
        <w:t>D</w:t>
      </w:r>
      <w:r>
        <w:t xml:space="preserve">: </w:t>
      </w:r>
      <w:r w:rsidRPr="000A071A">
        <w:t>Cellular Magnification Microscopy Methodology</w:t>
      </w:r>
      <w:bookmarkEnd w:id="86"/>
      <w:r w:rsidRPr="000A071A">
        <w:t xml:space="preserve"> </w:t>
      </w:r>
    </w:p>
    <w:p w14:paraId="20EB6B93" w14:textId="1FC89751" w:rsidR="001D1C00" w:rsidRDefault="003B0604" w:rsidP="001D1C00">
      <w:pPr>
        <w:pStyle w:val="Heading3"/>
      </w:pPr>
      <w:bookmarkStart w:id="87" w:name="_Toc165293388"/>
      <w:r>
        <w:t>D</w:t>
      </w:r>
      <w:r w:rsidR="00061330">
        <w:t xml:space="preserve">.1. </w:t>
      </w:r>
      <w:r w:rsidR="001D1C00">
        <w:t>Materials</w:t>
      </w:r>
      <w:bookmarkEnd w:id="87"/>
    </w:p>
    <w:p w14:paraId="028AB3CF" w14:textId="77777777" w:rsidR="001D1C00" w:rsidRDefault="001D1C00" w:rsidP="001D1C00">
      <w:pPr>
        <w:ind w:firstLine="720"/>
      </w:pPr>
      <w:r>
        <w:t xml:space="preserve">A </w:t>
      </w:r>
      <w:r w:rsidRPr="00365908">
        <w:t>GC-FITC aqueous solution (10mg/mL)</w:t>
      </w:r>
      <w:r>
        <w:t xml:space="preserve"> was provided by</w:t>
      </w:r>
      <w:r w:rsidRPr="00365908">
        <w:t xml:space="preserve"> </w:t>
      </w:r>
      <w:proofErr w:type="spellStart"/>
      <w:r w:rsidRPr="00365908">
        <w:t>ImmunoPhotonics</w:t>
      </w:r>
      <w:proofErr w:type="spellEnd"/>
      <w:r>
        <w:t>. DC 2.4 cell line (</w:t>
      </w:r>
      <w:r w:rsidRPr="00A06DBB">
        <w:t>Millipore Sigma</w:t>
      </w:r>
      <w:r>
        <w:t>, Cat#</w:t>
      </w:r>
      <w:r w:rsidRPr="00A06DBB">
        <w:t xml:space="preserve"> SCC142</w:t>
      </w:r>
      <w:r>
        <w:t xml:space="preserve">). </w:t>
      </w:r>
    </w:p>
    <w:p w14:paraId="1E20B1AA" w14:textId="77777777" w:rsidR="001D1C00" w:rsidRPr="009A4D8E" w:rsidRDefault="001D1C00" w:rsidP="001D1C00"/>
    <w:p w14:paraId="674C99B4" w14:textId="5CA72667" w:rsidR="001D1C00" w:rsidRPr="00DB3770" w:rsidRDefault="003B0604" w:rsidP="001D1C00">
      <w:pPr>
        <w:pStyle w:val="Heading3"/>
      </w:pPr>
      <w:bookmarkStart w:id="88" w:name="_Toc165293389"/>
      <w:r>
        <w:t>D</w:t>
      </w:r>
      <w:r w:rsidR="00061330">
        <w:t xml:space="preserve">.2. </w:t>
      </w:r>
      <w:r w:rsidR="001D1C00">
        <w:t>Methods</w:t>
      </w:r>
      <w:bookmarkEnd w:id="88"/>
    </w:p>
    <w:p w14:paraId="00B18229" w14:textId="77777777" w:rsidR="001D1C00" w:rsidRDefault="001D1C00" w:rsidP="001D1C00">
      <w:pPr>
        <w:ind w:firstLine="720"/>
      </w:pPr>
      <w:r>
        <w:t>C</w:t>
      </w:r>
      <w:r w:rsidRPr="001B07B5">
        <w:t xml:space="preserve">overslips </w:t>
      </w:r>
      <w:r>
        <w:t xml:space="preserve">(18mm, #1 glass) are treated using </w:t>
      </w:r>
      <w:r w:rsidRPr="001B07B5">
        <w:t>piranha solution</w:t>
      </w:r>
      <w:r>
        <w:t xml:space="preserve"> (3:1 ratio of </w:t>
      </w:r>
      <w:r w:rsidRPr="001B07B5">
        <w:t>95-98% sulfuric acid</w:t>
      </w:r>
      <w:r>
        <w:t xml:space="preserve"> and</w:t>
      </w:r>
      <w:r w:rsidRPr="001B07B5">
        <w:t xml:space="preserve"> 30% hydrogen peroxide</w:t>
      </w:r>
      <w:r>
        <w:t>). Coverslips were then p</w:t>
      </w:r>
      <w:r w:rsidRPr="001B07B5">
        <w:t>lace</w:t>
      </w:r>
      <w:r>
        <w:t>d</w:t>
      </w:r>
      <w:r w:rsidRPr="001B07B5">
        <w:t xml:space="preserve"> into individual wells of a 12 well plate</w:t>
      </w:r>
      <w:r>
        <w:t xml:space="preserve"> and wells washed with PBS. The plate was then treated with UV light for 10 minutes and stored at 4</w:t>
      </w:r>
      <w:r>
        <w:sym w:font="Symbol" w:char="F0B0"/>
      </w:r>
      <w:r>
        <w:t xml:space="preserve">C for later use. Upon use, the plate was treated again with UV light for 10 minutes. </w:t>
      </w:r>
    </w:p>
    <w:p w14:paraId="34DB045C" w14:textId="77777777" w:rsidR="001D1C00" w:rsidRDefault="001D1C00" w:rsidP="001D1C00">
      <w:pPr>
        <w:ind w:firstLine="720"/>
      </w:pPr>
      <w:r>
        <w:t>Cells were seeded at a density of 500,000 cells per well and stimulated with GC. Three experimental groups were tested: unstimulated, 4</w:t>
      </w:r>
      <w:r>
        <w:sym w:font="Symbol" w:char="F06D"/>
      </w:r>
      <w:r>
        <w:t>g/mL GC-FITC, and 8</w:t>
      </w:r>
      <w:r>
        <w:sym w:font="Symbol" w:char="F06D"/>
      </w:r>
      <w:r>
        <w:t>g/mL GC-FITC. Samples were incubated with GC for a total stimulation time of 10 hours. Post stimulation, cells were fixed</w:t>
      </w:r>
      <w:r w:rsidRPr="001B07B5">
        <w:t xml:space="preserve"> with 4% PFA and 0.1% glutaraldehyde in 1X PBS for 15 min at </w:t>
      </w:r>
      <w:r>
        <w:t>room temperature. Samples were then rinsed</w:t>
      </w:r>
      <w:r w:rsidRPr="001B07B5">
        <w:t xml:space="preserve"> 3</w:t>
      </w:r>
      <w:r>
        <w:t xml:space="preserve"> times</w:t>
      </w:r>
      <w:r w:rsidRPr="001B07B5">
        <w:t xml:space="preserve"> with PBS</w:t>
      </w:r>
      <w:r>
        <w:t xml:space="preserve">. Post fixing, samples were quenched to help reduce background signal. </w:t>
      </w:r>
      <w:r w:rsidRPr="003614ED">
        <w:t>For quenching</w:t>
      </w:r>
      <w:r>
        <w:rPr>
          <w:b/>
          <w:bCs/>
        </w:rPr>
        <w:t xml:space="preserve"> </w:t>
      </w:r>
      <w:r w:rsidRPr="001B07B5">
        <w:t>1 mg/mL solution of sodium borohydride</w:t>
      </w:r>
      <w:r>
        <w:t xml:space="preserve"> </w:t>
      </w:r>
      <w:r w:rsidRPr="001B07B5">
        <w:t xml:space="preserve">in PBS </w:t>
      </w:r>
      <w:r>
        <w:t xml:space="preserve">was added </w:t>
      </w:r>
      <w:r w:rsidRPr="001B07B5">
        <w:t xml:space="preserve">for 10 minutes at </w:t>
      </w:r>
      <w:r>
        <w:t xml:space="preserve">room temperature. Next, </w:t>
      </w:r>
      <w:r w:rsidRPr="001B07B5">
        <w:t xml:space="preserve">100 mM glycine in PBS </w:t>
      </w:r>
      <w:r>
        <w:t xml:space="preserve">was added </w:t>
      </w:r>
      <w:r w:rsidRPr="001B07B5">
        <w:t xml:space="preserve">for 20 minutes at </w:t>
      </w:r>
      <w:r>
        <w:t xml:space="preserve">room temperature followed by an additional rinsing of PBS. Lastly, samples were rinsed 3 times with PBS. </w:t>
      </w:r>
    </w:p>
    <w:p w14:paraId="5143105E" w14:textId="77777777" w:rsidR="001D1C00" w:rsidRPr="001B07B5" w:rsidRDefault="001D1C00" w:rsidP="001D1C00">
      <w:pPr>
        <w:ind w:firstLine="720"/>
      </w:pPr>
      <w:r>
        <w:t xml:space="preserve">Following quenching, the samples went through gelation. During this process, an acrylamide gel was added to the samples. In doing this, the cells were incorporated into the gels allowed for expansion of the samples. The gelling solution was prepared as follows: </w:t>
      </w:r>
      <w:r w:rsidRPr="009A7FA1">
        <w:t xml:space="preserve">0.416 mL of </w:t>
      </w:r>
      <w:proofErr w:type="gramStart"/>
      <w:r w:rsidRPr="009A7FA1">
        <w:t>N,N</w:t>
      </w:r>
      <w:proofErr w:type="gramEnd"/>
      <w:r w:rsidRPr="009A7FA1">
        <w:t xml:space="preserve">-Dimethylacrylamide (DMAA), 3.4 g of sodium acrylate, 1 g of acrylamide (2.5 mL of 40% solution), 50 µl of </w:t>
      </w:r>
      <w:proofErr w:type="spellStart"/>
      <w:r w:rsidRPr="009A7FA1">
        <w:t>bisacrylamide</w:t>
      </w:r>
      <w:proofErr w:type="spellEnd"/>
      <w:r w:rsidRPr="009A7FA1">
        <w:t xml:space="preserve"> (2% solution): 1 mg, 0.1 g sodium chloride, 1 mL of 10X PBS, and water up to 10 </w:t>
      </w:r>
      <w:proofErr w:type="spellStart"/>
      <w:r w:rsidRPr="009A7FA1">
        <w:t>mL</w:t>
      </w:r>
      <w:r>
        <w:t>.</w:t>
      </w:r>
      <w:proofErr w:type="spellEnd"/>
      <w:r w:rsidRPr="009A7FA1">
        <w:t xml:space="preserve"> </w:t>
      </w:r>
      <w:r>
        <w:t>For every 1mL of gelling solution, 50</w:t>
      </w:r>
      <w:r w:rsidRPr="00D84E93">
        <w:t>µL 5% potassium persulfate (KPS)</w:t>
      </w:r>
      <w:r>
        <w:t xml:space="preserve">, </w:t>
      </w:r>
      <w:r w:rsidRPr="00D84E93">
        <w:t>10µL 10% TEMED solution</w:t>
      </w:r>
      <w:r>
        <w:t xml:space="preserve">, and </w:t>
      </w:r>
      <w:r w:rsidRPr="00D84E93">
        <w:t>1µL</w:t>
      </w:r>
      <w:r>
        <w:t xml:space="preserve"> </w:t>
      </w:r>
      <w:r w:rsidRPr="00D84E93">
        <w:t>methacrolein</w:t>
      </w:r>
      <w:r>
        <w:t xml:space="preserve"> is added. For each sample 90</w:t>
      </w:r>
      <w:r w:rsidRPr="00D84E93">
        <w:t>µL</w:t>
      </w:r>
      <w:r>
        <w:t xml:space="preserve"> of gelation solution was added and allowed to </w:t>
      </w:r>
      <w:proofErr w:type="spellStart"/>
      <w:r>
        <w:t>gelate</w:t>
      </w:r>
      <w:proofErr w:type="spellEnd"/>
      <w:r>
        <w:t xml:space="preserve"> in the humidified gelation chambers overnight at 37</w:t>
      </w:r>
      <w:r>
        <w:sym w:font="Symbol" w:char="F0B0"/>
      </w:r>
      <w:r>
        <w:t>C.</w:t>
      </w:r>
    </w:p>
    <w:p w14:paraId="14D7CE6A" w14:textId="77777777" w:rsidR="001D1C00" w:rsidRDefault="001D1C00" w:rsidP="001D1C00">
      <w:pPr>
        <w:ind w:firstLine="720"/>
      </w:pPr>
      <w:r>
        <w:t xml:space="preserve">The </w:t>
      </w:r>
      <w:r w:rsidRPr="001B07B5">
        <w:t xml:space="preserve">homogenization solution </w:t>
      </w:r>
      <w:r>
        <w:t xml:space="preserve">was prepared as follows: </w:t>
      </w:r>
      <w:r w:rsidRPr="001B07B5">
        <w:t>5 g sodium dodecyl sulfate (SDS)</w:t>
      </w:r>
      <w:r>
        <w:t xml:space="preserve">, </w:t>
      </w:r>
      <w:r w:rsidRPr="001B07B5">
        <w:t>24.024 g of urea</w:t>
      </w:r>
      <w:r>
        <w:t xml:space="preserve">, </w:t>
      </w:r>
      <w:r w:rsidRPr="001B07B5">
        <w:t>365.3 mg EDTA</w:t>
      </w:r>
      <w:r>
        <w:t xml:space="preserve">, </w:t>
      </w:r>
      <w:r w:rsidRPr="001B07B5">
        <w:t>10 mL of 10X PBS</w:t>
      </w:r>
      <w:r>
        <w:t xml:space="preserve">, </w:t>
      </w:r>
      <w:proofErr w:type="spellStart"/>
      <w:r>
        <w:t>Nanopure</w:t>
      </w:r>
      <w:proofErr w:type="spellEnd"/>
      <w:r w:rsidRPr="001B07B5">
        <w:t xml:space="preserve"> up to 50mL</w:t>
      </w:r>
      <w:r>
        <w:t xml:space="preserve">. The </w:t>
      </w:r>
      <w:r w:rsidRPr="001B07B5">
        <w:t xml:space="preserve">pH </w:t>
      </w:r>
      <w:r>
        <w:t xml:space="preserve">was the adjusted </w:t>
      </w:r>
      <w:r w:rsidRPr="001B07B5">
        <w:t>to 7.5</w:t>
      </w:r>
      <w:r>
        <w:t>. The h</w:t>
      </w:r>
      <w:r w:rsidRPr="001B07B5">
        <w:t xml:space="preserve">omogenization buffer </w:t>
      </w:r>
      <w:r>
        <w:t xml:space="preserve">was then added to each well and incubated </w:t>
      </w:r>
      <w:r w:rsidRPr="001B07B5">
        <w:t xml:space="preserve">for 6 </w:t>
      </w:r>
      <w:proofErr w:type="spellStart"/>
      <w:r w:rsidRPr="001B07B5">
        <w:t>hrs</w:t>
      </w:r>
      <w:proofErr w:type="spellEnd"/>
      <w:r w:rsidRPr="001B07B5">
        <w:t xml:space="preserve"> at 80</w:t>
      </w:r>
      <w:r>
        <w:rPr>
          <w:rFonts w:ascii="Calibri" w:hAnsi="Calibri" w:cs="Calibri"/>
        </w:rPr>
        <w:t>°</w:t>
      </w:r>
      <w:r w:rsidRPr="001B07B5">
        <w:t>C</w:t>
      </w:r>
      <w:r>
        <w:t>. Post incubation,</w:t>
      </w:r>
      <w:r w:rsidRPr="001B07B5">
        <w:t xml:space="preserve"> samples </w:t>
      </w:r>
      <w:r>
        <w:t xml:space="preserve">were washed </w:t>
      </w:r>
      <w:r w:rsidRPr="001B07B5">
        <w:t xml:space="preserve">with PBS 3 times for 10 minutes each at </w:t>
      </w:r>
      <w:r>
        <w:t xml:space="preserve">room temperature. </w:t>
      </w:r>
    </w:p>
    <w:p w14:paraId="361675BA" w14:textId="77777777" w:rsidR="001D1C00" w:rsidRPr="009A4D8E" w:rsidRDefault="001D1C00" w:rsidP="001D1C00">
      <w:pPr>
        <w:ind w:firstLine="720"/>
      </w:pPr>
      <w:r>
        <w:t>Post homogenization, samples were stained with primary antibodies: STING 1</w:t>
      </w:r>
      <w:r>
        <w:sym w:font="Symbol" w:char="F0B0"/>
      </w:r>
      <w:r>
        <w:t xml:space="preserve"> Rabbit </w:t>
      </w:r>
      <w:proofErr w:type="spellStart"/>
      <w:r>
        <w:t>mAb</w:t>
      </w:r>
      <w:proofErr w:type="spellEnd"/>
      <w:r>
        <w:t xml:space="preserve"> (1:100) (Cell Signaling, Cat#13647S) and LAMP 1</w:t>
      </w:r>
      <w:r>
        <w:sym w:font="Symbol" w:char="F0B0"/>
      </w:r>
      <w:r>
        <w:t xml:space="preserve"> (1:100) (</w:t>
      </w:r>
      <w:proofErr w:type="spellStart"/>
      <w:r>
        <w:t>Thermo</w:t>
      </w:r>
      <w:proofErr w:type="spellEnd"/>
      <w:r>
        <w:t xml:space="preserve"> Fisher, Cat#14107182). Samples were allowed to incubate at room temperature on the shaker overnight. Following incubation samples were washed 3 times with 0.1% PBS-T for 20 minutes each wash then sained with secondary antibodies. For secondary antibodies the following were used: </w:t>
      </w:r>
      <w:r w:rsidRPr="009A4D8E">
        <w:t>Cyanine5</w:t>
      </w:r>
      <w:r>
        <w:t xml:space="preserve"> (1:1000) (</w:t>
      </w:r>
      <w:proofErr w:type="spellStart"/>
      <w:r>
        <w:t>Thermo</w:t>
      </w:r>
      <w:proofErr w:type="spellEnd"/>
      <w:r>
        <w:t xml:space="preserve"> Fisher, Cat#</w:t>
      </w:r>
      <w:r w:rsidRPr="009A4D8E">
        <w:t>A10525</w:t>
      </w:r>
      <w:r>
        <w:t xml:space="preserve">) and </w:t>
      </w:r>
      <w:proofErr w:type="spellStart"/>
      <w:r>
        <w:t>Alexaflour</w:t>
      </w:r>
      <w:proofErr w:type="spellEnd"/>
      <w:r>
        <w:t xml:space="preserve"> 555 (1:500) (</w:t>
      </w:r>
      <w:proofErr w:type="spellStart"/>
      <w:r>
        <w:t>Thermo</w:t>
      </w:r>
      <w:proofErr w:type="spellEnd"/>
      <w:r>
        <w:t xml:space="preserve"> Fisher, Cat#A32732). Antibodies were allowed to incubate overnight on the shaker at room temperature. Post incubation samples were washed 3 times for 20 minute durations with 0.1% PBS-T before pan staining. Pan staining was conducted utilizing a solution compromised on 20</w:t>
      </w:r>
      <w:r>
        <w:sym w:font="Symbol" w:char="F06D"/>
      </w:r>
      <w:r>
        <w:t>g/mL N-</w:t>
      </w:r>
      <w:proofErr w:type="spellStart"/>
      <w:r>
        <w:lastRenderedPageBreak/>
        <w:t>Hydroxysuccinimide</w:t>
      </w:r>
      <w:proofErr w:type="spellEnd"/>
      <w:r>
        <w:t xml:space="preserve"> (NHS) ester-activated fluorescent dye (NHS-AF555) and 100mM of sodium bicarbonate. The solution was applied to the samples, allowed to incubate at room temperature with shaking for 1.5 hours, and then washed 3 times for 20 minute durations with 0.1% PBS-T. A final wash for 1 hour was conducted with 1X PBS. </w:t>
      </w:r>
    </w:p>
    <w:p w14:paraId="16AF2369" w14:textId="77777777" w:rsidR="001D1C00" w:rsidRPr="001B07B5" w:rsidRDefault="001D1C00" w:rsidP="001D1C00">
      <w:pPr>
        <w:ind w:firstLine="720"/>
      </w:pPr>
      <w:r>
        <w:t xml:space="preserve">Following staining samples were expanded. For expansion, </w:t>
      </w:r>
      <w:r w:rsidRPr="001B07B5">
        <w:t>gel</w:t>
      </w:r>
      <w:r>
        <w:t xml:space="preserve">s were placed in </w:t>
      </w:r>
      <w:proofErr w:type="spellStart"/>
      <w:r>
        <w:t>Nanopure</w:t>
      </w:r>
      <w:proofErr w:type="spellEnd"/>
      <w:r w:rsidRPr="001B07B5">
        <w:t xml:space="preserve"> H</w:t>
      </w:r>
      <w:r w:rsidRPr="009A4D8E">
        <w:rPr>
          <w:vertAlign w:val="subscript"/>
        </w:rPr>
        <w:t>2</w:t>
      </w:r>
      <w:r w:rsidRPr="001B07B5">
        <w:t>O for 10 minutes thrice, replacing the water each time, or until expansion stops</w:t>
      </w:r>
      <w:r>
        <w:t xml:space="preserve">. Samples were then imaged on the Oxford Instruments </w:t>
      </w:r>
      <w:proofErr w:type="spellStart"/>
      <w:r>
        <w:t>Andor</w:t>
      </w:r>
      <w:proofErr w:type="spellEnd"/>
      <w:r>
        <w:t xml:space="preserve"> BC43 Confocal Microscope. </w:t>
      </w:r>
    </w:p>
    <w:p w14:paraId="57EE2785" w14:textId="77777777" w:rsidR="001D1C00" w:rsidRDefault="001D1C00" w:rsidP="001D1C00">
      <w:r w:rsidRPr="001B07B5">
        <w:t> </w:t>
      </w:r>
    </w:p>
    <w:p w14:paraId="2D0F9D15" w14:textId="276151F2" w:rsidR="001D1C00" w:rsidRPr="001652F9" w:rsidRDefault="003B0604" w:rsidP="00A54D9B">
      <w:pPr>
        <w:pStyle w:val="Heading3"/>
      </w:pPr>
      <w:bookmarkStart w:id="89" w:name="_Toc165293390"/>
      <w:r>
        <w:t>D</w:t>
      </w:r>
      <w:r w:rsidR="00061330">
        <w:t xml:space="preserve">.3. </w:t>
      </w:r>
      <w:r w:rsidR="001D1C00">
        <w:t>Results</w:t>
      </w:r>
      <w:bookmarkEnd w:id="89"/>
    </w:p>
    <w:p w14:paraId="59A08486" w14:textId="019D77A1" w:rsidR="001D1C00" w:rsidRDefault="006121B5" w:rsidP="006121B5">
      <w:r>
        <w:rPr>
          <w:noProof/>
        </w:rPr>
        <w:drawing>
          <wp:inline distT="0" distB="0" distL="0" distR="0" wp14:anchorId="1102FEDC" wp14:editId="1DC5F007">
            <wp:extent cx="5943600" cy="2490536"/>
            <wp:effectExtent l="0" t="0" r="0" b="0"/>
            <wp:docPr id="1252381380" name="Picture 6"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2381380" name="Picture 6" descr="A screenshot of a video game&#10;&#10;Description automatically generated"/>
                    <pic:cNvPicPr/>
                  </pic:nvPicPr>
                  <pic:blipFill rotWithShape="1">
                    <a:blip r:embed="rId46" cstate="print">
                      <a:extLst>
                        <a:ext uri="{28A0092B-C50C-407E-A947-70E740481C1C}">
                          <a14:useLocalDpi xmlns:a14="http://schemas.microsoft.com/office/drawing/2010/main" val="0"/>
                        </a:ext>
                      </a:extLst>
                    </a:blip>
                    <a:srcRect b="5741"/>
                    <a:stretch/>
                  </pic:blipFill>
                  <pic:spPr bwMode="auto">
                    <a:xfrm>
                      <a:off x="0" y="0"/>
                      <a:ext cx="5943600" cy="2490536"/>
                    </a:xfrm>
                    <a:prstGeom prst="rect">
                      <a:avLst/>
                    </a:prstGeom>
                    <a:ln>
                      <a:noFill/>
                    </a:ln>
                    <a:extLst>
                      <a:ext uri="{53640926-AAD7-44D8-BBD7-CCE9431645EC}">
                        <a14:shadowObscured xmlns:a14="http://schemas.microsoft.com/office/drawing/2010/main"/>
                      </a:ext>
                    </a:extLst>
                  </pic:spPr>
                </pic:pic>
              </a:graphicData>
            </a:graphic>
          </wp:inline>
        </w:drawing>
      </w:r>
    </w:p>
    <w:p w14:paraId="7E08FBFE" w14:textId="0B27198C" w:rsidR="001D1C00" w:rsidRPr="009A2E21" w:rsidRDefault="00A54D9B" w:rsidP="009A2E21">
      <w:pPr>
        <w:pStyle w:val="Caption"/>
        <w:jc w:val="both"/>
        <w:rPr>
          <w:i w:val="0"/>
          <w:iCs w:val="0"/>
          <w:color w:val="000000" w:themeColor="text1"/>
          <w:sz w:val="20"/>
          <w:szCs w:val="20"/>
        </w:rPr>
      </w:pPr>
      <w:bookmarkStart w:id="90" w:name="_Toc165201244"/>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25</w:t>
      </w:r>
      <w:r w:rsidRPr="009A2E21">
        <w:rPr>
          <w:b/>
          <w:bCs/>
          <w:i w:val="0"/>
          <w:iCs w:val="0"/>
          <w:color w:val="000000" w:themeColor="text1"/>
          <w:sz w:val="20"/>
          <w:szCs w:val="20"/>
        </w:rPr>
        <w:fldChar w:fldCharType="end"/>
      </w:r>
      <w:r w:rsidRPr="009A2E21">
        <w:rPr>
          <w:b/>
          <w:bCs/>
          <w:i w:val="0"/>
          <w:iCs w:val="0"/>
          <w:color w:val="000000" w:themeColor="text1"/>
          <w:sz w:val="20"/>
          <w:szCs w:val="20"/>
        </w:rPr>
        <w:t>: Unstimulated DC 2.4 Expansion Microscopy</w:t>
      </w:r>
      <w:r w:rsidRPr="009A2E21">
        <w:rPr>
          <w:i w:val="0"/>
          <w:iCs w:val="0"/>
          <w:color w:val="000000" w:themeColor="text1"/>
          <w:sz w:val="20"/>
          <w:szCs w:val="20"/>
        </w:rPr>
        <w:t xml:space="preserve">. </w:t>
      </w:r>
      <w:r w:rsidR="00B52D13" w:rsidRPr="009A2E21">
        <w:rPr>
          <w:i w:val="0"/>
          <w:iCs w:val="0"/>
          <w:color w:val="000000" w:themeColor="text1"/>
          <w:sz w:val="20"/>
          <w:szCs w:val="20"/>
        </w:rPr>
        <w:t>Shows antibody staining with STING-AF55 and LAMP1-Cy5. GC-FITC showing GC presence in the cell and NHS ester staining proteins within the cell can also be seen.</w:t>
      </w:r>
      <w:bookmarkEnd w:id="90"/>
      <w:r w:rsidR="00B52D13" w:rsidRPr="009A2E21">
        <w:rPr>
          <w:i w:val="0"/>
          <w:iCs w:val="0"/>
          <w:color w:val="000000" w:themeColor="text1"/>
          <w:sz w:val="20"/>
          <w:szCs w:val="20"/>
        </w:rPr>
        <w:t xml:space="preserve"> </w:t>
      </w:r>
    </w:p>
    <w:p w14:paraId="39B82E05" w14:textId="77777777" w:rsidR="001D1C00" w:rsidRDefault="001D1C00" w:rsidP="001D1C00"/>
    <w:p w14:paraId="55656BC0" w14:textId="6C6D02CA" w:rsidR="001D1C00" w:rsidRDefault="00B52D13" w:rsidP="000D18C0">
      <w:r>
        <w:rPr>
          <w:noProof/>
        </w:rPr>
        <w:drawing>
          <wp:inline distT="0" distB="0" distL="0" distR="0" wp14:anchorId="2D10E9DB" wp14:editId="78E54EC7">
            <wp:extent cx="5718445" cy="2242527"/>
            <wp:effectExtent l="0" t="0" r="0" b="5715"/>
            <wp:docPr id="555562976" name="Picture 4" descr="A black background with green and purple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562976" name="Picture 4" descr="A black background with green and purple dots&#10;&#10;Description automatically generated"/>
                    <pic:cNvPicPr/>
                  </pic:nvPicPr>
                  <pic:blipFill rotWithShape="1">
                    <a:blip r:embed="rId47" cstate="print">
                      <a:extLst>
                        <a:ext uri="{28A0092B-C50C-407E-A947-70E740481C1C}">
                          <a14:useLocalDpi xmlns:a14="http://schemas.microsoft.com/office/drawing/2010/main" val="0"/>
                        </a:ext>
                      </a:extLst>
                    </a:blip>
                    <a:srcRect b="4262"/>
                    <a:stretch/>
                  </pic:blipFill>
                  <pic:spPr bwMode="auto">
                    <a:xfrm>
                      <a:off x="0" y="0"/>
                      <a:ext cx="5728999" cy="2246666"/>
                    </a:xfrm>
                    <a:prstGeom prst="rect">
                      <a:avLst/>
                    </a:prstGeom>
                    <a:ln>
                      <a:noFill/>
                    </a:ln>
                    <a:extLst>
                      <a:ext uri="{53640926-AAD7-44D8-BBD7-CCE9431645EC}">
                        <a14:shadowObscured xmlns:a14="http://schemas.microsoft.com/office/drawing/2010/main"/>
                      </a:ext>
                    </a:extLst>
                  </pic:spPr>
                </pic:pic>
              </a:graphicData>
            </a:graphic>
          </wp:inline>
        </w:drawing>
      </w:r>
    </w:p>
    <w:p w14:paraId="065EC687" w14:textId="2610BE09" w:rsidR="00B52D13" w:rsidRPr="009A2E21" w:rsidRDefault="00B52D13" w:rsidP="009A2E21">
      <w:pPr>
        <w:pStyle w:val="Caption"/>
        <w:jc w:val="both"/>
        <w:rPr>
          <w:i w:val="0"/>
          <w:iCs w:val="0"/>
          <w:color w:val="000000" w:themeColor="text1"/>
          <w:sz w:val="20"/>
          <w:szCs w:val="20"/>
        </w:rPr>
      </w:pPr>
      <w:bookmarkStart w:id="91" w:name="_Toc165201245"/>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26</w:t>
      </w:r>
      <w:r w:rsidRPr="009A2E21">
        <w:rPr>
          <w:b/>
          <w:bCs/>
          <w:i w:val="0"/>
          <w:iCs w:val="0"/>
          <w:color w:val="000000" w:themeColor="text1"/>
          <w:sz w:val="20"/>
          <w:szCs w:val="20"/>
        </w:rPr>
        <w:fldChar w:fldCharType="end"/>
      </w:r>
      <w:r w:rsidRPr="009A2E21">
        <w:rPr>
          <w:b/>
          <w:bCs/>
          <w:i w:val="0"/>
          <w:iCs w:val="0"/>
          <w:color w:val="000000" w:themeColor="text1"/>
          <w:sz w:val="20"/>
          <w:szCs w:val="20"/>
        </w:rPr>
        <w:t>: 4</w:t>
      </w:r>
      <w:r w:rsidRPr="009A2E21">
        <w:rPr>
          <w:b/>
          <w:bCs/>
          <w:i w:val="0"/>
          <w:iCs w:val="0"/>
          <w:color w:val="000000" w:themeColor="text1"/>
          <w:sz w:val="20"/>
          <w:szCs w:val="20"/>
        </w:rPr>
        <w:sym w:font="Symbol" w:char="F06D"/>
      </w:r>
      <w:r w:rsidRPr="009A2E21">
        <w:rPr>
          <w:b/>
          <w:bCs/>
          <w:i w:val="0"/>
          <w:iCs w:val="0"/>
          <w:color w:val="000000" w:themeColor="text1"/>
          <w:sz w:val="20"/>
          <w:szCs w:val="20"/>
        </w:rPr>
        <w:t>g/mL and 8</w:t>
      </w:r>
      <w:r w:rsidRPr="009A2E21">
        <w:rPr>
          <w:b/>
          <w:bCs/>
          <w:i w:val="0"/>
          <w:iCs w:val="0"/>
          <w:color w:val="000000" w:themeColor="text1"/>
          <w:sz w:val="20"/>
          <w:szCs w:val="20"/>
        </w:rPr>
        <w:sym w:font="Symbol" w:char="F06D"/>
      </w:r>
      <w:r w:rsidRPr="009A2E21">
        <w:rPr>
          <w:b/>
          <w:bCs/>
          <w:i w:val="0"/>
          <w:iCs w:val="0"/>
          <w:color w:val="000000" w:themeColor="text1"/>
          <w:sz w:val="20"/>
          <w:szCs w:val="20"/>
        </w:rPr>
        <w:t xml:space="preserve">g/mL DC 2.4 Expansion Microscopy. </w:t>
      </w:r>
      <w:r w:rsidRPr="009A2E21">
        <w:rPr>
          <w:i w:val="0"/>
          <w:iCs w:val="0"/>
          <w:color w:val="000000" w:themeColor="text1"/>
          <w:sz w:val="20"/>
          <w:szCs w:val="20"/>
        </w:rPr>
        <w:t>Shows antibody staining with STING-AF55 and LAMP1-Cy5. GC-FITC showing GC presence in the cell and NHS ester staining proteins within the cell can also be seen. Two different stimulation concentrations of GC can be seen here.</w:t>
      </w:r>
      <w:bookmarkEnd w:id="91"/>
      <w:r w:rsidRPr="009A2E21">
        <w:rPr>
          <w:i w:val="0"/>
          <w:iCs w:val="0"/>
          <w:color w:val="000000" w:themeColor="text1"/>
          <w:sz w:val="20"/>
          <w:szCs w:val="20"/>
        </w:rPr>
        <w:t xml:space="preserve"> </w:t>
      </w:r>
    </w:p>
    <w:p w14:paraId="2EE3773F" w14:textId="7CF2E4AF" w:rsidR="001D1C00" w:rsidRPr="00B52D13" w:rsidRDefault="001D1C00" w:rsidP="00B52D13">
      <w:pPr>
        <w:pStyle w:val="Caption"/>
        <w:rPr>
          <w:i w:val="0"/>
          <w:iCs w:val="0"/>
          <w:color w:val="000000" w:themeColor="text1"/>
          <w:sz w:val="24"/>
          <w:szCs w:val="24"/>
        </w:rPr>
      </w:pPr>
    </w:p>
    <w:p w14:paraId="499CE326" w14:textId="0C9BF432" w:rsidR="001D1C00" w:rsidRDefault="001D1C00" w:rsidP="00B52D13">
      <w:pPr>
        <w:jc w:val="center"/>
      </w:pPr>
      <w:r>
        <w:rPr>
          <w:noProof/>
        </w:rPr>
        <w:lastRenderedPageBreak/>
        <w:drawing>
          <wp:inline distT="0" distB="0" distL="0" distR="0" wp14:anchorId="6C749130" wp14:editId="4EF2C7B6">
            <wp:extent cx="3088798" cy="2920168"/>
            <wp:effectExtent l="0" t="0" r="0" b="1270"/>
            <wp:docPr id="645251720" name="Picture 1" descr="A blue and green glow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251720" name="Picture 1" descr="A blue and green glowing object&#10;&#10;Description automatically generated"/>
                    <pic:cNvPicPr/>
                  </pic:nvPicPr>
                  <pic:blipFill>
                    <a:blip r:embed="rId48">
                      <a:extLst>
                        <a:ext uri="{28A0092B-C50C-407E-A947-70E740481C1C}">
                          <a14:useLocalDpi xmlns:a14="http://schemas.microsoft.com/office/drawing/2010/main" val="0"/>
                        </a:ext>
                      </a:extLst>
                    </a:blip>
                    <a:stretch>
                      <a:fillRect/>
                    </a:stretch>
                  </pic:blipFill>
                  <pic:spPr>
                    <a:xfrm>
                      <a:off x="0" y="0"/>
                      <a:ext cx="3129663" cy="2958802"/>
                    </a:xfrm>
                    <a:prstGeom prst="rect">
                      <a:avLst/>
                    </a:prstGeom>
                  </pic:spPr>
                </pic:pic>
              </a:graphicData>
            </a:graphic>
          </wp:inline>
        </w:drawing>
      </w:r>
    </w:p>
    <w:p w14:paraId="3C626BE5" w14:textId="4F82E78C" w:rsidR="0045446D" w:rsidRPr="009A2E21" w:rsidRDefault="00B52D13" w:rsidP="009A2E21">
      <w:pPr>
        <w:pStyle w:val="Caption"/>
        <w:jc w:val="both"/>
        <w:rPr>
          <w:i w:val="0"/>
          <w:iCs w:val="0"/>
          <w:color w:val="000000" w:themeColor="text1"/>
          <w:sz w:val="20"/>
          <w:szCs w:val="20"/>
        </w:rPr>
      </w:pPr>
      <w:bookmarkStart w:id="92" w:name="_Toc165201246"/>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27</w:t>
      </w:r>
      <w:r w:rsidRPr="009A2E21">
        <w:rPr>
          <w:b/>
          <w:bCs/>
          <w:i w:val="0"/>
          <w:iCs w:val="0"/>
          <w:color w:val="000000" w:themeColor="text1"/>
          <w:sz w:val="20"/>
          <w:szCs w:val="20"/>
        </w:rPr>
        <w:fldChar w:fldCharType="end"/>
      </w:r>
      <w:r w:rsidRPr="009A2E21">
        <w:rPr>
          <w:b/>
          <w:bCs/>
          <w:i w:val="0"/>
          <w:iCs w:val="0"/>
          <w:color w:val="000000" w:themeColor="text1"/>
          <w:sz w:val="20"/>
          <w:szCs w:val="20"/>
        </w:rPr>
        <w:t>: 4</w:t>
      </w:r>
      <w:r w:rsidRPr="009A2E21">
        <w:rPr>
          <w:b/>
          <w:bCs/>
          <w:i w:val="0"/>
          <w:iCs w:val="0"/>
          <w:color w:val="000000" w:themeColor="text1"/>
          <w:sz w:val="20"/>
          <w:szCs w:val="20"/>
        </w:rPr>
        <w:sym w:font="Symbol" w:char="F06D"/>
      </w:r>
      <w:r w:rsidRPr="009A2E21">
        <w:rPr>
          <w:b/>
          <w:bCs/>
          <w:i w:val="0"/>
          <w:iCs w:val="0"/>
          <w:color w:val="000000" w:themeColor="text1"/>
          <w:sz w:val="20"/>
          <w:szCs w:val="20"/>
        </w:rPr>
        <w:t xml:space="preserve">g/mL non-expanded DC 2.4 microscopy. </w:t>
      </w:r>
      <w:r w:rsidR="00CB1D4B" w:rsidRPr="009A2E21">
        <w:rPr>
          <w:i w:val="0"/>
          <w:iCs w:val="0"/>
          <w:color w:val="000000" w:themeColor="text1"/>
          <w:sz w:val="20"/>
          <w:szCs w:val="20"/>
        </w:rPr>
        <w:t xml:space="preserve">Shows overlay of </w:t>
      </w:r>
      <w:r w:rsidR="0045446D" w:rsidRPr="009A2E21">
        <w:rPr>
          <w:i w:val="0"/>
          <w:iCs w:val="0"/>
          <w:color w:val="000000" w:themeColor="text1"/>
          <w:sz w:val="20"/>
          <w:szCs w:val="20"/>
        </w:rPr>
        <w:t>nonexpanded sample. STING and LAMP1 expression can be seen (red and magenta respectively). GC-FITC (green) shows GC presence in the cell at a concentration of 4</w:t>
      </w:r>
      <w:r w:rsidR="0045446D" w:rsidRPr="009A2E21">
        <w:rPr>
          <w:i w:val="0"/>
          <w:iCs w:val="0"/>
          <w:color w:val="000000" w:themeColor="text1"/>
          <w:sz w:val="20"/>
          <w:szCs w:val="20"/>
        </w:rPr>
        <w:sym w:font="Symbol" w:char="F06D"/>
      </w:r>
      <w:r w:rsidR="0045446D" w:rsidRPr="009A2E21">
        <w:rPr>
          <w:i w:val="0"/>
          <w:iCs w:val="0"/>
          <w:color w:val="000000" w:themeColor="text1"/>
          <w:sz w:val="20"/>
          <w:szCs w:val="20"/>
        </w:rPr>
        <w:t>g/</w:t>
      </w:r>
      <w:proofErr w:type="spellStart"/>
      <w:r w:rsidR="0045446D" w:rsidRPr="009A2E21">
        <w:rPr>
          <w:i w:val="0"/>
          <w:iCs w:val="0"/>
          <w:color w:val="000000" w:themeColor="text1"/>
          <w:sz w:val="20"/>
          <w:szCs w:val="20"/>
        </w:rPr>
        <w:t>mL.</w:t>
      </w:r>
      <w:proofErr w:type="spellEnd"/>
      <w:r w:rsidR="0045446D" w:rsidRPr="009A2E21">
        <w:rPr>
          <w:i w:val="0"/>
          <w:iCs w:val="0"/>
          <w:color w:val="000000" w:themeColor="text1"/>
          <w:sz w:val="20"/>
          <w:szCs w:val="20"/>
        </w:rPr>
        <w:t xml:space="preserve"> NHS marks the proteins in the cell and can be seen by the blue expression in the image.</w:t>
      </w:r>
      <w:bookmarkEnd w:id="92"/>
      <w:r w:rsidR="0045446D" w:rsidRPr="009A2E21">
        <w:rPr>
          <w:i w:val="0"/>
          <w:iCs w:val="0"/>
          <w:color w:val="000000" w:themeColor="text1"/>
          <w:sz w:val="20"/>
          <w:szCs w:val="20"/>
        </w:rPr>
        <w:t xml:space="preserve"> </w:t>
      </w:r>
    </w:p>
    <w:p w14:paraId="2CCAF6D1" w14:textId="74211DDC" w:rsidR="001D1C00" w:rsidRDefault="003B0604" w:rsidP="001D1C00">
      <w:pPr>
        <w:pStyle w:val="Heading3"/>
      </w:pPr>
      <w:bookmarkStart w:id="93" w:name="_Toc165293391"/>
      <w:r>
        <w:t>D</w:t>
      </w:r>
      <w:r w:rsidR="00061330">
        <w:t xml:space="preserve">.4. </w:t>
      </w:r>
      <w:r w:rsidR="001D1C00">
        <w:t>Discussion and Conclusions</w:t>
      </w:r>
      <w:bookmarkEnd w:id="93"/>
      <w:r w:rsidR="001D1C00">
        <w:t xml:space="preserve"> </w:t>
      </w:r>
    </w:p>
    <w:p w14:paraId="5D118643" w14:textId="6EF8AC38" w:rsidR="00061330" w:rsidRPr="00AF2824" w:rsidRDefault="0023312F" w:rsidP="00AF2824">
      <w:pPr>
        <w:ind w:firstLine="720"/>
      </w:pPr>
      <w:r>
        <w:t xml:space="preserve">The expansion of the DC 2.4 line was successful and GC-FITC was well preserved during the expansion. This resulted in better visualization of the subcellular components within the DC 2.4s and held promise for investigating GC and STING colocalization within the lysosome. </w:t>
      </w:r>
      <w:r w:rsidR="00AF2824">
        <w:t xml:space="preserve">However, it can be seen by comparison of </w:t>
      </w:r>
      <w:r w:rsidR="00AF2824">
        <w:rPr>
          <w:b/>
          <w:bCs/>
        </w:rPr>
        <w:t>Figure 26-28</w:t>
      </w:r>
      <w:r w:rsidR="00AF2824">
        <w:t xml:space="preserve"> there are limitations with the antibody staining. In </w:t>
      </w:r>
      <w:r w:rsidR="00AF2824">
        <w:rPr>
          <w:b/>
          <w:bCs/>
        </w:rPr>
        <w:t>Figure 28</w:t>
      </w:r>
      <w:r w:rsidR="00AF2824">
        <w:t xml:space="preserve"> clear antibody tagging with STING and LAMP 1 can be seen while in </w:t>
      </w:r>
      <w:r w:rsidR="00AF2824">
        <w:rPr>
          <w:b/>
          <w:bCs/>
        </w:rPr>
        <w:t xml:space="preserve">Figure 26 </w:t>
      </w:r>
      <w:r w:rsidR="00AF2824">
        <w:t xml:space="preserve">and </w:t>
      </w:r>
      <w:r w:rsidR="00AF2824">
        <w:rPr>
          <w:b/>
          <w:bCs/>
        </w:rPr>
        <w:t>Figure 27</w:t>
      </w:r>
      <w:r w:rsidR="00AF2824">
        <w:t xml:space="preserve"> the expression in greatly decreased. This is likely due to the gel being difficult to penetrate. Antibody staining occurs after the gelation steps meaning the stains need to fully penetrate through the gel. This physical barrier can limit the success of the tagging. Combined with the large amount of antibody this procedure required, an </w:t>
      </w:r>
      <w:proofErr w:type="spellStart"/>
      <w:r w:rsidR="00AF2824">
        <w:t>alterative</w:t>
      </w:r>
      <w:proofErr w:type="spellEnd"/>
      <w:r w:rsidR="00AF2824">
        <w:t xml:space="preserve"> method of imaging was investigated. </w:t>
      </w:r>
      <w:proofErr w:type="spellStart"/>
      <w:r w:rsidR="00AF2824">
        <w:t>Airyscan</w:t>
      </w:r>
      <w:proofErr w:type="spellEnd"/>
      <w:r w:rsidR="00AF2824">
        <w:t xml:space="preserve"> imaging was chosen for subsequent procedures as it allowed for an increase of resolution, allowing for the visualization of subcellular components without the need for expansion. </w:t>
      </w:r>
    </w:p>
    <w:p w14:paraId="016B6DF8" w14:textId="77777777" w:rsidR="001D1C00" w:rsidRPr="00780961" w:rsidRDefault="001D1C00" w:rsidP="001D1C00"/>
    <w:p w14:paraId="116685DC" w14:textId="0E27C416" w:rsidR="00D67683" w:rsidRDefault="001D1C00" w:rsidP="00D67683">
      <w:pPr>
        <w:pStyle w:val="Heading2"/>
      </w:pPr>
      <w:r w:rsidRPr="001A7C22">
        <w:br w:type="page"/>
      </w:r>
    </w:p>
    <w:p w14:paraId="08E047BC" w14:textId="77777777" w:rsidR="00782ED1" w:rsidRDefault="00782ED1" w:rsidP="00782ED1">
      <w:pPr>
        <w:pStyle w:val="Heading2"/>
      </w:pPr>
      <w:bookmarkStart w:id="94" w:name="_Toc165293392"/>
      <w:r>
        <w:lastRenderedPageBreak/>
        <w:t>Appendix E: Macro for Particle Analysis</w:t>
      </w:r>
      <w:bookmarkEnd w:id="94"/>
    </w:p>
    <w:p w14:paraId="72590EC1" w14:textId="460BCBF4" w:rsidR="00782ED1" w:rsidRDefault="00782ED1" w:rsidP="00782ED1">
      <w:pPr>
        <w:ind w:firstLine="720"/>
      </w:pPr>
      <w:r>
        <w:t xml:space="preserve">The code utilized for particle analysis can be seen below. This outlines the steps taken in ImageJ to threshold and count the particles for both the GC-FITC and STIN-AF555 channels. The results were exported to excel and analyzed for particle overlap. </w:t>
      </w:r>
    </w:p>
    <w:p w14:paraId="17DF893F" w14:textId="77777777" w:rsidR="00782ED1" w:rsidRPr="00782ED1" w:rsidRDefault="00782ED1" w:rsidP="00782ED1"/>
    <w:p w14:paraId="1F2C9D23" w14:textId="77777777" w:rsidR="00782ED1" w:rsidRDefault="00782ED1" w:rsidP="00782ED1">
      <w:r>
        <w:rPr>
          <w:noProof/>
        </w:rPr>
        <w:drawing>
          <wp:inline distT="0" distB="0" distL="0" distR="0" wp14:anchorId="08683C91" wp14:editId="21E84731">
            <wp:extent cx="5943600" cy="2906395"/>
            <wp:effectExtent l="0" t="0" r="0" b="1905"/>
            <wp:docPr id="252032627" name="Picture 1" descr="A screenshot of a computer pro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32627" name="Picture 1" descr="A screenshot of a computer program&#10;&#10;Description automatically generated"/>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943600" cy="2906395"/>
                    </a:xfrm>
                    <a:prstGeom prst="rect">
                      <a:avLst/>
                    </a:prstGeom>
                  </pic:spPr>
                </pic:pic>
              </a:graphicData>
            </a:graphic>
          </wp:inline>
        </w:drawing>
      </w:r>
    </w:p>
    <w:p w14:paraId="0D951724" w14:textId="4EA37B57" w:rsidR="00782ED1" w:rsidRPr="009A2E21" w:rsidRDefault="00782ED1" w:rsidP="00782ED1">
      <w:pPr>
        <w:pStyle w:val="Caption"/>
        <w:jc w:val="both"/>
        <w:rPr>
          <w:i w:val="0"/>
          <w:iCs w:val="0"/>
          <w:color w:val="000000" w:themeColor="text1"/>
          <w:sz w:val="20"/>
          <w:szCs w:val="20"/>
        </w:rPr>
      </w:pPr>
      <w:bookmarkStart w:id="95" w:name="_Toc165201247"/>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28</w:t>
      </w:r>
      <w:r w:rsidRPr="009A2E21">
        <w:rPr>
          <w:b/>
          <w:bCs/>
          <w:i w:val="0"/>
          <w:iCs w:val="0"/>
          <w:color w:val="000000" w:themeColor="text1"/>
          <w:sz w:val="20"/>
          <w:szCs w:val="20"/>
        </w:rPr>
        <w:fldChar w:fldCharType="end"/>
      </w:r>
      <w:r w:rsidRPr="009A2E21">
        <w:rPr>
          <w:b/>
          <w:bCs/>
          <w:i w:val="0"/>
          <w:iCs w:val="0"/>
          <w:color w:val="000000" w:themeColor="text1"/>
          <w:sz w:val="20"/>
          <w:szCs w:val="20"/>
        </w:rPr>
        <w:t>:</w:t>
      </w:r>
      <w:r w:rsidRPr="009A2E21">
        <w:rPr>
          <w:i w:val="0"/>
          <w:iCs w:val="0"/>
          <w:color w:val="000000" w:themeColor="text1"/>
          <w:sz w:val="20"/>
          <w:szCs w:val="20"/>
        </w:rPr>
        <w:t xml:space="preserve"> </w:t>
      </w:r>
      <w:r w:rsidRPr="009A2E21">
        <w:rPr>
          <w:b/>
          <w:bCs/>
          <w:i w:val="0"/>
          <w:iCs w:val="0"/>
          <w:color w:val="000000" w:themeColor="text1"/>
          <w:sz w:val="20"/>
          <w:szCs w:val="20"/>
        </w:rPr>
        <w:t>Code delineating the procedure for GC-FITC and STING overlap</w:t>
      </w:r>
      <w:r w:rsidRPr="009A2E21">
        <w:rPr>
          <w:i w:val="0"/>
          <w:iCs w:val="0"/>
          <w:color w:val="000000" w:themeColor="text1"/>
          <w:sz w:val="20"/>
          <w:szCs w:val="20"/>
        </w:rPr>
        <w:t xml:space="preserve">. The steps of converting the images to 8 </w:t>
      </w:r>
      <w:proofErr w:type="gramStart"/>
      <w:r w:rsidRPr="009A2E21">
        <w:rPr>
          <w:i w:val="0"/>
          <w:iCs w:val="0"/>
          <w:color w:val="000000" w:themeColor="text1"/>
          <w:sz w:val="20"/>
          <w:szCs w:val="20"/>
        </w:rPr>
        <w:t>bit</w:t>
      </w:r>
      <w:proofErr w:type="gramEnd"/>
      <w:r w:rsidRPr="009A2E21">
        <w:rPr>
          <w:i w:val="0"/>
          <w:iCs w:val="0"/>
          <w:color w:val="000000" w:themeColor="text1"/>
          <w:sz w:val="20"/>
          <w:szCs w:val="20"/>
        </w:rPr>
        <w:t>, thresholding each image, and running particle analysis can be seen.</w:t>
      </w:r>
      <w:bookmarkEnd w:id="95"/>
      <w:r w:rsidRPr="009A2E21">
        <w:rPr>
          <w:i w:val="0"/>
          <w:iCs w:val="0"/>
          <w:color w:val="000000" w:themeColor="text1"/>
          <w:sz w:val="20"/>
          <w:szCs w:val="20"/>
        </w:rPr>
        <w:t xml:space="preserve"> </w:t>
      </w:r>
    </w:p>
    <w:p w14:paraId="2BA5883C" w14:textId="77777777" w:rsidR="00782ED1" w:rsidRDefault="00782ED1" w:rsidP="00782ED1"/>
    <w:p w14:paraId="5460B160" w14:textId="787A5A1F" w:rsidR="00782ED1" w:rsidRDefault="00782ED1" w:rsidP="00782ED1">
      <w:pPr>
        <w:pStyle w:val="Heading2"/>
      </w:pPr>
      <w:r>
        <w:t xml:space="preserve"> </w:t>
      </w:r>
      <w:r>
        <w:br w:type="page"/>
      </w:r>
    </w:p>
    <w:p w14:paraId="7AAA71D3" w14:textId="6FACD47D" w:rsidR="001D1C00" w:rsidRPr="00D67683" w:rsidRDefault="001D1C00" w:rsidP="00D67683">
      <w:pPr>
        <w:pStyle w:val="Heading2"/>
      </w:pPr>
      <w:bookmarkStart w:id="96" w:name="_Toc165293393"/>
      <w:r>
        <w:lastRenderedPageBreak/>
        <w:t xml:space="preserve">Appendix </w:t>
      </w:r>
      <w:r w:rsidR="00782ED1">
        <w:t>F</w:t>
      </w:r>
      <w:r>
        <w:t>: Cell Size Analysis</w:t>
      </w:r>
      <w:bookmarkEnd w:id="96"/>
      <w:r>
        <w:t xml:space="preserve"> </w:t>
      </w:r>
    </w:p>
    <w:p w14:paraId="485C6B3E" w14:textId="01897ADC" w:rsidR="00321796" w:rsidRDefault="00782ED1" w:rsidP="00321796">
      <w:pPr>
        <w:pStyle w:val="Heading3"/>
      </w:pPr>
      <w:bookmarkStart w:id="97" w:name="_Toc165293394"/>
      <w:r>
        <w:t>F</w:t>
      </w:r>
      <w:r w:rsidR="00321796">
        <w:t>.1. Methods</w:t>
      </w:r>
      <w:bookmarkEnd w:id="97"/>
      <w:r w:rsidR="00321796">
        <w:t xml:space="preserve"> </w:t>
      </w:r>
    </w:p>
    <w:p w14:paraId="366F5623" w14:textId="18944581" w:rsidR="00321796" w:rsidRPr="00321796" w:rsidRDefault="0050086D" w:rsidP="0050086D">
      <w:pPr>
        <w:ind w:firstLine="720"/>
      </w:pPr>
      <w:r>
        <w:t xml:space="preserve">While swollen vesicles were an observed result of GC stimulation, it was unclear if this results in an overall cell volume changed. </w:t>
      </w:r>
      <w:proofErr w:type="gramStart"/>
      <w:r>
        <w:t>In order to</w:t>
      </w:r>
      <w:proofErr w:type="gramEnd"/>
      <w:r>
        <w:t xml:space="preserve"> test this, cell size analysis was run. Freehand drawing was chosen as the method of analysis as the analysis required specific cell selection. The cells that phagocytosed GC were the cells that underwent swollen vesicle formation. These were the cells that required cell size analysis. Due to the specific nature of the analysis, freehand provided the most accurate analysis. </w:t>
      </w:r>
    </w:p>
    <w:p w14:paraId="77DD9898" w14:textId="77777777" w:rsidR="001D1C00" w:rsidRDefault="001D1C00" w:rsidP="0050086D">
      <w:pPr>
        <w:jc w:val="center"/>
      </w:pPr>
      <w:r>
        <w:rPr>
          <w:noProof/>
        </w:rPr>
        <w:drawing>
          <wp:inline distT="0" distB="0" distL="0" distR="0" wp14:anchorId="0D9772DA" wp14:editId="061DBD49">
            <wp:extent cx="3108960" cy="3108960"/>
            <wp:effectExtent l="0" t="0" r="2540" b="2540"/>
            <wp:docPr id="1618641673" name="Picture 3" descr="A blue and yellow ligh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641673" name="Picture 3" descr="A blue and yellow light on a black background&#10;&#10;Description automatically generated"/>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112577" cy="3112577"/>
                    </a:xfrm>
                    <a:prstGeom prst="rect">
                      <a:avLst/>
                    </a:prstGeom>
                  </pic:spPr>
                </pic:pic>
              </a:graphicData>
            </a:graphic>
          </wp:inline>
        </w:drawing>
      </w:r>
    </w:p>
    <w:p w14:paraId="28443D45" w14:textId="072A6942" w:rsidR="0050086D" w:rsidRPr="009A2E21" w:rsidRDefault="009A2E21" w:rsidP="009A2E21">
      <w:pPr>
        <w:pStyle w:val="Caption"/>
        <w:jc w:val="both"/>
        <w:rPr>
          <w:i w:val="0"/>
          <w:iCs w:val="0"/>
          <w:color w:val="000000" w:themeColor="text1"/>
          <w:sz w:val="20"/>
          <w:szCs w:val="20"/>
        </w:rPr>
      </w:pPr>
      <w:bookmarkStart w:id="98" w:name="_Toc165201248"/>
      <w:r>
        <w:rPr>
          <w:noProof/>
        </w:rPr>
        <mc:AlternateContent>
          <mc:Choice Requires="wps">
            <w:drawing>
              <wp:anchor distT="0" distB="0" distL="114300" distR="114300" simplePos="0" relativeHeight="251689984" behindDoc="0" locked="0" layoutInCell="1" allowOverlap="1" wp14:anchorId="7AA7508A" wp14:editId="4123ACEC">
                <wp:simplePos x="0" y="0"/>
                <wp:positionH relativeFrom="column">
                  <wp:posOffset>3643109</wp:posOffset>
                </wp:positionH>
                <wp:positionV relativeFrom="paragraph">
                  <wp:posOffset>391160</wp:posOffset>
                </wp:positionV>
                <wp:extent cx="841972" cy="262551"/>
                <wp:effectExtent l="0" t="0" r="0" b="0"/>
                <wp:wrapNone/>
                <wp:docPr id="1785817843" name="Text Box 5"/>
                <wp:cNvGraphicFramePr/>
                <a:graphic xmlns:a="http://schemas.openxmlformats.org/drawingml/2006/main">
                  <a:graphicData uri="http://schemas.microsoft.com/office/word/2010/wordprocessingShape">
                    <wps:wsp>
                      <wps:cNvSpPr txBox="1"/>
                      <wps:spPr>
                        <a:xfrm>
                          <a:off x="0" y="0"/>
                          <a:ext cx="841972" cy="262551"/>
                        </a:xfrm>
                        <a:prstGeom prst="rect">
                          <a:avLst/>
                        </a:prstGeom>
                        <a:noFill/>
                        <a:ln w="6350">
                          <a:noFill/>
                        </a:ln>
                      </wps:spPr>
                      <wps:txbx>
                        <w:txbxContent>
                          <w:p w14:paraId="64C62C7F" w14:textId="028D62CA" w:rsidR="000E08CE" w:rsidRDefault="000E08CE">
                            <w:r>
                              <w:t xml:space="preserve">GC-FITC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A7508A" id="_x0000_t202" coordsize="21600,21600" o:spt="202" path="m,l,21600r21600,l21600,xe">
                <v:stroke joinstyle="miter"/>
                <v:path gradientshapeok="t" o:connecttype="rect"/>
              </v:shapetype>
              <v:shape id="Text Box 5" o:spid="_x0000_s1026" type="#_x0000_t202" style="position:absolute;left:0;text-align:left;margin-left:286.85pt;margin-top:30.8pt;width:66.3pt;height:20.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" filled="f" stroked="f" strokeweight=".5pt">
                <v:textbox>
                  <w:txbxContent>
                    <w:p w14:paraId="64C62C7F" w14:textId="028D62CA" w:rsidR="000E08CE" w:rsidRDefault="000E08CE">
                      <w:r>
                        <w:t xml:space="preserve">GC-FITC </w:t>
                      </w:r>
                    </w:p>
                  </w:txbxContent>
                </v:textbox>
              </v:shape>
            </w:pict>
          </mc:Fallback>
        </mc:AlternateContent>
      </w:r>
      <w:r w:rsidR="0050086D" w:rsidRPr="009A2E21">
        <w:rPr>
          <w:b/>
          <w:bCs/>
          <w:i w:val="0"/>
          <w:iCs w:val="0"/>
          <w:color w:val="000000" w:themeColor="text1"/>
          <w:sz w:val="20"/>
          <w:szCs w:val="20"/>
        </w:rPr>
        <w:t xml:space="preserve">Figure </w:t>
      </w:r>
      <w:r w:rsidR="0050086D" w:rsidRPr="009A2E21">
        <w:rPr>
          <w:b/>
          <w:bCs/>
          <w:i w:val="0"/>
          <w:iCs w:val="0"/>
          <w:color w:val="000000" w:themeColor="text1"/>
          <w:sz w:val="20"/>
          <w:szCs w:val="20"/>
        </w:rPr>
        <w:fldChar w:fldCharType="begin"/>
      </w:r>
      <w:r w:rsidR="0050086D" w:rsidRPr="009A2E21">
        <w:rPr>
          <w:b/>
          <w:bCs/>
          <w:i w:val="0"/>
          <w:iCs w:val="0"/>
          <w:color w:val="000000" w:themeColor="text1"/>
          <w:sz w:val="20"/>
          <w:szCs w:val="20"/>
        </w:rPr>
        <w:instrText xml:space="preserve"> SEQ Figure \* ARABIC </w:instrText>
      </w:r>
      <w:r w:rsidR="0050086D" w:rsidRPr="009A2E21">
        <w:rPr>
          <w:b/>
          <w:bCs/>
          <w:i w:val="0"/>
          <w:iCs w:val="0"/>
          <w:color w:val="000000" w:themeColor="text1"/>
          <w:sz w:val="20"/>
          <w:szCs w:val="20"/>
        </w:rPr>
        <w:fldChar w:fldCharType="separate"/>
      </w:r>
      <w:r w:rsidR="0021770C">
        <w:rPr>
          <w:b/>
          <w:bCs/>
          <w:i w:val="0"/>
          <w:iCs w:val="0"/>
          <w:noProof/>
          <w:color w:val="000000" w:themeColor="text1"/>
          <w:sz w:val="20"/>
          <w:szCs w:val="20"/>
        </w:rPr>
        <w:t>29</w:t>
      </w:r>
      <w:r w:rsidR="0050086D" w:rsidRPr="009A2E21">
        <w:rPr>
          <w:b/>
          <w:bCs/>
          <w:i w:val="0"/>
          <w:iCs w:val="0"/>
          <w:color w:val="000000" w:themeColor="text1"/>
          <w:sz w:val="20"/>
          <w:szCs w:val="20"/>
        </w:rPr>
        <w:fldChar w:fldCharType="end"/>
      </w:r>
      <w:r w:rsidR="0050086D" w:rsidRPr="009A2E21">
        <w:rPr>
          <w:b/>
          <w:bCs/>
          <w:i w:val="0"/>
          <w:iCs w:val="0"/>
          <w:color w:val="000000" w:themeColor="text1"/>
          <w:sz w:val="20"/>
          <w:szCs w:val="20"/>
        </w:rPr>
        <w:t xml:space="preserve">: Cell Size Analysis on Unstimulated BMDC. </w:t>
      </w:r>
      <w:r w:rsidR="0050086D" w:rsidRPr="009A2E21">
        <w:rPr>
          <w:i w:val="0"/>
          <w:iCs w:val="0"/>
          <w:color w:val="000000" w:themeColor="text1"/>
          <w:sz w:val="20"/>
          <w:szCs w:val="20"/>
        </w:rPr>
        <w:t>Shows freehand cell size analysis on cells within the field of view. Cells were outlined in this manner then cell area was derived using ImageJ</w:t>
      </w:r>
      <w:r w:rsidRPr="009A2E21">
        <w:rPr>
          <w:i w:val="0"/>
          <w:iCs w:val="0"/>
          <w:color w:val="000000" w:themeColor="text1"/>
          <w:sz w:val="20"/>
          <w:szCs w:val="20"/>
        </w:rPr>
        <w:t>.</w:t>
      </w:r>
      <w:bookmarkEnd w:id="98"/>
    </w:p>
    <w:p w14:paraId="0B340379" w14:textId="1D33C849" w:rsidR="001D1C00" w:rsidRDefault="001D1C00" w:rsidP="001D1C00"/>
    <w:p w14:paraId="6575DCFF" w14:textId="741E4F33" w:rsidR="001D1C00" w:rsidRDefault="001D1C00" w:rsidP="00EA1377">
      <w:pPr>
        <w:jc w:val="center"/>
      </w:pPr>
      <w:r>
        <w:rPr>
          <w:noProof/>
        </w:rPr>
        <w:drawing>
          <wp:inline distT="0" distB="0" distL="0" distR="0" wp14:anchorId="3DF353D0" wp14:editId="72590560">
            <wp:extent cx="2587752" cy="2587752"/>
            <wp:effectExtent l="0" t="0" r="3175" b="3175"/>
            <wp:docPr id="709761376" name="Picture 2" descr="A blue and yellow microscope imag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61376" name="Picture 2" descr="A blue and yellow microscope image&#10;&#10;Description automatically generated with medium confidenc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2587752" cy="2587752"/>
                    </a:xfrm>
                    <a:prstGeom prst="rect">
                      <a:avLst/>
                    </a:prstGeom>
                  </pic:spPr>
                </pic:pic>
              </a:graphicData>
            </a:graphic>
          </wp:inline>
        </w:drawing>
      </w:r>
      <w:r>
        <w:rPr>
          <w:noProof/>
        </w:rPr>
        <w:drawing>
          <wp:inline distT="0" distB="0" distL="0" distR="0" wp14:anchorId="39FCE824" wp14:editId="10ADB081">
            <wp:extent cx="2587752" cy="2587752"/>
            <wp:effectExtent l="0" t="0" r="3175" b="3175"/>
            <wp:docPr id="1223396080" name="Picture 1" descr="A blue and black cell under a microsco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396080" name="Picture 1" descr="A blue and black cell under a microscope&#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587752" cy="2587752"/>
                    </a:xfrm>
                    <a:prstGeom prst="rect">
                      <a:avLst/>
                    </a:prstGeom>
                  </pic:spPr>
                </pic:pic>
              </a:graphicData>
            </a:graphic>
          </wp:inline>
        </w:drawing>
      </w:r>
    </w:p>
    <w:p w14:paraId="7FCFD9CD" w14:textId="7785ADA9" w:rsidR="00AB7DE6" w:rsidRPr="009A2E21" w:rsidRDefault="0050086D" w:rsidP="009A2E21">
      <w:pPr>
        <w:pStyle w:val="Caption"/>
        <w:jc w:val="both"/>
        <w:rPr>
          <w:i w:val="0"/>
          <w:iCs w:val="0"/>
          <w:color w:val="000000" w:themeColor="text1"/>
          <w:sz w:val="20"/>
          <w:szCs w:val="20"/>
        </w:rPr>
      </w:pPr>
      <w:bookmarkStart w:id="99" w:name="_Toc165201249"/>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30</w:t>
      </w:r>
      <w:r w:rsidRPr="009A2E21">
        <w:rPr>
          <w:b/>
          <w:bCs/>
          <w:i w:val="0"/>
          <w:iCs w:val="0"/>
          <w:color w:val="000000" w:themeColor="text1"/>
          <w:sz w:val="20"/>
          <w:szCs w:val="20"/>
        </w:rPr>
        <w:fldChar w:fldCharType="end"/>
      </w:r>
      <w:r w:rsidR="00AB7DE6" w:rsidRPr="009A2E21">
        <w:rPr>
          <w:b/>
          <w:bCs/>
          <w:i w:val="0"/>
          <w:iCs w:val="0"/>
          <w:color w:val="000000" w:themeColor="text1"/>
          <w:sz w:val="20"/>
          <w:szCs w:val="20"/>
        </w:rPr>
        <w:t xml:space="preserve">: </w:t>
      </w:r>
      <w:r w:rsidR="000E08CE" w:rsidRPr="009A2E21">
        <w:rPr>
          <w:b/>
          <w:bCs/>
          <w:i w:val="0"/>
          <w:iCs w:val="0"/>
          <w:color w:val="000000" w:themeColor="text1"/>
          <w:sz w:val="20"/>
          <w:szCs w:val="20"/>
        </w:rPr>
        <w:t>Cell Selection for Analysis</w:t>
      </w:r>
      <w:r w:rsidR="000E08CE" w:rsidRPr="009A2E21">
        <w:rPr>
          <w:i w:val="0"/>
          <w:iCs w:val="0"/>
          <w:color w:val="000000" w:themeColor="text1"/>
          <w:sz w:val="20"/>
          <w:szCs w:val="20"/>
        </w:rPr>
        <w:t>. Cell that phagocytosed GC were chosen for analysis. This can be seen where 4 cells in the GC-FITC channel show GC uptake. These cells were chosen for analysis via freehand ROI.</w:t>
      </w:r>
      <w:bookmarkEnd w:id="99"/>
      <w:r w:rsidR="000E08CE" w:rsidRPr="009A2E21">
        <w:rPr>
          <w:i w:val="0"/>
          <w:iCs w:val="0"/>
          <w:color w:val="000000" w:themeColor="text1"/>
          <w:sz w:val="20"/>
          <w:szCs w:val="20"/>
        </w:rPr>
        <w:t xml:space="preserve"> </w:t>
      </w:r>
    </w:p>
    <w:p w14:paraId="724F2EBA" w14:textId="1EC91AFB" w:rsidR="00901298" w:rsidRDefault="00782ED1" w:rsidP="0050086D">
      <w:pPr>
        <w:pStyle w:val="Heading3"/>
      </w:pPr>
      <w:bookmarkStart w:id="100" w:name="_Toc165293395"/>
      <w:r>
        <w:lastRenderedPageBreak/>
        <w:t>F</w:t>
      </w:r>
      <w:r w:rsidR="0050086D">
        <w:t>.2. Results</w:t>
      </w:r>
      <w:bookmarkEnd w:id="100"/>
    </w:p>
    <w:p w14:paraId="18E54B55" w14:textId="73929E6A" w:rsidR="0050086D" w:rsidRDefault="00AB7DE6" w:rsidP="00AB7DE6">
      <w:pPr>
        <w:ind w:firstLine="720"/>
      </w:pPr>
      <w:r>
        <w:t xml:space="preserve">After freehand ROI of cells of interest were taken, the ROI area was taken. For each sample analyzed 2-4 cells were in the field of view and available for analysis. The cell areas can be seen below in </w:t>
      </w:r>
      <w:r>
        <w:rPr>
          <w:b/>
          <w:bCs/>
        </w:rPr>
        <w:t>Table 10</w:t>
      </w:r>
      <w:r>
        <w:t xml:space="preserve">. </w:t>
      </w:r>
    </w:p>
    <w:p w14:paraId="2D84D997" w14:textId="77777777" w:rsidR="00AB7DE6" w:rsidRPr="00AB7DE6" w:rsidRDefault="00AB7DE6" w:rsidP="0050086D"/>
    <w:p w14:paraId="0F27F6BC" w14:textId="79F96BF7" w:rsidR="00901298" w:rsidRPr="00AB7DE6" w:rsidRDefault="0050086D" w:rsidP="00AB7DE6">
      <w:pPr>
        <w:pStyle w:val="Caption"/>
        <w:spacing w:after="0"/>
        <w:rPr>
          <w:b/>
          <w:bCs/>
          <w:i w:val="0"/>
          <w:iCs w:val="0"/>
          <w:color w:val="000000" w:themeColor="text1"/>
          <w:sz w:val="24"/>
          <w:szCs w:val="24"/>
        </w:rPr>
      </w:pPr>
      <w:bookmarkStart w:id="101" w:name="_Toc165201219"/>
      <w:r w:rsidRPr="00AB7DE6">
        <w:rPr>
          <w:b/>
          <w:bCs/>
          <w:i w:val="0"/>
          <w:iCs w:val="0"/>
          <w:color w:val="000000" w:themeColor="text1"/>
          <w:sz w:val="24"/>
          <w:szCs w:val="24"/>
        </w:rPr>
        <w:t xml:space="preserve">Table </w:t>
      </w:r>
      <w:r w:rsidRPr="00AB7DE6">
        <w:rPr>
          <w:b/>
          <w:bCs/>
          <w:i w:val="0"/>
          <w:iCs w:val="0"/>
          <w:color w:val="000000" w:themeColor="text1"/>
          <w:sz w:val="24"/>
          <w:szCs w:val="24"/>
        </w:rPr>
        <w:fldChar w:fldCharType="begin"/>
      </w:r>
      <w:r w:rsidRPr="00AB7DE6">
        <w:rPr>
          <w:b/>
          <w:bCs/>
          <w:i w:val="0"/>
          <w:iCs w:val="0"/>
          <w:color w:val="000000" w:themeColor="text1"/>
          <w:sz w:val="24"/>
          <w:szCs w:val="24"/>
        </w:rPr>
        <w:instrText xml:space="preserve"> SEQ Table \* ARABIC </w:instrText>
      </w:r>
      <w:r w:rsidRPr="00AB7DE6">
        <w:rPr>
          <w:b/>
          <w:bCs/>
          <w:i w:val="0"/>
          <w:iCs w:val="0"/>
          <w:color w:val="000000" w:themeColor="text1"/>
          <w:sz w:val="24"/>
          <w:szCs w:val="24"/>
        </w:rPr>
        <w:fldChar w:fldCharType="separate"/>
      </w:r>
      <w:r w:rsidR="0021770C">
        <w:rPr>
          <w:b/>
          <w:bCs/>
          <w:i w:val="0"/>
          <w:iCs w:val="0"/>
          <w:noProof/>
          <w:color w:val="000000" w:themeColor="text1"/>
          <w:sz w:val="24"/>
          <w:szCs w:val="24"/>
        </w:rPr>
        <w:t>10</w:t>
      </w:r>
      <w:r w:rsidRPr="00AB7DE6">
        <w:rPr>
          <w:b/>
          <w:bCs/>
          <w:i w:val="0"/>
          <w:iCs w:val="0"/>
          <w:color w:val="000000" w:themeColor="text1"/>
          <w:sz w:val="24"/>
          <w:szCs w:val="24"/>
        </w:rPr>
        <w:fldChar w:fldCharType="end"/>
      </w:r>
      <w:r w:rsidR="00AB7DE6" w:rsidRPr="00AB7DE6">
        <w:rPr>
          <w:b/>
          <w:bCs/>
          <w:i w:val="0"/>
          <w:iCs w:val="0"/>
          <w:color w:val="000000" w:themeColor="text1"/>
          <w:sz w:val="24"/>
          <w:szCs w:val="24"/>
        </w:rPr>
        <w:t>: Cell Size Analysis</w:t>
      </w:r>
      <w:bookmarkEnd w:id="101"/>
      <w:r w:rsidR="00AB7DE6" w:rsidRPr="00AB7DE6">
        <w:rPr>
          <w:b/>
          <w:bCs/>
          <w:i w:val="0"/>
          <w:iCs w:val="0"/>
          <w:color w:val="000000" w:themeColor="text1"/>
          <w:sz w:val="24"/>
          <w:szCs w:val="24"/>
        </w:rPr>
        <w:t xml:space="preserve"> </w:t>
      </w:r>
    </w:p>
    <w:p w14:paraId="7397EEED" w14:textId="7741E086" w:rsidR="001D1C00" w:rsidRDefault="00901298" w:rsidP="001D1C00">
      <w:r w:rsidRPr="00901298">
        <w:rPr>
          <w:noProof/>
        </w:rPr>
        <w:drawing>
          <wp:inline distT="0" distB="0" distL="0" distR="0" wp14:anchorId="354F59AF" wp14:editId="75684642">
            <wp:extent cx="5943600" cy="894715"/>
            <wp:effectExtent l="0" t="0" r="0" b="0"/>
            <wp:docPr id="1968491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491745" name=""/>
                    <pic:cNvPicPr/>
                  </pic:nvPicPr>
                  <pic:blipFill>
                    <a:blip r:embed="rId53"/>
                    <a:stretch>
                      <a:fillRect/>
                    </a:stretch>
                  </pic:blipFill>
                  <pic:spPr>
                    <a:xfrm>
                      <a:off x="0" y="0"/>
                      <a:ext cx="5943600" cy="894715"/>
                    </a:xfrm>
                    <a:prstGeom prst="rect">
                      <a:avLst/>
                    </a:prstGeom>
                  </pic:spPr>
                </pic:pic>
              </a:graphicData>
            </a:graphic>
          </wp:inline>
        </w:drawing>
      </w:r>
    </w:p>
    <w:p w14:paraId="26B5FF79" w14:textId="77777777" w:rsidR="001D1C00" w:rsidRDefault="001D1C00" w:rsidP="001D1C00"/>
    <w:p w14:paraId="4E694FD1" w14:textId="6A3E13D3" w:rsidR="00422F46" w:rsidRDefault="00782ED1" w:rsidP="0050086D">
      <w:pPr>
        <w:pStyle w:val="Heading3"/>
      </w:pPr>
      <w:bookmarkStart w:id="102" w:name="_Toc165293396"/>
      <w:r>
        <w:t>F</w:t>
      </w:r>
      <w:r w:rsidR="0050086D">
        <w:t>.3. Discussion and Conclusions</w:t>
      </w:r>
      <w:bookmarkEnd w:id="102"/>
      <w:r w:rsidR="0050086D">
        <w:t xml:space="preserve"> </w:t>
      </w:r>
    </w:p>
    <w:p w14:paraId="43B9957A" w14:textId="295F882A" w:rsidR="0050086D" w:rsidRDefault="00AB7DE6" w:rsidP="00AB7DE6">
      <w:pPr>
        <w:ind w:firstLine="720"/>
      </w:pPr>
      <w:r>
        <w:t xml:space="preserve">No significant difference in cell size were detected as seen in </w:t>
      </w:r>
      <w:r>
        <w:rPr>
          <w:b/>
          <w:bCs/>
        </w:rPr>
        <w:t>Table 10</w:t>
      </w:r>
      <w:r>
        <w:t xml:space="preserve">. This could be due to several factors more time points and concentrations of GC would be required to gain further insight. </w:t>
      </w:r>
    </w:p>
    <w:p w14:paraId="79E0762F" w14:textId="3322DE0A" w:rsidR="00D67683" w:rsidRDefault="00D67683">
      <w:r>
        <w:br w:type="page"/>
      </w:r>
    </w:p>
    <w:p w14:paraId="1430F4E5" w14:textId="56891113" w:rsidR="00D67683" w:rsidRPr="006121B5" w:rsidRDefault="00D67683" w:rsidP="00D67683">
      <w:pPr>
        <w:pStyle w:val="Heading2"/>
        <w:rPr>
          <w:lang w:val="fr-FR"/>
        </w:rPr>
      </w:pPr>
      <w:bookmarkStart w:id="103" w:name="_Toc165293397"/>
      <w:r w:rsidRPr="006121B5">
        <w:rPr>
          <w:lang w:val="fr-FR"/>
        </w:rPr>
        <w:lastRenderedPageBreak/>
        <w:t xml:space="preserve">Appendix </w:t>
      </w:r>
      <w:proofErr w:type="gramStart"/>
      <w:r w:rsidR="00782ED1">
        <w:rPr>
          <w:lang w:val="fr-FR"/>
        </w:rPr>
        <w:t>G</w:t>
      </w:r>
      <w:r w:rsidRPr="006121B5">
        <w:rPr>
          <w:lang w:val="fr-FR"/>
        </w:rPr>
        <w:t>:</w:t>
      </w:r>
      <w:proofErr w:type="gramEnd"/>
      <w:r w:rsidRPr="006121B5">
        <w:rPr>
          <w:lang w:val="fr-FR"/>
        </w:rPr>
        <w:t xml:space="preserve"> ROI </w:t>
      </w:r>
      <w:proofErr w:type="spellStart"/>
      <w:r w:rsidRPr="006121B5">
        <w:rPr>
          <w:lang w:val="fr-FR"/>
        </w:rPr>
        <w:t>Particle</w:t>
      </w:r>
      <w:proofErr w:type="spellEnd"/>
      <w:r w:rsidRPr="006121B5">
        <w:rPr>
          <w:lang w:val="fr-FR"/>
        </w:rPr>
        <w:t xml:space="preserve"> </w:t>
      </w:r>
      <w:proofErr w:type="spellStart"/>
      <w:r w:rsidRPr="006121B5">
        <w:rPr>
          <w:lang w:val="fr-FR"/>
        </w:rPr>
        <w:t>Analysis</w:t>
      </w:r>
      <w:bookmarkEnd w:id="103"/>
      <w:proofErr w:type="spellEnd"/>
      <w:r w:rsidRPr="006121B5">
        <w:rPr>
          <w:lang w:val="fr-FR"/>
        </w:rPr>
        <w:t xml:space="preserve"> </w:t>
      </w:r>
    </w:p>
    <w:p w14:paraId="352FAD77" w14:textId="17C49E91" w:rsidR="00D67683" w:rsidRPr="006121B5" w:rsidRDefault="00782ED1" w:rsidP="00D67683">
      <w:pPr>
        <w:pStyle w:val="Heading3"/>
        <w:rPr>
          <w:lang w:val="fr-FR"/>
        </w:rPr>
      </w:pPr>
      <w:bookmarkStart w:id="104" w:name="_Toc165293398"/>
      <w:r>
        <w:rPr>
          <w:lang w:val="fr-FR"/>
        </w:rPr>
        <w:t>G</w:t>
      </w:r>
      <w:r w:rsidR="00D67683" w:rsidRPr="006121B5">
        <w:rPr>
          <w:lang w:val="fr-FR"/>
        </w:rPr>
        <w:t>.1. Methods</w:t>
      </w:r>
      <w:bookmarkEnd w:id="104"/>
      <w:r w:rsidR="00D67683" w:rsidRPr="006121B5">
        <w:rPr>
          <w:lang w:val="fr-FR"/>
        </w:rPr>
        <w:t xml:space="preserve"> </w:t>
      </w:r>
    </w:p>
    <w:p w14:paraId="011E7185" w14:textId="77777777" w:rsidR="00D67683" w:rsidRPr="006A0E2A" w:rsidRDefault="00D67683" w:rsidP="00D67683">
      <w:pPr>
        <w:ind w:firstLine="720"/>
      </w:pPr>
      <w:r>
        <w:t xml:space="preserve">The whole field of view encompasses several different stages of the cellular processes as not all the cells will be on the same timescale. Each cell will uptake GC at a slightly different timepoint. Due to this, single cell overlap analysis was also conducted. ROIs within the field of view were taken and then analyzed for overlap. The ROI selection process was as follows. Cells with large amount of cellular swelling were not selected as the swelling was indicative of cellular stress. </w:t>
      </w:r>
      <w:r>
        <w:rPr>
          <w:rFonts w:ascii="Calibri" w:cs="Calibri"/>
        </w:rPr>
        <w:t>Vesicle swelling would be downstream of GC-STING interactions, therefore cells indicating GC-STING interactions without cellular swelling were chosen for analysis. ROIs were selected from both the 4</w:t>
      </w:r>
      <w:r>
        <w:rPr>
          <w:rFonts w:ascii="Calibri" w:cs="Calibri"/>
        </w:rPr>
        <w:sym w:font="Symbol" w:char="F06D"/>
      </w:r>
      <w:r>
        <w:rPr>
          <w:rFonts w:ascii="Calibri" w:cs="Calibri"/>
        </w:rPr>
        <w:t>g/mL and the 8</w:t>
      </w:r>
      <w:r>
        <w:rPr>
          <w:rFonts w:ascii="Calibri" w:cs="Calibri"/>
        </w:rPr>
        <w:sym w:font="Symbol" w:char="F06D"/>
      </w:r>
      <w:r>
        <w:rPr>
          <w:rFonts w:ascii="Calibri" w:cs="Calibri"/>
        </w:rPr>
        <w:t xml:space="preserve">g/mL experimental groups. An example of a suitable ROI chosen for particle analysis is shown below in </w:t>
      </w:r>
      <w:r w:rsidRPr="004A1005">
        <w:rPr>
          <w:rFonts w:ascii="Calibri" w:cs="Calibri"/>
          <w:b/>
          <w:bCs/>
        </w:rPr>
        <w:t xml:space="preserve">Figure </w:t>
      </w:r>
      <w:r>
        <w:rPr>
          <w:rFonts w:ascii="Calibri" w:cs="Calibri"/>
          <w:b/>
          <w:bCs/>
        </w:rPr>
        <w:t xml:space="preserve">29. </w:t>
      </w:r>
      <w:r w:rsidRPr="004A1005">
        <w:rPr>
          <w:rFonts w:ascii="Calibri" w:cs="Calibri"/>
          <w:b/>
          <w:bCs/>
        </w:rPr>
        <w:t xml:space="preserve"> </w:t>
      </w:r>
    </w:p>
    <w:p w14:paraId="07F5B324" w14:textId="77777777" w:rsidR="00D67683" w:rsidRPr="004A1005" w:rsidRDefault="00D67683" w:rsidP="00D67683">
      <w:pPr>
        <w:ind w:firstLine="720"/>
        <w:rPr>
          <w:b/>
          <w:bCs/>
        </w:rPr>
      </w:pPr>
    </w:p>
    <w:p w14:paraId="77E62BEA" w14:textId="5CD3115C" w:rsidR="00D67683" w:rsidRDefault="00D67683" w:rsidP="00EA1377">
      <w:pPr>
        <w:jc w:val="center"/>
      </w:pPr>
      <w:r>
        <w:rPr>
          <w:noProof/>
        </w:rPr>
        <mc:AlternateContent>
          <mc:Choice Requires="wps">
            <w:drawing>
              <wp:anchor distT="0" distB="0" distL="114300" distR="114300" simplePos="0" relativeHeight="251694080" behindDoc="0" locked="0" layoutInCell="1" allowOverlap="1" wp14:anchorId="2216090E" wp14:editId="4266209F">
                <wp:simplePos x="0" y="0"/>
                <wp:positionH relativeFrom="column">
                  <wp:posOffset>1000252</wp:posOffset>
                </wp:positionH>
                <wp:positionV relativeFrom="paragraph">
                  <wp:posOffset>1869821</wp:posOffset>
                </wp:positionV>
                <wp:extent cx="2198116" cy="1673225"/>
                <wp:effectExtent l="12700" t="12700" r="24765" b="15875"/>
                <wp:wrapNone/>
                <wp:docPr id="1001655748" name="Straight Connector 5"/>
                <wp:cNvGraphicFramePr/>
                <a:graphic xmlns:a="http://schemas.openxmlformats.org/drawingml/2006/main">
                  <a:graphicData uri="http://schemas.microsoft.com/office/word/2010/wordprocessingShape">
                    <wps:wsp>
                      <wps:cNvCnPr/>
                      <wps:spPr>
                        <a:xfrm>
                          <a:off x="0" y="0"/>
                          <a:ext cx="2198116" cy="1673225"/>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45DEC5" id="Straight Connector 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75pt,147.25pt" to="251.85pt,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" strokecolor="yellow" strokeweight="2.25pt">
                <v:stroke joinstyle="miter"/>
              </v:line>
            </w:pict>
          </mc:Fallback>
        </mc:AlternateContent>
      </w:r>
      <w:r>
        <w:rPr>
          <w:noProof/>
        </w:rPr>
        <mc:AlternateContent>
          <mc:Choice Requires="wps">
            <w:drawing>
              <wp:anchor distT="0" distB="0" distL="114300" distR="114300" simplePos="0" relativeHeight="251693056" behindDoc="0" locked="0" layoutInCell="1" allowOverlap="1" wp14:anchorId="62FE58FD" wp14:editId="52A8CAF5">
                <wp:simplePos x="0" y="0"/>
                <wp:positionH relativeFrom="column">
                  <wp:posOffset>1001776</wp:posOffset>
                </wp:positionH>
                <wp:positionV relativeFrom="paragraph">
                  <wp:posOffset>291465</wp:posOffset>
                </wp:positionV>
                <wp:extent cx="2198116" cy="1532636"/>
                <wp:effectExtent l="12700" t="12700" r="24765" b="17145"/>
                <wp:wrapNone/>
                <wp:docPr id="1504148985" name="Straight Connector 5"/>
                <wp:cNvGraphicFramePr/>
                <a:graphic xmlns:a="http://schemas.openxmlformats.org/drawingml/2006/main">
                  <a:graphicData uri="http://schemas.microsoft.com/office/word/2010/wordprocessingShape">
                    <wps:wsp>
                      <wps:cNvCnPr/>
                      <wps:spPr>
                        <a:xfrm flipV="1">
                          <a:off x="0" y="0"/>
                          <a:ext cx="2198116" cy="1532636"/>
                        </a:xfrm>
                        <a:prstGeom prst="line">
                          <a:avLst/>
                        </a:prstGeom>
                        <a:ln w="28575">
                          <a:solidFill>
                            <a:srgbClr val="FFFF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D938D15" id="Straight Connector 5" o:spid="_x0000_s1026" style="position:absolute;flip:y;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8.9pt,22.95pt" to="252pt,14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" strokecolor="yellow" strokeweight="2.25pt">
                <v:stroke joinstyle="miter"/>
              </v:line>
            </w:pict>
          </mc:Fallback>
        </mc:AlternateContent>
      </w:r>
      <w:r>
        <w:rPr>
          <w:noProof/>
        </w:rPr>
        <mc:AlternateContent>
          <mc:Choice Requires="wps">
            <w:drawing>
              <wp:anchor distT="0" distB="0" distL="114300" distR="114300" simplePos="0" relativeHeight="251692032" behindDoc="0" locked="0" layoutInCell="1" allowOverlap="1" wp14:anchorId="307F0C2C" wp14:editId="1502AE6E">
                <wp:simplePos x="0" y="0"/>
                <wp:positionH relativeFrom="column">
                  <wp:posOffset>-635</wp:posOffset>
                </wp:positionH>
                <wp:positionV relativeFrom="paragraph">
                  <wp:posOffset>1192276</wp:posOffset>
                </wp:positionV>
                <wp:extent cx="998682" cy="1095664"/>
                <wp:effectExtent l="12700" t="12700" r="17780" b="9525"/>
                <wp:wrapNone/>
                <wp:docPr id="641933313" name="Oval 4"/>
                <wp:cNvGraphicFramePr/>
                <a:graphic xmlns:a="http://schemas.openxmlformats.org/drawingml/2006/main">
                  <a:graphicData uri="http://schemas.microsoft.com/office/word/2010/wordprocessingShape">
                    <wps:wsp>
                      <wps:cNvSpPr/>
                      <wps:spPr>
                        <a:xfrm>
                          <a:off x="0" y="0"/>
                          <a:ext cx="998682" cy="1095664"/>
                        </a:xfrm>
                        <a:prstGeom prst="ellipse">
                          <a:avLst/>
                        </a:prstGeom>
                        <a:noFill/>
                        <a:ln w="28575">
                          <a:solidFill>
                            <a:srgbClr val="FFFF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1AAF033" id="Oval 4" o:spid="_x0000_s1026" style="position:absolute;margin-left:-.05pt;margin-top:93.9pt;width:78.65pt;height:86.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" filled="f" strokecolor="yellow" strokeweight="2.25pt">
                <v:stroke joinstyle="miter"/>
              </v:oval>
            </w:pict>
          </mc:Fallback>
        </mc:AlternateContent>
      </w:r>
      <w:r>
        <w:rPr>
          <w:noProof/>
        </w:rPr>
        <w:drawing>
          <wp:inline distT="0" distB="0" distL="0" distR="0" wp14:anchorId="22EA7F84" wp14:editId="192A9E5B">
            <wp:extent cx="2881341" cy="2881341"/>
            <wp:effectExtent l="0" t="0" r="1905" b="1905"/>
            <wp:docPr id="1029524849" name="Picture 3" descr="A close up of a microsco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524849" name="Picture 3" descr="A close up of a microscope&#10;&#10;Description automatically generated with medium confidence"/>
                    <pic:cNvPicPr/>
                  </pic:nvPicPr>
                  <pic:blipFill>
                    <a:blip r:embed="rId54" cstate="print">
                      <a:extLst>
                        <a:ext uri="{28A0092B-C50C-407E-A947-70E740481C1C}">
                          <a14:useLocalDpi xmlns:a14="http://schemas.microsoft.com/office/drawing/2010/main" val="0"/>
                        </a:ext>
                      </a:extLst>
                    </a:blip>
                    <a:stretch>
                      <a:fillRect/>
                    </a:stretch>
                  </pic:blipFill>
                  <pic:spPr>
                    <a:xfrm>
                      <a:off x="0" y="0"/>
                      <a:ext cx="2881341" cy="2881341"/>
                    </a:xfrm>
                    <a:prstGeom prst="rect">
                      <a:avLst/>
                    </a:prstGeom>
                  </pic:spPr>
                </pic:pic>
              </a:graphicData>
            </a:graphic>
          </wp:inline>
        </w:drawing>
      </w:r>
      <w:r>
        <w:rPr>
          <w:noProof/>
        </w:rPr>
        <w:drawing>
          <wp:inline distT="0" distB="0" distL="0" distR="0" wp14:anchorId="1309D3C4" wp14:editId="7B0DBD59">
            <wp:extent cx="2436072" cy="3714292"/>
            <wp:effectExtent l="0" t="0" r="2540" b="0"/>
            <wp:docPr id="1108401750" name="Picture 2" descr="A purple and green galax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401750" name="Picture 2" descr="A purple and green galaxy&#10;&#10;Description automatically generated with medium confidence"/>
                    <pic:cNvPicPr/>
                  </pic:nvPicPr>
                  <pic:blipFill>
                    <a:blip r:embed="rId55">
                      <a:extLst>
                        <a:ext uri="{28A0092B-C50C-407E-A947-70E740481C1C}">
                          <a14:useLocalDpi xmlns:a14="http://schemas.microsoft.com/office/drawing/2010/main" val="0"/>
                        </a:ext>
                      </a:extLst>
                    </a:blip>
                    <a:stretch>
                      <a:fillRect/>
                    </a:stretch>
                  </pic:blipFill>
                  <pic:spPr>
                    <a:xfrm>
                      <a:off x="0" y="0"/>
                      <a:ext cx="2468861" cy="3764285"/>
                    </a:xfrm>
                    <a:prstGeom prst="rect">
                      <a:avLst/>
                    </a:prstGeom>
                  </pic:spPr>
                </pic:pic>
              </a:graphicData>
            </a:graphic>
          </wp:inline>
        </w:drawing>
      </w:r>
    </w:p>
    <w:p w14:paraId="542FB26B" w14:textId="18CC0691" w:rsidR="00D67683" w:rsidRPr="009A2E21" w:rsidRDefault="00D67683" w:rsidP="00D67683">
      <w:pPr>
        <w:pStyle w:val="Caption"/>
        <w:jc w:val="both"/>
        <w:rPr>
          <w:i w:val="0"/>
          <w:iCs w:val="0"/>
          <w:color w:val="000000" w:themeColor="text1"/>
          <w:sz w:val="20"/>
          <w:szCs w:val="20"/>
        </w:rPr>
      </w:pPr>
      <w:bookmarkStart w:id="105" w:name="_Toc165201250"/>
      <w:r w:rsidRPr="009A2E21">
        <w:rPr>
          <w:b/>
          <w:bCs/>
          <w:i w:val="0"/>
          <w:iCs w:val="0"/>
          <w:color w:val="000000" w:themeColor="text1"/>
          <w:sz w:val="20"/>
          <w:szCs w:val="20"/>
        </w:rPr>
        <w:t xml:space="preserve">Figure </w:t>
      </w:r>
      <w:r w:rsidRPr="009A2E21">
        <w:rPr>
          <w:b/>
          <w:bCs/>
          <w:i w:val="0"/>
          <w:iCs w:val="0"/>
          <w:color w:val="000000" w:themeColor="text1"/>
          <w:sz w:val="20"/>
          <w:szCs w:val="20"/>
        </w:rPr>
        <w:fldChar w:fldCharType="begin"/>
      </w:r>
      <w:r w:rsidRPr="009A2E21">
        <w:rPr>
          <w:b/>
          <w:bCs/>
          <w:i w:val="0"/>
          <w:iCs w:val="0"/>
          <w:color w:val="000000" w:themeColor="text1"/>
          <w:sz w:val="20"/>
          <w:szCs w:val="20"/>
        </w:rPr>
        <w:instrText xml:space="preserve"> SEQ Figure \* ARABIC </w:instrText>
      </w:r>
      <w:r w:rsidRPr="009A2E21">
        <w:rPr>
          <w:b/>
          <w:bCs/>
          <w:i w:val="0"/>
          <w:iCs w:val="0"/>
          <w:color w:val="000000" w:themeColor="text1"/>
          <w:sz w:val="20"/>
          <w:szCs w:val="20"/>
        </w:rPr>
        <w:fldChar w:fldCharType="separate"/>
      </w:r>
      <w:r w:rsidR="0021770C">
        <w:rPr>
          <w:b/>
          <w:bCs/>
          <w:i w:val="0"/>
          <w:iCs w:val="0"/>
          <w:noProof/>
          <w:color w:val="000000" w:themeColor="text1"/>
          <w:sz w:val="20"/>
          <w:szCs w:val="20"/>
        </w:rPr>
        <w:t>31</w:t>
      </w:r>
      <w:r w:rsidRPr="009A2E21">
        <w:rPr>
          <w:b/>
          <w:bCs/>
          <w:i w:val="0"/>
          <w:iCs w:val="0"/>
          <w:color w:val="000000" w:themeColor="text1"/>
          <w:sz w:val="20"/>
          <w:szCs w:val="20"/>
        </w:rPr>
        <w:fldChar w:fldCharType="end"/>
      </w:r>
      <w:r w:rsidRPr="009A2E21">
        <w:rPr>
          <w:i w:val="0"/>
          <w:iCs w:val="0"/>
          <w:color w:val="000000" w:themeColor="text1"/>
          <w:sz w:val="20"/>
          <w:szCs w:val="20"/>
        </w:rPr>
        <w:t xml:space="preserve">: </w:t>
      </w:r>
      <w:r w:rsidRPr="009A2E21">
        <w:rPr>
          <w:b/>
          <w:bCs/>
          <w:i w:val="0"/>
          <w:iCs w:val="0"/>
          <w:color w:val="000000" w:themeColor="text1"/>
          <w:sz w:val="20"/>
          <w:szCs w:val="20"/>
        </w:rPr>
        <w:t>Shows ROI selection criteria</w:t>
      </w:r>
      <w:r w:rsidRPr="009A2E21">
        <w:rPr>
          <w:i w:val="0"/>
          <w:iCs w:val="0"/>
          <w:color w:val="000000" w:themeColor="text1"/>
          <w:sz w:val="20"/>
          <w:szCs w:val="20"/>
        </w:rPr>
        <w:t>. Image depicts overlap of BMDC stimulated with 8</w:t>
      </w:r>
      <w:r w:rsidRPr="009A2E21">
        <w:rPr>
          <w:i w:val="0"/>
          <w:iCs w:val="0"/>
          <w:color w:val="000000" w:themeColor="text1"/>
          <w:sz w:val="20"/>
          <w:szCs w:val="20"/>
        </w:rPr>
        <w:sym w:font="Symbol" w:char="F06D"/>
      </w:r>
      <w:r w:rsidRPr="009A2E21">
        <w:rPr>
          <w:i w:val="0"/>
          <w:iCs w:val="0"/>
          <w:color w:val="000000" w:themeColor="text1"/>
          <w:sz w:val="20"/>
          <w:szCs w:val="20"/>
        </w:rPr>
        <w:t>g/mL GC-FITC. STING (red), LAMP 1 (magenta), and GC-FITC (green) are overlapped within the image. The selected ROI shows a cell that has good uptake of GC but has not yet undergone cellular swelling.</w:t>
      </w:r>
      <w:bookmarkEnd w:id="105"/>
      <w:r w:rsidRPr="009A2E21">
        <w:rPr>
          <w:i w:val="0"/>
          <w:iCs w:val="0"/>
          <w:color w:val="000000" w:themeColor="text1"/>
          <w:sz w:val="20"/>
          <w:szCs w:val="20"/>
        </w:rPr>
        <w:t xml:space="preserve"> </w:t>
      </w:r>
    </w:p>
    <w:p w14:paraId="44DCA570" w14:textId="77777777" w:rsidR="00D67683" w:rsidRDefault="00D67683" w:rsidP="00D67683">
      <w:pPr>
        <w:rPr>
          <w:b/>
          <w:bCs/>
        </w:rPr>
      </w:pPr>
      <w:r>
        <w:t xml:space="preserve">Utilizing the ROI selection process above, particle analysis was re-run to gather GC-FITC overlap data. The methodology for this analysis can be seen in above in </w:t>
      </w:r>
      <w:r>
        <w:rPr>
          <w:b/>
          <w:bCs/>
        </w:rPr>
        <w:t xml:space="preserve">Chapter 4. </w:t>
      </w:r>
    </w:p>
    <w:p w14:paraId="5FC3891C" w14:textId="77777777" w:rsidR="00D67683" w:rsidRPr="005A0BC1" w:rsidRDefault="00D67683" w:rsidP="00D67683"/>
    <w:p w14:paraId="6B6FE5B0" w14:textId="4958B209" w:rsidR="00D67683" w:rsidRDefault="00782ED1" w:rsidP="00D67683">
      <w:pPr>
        <w:pStyle w:val="Heading3"/>
      </w:pPr>
      <w:bookmarkStart w:id="106" w:name="_Toc165293399"/>
      <w:r>
        <w:t>G</w:t>
      </w:r>
      <w:r w:rsidR="00D67683">
        <w:t>.2. Results and Conclusions</w:t>
      </w:r>
      <w:bookmarkEnd w:id="106"/>
      <w:r w:rsidR="00D67683">
        <w:t xml:space="preserve"> </w:t>
      </w:r>
    </w:p>
    <w:p w14:paraId="5BACEDF0" w14:textId="3ECB8E11" w:rsidR="00D67683" w:rsidRPr="00AB7DE6" w:rsidRDefault="00D67683" w:rsidP="00D67683">
      <w:pPr>
        <w:ind w:firstLine="720"/>
      </w:pPr>
      <w:r>
        <w:t xml:space="preserve">Overlap analysis on ROI were </w:t>
      </w:r>
      <w:proofErr w:type="gramStart"/>
      <w:r>
        <w:t>similar to</w:t>
      </w:r>
      <w:proofErr w:type="gramEnd"/>
      <w:r>
        <w:t xml:space="preserve"> that of the whole cell analysis seen in </w:t>
      </w:r>
      <w:r>
        <w:rPr>
          <w:b/>
          <w:bCs/>
        </w:rPr>
        <w:t>Chapter 4</w:t>
      </w:r>
      <w:r>
        <w:t xml:space="preserve">. Different concentrations and time points would be required to gain further insight.  </w:t>
      </w:r>
    </w:p>
    <w:sectPr w:rsidR="00D67683" w:rsidRPr="00AB7DE6" w:rsidSect="00D9692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D8C223" w14:textId="77777777" w:rsidR="00D96929" w:rsidRDefault="00D96929" w:rsidP="00800635">
      <w:r>
        <w:separator/>
      </w:r>
    </w:p>
  </w:endnote>
  <w:endnote w:type="continuationSeparator" w:id="0">
    <w:p w14:paraId="5EB25A26" w14:textId="77777777" w:rsidR="00D96929" w:rsidRDefault="00D96929" w:rsidP="00800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TimesNewRomanPSMT">
    <w:altName w:val="Times New Roman"/>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0837785"/>
      <w:docPartObj>
        <w:docPartGallery w:val="Page Numbers (Bottom of Page)"/>
        <w:docPartUnique/>
      </w:docPartObj>
    </w:sdtPr>
    <w:sdtContent>
      <w:p w14:paraId="18CE4D34" w14:textId="3972D30B" w:rsidR="00306EAF" w:rsidRDefault="00306EAF" w:rsidP="000F40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D6E3AB0" w14:textId="77777777" w:rsidR="00306EAF" w:rsidRDefault="00306EAF" w:rsidP="00306EA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7619D" w14:textId="77777777" w:rsidR="00306EAF" w:rsidRDefault="00306EAF" w:rsidP="00306EAF">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67254098"/>
      <w:docPartObj>
        <w:docPartGallery w:val="Page Numbers (Bottom of Page)"/>
        <w:docPartUnique/>
      </w:docPartObj>
    </w:sdtPr>
    <w:sdtContent>
      <w:p w14:paraId="17FBD9A5" w14:textId="77777777" w:rsidR="00C70461" w:rsidRDefault="00C70461" w:rsidP="00DE146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iv</w:t>
        </w:r>
        <w:r>
          <w:rPr>
            <w:rStyle w:val="PageNumber"/>
          </w:rPr>
          <w:fldChar w:fldCharType="end"/>
        </w:r>
      </w:p>
    </w:sdtContent>
  </w:sdt>
  <w:p w14:paraId="33D944F7" w14:textId="77777777" w:rsidR="00C70461" w:rsidRDefault="00C70461" w:rsidP="00306E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674D3" w14:textId="77777777" w:rsidR="00D96929" w:rsidRDefault="00D96929" w:rsidP="00800635">
      <w:r>
        <w:separator/>
      </w:r>
    </w:p>
  </w:footnote>
  <w:footnote w:type="continuationSeparator" w:id="0">
    <w:p w14:paraId="792CD792" w14:textId="77777777" w:rsidR="00D96929" w:rsidRDefault="00D96929" w:rsidP="00800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34C69" w14:textId="77777777" w:rsidR="000F40D5" w:rsidRDefault="000F40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062A6B"/>
    <w:multiLevelType w:val="multilevel"/>
    <w:tmpl w:val="16DEA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D96CB7"/>
    <w:multiLevelType w:val="hybridMultilevel"/>
    <w:tmpl w:val="8BBC42DE"/>
    <w:lvl w:ilvl="0" w:tplc="D314261C">
      <w:start w:val="28"/>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D70FE6"/>
    <w:multiLevelType w:val="multilevel"/>
    <w:tmpl w:val="36E8D0D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B81473A"/>
    <w:multiLevelType w:val="multilevel"/>
    <w:tmpl w:val="A0849AA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3C45354"/>
    <w:multiLevelType w:val="multilevel"/>
    <w:tmpl w:val="1BF4BA62"/>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9670F34"/>
    <w:multiLevelType w:val="multilevel"/>
    <w:tmpl w:val="06485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D6A7A07"/>
    <w:multiLevelType w:val="multilevel"/>
    <w:tmpl w:val="53D440E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EF08A2"/>
    <w:multiLevelType w:val="hybridMultilevel"/>
    <w:tmpl w:val="F6FA9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D913FB"/>
    <w:multiLevelType w:val="hybridMultilevel"/>
    <w:tmpl w:val="6D7A3C86"/>
    <w:lvl w:ilvl="0" w:tplc="4D96D032">
      <w:start w:val="1"/>
      <w:numFmt w:val="bullet"/>
      <w:lvlText w:val="•"/>
      <w:lvlJc w:val="left"/>
      <w:pPr>
        <w:tabs>
          <w:tab w:val="num" w:pos="720"/>
        </w:tabs>
        <w:ind w:left="720" w:hanging="360"/>
      </w:pPr>
      <w:rPr>
        <w:rFonts w:ascii="Arial" w:hAnsi="Arial" w:hint="default"/>
      </w:rPr>
    </w:lvl>
    <w:lvl w:ilvl="1" w:tplc="8856AC96" w:tentative="1">
      <w:start w:val="1"/>
      <w:numFmt w:val="bullet"/>
      <w:lvlText w:val="•"/>
      <w:lvlJc w:val="left"/>
      <w:pPr>
        <w:tabs>
          <w:tab w:val="num" w:pos="1440"/>
        </w:tabs>
        <w:ind w:left="1440" w:hanging="360"/>
      </w:pPr>
      <w:rPr>
        <w:rFonts w:ascii="Arial" w:hAnsi="Arial" w:hint="default"/>
      </w:rPr>
    </w:lvl>
    <w:lvl w:ilvl="2" w:tplc="696A9C64" w:tentative="1">
      <w:start w:val="1"/>
      <w:numFmt w:val="bullet"/>
      <w:lvlText w:val="•"/>
      <w:lvlJc w:val="left"/>
      <w:pPr>
        <w:tabs>
          <w:tab w:val="num" w:pos="2160"/>
        </w:tabs>
        <w:ind w:left="2160" w:hanging="360"/>
      </w:pPr>
      <w:rPr>
        <w:rFonts w:ascii="Arial" w:hAnsi="Arial" w:hint="default"/>
      </w:rPr>
    </w:lvl>
    <w:lvl w:ilvl="3" w:tplc="335CD73A" w:tentative="1">
      <w:start w:val="1"/>
      <w:numFmt w:val="bullet"/>
      <w:lvlText w:val="•"/>
      <w:lvlJc w:val="left"/>
      <w:pPr>
        <w:tabs>
          <w:tab w:val="num" w:pos="2880"/>
        </w:tabs>
        <w:ind w:left="2880" w:hanging="360"/>
      </w:pPr>
      <w:rPr>
        <w:rFonts w:ascii="Arial" w:hAnsi="Arial" w:hint="default"/>
      </w:rPr>
    </w:lvl>
    <w:lvl w:ilvl="4" w:tplc="8898ACD6" w:tentative="1">
      <w:start w:val="1"/>
      <w:numFmt w:val="bullet"/>
      <w:lvlText w:val="•"/>
      <w:lvlJc w:val="left"/>
      <w:pPr>
        <w:tabs>
          <w:tab w:val="num" w:pos="3600"/>
        </w:tabs>
        <w:ind w:left="3600" w:hanging="360"/>
      </w:pPr>
      <w:rPr>
        <w:rFonts w:ascii="Arial" w:hAnsi="Arial" w:hint="default"/>
      </w:rPr>
    </w:lvl>
    <w:lvl w:ilvl="5" w:tplc="39223A2A" w:tentative="1">
      <w:start w:val="1"/>
      <w:numFmt w:val="bullet"/>
      <w:lvlText w:val="•"/>
      <w:lvlJc w:val="left"/>
      <w:pPr>
        <w:tabs>
          <w:tab w:val="num" w:pos="4320"/>
        </w:tabs>
        <w:ind w:left="4320" w:hanging="360"/>
      </w:pPr>
      <w:rPr>
        <w:rFonts w:ascii="Arial" w:hAnsi="Arial" w:hint="default"/>
      </w:rPr>
    </w:lvl>
    <w:lvl w:ilvl="6" w:tplc="EAC2D0F0" w:tentative="1">
      <w:start w:val="1"/>
      <w:numFmt w:val="bullet"/>
      <w:lvlText w:val="•"/>
      <w:lvlJc w:val="left"/>
      <w:pPr>
        <w:tabs>
          <w:tab w:val="num" w:pos="5040"/>
        </w:tabs>
        <w:ind w:left="5040" w:hanging="360"/>
      </w:pPr>
      <w:rPr>
        <w:rFonts w:ascii="Arial" w:hAnsi="Arial" w:hint="default"/>
      </w:rPr>
    </w:lvl>
    <w:lvl w:ilvl="7" w:tplc="43FA4A2E" w:tentative="1">
      <w:start w:val="1"/>
      <w:numFmt w:val="bullet"/>
      <w:lvlText w:val="•"/>
      <w:lvlJc w:val="left"/>
      <w:pPr>
        <w:tabs>
          <w:tab w:val="num" w:pos="5760"/>
        </w:tabs>
        <w:ind w:left="5760" w:hanging="360"/>
      </w:pPr>
      <w:rPr>
        <w:rFonts w:ascii="Arial" w:hAnsi="Arial" w:hint="default"/>
      </w:rPr>
    </w:lvl>
    <w:lvl w:ilvl="8" w:tplc="19702484"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4A696357"/>
    <w:multiLevelType w:val="multilevel"/>
    <w:tmpl w:val="8AAE99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B6E569A"/>
    <w:multiLevelType w:val="multilevel"/>
    <w:tmpl w:val="3A08CB4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CF02059"/>
    <w:multiLevelType w:val="hybridMultilevel"/>
    <w:tmpl w:val="62A618EE"/>
    <w:lvl w:ilvl="0" w:tplc="F01E5410">
      <w:start w:val="174"/>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6C5352E"/>
    <w:multiLevelType w:val="multilevel"/>
    <w:tmpl w:val="B816AB3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o"/>
      <w:lvlJc w:val="left"/>
      <w:pPr>
        <w:tabs>
          <w:tab w:val="num" w:pos="2160"/>
        </w:tabs>
        <w:ind w:left="2160" w:hanging="360"/>
      </w:pPr>
      <w:rPr>
        <w:rFonts w:ascii="Courier New" w:hAnsi="Courier New"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A4D22E0"/>
    <w:multiLevelType w:val="multilevel"/>
    <w:tmpl w:val="26A268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A7F3A9C"/>
    <w:multiLevelType w:val="multilevel"/>
    <w:tmpl w:val="45A4295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7709459">
    <w:abstractNumId w:val="11"/>
  </w:num>
  <w:num w:numId="2" w16cid:durableId="591551176">
    <w:abstractNumId w:val="13"/>
    <w:lvlOverride w:ilvl="0">
      <w:startOverride w:val="1"/>
    </w:lvlOverride>
  </w:num>
  <w:num w:numId="3" w16cid:durableId="591551176">
    <w:abstractNumId w:val="13"/>
    <w:lvlOverride w:ilvl="0"/>
    <w:lvlOverride w:ilvl="1">
      <w:startOverride w:val="1"/>
    </w:lvlOverride>
  </w:num>
  <w:num w:numId="4" w16cid:durableId="591551176">
    <w:abstractNumId w:val="13"/>
    <w:lvlOverride w:ilvl="0"/>
    <w:lvlOverride w:ilvl="1">
      <w:startOverride w:val="6"/>
    </w:lvlOverride>
  </w:num>
  <w:num w:numId="5" w16cid:durableId="1401363366">
    <w:abstractNumId w:val="10"/>
    <w:lvlOverride w:ilvl="0">
      <w:startOverride w:val="1"/>
    </w:lvlOverride>
  </w:num>
  <w:num w:numId="6" w16cid:durableId="1401363366">
    <w:abstractNumId w:val="10"/>
    <w:lvlOverride w:ilvl="0"/>
    <w:lvlOverride w:ilvl="1">
      <w:startOverride w:val="1"/>
    </w:lvlOverride>
  </w:num>
  <w:num w:numId="7" w16cid:durableId="1401363366">
    <w:abstractNumId w:val="10"/>
    <w:lvlOverride w:ilvl="0"/>
    <w:lvlOverride w:ilvl="1">
      <w:startOverride w:val="1"/>
    </w:lvlOverride>
  </w:num>
  <w:num w:numId="8" w16cid:durableId="1401363366">
    <w:abstractNumId w:val="10"/>
    <w:lvlOverride w:ilvl="0"/>
    <w:lvlOverride w:ilvl="1">
      <w:startOverride w:val="1"/>
    </w:lvlOverride>
  </w:num>
  <w:num w:numId="9" w16cid:durableId="1401363366">
    <w:abstractNumId w:val="10"/>
    <w:lvlOverride w:ilvl="0"/>
    <w:lvlOverride w:ilvl="1">
      <w:startOverride w:val="1"/>
    </w:lvlOverride>
  </w:num>
  <w:num w:numId="10" w16cid:durableId="1401363366">
    <w:abstractNumId w:val="10"/>
    <w:lvlOverride w:ilvl="0"/>
    <w:lvlOverride w:ilvl="1">
      <w:startOverride w:val="1"/>
    </w:lvlOverride>
  </w:num>
  <w:num w:numId="11" w16cid:durableId="1485389195">
    <w:abstractNumId w:val="14"/>
    <w:lvlOverride w:ilvl="0">
      <w:startOverride w:val="1"/>
    </w:lvlOverride>
  </w:num>
  <w:num w:numId="12" w16cid:durableId="1485389195">
    <w:abstractNumId w:val="14"/>
    <w:lvlOverride w:ilvl="0"/>
    <w:lvlOverride w:ilvl="1">
      <w:startOverride w:val="1"/>
    </w:lvlOverride>
  </w:num>
  <w:num w:numId="13" w16cid:durableId="1485389195">
    <w:abstractNumId w:val="14"/>
    <w:lvlOverride w:ilvl="0"/>
    <w:lvlOverride w:ilvl="1"/>
    <w:lvlOverride w:ilvl="2">
      <w:startOverride w:val="1"/>
    </w:lvlOverride>
  </w:num>
  <w:num w:numId="14" w16cid:durableId="1972393394">
    <w:abstractNumId w:val="4"/>
    <w:lvlOverride w:ilvl="0">
      <w:startOverride w:val="4"/>
    </w:lvlOverride>
  </w:num>
  <w:num w:numId="15" w16cid:durableId="114831949">
    <w:abstractNumId w:val="9"/>
    <w:lvlOverride w:ilvl="0">
      <w:startOverride w:val="5"/>
    </w:lvlOverride>
  </w:num>
  <w:num w:numId="16" w16cid:durableId="1941404905">
    <w:abstractNumId w:val="12"/>
    <w:lvlOverride w:ilvl="0">
      <w:startOverride w:val="1"/>
    </w:lvlOverride>
  </w:num>
  <w:num w:numId="17" w16cid:durableId="1122771817">
    <w:abstractNumId w:val="6"/>
    <w:lvlOverride w:ilvl="0">
      <w:startOverride w:val="2"/>
    </w:lvlOverride>
  </w:num>
  <w:num w:numId="18" w16cid:durableId="586378002">
    <w:abstractNumId w:val="3"/>
    <w:lvlOverride w:ilvl="0">
      <w:startOverride w:val="3"/>
    </w:lvlOverride>
  </w:num>
  <w:num w:numId="19" w16cid:durableId="586378002">
    <w:abstractNumId w:val="3"/>
    <w:lvlOverride w:ilvl="0"/>
    <w:lvlOverride w:ilvl="1">
      <w:startOverride w:val="1"/>
    </w:lvlOverride>
  </w:num>
  <w:num w:numId="20" w16cid:durableId="586378002">
    <w:abstractNumId w:val="3"/>
    <w:lvlOverride w:ilvl="0"/>
    <w:lvlOverride w:ilvl="1"/>
    <w:lvlOverride w:ilvl="2">
      <w:startOverride w:val="1"/>
    </w:lvlOverride>
  </w:num>
  <w:num w:numId="21" w16cid:durableId="586378002">
    <w:abstractNumId w:val="3"/>
    <w:lvlOverride w:ilvl="0"/>
    <w:lvlOverride w:ilvl="1">
      <w:startOverride w:val="1"/>
    </w:lvlOverride>
  </w:num>
  <w:num w:numId="22" w16cid:durableId="586378002">
    <w:abstractNumId w:val="3"/>
    <w:lvlOverride w:ilvl="0"/>
    <w:lvlOverride w:ilvl="1"/>
    <w:lvlOverride w:ilvl="2">
      <w:startOverride w:val="1"/>
    </w:lvlOverride>
  </w:num>
  <w:num w:numId="23" w16cid:durableId="1658725291">
    <w:abstractNumId w:val="2"/>
    <w:lvlOverride w:ilvl="0">
      <w:startOverride w:val="9"/>
    </w:lvlOverride>
  </w:num>
  <w:num w:numId="24" w16cid:durableId="1658725291">
    <w:abstractNumId w:val="2"/>
    <w:lvlOverride w:ilvl="0"/>
    <w:lvlOverride w:ilvl="1">
      <w:startOverride w:val="1"/>
    </w:lvlOverride>
  </w:num>
  <w:num w:numId="25" w16cid:durableId="1658725291">
    <w:abstractNumId w:val="2"/>
    <w:lvlOverride w:ilvl="0"/>
    <w:lvlOverride w:ilvl="1">
      <w:startOverride w:val="1"/>
    </w:lvlOverride>
  </w:num>
  <w:num w:numId="26" w16cid:durableId="1658725291">
    <w:abstractNumId w:val="2"/>
    <w:lvlOverride w:ilvl="0"/>
    <w:lvlOverride w:ilvl="1">
      <w:startOverride w:val="1"/>
    </w:lvlOverride>
  </w:num>
  <w:num w:numId="27" w16cid:durableId="1658725291">
    <w:abstractNumId w:val="2"/>
    <w:lvlOverride w:ilvl="0"/>
    <w:lvlOverride w:ilvl="1">
      <w:startOverride w:val="1"/>
    </w:lvlOverride>
  </w:num>
  <w:num w:numId="28" w16cid:durableId="1658725291">
    <w:abstractNumId w:val="2"/>
    <w:lvlOverride w:ilvl="0"/>
    <w:lvlOverride w:ilvl="1"/>
    <w:lvlOverride w:ilvl="2">
      <w:startOverride w:val="1"/>
    </w:lvlOverride>
  </w:num>
  <w:num w:numId="29" w16cid:durableId="1087656722">
    <w:abstractNumId w:val="5"/>
    <w:lvlOverride w:ilvl="0">
      <w:startOverride w:val="1"/>
    </w:lvlOverride>
  </w:num>
  <w:num w:numId="30" w16cid:durableId="149367349">
    <w:abstractNumId w:val="0"/>
    <w:lvlOverride w:ilvl="0">
      <w:startOverride w:val="1"/>
    </w:lvlOverride>
  </w:num>
  <w:num w:numId="31" w16cid:durableId="1664354266">
    <w:abstractNumId w:val="1"/>
  </w:num>
  <w:num w:numId="32" w16cid:durableId="434442124">
    <w:abstractNumId w:val="8"/>
  </w:num>
  <w:num w:numId="33" w16cid:durableId="725420031">
    <w:abstractNumId w:val="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AF7"/>
    <w:rsid w:val="00000255"/>
    <w:rsid w:val="00001369"/>
    <w:rsid w:val="000044D4"/>
    <w:rsid w:val="00004789"/>
    <w:rsid w:val="000053A1"/>
    <w:rsid w:val="00005549"/>
    <w:rsid w:val="000059CD"/>
    <w:rsid w:val="0000662E"/>
    <w:rsid w:val="00006A1F"/>
    <w:rsid w:val="00012F37"/>
    <w:rsid w:val="000136F8"/>
    <w:rsid w:val="00015E06"/>
    <w:rsid w:val="0002659E"/>
    <w:rsid w:val="000317D6"/>
    <w:rsid w:val="00031F1F"/>
    <w:rsid w:val="0003609E"/>
    <w:rsid w:val="00037F81"/>
    <w:rsid w:val="0004178A"/>
    <w:rsid w:val="000421BB"/>
    <w:rsid w:val="00042F2F"/>
    <w:rsid w:val="00044517"/>
    <w:rsid w:val="00044D27"/>
    <w:rsid w:val="000469EC"/>
    <w:rsid w:val="00050579"/>
    <w:rsid w:val="00055274"/>
    <w:rsid w:val="00061330"/>
    <w:rsid w:val="000617A2"/>
    <w:rsid w:val="0006218B"/>
    <w:rsid w:val="00066FA7"/>
    <w:rsid w:val="00070644"/>
    <w:rsid w:val="00071D8D"/>
    <w:rsid w:val="00073738"/>
    <w:rsid w:val="00082296"/>
    <w:rsid w:val="000843E3"/>
    <w:rsid w:val="00086B4F"/>
    <w:rsid w:val="000901E6"/>
    <w:rsid w:val="00095C86"/>
    <w:rsid w:val="000A071A"/>
    <w:rsid w:val="000A21BB"/>
    <w:rsid w:val="000B087C"/>
    <w:rsid w:val="000B2D0C"/>
    <w:rsid w:val="000B4070"/>
    <w:rsid w:val="000B48A2"/>
    <w:rsid w:val="000C0267"/>
    <w:rsid w:val="000C0C1E"/>
    <w:rsid w:val="000C0D3F"/>
    <w:rsid w:val="000C4DAA"/>
    <w:rsid w:val="000C5452"/>
    <w:rsid w:val="000D0E1A"/>
    <w:rsid w:val="000D18C0"/>
    <w:rsid w:val="000D2570"/>
    <w:rsid w:val="000D288F"/>
    <w:rsid w:val="000D49F4"/>
    <w:rsid w:val="000E08CE"/>
    <w:rsid w:val="000E1293"/>
    <w:rsid w:val="000E5790"/>
    <w:rsid w:val="000E5A3F"/>
    <w:rsid w:val="000E6793"/>
    <w:rsid w:val="000F2312"/>
    <w:rsid w:val="000F40D5"/>
    <w:rsid w:val="00100418"/>
    <w:rsid w:val="001009BB"/>
    <w:rsid w:val="00100D58"/>
    <w:rsid w:val="00101395"/>
    <w:rsid w:val="00104EAB"/>
    <w:rsid w:val="00106E99"/>
    <w:rsid w:val="00107F7D"/>
    <w:rsid w:val="0011565D"/>
    <w:rsid w:val="0011729E"/>
    <w:rsid w:val="0012428B"/>
    <w:rsid w:val="0012505E"/>
    <w:rsid w:val="00125083"/>
    <w:rsid w:val="0012575F"/>
    <w:rsid w:val="00130D29"/>
    <w:rsid w:val="00131ED4"/>
    <w:rsid w:val="00135F0F"/>
    <w:rsid w:val="0013651E"/>
    <w:rsid w:val="00137D29"/>
    <w:rsid w:val="0014758D"/>
    <w:rsid w:val="00150F6B"/>
    <w:rsid w:val="001537BA"/>
    <w:rsid w:val="00154CEC"/>
    <w:rsid w:val="00155BE0"/>
    <w:rsid w:val="00157AC9"/>
    <w:rsid w:val="001621F7"/>
    <w:rsid w:val="0016370C"/>
    <w:rsid w:val="00163A56"/>
    <w:rsid w:val="0016405F"/>
    <w:rsid w:val="001652F9"/>
    <w:rsid w:val="001665D3"/>
    <w:rsid w:val="00167252"/>
    <w:rsid w:val="00172EA6"/>
    <w:rsid w:val="00174CC7"/>
    <w:rsid w:val="00175946"/>
    <w:rsid w:val="00177597"/>
    <w:rsid w:val="001776F9"/>
    <w:rsid w:val="00181A11"/>
    <w:rsid w:val="001861C7"/>
    <w:rsid w:val="001904CB"/>
    <w:rsid w:val="0019471E"/>
    <w:rsid w:val="00194B62"/>
    <w:rsid w:val="001A03EE"/>
    <w:rsid w:val="001A2FBE"/>
    <w:rsid w:val="001A5E44"/>
    <w:rsid w:val="001A682E"/>
    <w:rsid w:val="001A7C22"/>
    <w:rsid w:val="001B07B5"/>
    <w:rsid w:val="001B0BED"/>
    <w:rsid w:val="001B5AFC"/>
    <w:rsid w:val="001C21A2"/>
    <w:rsid w:val="001C2D71"/>
    <w:rsid w:val="001C33F2"/>
    <w:rsid w:val="001C7373"/>
    <w:rsid w:val="001C77D3"/>
    <w:rsid w:val="001D1C00"/>
    <w:rsid w:val="001D3B99"/>
    <w:rsid w:val="001D4EBC"/>
    <w:rsid w:val="001D5197"/>
    <w:rsid w:val="001E7995"/>
    <w:rsid w:val="001E7E3E"/>
    <w:rsid w:val="001F071B"/>
    <w:rsid w:val="001F075A"/>
    <w:rsid w:val="001F2D22"/>
    <w:rsid w:val="001F55DA"/>
    <w:rsid w:val="001F57E1"/>
    <w:rsid w:val="001F73BF"/>
    <w:rsid w:val="00200749"/>
    <w:rsid w:val="00200D2A"/>
    <w:rsid w:val="00203005"/>
    <w:rsid w:val="00206907"/>
    <w:rsid w:val="00210613"/>
    <w:rsid w:val="00210F3F"/>
    <w:rsid w:val="00212779"/>
    <w:rsid w:val="002140AE"/>
    <w:rsid w:val="0021770C"/>
    <w:rsid w:val="00222201"/>
    <w:rsid w:val="00224500"/>
    <w:rsid w:val="00227FC9"/>
    <w:rsid w:val="00232173"/>
    <w:rsid w:val="0023312F"/>
    <w:rsid w:val="00234D75"/>
    <w:rsid w:val="002363BC"/>
    <w:rsid w:val="00237647"/>
    <w:rsid w:val="002412FD"/>
    <w:rsid w:val="002429F1"/>
    <w:rsid w:val="00243321"/>
    <w:rsid w:val="00244492"/>
    <w:rsid w:val="00246098"/>
    <w:rsid w:val="00250F51"/>
    <w:rsid w:val="00252588"/>
    <w:rsid w:val="0025393D"/>
    <w:rsid w:val="002657BC"/>
    <w:rsid w:val="0026758F"/>
    <w:rsid w:val="0026762F"/>
    <w:rsid w:val="00267E36"/>
    <w:rsid w:val="002703F4"/>
    <w:rsid w:val="002704FF"/>
    <w:rsid w:val="00270F09"/>
    <w:rsid w:val="002712D2"/>
    <w:rsid w:val="0027178F"/>
    <w:rsid w:val="00271CA8"/>
    <w:rsid w:val="002728E7"/>
    <w:rsid w:val="00274DCA"/>
    <w:rsid w:val="0027528B"/>
    <w:rsid w:val="00276533"/>
    <w:rsid w:val="002775B5"/>
    <w:rsid w:val="002824D3"/>
    <w:rsid w:val="00283C8D"/>
    <w:rsid w:val="00285A77"/>
    <w:rsid w:val="00286F4F"/>
    <w:rsid w:val="00293757"/>
    <w:rsid w:val="00295B10"/>
    <w:rsid w:val="00295DB5"/>
    <w:rsid w:val="00296A40"/>
    <w:rsid w:val="002A05E3"/>
    <w:rsid w:val="002A1987"/>
    <w:rsid w:val="002A4230"/>
    <w:rsid w:val="002A6F03"/>
    <w:rsid w:val="002B5B29"/>
    <w:rsid w:val="002B676D"/>
    <w:rsid w:val="002B697F"/>
    <w:rsid w:val="002B70A0"/>
    <w:rsid w:val="002C05C0"/>
    <w:rsid w:val="002C2109"/>
    <w:rsid w:val="002C7116"/>
    <w:rsid w:val="002D0515"/>
    <w:rsid w:val="002D1B58"/>
    <w:rsid w:val="002D3887"/>
    <w:rsid w:val="002D3A85"/>
    <w:rsid w:val="002D429F"/>
    <w:rsid w:val="002D5817"/>
    <w:rsid w:val="002E5121"/>
    <w:rsid w:val="002E73F8"/>
    <w:rsid w:val="002F337D"/>
    <w:rsid w:val="00303545"/>
    <w:rsid w:val="00304DBD"/>
    <w:rsid w:val="00304E60"/>
    <w:rsid w:val="00306E47"/>
    <w:rsid w:val="00306EAF"/>
    <w:rsid w:val="003139B6"/>
    <w:rsid w:val="00314970"/>
    <w:rsid w:val="003216E5"/>
    <w:rsid w:val="00321796"/>
    <w:rsid w:val="00324AF7"/>
    <w:rsid w:val="0033273F"/>
    <w:rsid w:val="00336FB0"/>
    <w:rsid w:val="003503A2"/>
    <w:rsid w:val="00350754"/>
    <w:rsid w:val="00351BF0"/>
    <w:rsid w:val="00352FD3"/>
    <w:rsid w:val="00353B19"/>
    <w:rsid w:val="00357806"/>
    <w:rsid w:val="00357EB1"/>
    <w:rsid w:val="003614ED"/>
    <w:rsid w:val="00364D04"/>
    <w:rsid w:val="00365908"/>
    <w:rsid w:val="0037005E"/>
    <w:rsid w:val="0037752F"/>
    <w:rsid w:val="00382FA3"/>
    <w:rsid w:val="003831EE"/>
    <w:rsid w:val="003868FA"/>
    <w:rsid w:val="00387D90"/>
    <w:rsid w:val="00391C19"/>
    <w:rsid w:val="00392410"/>
    <w:rsid w:val="00393244"/>
    <w:rsid w:val="003944E4"/>
    <w:rsid w:val="003A1578"/>
    <w:rsid w:val="003A267B"/>
    <w:rsid w:val="003A30D6"/>
    <w:rsid w:val="003A5300"/>
    <w:rsid w:val="003A7EF3"/>
    <w:rsid w:val="003B0604"/>
    <w:rsid w:val="003B14A6"/>
    <w:rsid w:val="003B434F"/>
    <w:rsid w:val="003B4543"/>
    <w:rsid w:val="003B61D5"/>
    <w:rsid w:val="003C0EF5"/>
    <w:rsid w:val="003D0252"/>
    <w:rsid w:val="003D197F"/>
    <w:rsid w:val="003D2B4F"/>
    <w:rsid w:val="003D3029"/>
    <w:rsid w:val="003D32ED"/>
    <w:rsid w:val="003D33E3"/>
    <w:rsid w:val="003D3A80"/>
    <w:rsid w:val="003D4402"/>
    <w:rsid w:val="003D4CEB"/>
    <w:rsid w:val="003D55FA"/>
    <w:rsid w:val="003D5ABA"/>
    <w:rsid w:val="003E0DE9"/>
    <w:rsid w:val="003F11BD"/>
    <w:rsid w:val="003F58D0"/>
    <w:rsid w:val="003F7E43"/>
    <w:rsid w:val="00401913"/>
    <w:rsid w:val="004103CB"/>
    <w:rsid w:val="00411066"/>
    <w:rsid w:val="0041160C"/>
    <w:rsid w:val="00411F4E"/>
    <w:rsid w:val="00413E52"/>
    <w:rsid w:val="00414D39"/>
    <w:rsid w:val="0041556C"/>
    <w:rsid w:val="0041594A"/>
    <w:rsid w:val="00422F46"/>
    <w:rsid w:val="00424F06"/>
    <w:rsid w:val="0042689A"/>
    <w:rsid w:val="00430C98"/>
    <w:rsid w:val="00434EB7"/>
    <w:rsid w:val="0043628A"/>
    <w:rsid w:val="00436AB6"/>
    <w:rsid w:val="004435A5"/>
    <w:rsid w:val="0045228C"/>
    <w:rsid w:val="0045446D"/>
    <w:rsid w:val="00454907"/>
    <w:rsid w:val="004556FE"/>
    <w:rsid w:val="00461526"/>
    <w:rsid w:val="00461ABF"/>
    <w:rsid w:val="00464718"/>
    <w:rsid w:val="00464EBA"/>
    <w:rsid w:val="0046781E"/>
    <w:rsid w:val="00470B7A"/>
    <w:rsid w:val="00470ED4"/>
    <w:rsid w:val="00471C6F"/>
    <w:rsid w:val="0047466A"/>
    <w:rsid w:val="00474916"/>
    <w:rsid w:val="004863ED"/>
    <w:rsid w:val="004925FD"/>
    <w:rsid w:val="00492B9D"/>
    <w:rsid w:val="00493D44"/>
    <w:rsid w:val="0049421A"/>
    <w:rsid w:val="00497D6F"/>
    <w:rsid w:val="004A1005"/>
    <w:rsid w:val="004A157E"/>
    <w:rsid w:val="004A5E2E"/>
    <w:rsid w:val="004B67DA"/>
    <w:rsid w:val="004C031D"/>
    <w:rsid w:val="004C25C3"/>
    <w:rsid w:val="004C2EBF"/>
    <w:rsid w:val="004C6256"/>
    <w:rsid w:val="004C6F14"/>
    <w:rsid w:val="004D14A4"/>
    <w:rsid w:val="004D246F"/>
    <w:rsid w:val="004D2C12"/>
    <w:rsid w:val="004D3E9E"/>
    <w:rsid w:val="004E081C"/>
    <w:rsid w:val="004E1E96"/>
    <w:rsid w:val="004E2975"/>
    <w:rsid w:val="004E472D"/>
    <w:rsid w:val="004E5863"/>
    <w:rsid w:val="004E59A4"/>
    <w:rsid w:val="004F0938"/>
    <w:rsid w:val="004F549A"/>
    <w:rsid w:val="004F5C05"/>
    <w:rsid w:val="0050086D"/>
    <w:rsid w:val="00502101"/>
    <w:rsid w:val="005030FD"/>
    <w:rsid w:val="005058F8"/>
    <w:rsid w:val="00520A20"/>
    <w:rsid w:val="00522F87"/>
    <w:rsid w:val="00523070"/>
    <w:rsid w:val="00523EF2"/>
    <w:rsid w:val="00526CBE"/>
    <w:rsid w:val="00532024"/>
    <w:rsid w:val="00532188"/>
    <w:rsid w:val="005322BC"/>
    <w:rsid w:val="0053453D"/>
    <w:rsid w:val="005407FA"/>
    <w:rsid w:val="0054375B"/>
    <w:rsid w:val="005440D5"/>
    <w:rsid w:val="00547B3E"/>
    <w:rsid w:val="00552335"/>
    <w:rsid w:val="005524B5"/>
    <w:rsid w:val="00552BE4"/>
    <w:rsid w:val="00552CC6"/>
    <w:rsid w:val="005637E9"/>
    <w:rsid w:val="00563BF5"/>
    <w:rsid w:val="00566340"/>
    <w:rsid w:val="00566649"/>
    <w:rsid w:val="0056728C"/>
    <w:rsid w:val="00567B67"/>
    <w:rsid w:val="00575790"/>
    <w:rsid w:val="00576B4B"/>
    <w:rsid w:val="00580C75"/>
    <w:rsid w:val="005846B7"/>
    <w:rsid w:val="00584983"/>
    <w:rsid w:val="005853B0"/>
    <w:rsid w:val="005856C9"/>
    <w:rsid w:val="0058612C"/>
    <w:rsid w:val="0059128C"/>
    <w:rsid w:val="00594D25"/>
    <w:rsid w:val="0059610C"/>
    <w:rsid w:val="005979B4"/>
    <w:rsid w:val="005A0AFA"/>
    <w:rsid w:val="005A0BC1"/>
    <w:rsid w:val="005A43F0"/>
    <w:rsid w:val="005A7216"/>
    <w:rsid w:val="005B07CD"/>
    <w:rsid w:val="005B2541"/>
    <w:rsid w:val="005B3C20"/>
    <w:rsid w:val="005B70F1"/>
    <w:rsid w:val="005C027C"/>
    <w:rsid w:val="005C193C"/>
    <w:rsid w:val="005C35A7"/>
    <w:rsid w:val="005C63A9"/>
    <w:rsid w:val="005C74EE"/>
    <w:rsid w:val="005D0BEF"/>
    <w:rsid w:val="005D0F04"/>
    <w:rsid w:val="005D4219"/>
    <w:rsid w:val="005D480A"/>
    <w:rsid w:val="005D51AB"/>
    <w:rsid w:val="005D6752"/>
    <w:rsid w:val="005E3BB9"/>
    <w:rsid w:val="005E3DDC"/>
    <w:rsid w:val="005E708D"/>
    <w:rsid w:val="005E7115"/>
    <w:rsid w:val="005F0A8F"/>
    <w:rsid w:val="005F4326"/>
    <w:rsid w:val="00600A6C"/>
    <w:rsid w:val="006015C5"/>
    <w:rsid w:val="0060660D"/>
    <w:rsid w:val="00610368"/>
    <w:rsid w:val="00610826"/>
    <w:rsid w:val="00611E02"/>
    <w:rsid w:val="006121B5"/>
    <w:rsid w:val="0062100A"/>
    <w:rsid w:val="00621735"/>
    <w:rsid w:val="00624447"/>
    <w:rsid w:val="00625D75"/>
    <w:rsid w:val="0063077F"/>
    <w:rsid w:val="00631B69"/>
    <w:rsid w:val="00631D8D"/>
    <w:rsid w:val="006332F5"/>
    <w:rsid w:val="006348E0"/>
    <w:rsid w:val="0063660A"/>
    <w:rsid w:val="006366EB"/>
    <w:rsid w:val="00640199"/>
    <w:rsid w:val="00640C41"/>
    <w:rsid w:val="00640DE7"/>
    <w:rsid w:val="006433BD"/>
    <w:rsid w:val="00646D67"/>
    <w:rsid w:val="00647800"/>
    <w:rsid w:val="00656B13"/>
    <w:rsid w:val="00656C39"/>
    <w:rsid w:val="00660784"/>
    <w:rsid w:val="00666355"/>
    <w:rsid w:val="00676568"/>
    <w:rsid w:val="006869B2"/>
    <w:rsid w:val="00690223"/>
    <w:rsid w:val="00692F4C"/>
    <w:rsid w:val="00697F91"/>
    <w:rsid w:val="006A00EB"/>
    <w:rsid w:val="006A0E2A"/>
    <w:rsid w:val="006A132B"/>
    <w:rsid w:val="006A1399"/>
    <w:rsid w:val="006A3443"/>
    <w:rsid w:val="006A7710"/>
    <w:rsid w:val="006A78F1"/>
    <w:rsid w:val="006A7E10"/>
    <w:rsid w:val="006B1668"/>
    <w:rsid w:val="006B16A3"/>
    <w:rsid w:val="006B1C95"/>
    <w:rsid w:val="006C0472"/>
    <w:rsid w:val="006C1F8C"/>
    <w:rsid w:val="006C3D01"/>
    <w:rsid w:val="006D0B40"/>
    <w:rsid w:val="006D0D5E"/>
    <w:rsid w:val="006D13E0"/>
    <w:rsid w:val="006D2F1F"/>
    <w:rsid w:val="006D5138"/>
    <w:rsid w:val="006D5B31"/>
    <w:rsid w:val="006E0BC3"/>
    <w:rsid w:val="006E17A1"/>
    <w:rsid w:val="006E774A"/>
    <w:rsid w:val="006E7AD0"/>
    <w:rsid w:val="006E7D48"/>
    <w:rsid w:val="006F51BD"/>
    <w:rsid w:val="006F531F"/>
    <w:rsid w:val="006F7564"/>
    <w:rsid w:val="007052DE"/>
    <w:rsid w:val="00710031"/>
    <w:rsid w:val="007121A3"/>
    <w:rsid w:val="00716948"/>
    <w:rsid w:val="00717C17"/>
    <w:rsid w:val="00717F78"/>
    <w:rsid w:val="00721510"/>
    <w:rsid w:val="00724C5A"/>
    <w:rsid w:val="00725B17"/>
    <w:rsid w:val="0072629C"/>
    <w:rsid w:val="00730953"/>
    <w:rsid w:val="0073296A"/>
    <w:rsid w:val="00732D75"/>
    <w:rsid w:val="00733479"/>
    <w:rsid w:val="007445DA"/>
    <w:rsid w:val="007503B8"/>
    <w:rsid w:val="00751594"/>
    <w:rsid w:val="007539DE"/>
    <w:rsid w:val="00757DBE"/>
    <w:rsid w:val="00757E6D"/>
    <w:rsid w:val="00760202"/>
    <w:rsid w:val="00760500"/>
    <w:rsid w:val="007605E3"/>
    <w:rsid w:val="00764F0F"/>
    <w:rsid w:val="00766771"/>
    <w:rsid w:val="00770A34"/>
    <w:rsid w:val="0077213B"/>
    <w:rsid w:val="00774184"/>
    <w:rsid w:val="00774337"/>
    <w:rsid w:val="00774FFD"/>
    <w:rsid w:val="007750BA"/>
    <w:rsid w:val="007750C8"/>
    <w:rsid w:val="00776F53"/>
    <w:rsid w:val="00780525"/>
    <w:rsid w:val="00780961"/>
    <w:rsid w:val="00782ED1"/>
    <w:rsid w:val="00784BAF"/>
    <w:rsid w:val="0078563F"/>
    <w:rsid w:val="007857B5"/>
    <w:rsid w:val="0078716E"/>
    <w:rsid w:val="00787319"/>
    <w:rsid w:val="007877A3"/>
    <w:rsid w:val="00790137"/>
    <w:rsid w:val="007904DB"/>
    <w:rsid w:val="00790C31"/>
    <w:rsid w:val="007917A5"/>
    <w:rsid w:val="00794AD6"/>
    <w:rsid w:val="00796EE9"/>
    <w:rsid w:val="00797339"/>
    <w:rsid w:val="007A215D"/>
    <w:rsid w:val="007A52A1"/>
    <w:rsid w:val="007A5D4F"/>
    <w:rsid w:val="007A6D32"/>
    <w:rsid w:val="007B0902"/>
    <w:rsid w:val="007C094D"/>
    <w:rsid w:val="007C2641"/>
    <w:rsid w:val="007C387C"/>
    <w:rsid w:val="007C634C"/>
    <w:rsid w:val="007C7FFD"/>
    <w:rsid w:val="007D0C64"/>
    <w:rsid w:val="007D2459"/>
    <w:rsid w:val="007D2D3C"/>
    <w:rsid w:val="007D5DBF"/>
    <w:rsid w:val="007E04DA"/>
    <w:rsid w:val="007E08E6"/>
    <w:rsid w:val="007E45FF"/>
    <w:rsid w:val="007E5365"/>
    <w:rsid w:val="007F2C7A"/>
    <w:rsid w:val="00800635"/>
    <w:rsid w:val="008011AE"/>
    <w:rsid w:val="0080257E"/>
    <w:rsid w:val="00802DC6"/>
    <w:rsid w:val="00811425"/>
    <w:rsid w:val="008142C8"/>
    <w:rsid w:val="00816058"/>
    <w:rsid w:val="00827471"/>
    <w:rsid w:val="008274E1"/>
    <w:rsid w:val="008366ED"/>
    <w:rsid w:val="00840127"/>
    <w:rsid w:val="0085153F"/>
    <w:rsid w:val="0085200D"/>
    <w:rsid w:val="00852335"/>
    <w:rsid w:val="0085513E"/>
    <w:rsid w:val="00857104"/>
    <w:rsid w:val="00860A98"/>
    <w:rsid w:val="00863D53"/>
    <w:rsid w:val="008723B7"/>
    <w:rsid w:val="0087478F"/>
    <w:rsid w:val="008750A0"/>
    <w:rsid w:val="00875E7E"/>
    <w:rsid w:val="008818FF"/>
    <w:rsid w:val="00884898"/>
    <w:rsid w:val="0088746F"/>
    <w:rsid w:val="0089397C"/>
    <w:rsid w:val="008947DF"/>
    <w:rsid w:val="00894AA8"/>
    <w:rsid w:val="00897397"/>
    <w:rsid w:val="008A29FB"/>
    <w:rsid w:val="008A4D05"/>
    <w:rsid w:val="008A5227"/>
    <w:rsid w:val="008A62EB"/>
    <w:rsid w:val="008A705D"/>
    <w:rsid w:val="008A7FE4"/>
    <w:rsid w:val="008B09CF"/>
    <w:rsid w:val="008B132C"/>
    <w:rsid w:val="008B1BD0"/>
    <w:rsid w:val="008B1D55"/>
    <w:rsid w:val="008B2676"/>
    <w:rsid w:val="008B38DE"/>
    <w:rsid w:val="008B7CC6"/>
    <w:rsid w:val="008C0444"/>
    <w:rsid w:val="008C3D70"/>
    <w:rsid w:val="008C64BB"/>
    <w:rsid w:val="008D2AC0"/>
    <w:rsid w:val="008D6EB5"/>
    <w:rsid w:val="008D6F89"/>
    <w:rsid w:val="008E0D60"/>
    <w:rsid w:val="008E26FC"/>
    <w:rsid w:val="008E27ED"/>
    <w:rsid w:val="008E2C3B"/>
    <w:rsid w:val="008E6520"/>
    <w:rsid w:val="008E704D"/>
    <w:rsid w:val="008F028E"/>
    <w:rsid w:val="008F1C82"/>
    <w:rsid w:val="008F434C"/>
    <w:rsid w:val="008F53E3"/>
    <w:rsid w:val="008F699B"/>
    <w:rsid w:val="00901298"/>
    <w:rsid w:val="00910D26"/>
    <w:rsid w:val="00911E3E"/>
    <w:rsid w:val="00913293"/>
    <w:rsid w:val="009159F9"/>
    <w:rsid w:val="0091797C"/>
    <w:rsid w:val="00923C5D"/>
    <w:rsid w:val="00924F2B"/>
    <w:rsid w:val="00924FC9"/>
    <w:rsid w:val="009267BA"/>
    <w:rsid w:val="00931663"/>
    <w:rsid w:val="00931795"/>
    <w:rsid w:val="00932046"/>
    <w:rsid w:val="009333BD"/>
    <w:rsid w:val="009409B6"/>
    <w:rsid w:val="0096108D"/>
    <w:rsid w:val="00962899"/>
    <w:rsid w:val="009649EB"/>
    <w:rsid w:val="00966DF5"/>
    <w:rsid w:val="00967EFE"/>
    <w:rsid w:val="00973758"/>
    <w:rsid w:val="00977018"/>
    <w:rsid w:val="00977F67"/>
    <w:rsid w:val="00981DBF"/>
    <w:rsid w:val="00991031"/>
    <w:rsid w:val="00992399"/>
    <w:rsid w:val="009A0549"/>
    <w:rsid w:val="009A2E21"/>
    <w:rsid w:val="009A2FBE"/>
    <w:rsid w:val="009A439A"/>
    <w:rsid w:val="009A4D8E"/>
    <w:rsid w:val="009A5DD2"/>
    <w:rsid w:val="009A7FA1"/>
    <w:rsid w:val="009B1460"/>
    <w:rsid w:val="009B1850"/>
    <w:rsid w:val="009B1AE3"/>
    <w:rsid w:val="009B28DC"/>
    <w:rsid w:val="009B6E7C"/>
    <w:rsid w:val="009B75D8"/>
    <w:rsid w:val="009B76D5"/>
    <w:rsid w:val="009B7F75"/>
    <w:rsid w:val="009C46EE"/>
    <w:rsid w:val="009C6626"/>
    <w:rsid w:val="009C74CD"/>
    <w:rsid w:val="009C76B9"/>
    <w:rsid w:val="009D04C0"/>
    <w:rsid w:val="009D1BDB"/>
    <w:rsid w:val="009D4467"/>
    <w:rsid w:val="009D59E6"/>
    <w:rsid w:val="009E2731"/>
    <w:rsid w:val="009E46DA"/>
    <w:rsid w:val="009E719C"/>
    <w:rsid w:val="009E72C3"/>
    <w:rsid w:val="009F3982"/>
    <w:rsid w:val="009F60EF"/>
    <w:rsid w:val="009F7C38"/>
    <w:rsid w:val="009F7D67"/>
    <w:rsid w:val="00A016E4"/>
    <w:rsid w:val="00A06AC5"/>
    <w:rsid w:val="00A06DBB"/>
    <w:rsid w:val="00A1262E"/>
    <w:rsid w:val="00A157C0"/>
    <w:rsid w:val="00A15D9C"/>
    <w:rsid w:val="00A166DB"/>
    <w:rsid w:val="00A2121F"/>
    <w:rsid w:val="00A26CAE"/>
    <w:rsid w:val="00A27BB1"/>
    <w:rsid w:val="00A3379A"/>
    <w:rsid w:val="00A4073C"/>
    <w:rsid w:val="00A427BA"/>
    <w:rsid w:val="00A43A48"/>
    <w:rsid w:val="00A50528"/>
    <w:rsid w:val="00A50A35"/>
    <w:rsid w:val="00A546C1"/>
    <w:rsid w:val="00A54D9B"/>
    <w:rsid w:val="00A555BA"/>
    <w:rsid w:val="00A55C52"/>
    <w:rsid w:val="00A57196"/>
    <w:rsid w:val="00A606BA"/>
    <w:rsid w:val="00A6084C"/>
    <w:rsid w:val="00A61A05"/>
    <w:rsid w:val="00A71345"/>
    <w:rsid w:val="00A72C13"/>
    <w:rsid w:val="00A77DC4"/>
    <w:rsid w:val="00A77DD3"/>
    <w:rsid w:val="00A80464"/>
    <w:rsid w:val="00A83AFC"/>
    <w:rsid w:val="00A85AE8"/>
    <w:rsid w:val="00A86466"/>
    <w:rsid w:val="00A908AD"/>
    <w:rsid w:val="00A916DD"/>
    <w:rsid w:val="00A920D3"/>
    <w:rsid w:val="00A934B2"/>
    <w:rsid w:val="00A937E0"/>
    <w:rsid w:val="00A956C0"/>
    <w:rsid w:val="00A967ED"/>
    <w:rsid w:val="00AA177D"/>
    <w:rsid w:val="00AA651B"/>
    <w:rsid w:val="00AA697F"/>
    <w:rsid w:val="00AB043A"/>
    <w:rsid w:val="00AB04F6"/>
    <w:rsid w:val="00AB2990"/>
    <w:rsid w:val="00AB344B"/>
    <w:rsid w:val="00AB727E"/>
    <w:rsid w:val="00AB738F"/>
    <w:rsid w:val="00AB7DE6"/>
    <w:rsid w:val="00AC3D05"/>
    <w:rsid w:val="00AC4301"/>
    <w:rsid w:val="00AC4E40"/>
    <w:rsid w:val="00AC5074"/>
    <w:rsid w:val="00AC5BE2"/>
    <w:rsid w:val="00AC793D"/>
    <w:rsid w:val="00AD07E0"/>
    <w:rsid w:val="00AD2120"/>
    <w:rsid w:val="00AD2DA0"/>
    <w:rsid w:val="00AD2F93"/>
    <w:rsid w:val="00AD74A6"/>
    <w:rsid w:val="00AE574C"/>
    <w:rsid w:val="00AE69A4"/>
    <w:rsid w:val="00AF2824"/>
    <w:rsid w:val="00AF3E98"/>
    <w:rsid w:val="00AF425D"/>
    <w:rsid w:val="00AF4290"/>
    <w:rsid w:val="00AF482A"/>
    <w:rsid w:val="00AF69F6"/>
    <w:rsid w:val="00AF7823"/>
    <w:rsid w:val="00B01795"/>
    <w:rsid w:val="00B01E70"/>
    <w:rsid w:val="00B04B99"/>
    <w:rsid w:val="00B0531B"/>
    <w:rsid w:val="00B05FE1"/>
    <w:rsid w:val="00B061C2"/>
    <w:rsid w:val="00B07F3B"/>
    <w:rsid w:val="00B15B71"/>
    <w:rsid w:val="00B1630F"/>
    <w:rsid w:val="00B21035"/>
    <w:rsid w:val="00B26379"/>
    <w:rsid w:val="00B26DA6"/>
    <w:rsid w:val="00B274D8"/>
    <w:rsid w:val="00B30156"/>
    <w:rsid w:val="00B352CE"/>
    <w:rsid w:val="00B356F6"/>
    <w:rsid w:val="00B374F8"/>
    <w:rsid w:val="00B41223"/>
    <w:rsid w:val="00B41FA8"/>
    <w:rsid w:val="00B421F9"/>
    <w:rsid w:val="00B44169"/>
    <w:rsid w:val="00B4478F"/>
    <w:rsid w:val="00B459E2"/>
    <w:rsid w:val="00B47CB2"/>
    <w:rsid w:val="00B5217C"/>
    <w:rsid w:val="00B52D13"/>
    <w:rsid w:val="00B54390"/>
    <w:rsid w:val="00B61D36"/>
    <w:rsid w:val="00B670FF"/>
    <w:rsid w:val="00B71692"/>
    <w:rsid w:val="00B716DF"/>
    <w:rsid w:val="00B75FCB"/>
    <w:rsid w:val="00B7635F"/>
    <w:rsid w:val="00B82481"/>
    <w:rsid w:val="00B84618"/>
    <w:rsid w:val="00B8487D"/>
    <w:rsid w:val="00B8630D"/>
    <w:rsid w:val="00B875D7"/>
    <w:rsid w:val="00B91C69"/>
    <w:rsid w:val="00B93F48"/>
    <w:rsid w:val="00B962BD"/>
    <w:rsid w:val="00BA13EE"/>
    <w:rsid w:val="00BA19C1"/>
    <w:rsid w:val="00BA341A"/>
    <w:rsid w:val="00BA3F90"/>
    <w:rsid w:val="00BA705B"/>
    <w:rsid w:val="00BA7B2D"/>
    <w:rsid w:val="00BB0859"/>
    <w:rsid w:val="00BB1E2D"/>
    <w:rsid w:val="00BB6964"/>
    <w:rsid w:val="00BC04C8"/>
    <w:rsid w:val="00BC4E85"/>
    <w:rsid w:val="00BC5D26"/>
    <w:rsid w:val="00BC664E"/>
    <w:rsid w:val="00BD0980"/>
    <w:rsid w:val="00BD09DB"/>
    <w:rsid w:val="00BD541C"/>
    <w:rsid w:val="00BE487A"/>
    <w:rsid w:val="00BF0A40"/>
    <w:rsid w:val="00BF3FC9"/>
    <w:rsid w:val="00BF6436"/>
    <w:rsid w:val="00C03BF7"/>
    <w:rsid w:val="00C04122"/>
    <w:rsid w:val="00C10D1F"/>
    <w:rsid w:val="00C11C9D"/>
    <w:rsid w:val="00C1270A"/>
    <w:rsid w:val="00C12D16"/>
    <w:rsid w:val="00C1687C"/>
    <w:rsid w:val="00C17FBC"/>
    <w:rsid w:val="00C21D28"/>
    <w:rsid w:val="00C23997"/>
    <w:rsid w:val="00C25AAA"/>
    <w:rsid w:val="00C3114F"/>
    <w:rsid w:val="00C37407"/>
    <w:rsid w:val="00C37A69"/>
    <w:rsid w:val="00C41E7A"/>
    <w:rsid w:val="00C4226A"/>
    <w:rsid w:val="00C45722"/>
    <w:rsid w:val="00C473C1"/>
    <w:rsid w:val="00C47DCD"/>
    <w:rsid w:val="00C5106D"/>
    <w:rsid w:val="00C52E99"/>
    <w:rsid w:val="00C53BE6"/>
    <w:rsid w:val="00C56AD8"/>
    <w:rsid w:val="00C56DD9"/>
    <w:rsid w:val="00C60626"/>
    <w:rsid w:val="00C60C40"/>
    <w:rsid w:val="00C6476F"/>
    <w:rsid w:val="00C658CC"/>
    <w:rsid w:val="00C70461"/>
    <w:rsid w:val="00C7159F"/>
    <w:rsid w:val="00C73608"/>
    <w:rsid w:val="00C7425F"/>
    <w:rsid w:val="00C7483B"/>
    <w:rsid w:val="00C75A06"/>
    <w:rsid w:val="00C75D8D"/>
    <w:rsid w:val="00C765CF"/>
    <w:rsid w:val="00C81ED2"/>
    <w:rsid w:val="00C82DB3"/>
    <w:rsid w:val="00C84445"/>
    <w:rsid w:val="00C87B6B"/>
    <w:rsid w:val="00CA3DD0"/>
    <w:rsid w:val="00CA477A"/>
    <w:rsid w:val="00CB1D4B"/>
    <w:rsid w:val="00CB3D21"/>
    <w:rsid w:val="00CB515D"/>
    <w:rsid w:val="00CB6757"/>
    <w:rsid w:val="00CC0693"/>
    <w:rsid w:val="00CC0A83"/>
    <w:rsid w:val="00CC418E"/>
    <w:rsid w:val="00CD259F"/>
    <w:rsid w:val="00CD3993"/>
    <w:rsid w:val="00CD7B6B"/>
    <w:rsid w:val="00CE379F"/>
    <w:rsid w:val="00CE3B84"/>
    <w:rsid w:val="00CE48E9"/>
    <w:rsid w:val="00CE6A6C"/>
    <w:rsid w:val="00CF1DE9"/>
    <w:rsid w:val="00CF4F5C"/>
    <w:rsid w:val="00CF5EC9"/>
    <w:rsid w:val="00D00326"/>
    <w:rsid w:val="00D01A52"/>
    <w:rsid w:val="00D028EC"/>
    <w:rsid w:val="00D0401C"/>
    <w:rsid w:val="00D10C28"/>
    <w:rsid w:val="00D206A2"/>
    <w:rsid w:val="00D20E83"/>
    <w:rsid w:val="00D22D95"/>
    <w:rsid w:val="00D251BB"/>
    <w:rsid w:val="00D266EB"/>
    <w:rsid w:val="00D32A00"/>
    <w:rsid w:val="00D339B2"/>
    <w:rsid w:val="00D34A4B"/>
    <w:rsid w:val="00D373F5"/>
    <w:rsid w:val="00D44D35"/>
    <w:rsid w:val="00D47AA4"/>
    <w:rsid w:val="00D47F03"/>
    <w:rsid w:val="00D51D4C"/>
    <w:rsid w:val="00D60CEE"/>
    <w:rsid w:val="00D621AF"/>
    <w:rsid w:val="00D62D31"/>
    <w:rsid w:val="00D63894"/>
    <w:rsid w:val="00D65E67"/>
    <w:rsid w:val="00D66B76"/>
    <w:rsid w:val="00D67683"/>
    <w:rsid w:val="00D73990"/>
    <w:rsid w:val="00D75B33"/>
    <w:rsid w:val="00D75F4B"/>
    <w:rsid w:val="00D766AA"/>
    <w:rsid w:val="00D7747A"/>
    <w:rsid w:val="00D77C72"/>
    <w:rsid w:val="00D803E3"/>
    <w:rsid w:val="00D820B2"/>
    <w:rsid w:val="00D824EC"/>
    <w:rsid w:val="00D84BFF"/>
    <w:rsid w:val="00D84E93"/>
    <w:rsid w:val="00D9154F"/>
    <w:rsid w:val="00D92E09"/>
    <w:rsid w:val="00D96929"/>
    <w:rsid w:val="00DA32AC"/>
    <w:rsid w:val="00DB3770"/>
    <w:rsid w:val="00DC0406"/>
    <w:rsid w:val="00DC103E"/>
    <w:rsid w:val="00DC17B8"/>
    <w:rsid w:val="00DC3F61"/>
    <w:rsid w:val="00DC4D9E"/>
    <w:rsid w:val="00DD183E"/>
    <w:rsid w:val="00DD3E1A"/>
    <w:rsid w:val="00DD53C1"/>
    <w:rsid w:val="00DD6FF8"/>
    <w:rsid w:val="00DD7CEC"/>
    <w:rsid w:val="00DD7F0B"/>
    <w:rsid w:val="00DE30A7"/>
    <w:rsid w:val="00DF23AD"/>
    <w:rsid w:val="00DF34B9"/>
    <w:rsid w:val="00E04665"/>
    <w:rsid w:val="00E04EBF"/>
    <w:rsid w:val="00E065E2"/>
    <w:rsid w:val="00E06A5C"/>
    <w:rsid w:val="00E07C3F"/>
    <w:rsid w:val="00E11F43"/>
    <w:rsid w:val="00E1397A"/>
    <w:rsid w:val="00E2248E"/>
    <w:rsid w:val="00E26333"/>
    <w:rsid w:val="00E27C8A"/>
    <w:rsid w:val="00E33368"/>
    <w:rsid w:val="00E355A6"/>
    <w:rsid w:val="00E35EC9"/>
    <w:rsid w:val="00E3632E"/>
    <w:rsid w:val="00E405B1"/>
    <w:rsid w:val="00E40E62"/>
    <w:rsid w:val="00E4198A"/>
    <w:rsid w:val="00E43955"/>
    <w:rsid w:val="00E44809"/>
    <w:rsid w:val="00E44E8E"/>
    <w:rsid w:val="00E47798"/>
    <w:rsid w:val="00E51D73"/>
    <w:rsid w:val="00E5229A"/>
    <w:rsid w:val="00E54628"/>
    <w:rsid w:val="00E54CAA"/>
    <w:rsid w:val="00E57990"/>
    <w:rsid w:val="00E6079D"/>
    <w:rsid w:val="00E63482"/>
    <w:rsid w:val="00E67AB4"/>
    <w:rsid w:val="00E809A0"/>
    <w:rsid w:val="00E82188"/>
    <w:rsid w:val="00E83DC6"/>
    <w:rsid w:val="00E83FD3"/>
    <w:rsid w:val="00E84DBF"/>
    <w:rsid w:val="00E92F29"/>
    <w:rsid w:val="00E97417"/>
    <w:rsid w:val="00EA1377"/>
    <w:rsid w:val="00EA29DB"/>
    <w:rsid w:val="00EA4F67"/>
    <w:rsid w:val="00EA6FB6"/>
    <w:rsid w:val="00EB0112"/>
    <w:rsid w:val="00EB2F35"/>
    <w:rsid w:val="00EB30AE"/>
    <w:rsid w:val="00EB422C"/>
    <w:rsid w:val="00EB4DB0"/>
    <w:rsid w:val="00EB53D8"/>
    <w:rsid w:val="00EB5C47"/>
    <w:rsid w:val="00EB67D7"/>
    <w:rsid w:val="00EC04F8"/>
    <w:rsid w:val="00EC5FF9"/>
    <w:rsid w:val="00EC6202"/>
    <w:rsid w:val="00EC6695"/>
    <w:rsid w:val="00EC6D4A"/>
    <w:rsid w:val="00ED11E6"/>
    <w:rsid w:val="00ED3298"/>
    <w:rsid w:val="00ED6B08"/>
    <w:rsid w:val="00EE133D"/>
    <w:rsid w:val="00EE301D"/>
    <w:rsid w:val="00EE7F75"/>
    <w:rsid w:val="00EF1A92"/>
    <w:rsid w:val="00EF2B33"/>
    <w:rsid w:val="00EF6E1A"/>
    <w:rsid w:val="00F0142B"/>
    <w:rsid w:val="00F0270B"/>
    <w:rsid w:val="00F06186"/>
    <w:rsid w:val="00F07C63"/>
    <w:rsid w:val="00F13440"/>
    <w:rsid w:val="00F17BF6"/>
    <w:rsid w:val="00F23EB5"/>
    <w:rsid w:val="00F25099"/>
    <w:rsid w:val="00F253DF"/>
    <w:rsid w:val="00F31E71"/>
    <w:rsid w:val="00F32B13"/>
    <w:rsid w:val="00F40DC4"/>
    <w:rsid w:val="00F4671E"/>
    <w:rsid w:val="00F46F49"/>
    <w:rsid w:val="00F4720B"/>
    <w:rsid w:val="00F5067F"/>
    <w:rsid w:val="00F50D22"/>
    <w:rsid w:val="00F51D2F"/>
    <w:rsid w:val="00F606FD"/>
    <w:rsid w:val="00F77CE3"/>
    <w:rsid w:val="00F80D49"/>
    <w:rsid w:val="00F849F9"/>
    <w:rsid w:val="00F87319"/>
    <w:rsid w:val="00F91140"/>
    <w:rsid w:val="00F950C1"/>
    <w:rsid w:val="00F97E4E"/>
    <w:rsid w:val="00FA25C9"/>
    <w:rsid w:val="00FA268F"/>
    <w:rsid w:val="00FA2C7B"/>
    <w:rsid w:val="00FA2E88"/>
    <w:rsid w:val="00FA3565"/>
    <w:rsid w:val="00FA536F"/>
    <w:rsid w:val="00FC2139"/>
    <w:rsid w:val="00FC2FF6"/>
    <w:rsid w:val="00FC3EB4"/>
    <w:rsid w:val="00FC582E"/>
    <w:rsid w:val="00FC6087"/>
    <w:rsid w:val="00FC6850"/>
    <w:rsid w:val="00FC7280"/>
    <w:rsid w:val="00FC7326"/>
    <w:rsid w:val="00FD1E96"/>
    <w:rsid w:val="00FD4155"/>
    <w:rsid w:val="00FE00BC"/>
    <w:rsid w:val="00FE2745"/>
    <w:rsid w:val="00FE2FBC"/>
    <w:rsid w:val="00FF3EF5"/>
    <w:rsid w:val="00FF688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3A80E"/>
  <w15:docId w15:val="{EE9EB311-8DD9-9D48-A049-D30FC9AAA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AE8"/>
  </w:style>
  <w:style w:type="paragraph" w:styleId="Heading1">
    <w:name w:val="heading 1"/>
    <w:basedOn w:val="Normal"/>
    <w:next w:val="Normal"/>
    <w:link w:val="Heading1Char"/>
    <w:uiPriority w:val="9"/>
    <w:qFormat/>
    <w:rsid w:val="00BA705B"/>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C2D71"/>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7747A"/>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DB3770"/>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A705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05B"/>
    <w:rPr>
      <w:rFonts w:asciiTheme="majorHAnsi" w:eastAsiaTheme="majorEastAsia" w:hAnsiTheme="majorHAnsi" w:cstheme="majorBidi"/>
      <w:spacing w:val="-10"/>
      <w:kern w:val="28"/>
      <w:sz w:val="56"/>
      <w:szCs w:val="56"/>
    </w:rPr>
  </w:style>
  <w:style w:type="paragraph" w:customStyle="1" w:styleId="TimesNewRoman">
    <w:name w:val="Times New Roman"/>
    <w:basedOn w:val="Normal"/>
    <w:qFormat/>
    <w:rsid w:val="00BA705B"/>
    <w:rPr>
      <w:rFonts w:asciiTheme="majorBidi" w:hAnsiTheme="majorBidi"/>
    </w:rPr>
  </w:style>
  <w:style w:type="paragraph" w:customStyle="1" w:styleId="TitleTNR">
    <w:name w:val="Title (TNR)"/>
    <w:basedOn w:val="Title"/>
    <w:qFormat/>
    <w:rsid w:val="00BA705B"/>
    <w:rPr>
      <w:rFonts w:asciiTheme="majorBidi" w:hAnsiTheme="majorBidi"/>
      <w:b/>
      <w:i/>
    </w:rPr>
  </w:style>
  <w:style w:type="character" w:customStyle="1" w:styleId="Heading1Char">
    <w:name w:val="Heading 1 Char"/>
    <w:basedOn w:val="DefaultParagraphFont"/>
    <w:link w:val="Heading1"/>
    <w:uiPriority w:val="9"/>
    <w:rsid w:val="00BA705B"/>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BA705B"/>
    <w:pPr>
      <w:spacing w:before="480" w:line="276" w:lineRule="auto"/>
      <w:outlineLvl w:val="9"/>
    </w:pPr>
    <w:rPr>
      <w:b/>
      <w:bCs/>
      <w:sz w:val="28"/>
      <w:szCs w:val="28"/>
      <w:lang w:eastAsia="en-US"/>
    </w:rPr>
  </w:style>
  <w:style w:type="paragraph" w:styleId="TOC2">
    <w:name w:val="toc 2"/>
    <w:basedOn w:val="Normal"/>
    <w:next w:val="Normal"/>
    <w:autoRedefine/>
    <w:uiPriority w:val="39"/>
    <w:unhideWhenUsed/>
    <w:rsid w:val="005524B5"/>
    <w:pPr>
      <w:tabs>
        <w:tab w:val="right" w:leader="dot" w:pos="9350"/>
      </w:tabs>
      <w:spacing w:before="120"/>
      <w:ind w:left="240"/>
    </w:pPr>
    <w:rPr>
      <w:rFonts w:cstheme="minorHAnsi"/>
      <w:b/>
      <w:bCs/>
      <w:sz w:val="22"/>
      <w:szCs w:val="26"/>
    </w:rPr>
  </w:style>
  <w:style w:type="paragraph" w:styleId="TOC1">
    <w:name w:val="toc 1"/>
    <w:basedOn w:val="Normal"/>
    <w:next w:val="Normal"/>
    <w:autoRedefine/>
    <w:uiPriority w:val="39"/>
    <w:unhideWhenUsed/>
    <w:rsid w:val="00BA705B"/>
    <w:pPr>
      <w:spacing w:before="120"/>
    </w:pPr>
    <w:rPr>
      <w:rFonts w:cstheme="minorHAnsi"/>
      <w:b/>
      <w:bCs/>
      <w:i/>
      <w:iCs/>
      <w:szCs w:val="28"/>
    </w:rPr>
  </w:style>
  <w:style w:type="paragraph" w:styleId="TOC3">
    <w:name w:val="toc 3"/>
    <w:basedOn w:val="Normal"/>
    <w:next w:val="Normal"/>
    <w:autoRedefine/>
    <w:uiPriority w:val="39"/>
    <w:unhideWhenUsed/>
    <w:rsid w:val="005524B5"/>
    <w:pPr>
      <w:tabs>
        <w:tab w:val="right" w:leader="dot" w:pos="9350"/>
      </w:tabs>
      <w:ind w:left="480"/>
    </w:pPr>
    <w:rPr>
      <w:rFonts w:cstheme="minorHAnsi"/>
      <w:sz w:val="20"/>
    </w:rPr>
  </w:style>
  <w:style w:type="paragraph" w:styleId="TOC4">
    <w:name w:val="toc 4"/>
    <w:basedOn w:val="Normal"/>
    <w:next w:val="Normal"/>
    <w:autoRedefine/>
    <w:uiPriority w:val="39"/>
    <w:semiHidden/>
    <w:unhideWhenUsed/>
    <w:rsid w:val="00BA705B"/>
    <w:pPr>
      <w:ind w:left="720"/>
    </w:pPr>
    <w:rPr>
      <w:rFonts w:cstheme="minorHAnsi"/>
      <w:sz w:val="20"/>
    </w:rPr>
  </w:style>
  <w:style w:type="paragraph" w:styleId="TOC5">
    <w:name w:val="toc 5"/>
    <w:basedOn w:val="Normal"/>
    <w:next w:val="Normal"/>
    <w:autoRedefine/>
    <w:uiPriority w:val="39"/>
    <w:semiHidden/>
    <w:unhideWhenUsed/>
    <w:rsid w:val="00BA705B"/>
    <w:pPr>
      <w:ind w:left="960"/>
    </w:pPr>
    <w:rPr>
      <w:rFonts w:cstheme="minorHAnsi"/>
      <w:sz w:val="20"/>
    </w:rPr>
  </w:style>
  <w:style w:type="paragraph" w:styleId="TOC6">
    <w:name w:val="toc 6"/>
    <w:basedOn w:val="Normal"/>
    <w:next w:val="Normal"/>
    <w:autoRedefine/>
    <w:uiPriority w:val="39"/>
    <w:semiHidden/>
    <w:unhideWhenUsed/>
    <w:rsid w:val="00BA705B"/>
    <w:pPr>
      <w:ind w:left="1200"/>
    </w:pPr>
    <w:rPr>
      <w:rFonts w:cstheme="minorHAnsi"/>
      <w:sz w:val="20"/>
    </w:rPr>
  </w:style>
  <w:style w:type="paragraph" w:styleId="TOC7">
    <w:name w:val="toc 7"/>
    <w:basedOn w:val="Normal"/>
    <w:next w:val="Normal"/>
    <w:autoRedefine/>
    <w:uiPriority w:val="39"/>
    <w:semiHidden/>
    <w:unhideWhenUsed/>
    <w:rsid w:val="00BA705B"/>
    <w:pPr>
      <w:ind w:left="1440"/>
    </w:pPr>
    <w:rPr>
      <w:rFonts w:cstheme="minorHAnsi"/>
      <w:sz w:val="20"/>
    </w:rPr>
  </w:style>
  <w:style w:type="paragraph" w:styleId="TOC8">
    <w:name w:val="toc 8"/>
    <w:basedOn w:val="Normal"/>
    <w:next w:val="Normal"/>
    <w:autoRedefine/>
    <w:uiPriority w:val="39"/>
    <w:semiHidden/>
    <w:unhideWhenUsed/>
    <w:rsid w:val="00BA705B"/>
    <w:pPr>
      <w:ind w:left="1680"/>
    </w:pPr>
    <w:rPr>
      <w:rFonts w:cstheme="minorHAnsi"/>
      <w:sz w:val="20"/>
    </w:rPr>
  </w:style>
  <w:style w:type="paragraph" w:styleId="TOC9">
    <w:name w:val="toc 9"/>
    <w:basedOn w:val="Normal"/>
    <w:next w:val="Normal"/>
    <w:autoRedefine/>
    <w:uiPriority w:val="39"/>
    <w:semiHidden/>
    <w:unhideWhenUsed/>
    <w:rsid w:val="00BA705B"/>
    <w:pPr>
      <w:ind w:left="1920"/>
    </w:pPr>
    <w:rPr>
      <w:rFonts w:cstheme="minorHAnsi"/>
      <w:sz w:val="20"/>
    </w:rPr>
  </w:style>
  <w:style w:type="character" w:styleId="Hyperlink">
    <w:name w:val="Hyperlink"/>
    <w:basedOn w:val="DefaultParagraphFont"/>
    <w:uiPriority w:val="99"/>
    <w:unhideWhenUsed/>
    <w:rsid w:val="00BA705B"/>
    <w:rPr>
      <w:color w:val="0563C1" w:themeColor="hyperlink"/>
      <w:u w:val="single"/>
    </w:rPr>
  </w:style>
  <w:style w:type="paragraph" w:styleId="NormalWeb">
    <w:name w:val="Normal (Web)"/>
    <w:basedOn w:val="Normal"/>
    <w:uiPriority w:val="99"/>
    <w:semiHidden/>
    <w:unhideWhenUsed/>
    <w:rsid w:val="000E6793"/>
    <w:rPr>
      <w:rFonts w:ascii="Times New Roman" w:hAnsi="Times New Roman" w:cs="Times New Roman"/>
    </w:rPr>
  </w:style>
  <w:style w:type="paragraph" w:styleId="Bibliography">
    <w:name w:val="Bibliography"/>
    <w:basedOn w:val="Normal"/>
    <w:next w:val="Normal"/>
    <w:uiPriority w:val="37"/>
    <w:unhideWhenUsed/>
    <w:rsid w:val="001C2D71"/>
    <w:pPr>
      <w:tabs>
        <w:tab w:val="left" w:pos="380"/>
      </w:tabs>
      <w:ind w:left="384" w:hanging="384"/>
    </w:pPr>
  </w:style>
  <w:style w:type="character" w:customStyle="1" w:styleId="Heading2Char">
    <w:name w:val="Heading 2 Char"/>
    <w:basedOn w:val="DefaultParagraphFont"/>
    <w:link w:val="Heading2"/>
    <w:uiPriority w:val="9"/>
    <w:rsid w:val="001C2D71"/>
    <w:rPr>
      <w:rFonts w:asciiTheme="majorHAnsi" w:eastAsiaTheme="majorEastAsia" w:hAnsiTheme="majorHAnsi" w:cstheme="majorBidi"/>
      <w:color w:val="2F5496" w:themeColor="accent1" w:themeShade="BF"/>
      <w:sz w:val="26"/>
      <w:szCs w:val="26"/>
    </w:rPr>
  </w:style>
  <w:style w:type="table" w:styleId="TableGrid">
    <w:name w:val="Table Grid"/>
    <w:basedOn w:val="TableNormal"/>
    <w:uiPriority w:val="39"/>
    <w:rsid w:val="00EA4F67"/>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65E67"/>
    <w:rPr>
      <w:color w:val="808080"/>
    </w:rPr>
  </w:style>
  <w:style w:type="character" w:styleId="CommentReference">
    <w:name w:val="annotation reference"/>
    <w:basedOn w:val="DefaultParagraphFont"/>
    <w:uiPriority w:val="99"/>
    <w:semiHidden/>
    <w:unhideWhenUsed/>
    <w:rsid w:val="00C03BF7"/>
    <w:rPr>
      <w:sz w:val="16"/>
      <w:szCs w:val="16"/>
    </w:rPr>
  </w:style>
  <w:style w:type="paragraph" w:styleId="CommentText">
    <w:name w:val="annotation text"/>
    <w:basedOn w:val="Normal"/>
    <w:link w:val="CommentTextChar"/>
    <w:uiPriority w:val="99"/>
    <w:unhideWhenUsed/>
    <w:rsid w:val="00C03BF7"/>
    <w:rPr>
      <w:sz w:val="20"/>
      <w:szCs w:val="20"/>
    </w:rPr>
  </w:style>
  <w:style w:type="character" w:customStyle="1" w:styleId="CommentTextChar">
    <w:name w:val="Comment Text Char"/>
    <w:basedOn w:val="DefaultParagraphFont"/>
    <w:link w:val="CommentText"/>
    <w:uiPriority w:val="99"/>
    <w:rsid w:val="00C03BF7"/>
    <w:rPr>
      <w:sz w:val="20"/>
      <w:szCs w:val="20"/>
    </w:rPr>
  </w:style>
  <w:style w:type="paragraph" w:styleId="CommentSubject">
    <w:name w:val="annotation subject"/>
    <w:basedOn w:val="CommentText"/>
    <w:next w:val="CommentText"/>
    <w:link w:val="CommentSubjectChar"/>
    <w:uiPriority w:val="99"/>
    <w:semiHidden/>
    <w:unhideWhenUsed/>
    <w:rsid w:val="00C03BF7"/>
    <w:rPr>
      <w:b/>
      <w:bCs/>
    </w:rPr>
  </w:style>
  <w:style w:type="character" w:customStyle="1" w:styleId="CommentSubjectChar">
    <w:name w:val="Comment Subject Char"/>
    <w:basedOn w:val="CommentTextChar"/>
    <w:link w:val="CommentSubject"/>
    <w:uiPriority w:val="99"/>
    <w:semiHidden/>
    <w:rsid w:val="00C03BF7"/>
    <w:rPr>
      <w:b/>
      <w:bCs/>
      <w:sz w:val="20"/>
      <w:szCs w:val="20"/>
    </w:rPr>
  </w:style>
  <w:style w:type="paragraph" w:styleId="Revision">
    <w:name w:val="Revision"/>
    <w:hidden/>
    <w:uiPriority w:val="99"/>
    <w:semiHidden/>
    <w:rsid w:val="009649EB"/>
  </w:style>
  <w:style w:type="paragraph" w:styleId="Header">
    <w:name w:val="header"/>
    <w:basedOn w:val="Normal"/>
    <w:link w:val="HeaderChar"/>
    <w:uiPriority w:val="99"/>
    <w:unhideWhenUsed/>
    <w:rsid w:val="00800635"/>
    <w:pPr>
      <w:tabs>
        <w:tab w:val="center" w:pos="4680"/>
        <w:tab w:val="right" w:pos="9360"/>
      </w:tabs>
    </w:pPr>
  </w:style>
  <w:style w:type="character" w:customStyle="1" w:styleId="HeaderChar">
    <w:name w:val="Header Char"/>
    <w:basedOn w:val="DefaultParagraphFont"/>
    <w:link w:val="Header"/>
    <w:uiPriority w:val="99"/>
    <w:rsid w:val="00800635"/>
  </w:style>
  <w:style w:type="paragraph" w:styleId="Footer">
    <w:name w:val="footer"/>
    <w:basedOn w:val="Normal"/>
    <w:link w:val="FooterChar"/>
    <w:uiPriority w:val="99"/>
    <w:unhideWhenUsed/>
    <w:rsid w:val="00800635"/>
    <w:pPr>
      <w:tabs>
        <w:tab w:val="center" w:pos="4680"/>
        <w:tab w:val="right" w:pos="9360"/>
      </w:tabs>
    </w:pPr>
  </w:style>
  <w:style w:type="character" w:customStyle="1" w:styleId="FooterChar">
    <w:name w:val="Footer Char"/>
    <w:basedOn w:val="DefaultParagraphFont"/>
    <w:link w:val="Footer"/>
    <w:uiPriority w:val="99"/>
    <w:rsid w:val="00800635"/>
  </w:style>
  <w:style w:type="paragraph" w:styleId="ListParagraph">
    <w:name w:val="List Paragraph"/>
    <w:basedOn w:val="Normal"/>
    <w:uiPriority w:val="34"/>
    <w:qFormat/>
    <w:rsid w:val="00D44D35"/>
    <w:pPr>
      <w:ind w:left="720"/>
      <w:contextualSpacing/>
    </w:pPr>
  </w:style>
  <w:style w:type="character" w:styleId="UnresolvedMention">
    <w:name w:val="Unresolved Mention"/>
    <w:basedOn w:val="DefaultParagraphFont"/>
    <w:uiPriority w:val="99"/>
    <w:semiHidden/>
    <w:unhideWhenUsed/>
    <w:rsid w:val="0027528B"/>
    <w:rPr>
      <w:color w:val="605E5C"/>
      <w:shd w:val="clear" w:color="auto" w:fill="E1DFDD"/>
    </w:rPr>
  </w:style>
  <w:style w:type="character" w:styleId="FollowedHyperlink">
    <w:name w:val="FollowedHyperlink"/>
    <w:basedOn w:val="DefaultParagraphFont"/>
    <w:uiPriority w:val="99"/>
    <w:semiHidden/>
    <w:unhideWhenUsed/>
    <w:rsid w:val="0027528B"/>
    <w:rPr>
      <w:color w:val="954F72" w:themeColor="followedHyperlink"/>
      <w:u w:val="single"/>
    </w:rPr>
  </w:style>
  <w:style w:type="character" w:customStyle="1" w:styleId="Heading3Char">
    <w:name w:val="Heading 3 Char"/>
    <w:basedOn w:val="DefaultParagraphFont"/>
    <w:link w:val="Heading3"/>
    <w:uiPriority w:val="9"/>
    <w:rsid w:val="00D7747A"/>
    <w:rPr>
      <w:rFonts w:asciiTheme="majorHAnsi" w:eastAsiaTheme="majorEastAsia" w:hAnsiTheme="majorHAnsi" w:cstheme="majorBidi"/>
      <w:color w:val="1F3763" w:themeColor="accent1" w:themeShade="7F"/>
    </w:rPr>
  </w:style>
  <w:style w:type="paragraph" w:styleId="Caption">
    <w:name w:val="caption"/>
    <w:basedOn w:val="Normal"/>
    <w:next w:val="Normal"/>
    <w:uiPriority w:val="35"/>
    <w:unhideWhenUsed/>
    <w:qFormat/>
    <w:rsid w:val="00D9154F"/>
    <w:pPr>
      <w:spacing w:after="200"/>
    </w:pPr>
    <w:rPr>
      <w:i/>
      <w:iCs/>
      <w:color w:val="44546A" w:themeColor="text2"/>
      <w:sz w:val="18"/>
      <w:szCs w:val="18"/>
    </w:rPr>
  </w:style>
  <w:style w:type="paragraph" w:styleId="TableofFigures">
    <w:name w:val="table of figures"/>
    <w:basedOn w:val="Normal"/>
    <w:next w:val="Normal"/>
    <w:uiPriority w:val="99"/>
    <w:unhideWhenUsed/>
    <w:rsid w:val="00D9154F"/>
  </w:style>
  <w:style w:type="table" w:styleId="PlainTable2">
    <w:name w:val="Plain Table 2"/>
    <w:basedOn w:val="TableNormal"/>
    <w:uiPriority w:val="42"/>
    <w:rsid w:val="00F0142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uiPriority w:val="9"/>
    <w:rsid w:val="00DB3770"/>
    <w:rPr>
      <w:rFonts w:asciiTheme="majorHAnsi" w:eastAsiaTheme="majorEastAsia" w:hAnsiTheme="majorHAnsi" w:cstheme="majorBidi"/>
      <w:i/>
      <w:iCs/>
      <w:color w:val="2F5496" w:themeColor="accent1" w:themeShade="BF"/>
    </w:rPr>
  </w:style>
  <w:style w:type="character" w:styleId="PageNumber">
    <w:name w:val="page number"/>
    <w:basedOn w:val="DefaultParagraphFont"/>
    <w:uiPriority w:val="99"/>
    <w:semiHidden/>
    <w:unhideWhenUsed/>
    <w:rsid w:val="00306E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7327">
      <w:bodyDiv w:val="1"/>
      <w:marLeft w:val="0"/>
      <w:marRight w:val="0"/>
      <w:marTop w:val="0"/>
      <w:marBottom w:val="0"/>
      <w:divBdr>
        <w:top w:val="none" w:sz="0" w:space="0" w:color="auto"/>
        <w:left w:val="none" w:sz="0" w:space="0" w:color="auto"/>
        <w:bottom w:val="none" w:sz="0" w:space="0" w:color="auto"/>
        <w:right w:val="none" w:sz="0" w:space="0" w:color="auto"/>
      </w:divBdr>
    </w:div>
    <w:div w:id="22487426">
      <w:bodyDiv w:val="1"/>
      <w:marLeft w:val="0"/>
      <w:marRight w:val="0"/>
      <w:marTop w:val="0"/>
      <w:marBottom w:val="0"/>
      <w:divBdr>
        <w:top w:val="none" w:sz="0" w:space="0" w:color="auto"/>
        <w:left w:val="none" w:sz="0" w:space="0" w:color="auto"/>
        <w:bottom w:val="none" w:sz="0" w:space="0" w:color="auto"/>
        <w:right w:val="none" w:sz="0" w:space="0" w:color="auto"/>
      </w:divBdr>
      <w:divsChild>
        <w:div w:id="947660316">
          <w:marLeft w:val="0"/>
          <w:marRight w:val="0"/>
          <w:marTop w:val="0"/>
          <w:marBottom w:val="0"/>
          <w:divBdr>
            <w:top w:val="none" w:sz="0" w:space="0" w:color="auto"/>
            <w:left w:val="none" w:sz="0" w:space="0" w:color="auto"/>
            <w:bottom w:val="none" w:sz="0" w:space="0" w:color="auto"/>
            <w:right w:val="none" w:sz="0" w:space="0" w:color="auto"/>
          </w:divBdr>
          <w:divsChild>
            <w:div w:id="11686827">
              <w:marLeft w:val="0"/>
              <w:marRight w:val="0"/>
              <w:marTop w:val="0"/>
              <w:marBottom w:val="0"/>
              <w:divBdr>
                <w:top w:val="none" w:sz="0" w:space="0" w:color="auto"/>
                <w:left w:val="none" w:sz="0" w:space="0" w:color="auto"/>
                <w:bottom w:val="none" w:sz="0" w:space="0" w:color="auto"/>
                <w:right w:val="none" w:sz="0" w:space="0" w:color="auto"/>
              </w:divBdr>
              <w:divsChild>
                <w:div w:id="1790858272">
                  <w:marLeft w:val="0"/>
                  <w:marRight w:val="0"/>
                  <w:marTop w:val="0"/>
                  <w:marBottom w:val="0"/>
                  <w:divBdr>
                    <w:top w:val="none" w:sz="0" w:space="0" w:color="auto"/>
                    <w:left w:val="none" w:sz="0" w:space="0" w:color="auto"/>
                    <w:bottom w:val="none" w:sz="0" w:space="0" w:color="auto"/>
                    <w:right w:val="none" w:sz="0" w:space="0" w:color="auto"/>
                  </w:divBdr>
                </w:div>
              </w:divsChild>
            </w:div>
            <w:div w:id="631130895">
              <w:marLeft w:val="0"/>
              <w:marRight w:val="0"/>
              <w:marTop w:val="0"/>
              <w:marBottom w:val="0"/>
              <w:divBdr>
                <w:top w:val="none" w:sz="0" w:space="0" w:color="auto"/>
                <w:left w:val="none" w:sz="0" w:space="0" w:color="auto"/>
                <w:bottom w:val="none" w:sz="0" w:space="0" w:color="auto"/>
                <w:right w:val="none" w:sz="0" w:space="0" w:color="auto"/>
              </w:divBdr>
              <w:divsChild>
                <w:div w:id="1575893497">
                  <w:marLeft w:val="0"/>
                  <w:marRight w:val="0"/>
                  <w:marTop w:val="0"/>
                  <w:marBottom w:val="0"/>
                  <w:divBdr>
                    <w:top w:val="none" w:sz="0" w:space="0" w:color="auto"/>
                    <w:left w:val="none" w:sz="0" w:space="0" w:color="auto"/>
                    <w:bottom w:val="none" w:sz="0" w:space="0" w:color="auto"/>
                    <w:right w:val="none" w:sz="0" w:space="0" w:color="auto"/>
                  </w:divBdr>
                </w:div>
              </w:divsChild>
            </w:div>
            <w:div w:id="711923041">
              <w:marLeft w:val="0"/>
              <w:marRight w:val="0"/>
              <w:marTop w:val="0"/>
              <w:marBottom w:val="0"/>
              <w:divBdr>
                <w:top w:val="none" w:sz="0" w:space="0" w:color="auto"/>
                <w:left w:val="none" w:sz="0" w:space="0" w:color="auto"/>
                <w:bottom w:val="none" w:sz="0" w:space="0" w:color="auto"/>
                <w:right w:val="none" w:sz="0" w:space="0" w:color="auto"/>
              </w:divBdr>
              <w:divsChild>
                <w:div w:id="665089155">
                  <w:marLeft w:val="0"/>
                  <w:marRight w:val="0"/>
                  <w:marTop w:val="0"/>
                  <w:marBottom w:val="0"/>
                  <w:divBdr>
                    <w:top w:val="none" w:sz="0" w:space="0" w:color="auto"/>
                    <w:left w:val="none" w:sz="0" w:space="0" w:color="auto"/>
                    <w:bottom w:val="none" w:sz="0" w:space="0" w:color="auto"/>
                    <w:right w:val="none" w:sz="0" w:space="0" w:color="auto"/>
                  </w:divBdr>
                </w:div>
                <w:div w:id="2140680747">
                  <w:marLeft w:val="0"/>
                  <w:marRight w:val="0"/>
                  <w:marTop w:val="0"/>
                  <w:marBottom w:val="0"/>
                  <w:divBdr>
                    <w:top w:val="none" w:sz="0" w:space="0" w:color="auto"/>
                    <w:left w:val="none" w:sz="0" w:space="0" w:color="auto"/>
                    <w:bottom w:val="none" w:sz="0" w:space="0" w:color="auto"/>
                    <w:right w:val="none" w:sz="0" w:space="0" w:color="auto"/>
                  </w:divBdr>
                </w:div>
              </w:divsChild>
            </w:div>
            <w:div w:id="752969263">
              <w:marLeft w:val="0"/>
              <w:marRight w:val="0"/>
              <w:marTop w:val="0"/>
              <w:marBottom w:val="0"/>
              <w:divBdr>
                <w:top w:val="none" w:sz="0" w:space="0" w:color="auto"/>
                <w:left w:val="none" w:sz="0" w:space="0" w:color="auto"/>
                <w:bottom w:val="none" w:sz="0" w:space="0" w:color="auto"/>
                <w:right w:val="none" w:sz="0" w:space="0" w:color="auto"/>
              </w:divBdr>
              <w:divsChild>
                <w:div w:id="1778720257">
                  <w:marLeft w:val="0"/>
                  <w:marRight w:val="0"/>
                  <w:marTop w:val="0"/>
                  <w:marBottom w:val="0"/>
                  <w:divBdr>
                    <w:top w:val="none" w:sz="0" w:space="0" w:color="auto"/>
                    <w:left w:val="none" w:sz="0" w:space="0" w:color="auto"/>
                    <w:bottom w:val="none" w:sz="0" w:space="0" w:color="auto"/>
                    <w:right w:val="none" w:sz="0" w:space="0" w:color="auto"/>
                  </w:divBdr>
                </w:div>
              </w:divsChild>
            </w:div>
            <w:div w:id="1337224745">
              <w:marLeft w:val="0"/>
              <w:marRight w:val="0"/>
              <w:marTop w:val="0"/>
              <w:marBottom w:val="0"/>
              <w:divBdr>
                <w:top w:val="none" w:sz="0" w:space="0" w:color="auto"/>
                <w:left w:val="none" w:sz="0" w:space="0" w:color="auto"/>
                <w:bottom w:val="none" w:sz="0" w:space="0" w:color="auto"/>
                <w:right w:val="none" w:sz="0" w:space="0" w:color="auto"/>
              </w:divBdr>
              <w:divsChild>
                <w:div w:id="1368605029">
                  <w:marLeft w:val="0"/>
                  <w:marRight w:val="0"/>
                  <w:marTop w:val="0"/>
                  <w:marBottom w:val="0"/>
                  <w:divBdr>
                    <w:top w:val="none" w:sz="0" w:space="0" w:color="auto"/>
                    <w:left w:val="none" w:sz="0" w:space="0" w:color="auto"/>
                    <w:bottom w:val="none" w:sz="0" w:space="0" w:color="auto"/>
                    <w:right w:val="none" w:sz="0" w:space="0" w:color="auto"/>
                  </w:divBdr>
                </w:div>
              </w:divsChild>
            </w:div>
            <w:div w:id="1495728801">
              <w:marLeft w:val="0"/>
              <w:marRight w:val="0"/>
              <w:marTop w:val="0"/>
              <w:marBottom w:val="0"/>
              <w:divBdr>
                <w:top w:val="none" w:sz="0" w:space="0" w:color="auto"/>
                <w:left w:val="none" w:sz="0" w:space="0" w:color="auto"/>
                <w:bottom w:val="none" w:sz="0" w:space="0" w:color="auto"/>
                <w:right w:val="none" w:sz="0" w:space="0" w:color="auto"/>
              </w:divBdr>
              <w:divsChild>
                <w:div w:id="286205954">
                  <w:marLeft w:val="0"/>
                  <w:marRight w:val="0"/>
                  <w:marTop w:val="0"/>
                  <w:marBottom w:val="0"/>
                  <w:divBdr>
                    <w:top w:val="none" w:sz="0" w:space="0" w:color="auto"/>
                    <w:left w:val="none" w:sz="0" w:space="0" w:color="auto"/>
                    <w:bottom w:val="none" w:sz="0" w:space="0" w:color="auto"/>
                    <w:right w:val="none" w:sz="0" w:space="0" w:color="auto"/>
                  </w:divBdr>
                </w:div>
              </w:divsChild>
            </w:div>
            <w:div w:id="2122450764">
              <w:marLeft w:val="0"/>
              <w:marRight w:val="0"/>
              <w:marTop w:val="0"/>
              <w:marBottom w:val="0"/>
              <w:divBdr>
                <w:top w:val="none" w:sz="0" w:space="0" w:color="auto"/>
                <w:left w:val="none" w:sz="0" w:space="0" w:color="auto"/>
                <w:bottom w:val="none" w:sz="0" w:space="0" w:color="auto"/>
                <w:right w:val="none" w:sz="0" w:space="0" w:color="auto"/>
              </w:divBdr>
              <w:divsChild>
                <w:div w:id="846216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72541">
      <w:bodyDiv w:val="1"/>
      <w:marLeft w:val="0"/>
      <w:marRight w:val="0"/>
      <w:marTop w:val="0"/>
      <w:marBottom w:val="0"/>
      <w:divBdr>
        <w:top w:val="none" w:sz="0" w:space="0" w:color="auto"/>
        <w:left w:val="none" w:sz="0" w:space="0" w:color="auto"/>
        <w:bottom w:val="none" w:sz="0" w:space="0" w:color="auto"/>
        <w:right w:val="none" w:sz="0" w:space="0" w:color="auto"/>
      </w:divBdr>
    </w:div>
    <w:div w:id="65885942">
      <w:bodyDiv w:val="1"/>
      <w:marLeft w:val="0"/>
      <w:marRight w:val="0"/>
      <w:marTop w:val="0"/>
      <w:marBottom w:val="0"/>
      <w:divBdr>
        <w:top w:val="none" w:sz="0" w:space="0" w:color="auto"/>
        <w:left w:val="none" w:sz="0" w:space="0" w:color="auto"/>
        <w:bottom w:val="none" w:sz="0" w:space="0" w:color="auto"/>
        <w:right w:val="none" w:sz="0" w:space="0" w:color="auto"/>
      </w:divBdr>
    </w:div>
    <w:div w:id="86387689">
      <w:bodyDiv w:val="1"/>
      <w:marLeft w:val="0"/>
      <w:marRight w:val="0"/>
      <w:marTop w:val="0"/>
      <w:marBottom w:val="0"/>
      <w:divBdr>
        <w:top w:val="none" w:sz="0" w:space="0" w:color="auto"/>
        <w:left w:val="none" w:sz="0" w:space="0" w:color="auto"/>
        <w:bottom w:val="none" w:sz="0" w:space="0" w:color="auto"/>
        <w:right w:val="none" w:sz="0" w:space="0" w:color="auto"/>
      </w:divBdr>
    </w:div>
    <w:div w:id="102922084">
      <w:bodyDiv w:val="1"/>
      <w:marLeft w:val="0"/>
      <w:marRight w:val="0"/>
      <w:marTop w:val="0"/>
      <w:marBottom w:val="0"/>
      <w:divBdr>
        <w:top w:val="none" w:sz="0" w:space="0" w:color="auto"/>
        <w:left w:val="none" w:sz="0" w:space="0" w:color="auto"/>
        <w:bottom w:val="none" w:sz="0" w:space="0" w:color="auto"/>
        <w:right w:val="none" w:sz="0" w:space="0" w:color="auto"/>
      </w:divBdr>
    </w:div>
    <w:div w:id="156893928">
      <w:bodyDiv w:val="1"/>
      <w:marLeft w:val="0"/>
      <w:marRight w:val="0"/>
      <w:marTop w:val="0"/>
      <w:marBottom w:val="0"/>
      <w:divBdr>
        <w:top w:val="none" w:sz="0" w:space="0" w:color="auto"/>
        <w:left w:val="none" w:sz="0" w:space="0" w:color="auto"/>
        <w:bottom w:val="none" w:sz="0" w:space="0" w:color="auto"/>
        <w:right w:val="none" w:sz="0" w:space="0" w:color="auto"/>
      </w:divBdr>
    </w:div>
    <w:div w:id="229850515">
      <w:bodyDiv w:val="1"/>
      <w:marLeft w:val="0"/>
      <w:marRight w:val="0"/>
      <w:marTop w:val="0"/>
      <w:marBottom w:val="0"/>
      <w:divBdr>
        <w:top w:val="none" w:sz="0" w:space="0" w:color="auto"/>
        <w:left w:val="none" w:sz="0" w:space="0" w:color="auto"/>
        <w:bottom w:val="none" w:sz="0" w:space="0" w:color="auto"/>
        <w:right w:val="none" w:sz="0" w:space="0" w:color="auto"/>
      </w:divBdr>
    </w:div>
    <w:div w:id="321012004">
      <w:bodyDiv w:val="1"/>
      <w:marLeft w:val="0"/>
      <w:marRight w:val="0"/>
      <w:marTop w:val="0"/>
      <w:marBottom w:val="0"/>
      <w:divBdr>
        <w:top w:val="none" w:sz="0" w:space="0" w:color="auto"/>
        <w:left w:val="none" w:sz="0" w:space="0" w:color="auto"/>
        <w:bottom w:val="none" w:sz="0" w:space="0" w:color="auto"/>
        <w:right w:val="none" w:sz="0" w:space="0" w:color="auto"/>
      </w:divBdr>
      <w:divsChild>
        <w:div w:id="1929776052">
          <w:marLeft w:val="0"/>
          <w:marRight w:val="0"/>
          <w:marTop w:val="0"/>
          <w:marBottom w:val="0"/>
          <w:divBdr>
            <w:top w:val="none" w:sz="0" w:space="0" w:color="auto"/>
            <w:left w:val="none" w:sz="0" w:space="0" w:color="auto"/>
            <w:bottom w:val="none" w:sz="0" w:space="0" w:color="auto"/>
            <w:right w:val="none" w:sz="0" w:space="0" w:color="auto"/>
          </w:divBdr>
          <w:divsChild>
            <w:div w:id="1416442673">
              <w:marLeft w:val="0"/>
              <w:marRight w:val="0"/>
              <w:marTop w:val="0"/>
              <w:marBottom w:val="0"/>
              <w:divBdr>
                <w:top w:val="none" w:sz="0" w:space="0" w:color="auto"/>
                <w:left w:val="none" w:sz="0" w:space="0" w:color="auto"/>
                <w:bottom w:val="none" w:sz="0" w:space="0" w:color="auto"/>
                <w:right w:val="none" w:sz="0" w:space="0" w:color="auto"/>
              </w:divBdr>
              <w:divsChild>
                <w:div w:id="988558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7387837">
      <w:bodyDiv w:val="1"/>
      <w:marLeft w:val="0"/>
      <w:marRight w:val="0"/>
      <w:marTop w:val="0"/>
      <w:marBottom w:val="0"/>
      <w:divBdr>
        <w:top w:val="none" w:sz="0" w:space="0" w:color="auto"/>
        <w:left w:val="none" w:sz="0" w:space="0" w:color="auto"/>
        <w:bottom w:val="none" w:sz="0" w:space="0" w:color="auto"/>
        <w:right w:val="none" w:sz="0" w:space="0" w:color="auto"/>
      </w:divBdr>
      <w:divsChild>
        <w:div w:id="1154908086">
          <w:marLeft w:val="0"/>
          <w:marRight w:val="0"/>
          <w:marTop w:val="0"/>
          <w:marBottom w:val="0"/>
          <w:divBdr>
            <w:top w:val="none" w:sz="0" w:space="0" w:color="auto"/>
            <w:left w:val="none" w:sz="0" w:space="0" w:color="auto"/>
            <w:bottom w:val="none" w:sz="0" w:space="0" w:color="auto"/>
            <w:right w:val="none" w:sz="0" w:space="0" w:color="auto"/>
          </w:divBdr>
          <w:divsChild>
            <w:div w:id="1804687675">
              <w:marLeft w:val="0"/>
              <w:marRight w:val="0"/>
              <w:marTop w:val="0"/>
              <w:marBottom w:val="0"/>
              <w:divBdr>
                <w:top w:val="none" w:sz="0" w:space="0" w:color="auto"/>
                <w:left w:val="none" w:sz="0" w:space="0" w:color="auto"/>
                <w:bottom w:val="none" w:sz="0" w:space="0" w:color="auto"/>
                <w:right w:val="none" w:sz="0" w:space="0" w:color="auto"/>
              </w:divBdr>
              <w:divsChild>
                <w:div w:id="483929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164893">
      <w:bodyDiv w:val="1"/>
      <w:marLeft w:val="0"/>
      <w:marRight w:val="0"/>
      <w:marTop w:val="0"/>
      <w:marBottom w:val="0"/>
      <w:divBdr>
        <w:top w:val="none" w:sz="0" w:space="0" w:color="auto"/>
        <w:left w:val="none" w:sz="0" w:space="0" w:color="auto"/>
        <w:bottom w:val="none" w:sz="0" w:space="0" w:color="auto"/>
        <w:right w:val="none" w:sz="0" w:space="0" w:color="auto"/>
      </w:divBdr>
    </w:div>
    <w:div w:id="414983292">
      <w:bodyDiv w:val="1"/>
      <w:marLeft w:val="0"/>
      <w:marRight w:val="0"/>
      <w:marTop w:val="0"/>
      <w:marBottom w:val="0"/>
      <w:divBdr>
        <w:top w:val="none" w:sz="0" w:space="0" w:color="auto"/>
        <w:left w:val="none" w:sz="0" w:space="0" w:color="auto"/>
        <w:bottom w:val="none" w:sz="0" w:space="0" w:color="auto"/>
        <w:right w:val="none" w:sz="0" w:space="0" w:color="auto"/>
      </w:divBdr>
    </w:div>
    <w:div w:id="437524231">
      <w:bodyDiv w:val="1"/>
      <w:marLeft w:val="0"/>
      <w:marRight w:val="0"/>
      <w:marTop w:val="0"/>
      <w:marBottom w:val="0"/>
      <w:divBdr>
        <w:top w:val="none" w:sz="0" w:space="0" w:color="auto"/>
        <w:left w:val="none" w:sz="0" w:space="0" w:color="auto"/>
        <w:bottom w:val="none" w:sz="0" w:space="0" w:color="auto"/>
        <w:right w:val="none" w:sz="0" w:space="0" w:color="auto"/>
      </w:divBdr>
    </w:div>
    <w:div w:id="494492594">
      <w:bodyDiv w:val="1"/>
      <w:marLeft w:val="0"/>
      <w:marRight w:val="0"/>
      <w:marTop w:val="0"/>
      <w:marBottom w:val="0"/>
      <w:divBdr>
        <w:top w:val="none" w:sz="0" w:space="0" w:color="auto"/>
        <w:left w:val="none" w:sz="0" w:space="0" w:color="auto"/>
        <w:bottom w:val="none" w:sz="0" w:space="0" w:color="auto"/>
        <w:right w:val="none" w:sz="0" w:space="0" w:color="auto"/>
      </w:divBdr>
      <w:divsChild>
        <w:div w:id="211120407">
          <w:marLeft w:val="0"/>
          <w:marRight w:val="0"/>
          <w:marTop w:val="0"/>
          <w:marBottom w:val="0"/>
          <w:divBdr>
            <w:top w:val="none" w:sz="0" w:space="0" w:color="auto"/>
            <w:left w:val="none" w:sz="0" w:space="0" w:color="auto"/>
            <w:bottom w:val="none" w:sz="0" w:space="0" w:color="auto"/>
            <w:right w:val="none" w:sz="0" w:space="0" w:color="auto"/>
          </w:divBdr>
          <w:divsChild>
            <w:div w:id="191304769">
              <w:marLeft w:val="0"/>
              <w:marRight w:val="0"/>
              <w:marTop w:val="0"/>
              <w:marBottom w:val="0"/>
              <w:divBdr>
                <w:top w:val="none" w:sz="0" w:space="0" w:color="auto"/>
                <w:left w:val="none" w:sz="0" w:space="0" w:color="auto"/>
                <w:bottom w:val="none" w:sz="0" w:space="0" w:color="auto"/>
                <w:right w:val="none" w:sz="0" w:space="0" w:color="auto"/>
              </w:divBdr>
              <w:divsChild>
                <w:div w:id="2103530542">
                  <w:marLeft w:val="0"/>
                  <w:marRight w:val="0"/>
                  <w:marTop w:val="0"/>
                  <w:marBottom w:val="0"/>
                  <w:divBdr>
                    <w:top w:val="none" w:sz="0" w:space="0" w:color="auto"/>
                    <w:left w:val="none" w:sz="0" w:space="0" w:color="auto"/>
                    <w:bottom w:val="none" w:sz="0" w:space="0" w:color="auto"/>
                    <w:right w:val="none" w:sz="0" w:space="0" w:color="auto"/>
                  </w:divBdr>
                  <w:divsChild>
                    <w:div w:id="1193492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6866366">
      <w:bodyDiv w:val="1"/>
      <w:marLeft w:val="0"/>
      <w:marRight w:val="0"/>
      <w:marTop w:val="0"/>
      <w:marBottom w:val="0"/>
      <w:divBdr>
        <w:top w:val="none" w:sz="0" w:space="0" w:color="auto"/>
        <w:left w:val="none" w:sz="0" w:space="0" w:color="auto"/>
        <w:bottom w:val="none" w:sz="0" w:space="0" w:color="auto"/>
        <w:right w:val="none" w:sz="0" w:space="0" w:color="auto"/>
      </w:divBdr>
    </w:div>
    <w:div w:id="670643567">
      <w:bodyDiv w:val="1"/>
      <w:marLeft w:val="0"/>
      <w:marRight w:val="0"/>
      <w:marTop w:val="0"/>
      <w:marBottom w:val="0"/>
      <w:divBdr>
        <w:top w:val="none" w:sz="0" w:space="0" w:color="auto"/>
        <w:left w:val="none" w:sz="0" w:space="0" w:color="auto"/>
        <w:bottom w:val="none" w:sz="0" w:space="0" w:color="auto"/>
        <w:right w:val="none" w:sz="0" w:space="0" w:color="auto"/>
      </w:divBdr>
    </w:div>
    <w:div w:id="682363934">
      <w:bodyDiv w:val="1"/>
      <w:marLeft w:val="0"/>
      <w:marRight w:val="0"/>
      <w:marTop w:val="0"/>
      <w:marBottom w:val="0"/>
      <w:divBdr>
        <w:top w:val="none" w:sz="0" w:space="0" w:color="auto"/>
        <w:left w:val="none" w:sz="0" w:space="0" w:color="auto"/>
        <w:bottom w:val="none" w:sz="0" w:space="0" w:color="auto"/>
        <w:right w:val="none" w:sz="0" w:space="0" w:color="auto"/>
      </w:divBdr>
      <w:divsChild>
        <w:div w:id="1089038201">
          <w:marLeft w:val="0"/>
          <w:marRight w:val="0"/>
          <w:marTop w:val="0"/>
          <w:marBottom w:val="0"/>
          <w:divBdr>
            <w:top w:val="none" w:sz="0" w:space="0" w:color="auto"/>
            <w:left w:val="none" w:sz="0" w:space="0" w:color="auto"/>
            <w:bottom w:val="none" w:sz="0" w:space="0" w:color="auto"/>
            <w:right w:val="none" w:sz="0" w:space="0" w:color="auto"/>
          </w:divBdr>
          <w:divsChild>
            <w:div w:id="1218973325">
              <w:marLeft w:val="0"/>
              <w:marRight w:val="0"/>
              <w:marTop w:val="0"/>
              <w:marBottom w:val="0"/>
              <w:divBdr>
                <w:top w:val="none" w:sz="0" w:space="0" w:color="auto"/>
                <w:left w:val="none" w:sz="0" w:space="0" w:color="auto"/>
                <w:bottom w:val="none" w:sz="0" w:space="0" w:color="auto"/>
                <w:right w:val="none" w:sz="0" w:space="0" w:color="auto"/>
              </w:divBdr>
              <w:divsChild>
                <w:div w:id="955865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1708484">
      <w:bodyDiv w:val="1"/>
      <w:marLeft w:val="0"/>
      <w:marRight w:val="0"/>
      <w:marTop w:val="0"/>
      <w:marBottom w:val="0"/>
      <w:divBdr>
        <w:top w:val="none" w:sz="0" w:space="0" w:color="auto"/>
        <w:left w:val="none" w:sz="0" w:space="0" w:color="auto"/>
        <w:bottom w:val="none" w:sz="0" w:space="0" w:color="auto"/>
        <w:right w:val="none" w:sz="0" w:space="0" w:color="auto"/>
      </w:divBdr>
      <w:divsChild>
        <w:div w:id="1315648850">
          <w:marLeft w:val="0"/>
          <w:marRight w:val="0"/>
          <w:marTop w:val="0"/>
          <w:marBottom w:val="0"/>
          <w:divBdr>
            <w:top w:val="none" w:sz="0" w:space="0" w:color="auto"/>
            <w:left w:val="none" w:sz="0" w:space="0" w:color="auto"/>
            <w:bottom w:val="none" w:sz="0" w:space="0" w:color="auto"/>
            <w:right w:val="none" w:sz="0" w:space="0" w:color="auto"/>
          </w:divBdr>
          <w:divsChild>
            <w:div w:id="688528902">
              <w:marLeft w:val="0"/>
              <w:marRight w:val="0"/>
              <w:marTop w:val="0"/>
              <w:marBottom w:val="0"/>
              <w:divBdr>
                <w:top w:val="none" w:sz="0" w:space="0" w:color="auto"/>
                <w:left w:val="none" w:sz="0" w:space="0" w:color="auto"/>
                <w:bottom w:val="none" w:sz="0" w:space="0" w:color="auto"/>
                <w:right w:val="none" w:sz="0" w:space="0" w:color="auto"/>
              </w:divBdr>
              <w:divsChild>
                <w:div w:id="27401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860906">
      <w:bodyDiv w:val="1"/>
      <w:marLeft w:val="0"/>
      <w:marRight w:val="0"/>
      <w:marTop w:val="0"/>
      <w:marBottom w:val="0"/>
      <w:divBdr>
        <w:top w:val="none" w:sz="0" w:space="0" w:color="auto"/>
        <w:left w:val="none" w:sz="0" w:space="0" w:color="auto"/>
        <w:bottom w:val="none" w:sz="0" w:space="0" w:color="auto"/>
        <w:right w:val="none" w:sz="0" w:space="0" w:color="auto"/>
      </w:divBdr>
    </w:div>
    <w:div w:id="881095621">
      <w:bodyDiv w:val="1"/>
      <w:marLeft w:val="0"/>
      <w:marRight w:val="0"/>
      <w:marTop w:val="0"/>
      <w:marBottom w:val="0"/>
      <w:divBdr>
        <w:top w:val="none" w:sz="0" w:space="0" w:color="auto"/>
        <w:left w:val="none" w:sz="0" w:space="0" w:color="auto"/>
        <w:bottom w:val="none" w:sz="0" w:space="0" w:color="auto"/>
        <w:right w:val="none" w:sz="0" w:space="0" w:color="auto"/>
      </w:divBdr>
    </w:div>
    <w:div w:id="885139012">
      <w:bodyDiv w:val="1"/>
      <w:marLeft w:val="0"/>
      <w:marRight w:val="0"/>
      <w:marTop w:val="0"/>
      <w:marBottom w:val="0"/>
      <w:divBdr>
        <w:top w:val="none" w:sz="0" w:space="0" w:color="auto"/>
        <w:left w:val="none" w:sz="0" w:space="0" w:color="auto"/>
        <w:bottom w:val="none" w:sz="0" w:space="0" w:color="auto"/>
        <w:right w:val="none" w:sz="0" w:space="0" w:color="auto"/>
      </w:divBdr>
      <w:divsChild>
        <w:div w:id="1546135423">
          <w:marLeft w:val="0"/>
          <w:marRight w:val="0"/>
          <w:marTop w:val="0"/>
          <w:marBottom w:val="0"/>
          <w:divBdr>
            <w:top w:val="none" w:sz="0" w:space="0" w:color="auto"/>
            <w:left w:val="none" w:sz="0" w:space="0" w:color="auto"/>
            <w:bottom w:val="none" w:sz="0" w:space="0" w:color="auto"/>
            <w:right w:val="none" w:sz="0" w:space="0" w:color="auto"/>
          </w:divBdr>
          <w:divsChild>
            <w:div w:id="872696412">
              <w:marLeft w:val="0"/>
              <w:marRight w:val="0"/>
              <w:marTop w:val="0"/>
              <w:marBottom w:val="0"/>
              <w:divBdr>
                <w:top w:val="none" w:sz="0" w:space="0" w:color="auto"/>
                <w:left w:val="none" w:sz="0" w:space="0" w:color="auto"/>
                <w:bottom w:val="none" w:sz="0" w:space="0" w:color="auto"/>
                <w:right w:val="none" w:sz="0" w:space="0" w:color="auto"/>
              </w:divBdr>
              <w:divsChild>
                <w:div w:id="1952013123">
                  <w:marLeft w:val="0"/>
                  <w:marRight w:val="0"/>
                  <w:marTop w:val="0"/>
                  <w:marBottom w:val="0"/>
                  <w:divBdr>
                    <w:top w:val="none" w:sz="0" w:space="0" w:color="auto"/>
                    <w:left w:val="none" w:sz="0" w:space="0" w:color="auto"/>
                    <w:bottom w:val="none" w:sz="0" w:space="0" w:color="auto"/>
                    <w:right w:val="none" w:sz="0" w:space="0" w:color="auto"/>
                  </w:divBdr>
                  <w:divsChild>
                    <w:div w:id="529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1863778">
      <w:bodyDiv w:val="1"/>
      <w:marLeft w:val="0"/>
      <w:marRight w:val="0"/>
      <w:marTop w:val="0"/>
      <w:marBottom w:val="0"/>
      <w:divBdr>
        <w:top w:val="none" w:sz="0" w:space="0" w:color="auto"/>
        <w:left w:val="none" w:sz="0" w:space="0" w:color="auto"/>
        <w:bottom w:val="none" w:sz="0" w:space="0" w:color="auto"/>
        <w:right w:val="none" w:sz="0" w:space="0" w:color="auto"/>
      </w:divBdr>
      <w:divsChild>
        <w:div w:id="264928082">
          <w:marLeft w:val="0"/>
          <w:marRight w:val="0"/>
          <w:marTop w:val="0"/>
          <w:marBottom w:val="0"/>
          <w:divBdr>
            <w:top w:val="none" w:sz="0" w:space="0" w:color="auto"/>
            <w:left w:val="none" w:sz="0" w:space="0" w:color="auto"/>
            <w:bottom w:val="none" w:sz="0" w:space="0" w:color="auto"/>
            <w:right w:val="none" w:sz="0" w:space="0" w:color="auto"/>
          </w:divBdr>
          <w:divsChild>
            <w:div w:id="1416050750">
              <w:marLeft w:val="0"/>
              <w:marRight w:val="0"/>
              <w:marTop w:val="0"/>
              <w:marBottom w:val="0"/>
              <w:divBdr>
                <w:top w:val="none" w:sz="0" w:space="0" w:color="auto"/>
                <w:left w:val="none" w:sz="0" w:space="0" w:color="auto"/>
                <w:bottom w:val="none" w:sz="0" w:space="0" w:color="auto"/>
                <w:right w:val="none" w:sz="0" w:space="0" w:color="auto"/>
              </w:divBdr>
              <w:divsChild>
                <w:div w:id="1360398679">
                  <w:marLeft w:val="0"/>
                  <w:marRight w:val="0"/>
                  <w:marTop w:val="0"/>
                  <w:marBottom w:val="0"/>
                  <w:divBdr>
                    <w:top w:val="none" w:sz="0" w:space="0" w:color="auto"/>
                    <w:left w:val="none" w:sz="0" w:space="0" w:color="auto"/>
                    <w:bottom w:val="none" w:sz="0" w:space="0" w:color="auto"/>
                    <w:right w:val="none" w:sz="0" w:space="0" w:color="auto"/>
                  </w:divBdr>
                </w:div>
              </w:divsChild>
            </w:div>
            <w:div w:id="1766731099">
              <w:marLeft w:val="0"/>
              <w:marRight w:val="0"/>
              <w:marTop w:val="0"/>
              <w:marBottom w:val="0"/>
              <w:divBdr>
                <w:top w:val="none" w:sz="0" w:space="0" w:color="auto"/>
                <w:left w:val="none" w:sz="0" w:space="0" w:color="auto"/>
                <w:bottom w:val="none" w:sz="0" w:space="0" w:color="auto"/>
                <w:right w:val="none" w:sz="0" w:space="0" w:color="auto"/>
              </w:divBdr>
              <w:divsChild>
                <w:div w:id="710611135">
                  <w:marLeft w:val="0"/>
                  <w:marRight w:val="0"/>
                  <w:marTop w:val="0"/>
                  <w:marBottom w:val="0"/>
                  <w:divBdr>
                    <w:top w:val="none" w:sz="0" w:space="0" w:color="auto"/>
                    <w:left w:val="none" w:sz="0" w:space="0" w:color="auto"/>
                    <w:bottom w:val="none" w:sz="0" w:space="0" w:color="auto"/>
                    <w:right w:val="none" w:sz="0" w:space="0" w:color="auto"/>
                  </w:divBdr>
                </w:div>
              </w:divsChild>
            </w:div>
            <w:div w:id="1119910868">
              <w:marLeft w:val="0"/>
              <w:marRight w:val="0"/>
              <w:marTop w:val="0"/>
              <w:marBottom w:val="0"/>
              <w:divBdr>
                <w:top w:val="none" w:sz="0" w:space="0" w:color="auto"/>
                <w:left w:val="none" w:sz="0" w:space="0" w:color="auto"/>
                <w:bottom w:val="none" w:sz="0" w:space="0" w:color="auto"/>
                <w:right w:val="none" w:sz="0" w:space="0" w:color="auto"/>
              </w:divBdr>
              <w:divsChild>
                <w:div w:id="31503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745027">
      <w:bodyDiv w:val="1"/>
      <w:marLeft w:val="0"/>
      <w:marRight w:val="0"/>
      <w:marTop w:val="0"/>
      <w:marBottom w:val="0"/>
      <w:divBdr>
        <w:top w:val="none" w:sz="0" w:space="0" w:color="auto"/>
        <w:left w:val="none" w:sz="0" w:space="0" w:color="auto"/>
        <w:bottom w:val="none" w:sz="0" w:space="0" w:color="auto"/>
        <w:right w:val="none" w:sz="0" w:space="0" w:color="auto"/>
      </w:divBdr>
      <w:divsChild>
        <w:div w:id="1487089135">
          <w:marLeft w:val="547"/>
          <w:marRight w:val="0"/>
          <w:marTop w:val="0"/>
          <w:marBottom w:val="158"/>
          <w:divBdr>
            <w:top w:val="none" w:sz="0" w:space="0" w:color="auto"/>
            <w:left w:val="none" w:sz="0" w:space="0" w:color="auto"/>
            <w:bottom w:val="none" w:sz="0" w:space="0" w:color="auto"/>
            <w:right w:val="none" w:sz="0" w:space="0" w:color="auto"/>
          </w:divBdr>
        </w:div>
      </w:divsChild>
    </w:div>
    <w:div w:id="969555543">
      <w:bodyDiv w:val="1"/>
      <w:marLeft w:val="0"/>
      <w:marRight w:val="0"/>
      <w:marTop w:val="0"/>
      <w:marBottom w:val="0"/>
      <w:divBdr>
        <w:top w:val="none" w:sz="0" w:space="0" w:color="auto"/>
        <w:left w:val="none" w:sz="0" w:space="0" w:color="auto"/>
        <w:bottom w:val="none" w:sz="0" w:space="0" w:color="auto"/>
        <w:right w:val="none" w:sz="0" w:space="0" w:color="auto"/>
      </w:divBdr>
      <w:divsChild>
        <w:div w:id="133372831">
          <w:marLeft w:val="0"/>
          <w:marRight w:val="0"/>
          <w:marTop w:val="0"/>
          <w:marBottom w:val="0"/>
          <w:divBdr>
            <w:top w:val="none" w:sz="0" w:space="0" w:color="auto"/>
            <w:left w:val="none" w:sz="0" w:space="0" w:color="auto"/>
            <w:bottom w:val="none" w:sz="0" w:space="0" w:color="auto"/>
            <w:right w:val="none" w:sz="0" w:space="0" w:color="auto"/>
          </w:divBdr>
          <w:divsChild>
            <w:div w:id="1076584878">
              <w:marLeft w:val="0"/>
              <w:marRight w:val="0"/>
              <w:marTop w:val="0"/>
              <w:marBottom w:val="0"/>
              <w:divBdr>
                <w:top w:val="none" w:sz="0" w:space="0" w:color="auto"/>
                <w:left w:val="none" w:sz="0" w:space="0" w:color="auto"/>
                <w:bottom w:val="none" w:sz="0" w:space="0" w:color="auto"/>
                <w:right w:val="none" w:sz="0" w:space="0" w:color="auto"/>
              </w:divBdr>
              <w:divsChild>
                <w:div w:id="852189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662532">
      <w:bodyDiv w:val="1"/>
      <w:marLeft w:val="0"/>
      <w:marRight w:val="0"/>
      <w:marTop w:val="0"/>
      <w:marBottom w:val="0"/>
      <w:divBdr>
        <w:top w:val="none" w:sz="0" w:space="0" w:color="auto"/>
        <w:left w:val="none" w:sz="0" w:space="0" w:color="auto"/>
        <w:bottom w:val="none" w:sz="0" w:space="0" w:color="auto"/>
        <w:right w:val="none" w:sz="0" w:space="0" w:color="auto"/>
      </w:divBdr>
    </w:div>
    <w:div w:id="1026365501">
      <w:bodyDiv w:val="1"/>
      <w:marLeft w:val="0"/>
      <w:marRight w:val="0"/>
      <w:marTop w:val="0"/>
      <w:marBottom w:val="0"/>
      <w:divBdr>
        <w:top w:val="none" w:sz="0" w:space="0" w:color="auto"/>
        <w:left w:val="none" w:sz="0" w:space="0" w:color="auto"/>
        <w:bottom w:val="none" w:sz="0" w:space="0" w:color="auto"/>
        <w:right w:val="none" w:sz="0" w:space="0" w:color="auto"/>
      </w:divBdr>
    </w:div>
    <w:div w:id="1083647299">
      <w:bodyDiv w:val="1"/>
      <w:marLeft w:val="0"/>
      <w:marRight w:val="0"/>
      <w:marTop w:val="0"/>
      <w:marBottom w:val="0"/>
      <w:divBdr>
        <w:top w:val="none" w:sz="0" w:space="0" w:color="auto"/>
        <w:left w:val="none" w:sz="0" w:space="0" w:color="auto"/>
        <w:bottom w:val="none" w:sz="0" w:space="0" w:color="auto"/>
        <w:right w:val="none" w:sz="0" w:space="0" w:color="auto"/>
      </w:divBdr>
      <w:divsChild>
        <w:div w:id="1199658101">
          <w:marLeft w:val="0"/>
          <w:marRight w:val="0"/>
          <w:marTop w:val="0"/>
          <w:marBottom w:val="0"/>
          <w:divBdr>
            <w:top w:val="none" w:sz="0" w:space="0" w:color="auto"/>
            <w:left w:val="none" w:sz="0" w:space="0" w:color="auto"/>
            <w:bottom w:val="none" w:sz="0" w:space="0" w:color="auto"/>
            <w:right w:val="none" w:sz="0" w:space="0" w:color="auto"/>
          </w:divBdr>
          <w:divsChild>
            <w:div w:id="689382017">
              <w:marLeft w:val="0"/>
              <w:marRight w:val="0"/>
              <w:marTop w:val="0"/>
              <w:marBottom w:val="0"/>
              <w:divBdr>
                <w:top w:val="none" w:sz="0" w:space="0" w:color="auto"/>
                <w:left w:val="none" w:sz="0" w:space="0" w:color="auto"/>
                <w:bottom w:val="none" w:sz="0" w:space="0" w:color="auto"/>
                <w:right w:val="none" w:sz="0" w:space="0" w:color="auto"/>
              </w:divBdr>
              <w:divsChild>
                <w:div w:id="802037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427003">
      <w:bodyDiv w:val="1"/>
      <w:marLeft w:val="0"/>
      <w:marRight w:val="0"/>
      <w:marTop w:val="0"/>
      <w:marBottom w:val="0"/>
      <w:divBdr>
        <w:top w:val="none" w:sz="0" w:space="0" w:color="auto"/>
        <w:left w:val="none" w:sz="0" w:space="0" w:color="auto"/>
        <w:bottom w:val="none" w:sz="0" w:space="0" w:color="auto"/>
        <w:right w:val="none" w:sz="0" w:space="0" w:color="auto"/>
      </w:divBdr>
      <w:divsChild>
        <w:div w:id="908541695">
          <w:marLeft w:val="0"/>
          <w:marRight w:val="0"/>
          <w:marTop w:val="0"/>
          <w:marBottom w:val="0"/>
          <w:divBdr>
            <w:top w:val="none" w:sz="0" w:space="0" w:color="auto"/>
            <w:left w:val="none" w:sz="0" w:space="0" w:color="auto"/>
            <w:bottom w:val="none" w:sz="0" w:space="0" w:color="auto"/>
            <w:right w:val="none" w:sz="0" w:space="0" w:color="auto"/>
          </w:divBdr>
          <w:divsChild>
            <w:div w:id="1047340900">
              <w:marLeft w:val="0"/>
              <w:marRight w:val="0"/>
              <w:marTop w:val="0"/>
              <w:marBottom w:val="0"/>
              <w:divBdr>
                <w:top w:val="none" w:sz="0" w:space="0" w:color="auto"/>
                <w:left w:val="none" w:sz="0" w:space="0" w:color="auto"/>
                <w:bottom w:val="none" w:sz="0" w:space="0" w:color="auto"/>
                <w:right w:val="none" w:sz="0" w:space="0" w:color="auto"/>
              </w:divBdr>
              <w:divsChild>
                <w:div w:id="719204887">
                  <w:marLeft w:val="0"/>
                  <w:marRight w:val="0"/>
                  <w:marTop w:val="0"/>
                  <w:marBottom w:val="0"/>
                  <w:divBdr>
                    <w:top w:val="none" w:sz="0" w:space="0" w:color="auto"/>
                    <w:left w:val="none" w:sz="0" w:space="0" w:color="auto"/>
                    <w:bottom w:val="none" w:sz="0" w:space="0" w:color="auto"/>
                    <w:right w:val="none" w:sz="0" w:space="0" w:color="auto"/>
                  </w:divBdr>
                  <w:divsChild>
                    <w:div w:id="6086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464139">
      <w:bodyDiv w:val="1"/>
      <w:marLeft w:val="0"/>
      <w:marRight w:val="0"/>
      <w:marTop w:val="0"/>
      <w:marBottom w:val="0"/>
      <w:divBdr>
        <w:top w:val="none" w:sz="0" w:space="0" w:color="auto"/>
        <w:left w:val="none" w:sz="0" w:space="0" w:color="auto"/>
        <w:bottom w:val="none" w:sz="0" w:space="0" w:color="auto"/>
        <w:right w:val="none" w:sz="0" w:space="0" w:color="auto"/>
      </w:divBdr>
    </w:div>
    <w:div w:id="1188447764">
      <w:bodyDiv w:val="1"/>
      <w:marLeft w:val="0"/>
      <w:marRight w:val="0"/>
      <w:marTop w:val="0"/>
      <w:marBottom w:val="0"/>
      <w:divBdr>
        <w:top w:val="none" w:sz="0" w:space="0" w:color="auto"/>
        <w:left w:val="none" w:sz="0" w:space="0" w:color="auto"/>
        <w:bottom w:val="none" w:sz="0" w:space="0" w:color="auto"/>
        <w:right w:val="none" w:sz="0" w:space="0" w:color="auto"/>
      </w:divBdr>
    </w:div>
    <w:div w:id="1350330493">
      <w:bodyDiv w:val="1"/>
      <w:marLeft w:val="0"/>
      <w:marRight w:val="0"/>
      <w:marTop w:val="0"/>
      <w:marBottom w:val="0"/>
      <w:divBdr>
        <w:top w:val="none" w:sz="0" w:space="0" w:color="auto"/>
        <w:left w:val="none" w:sz="0" w:space="0" w:color="auto"/>
        <w:bottom w:val="none" w:sz="0" w:space="0" w:color="auto"/>
        <w:right w:val="none" w:sz="0" w:space="0" w:color="auto"/>
      </w:divBdr>
    </w:div>
    <w:div w:id="1361934206">
      <w:bodyDiv w:val="1"/>
      <w:marLeft w:val="0"/>
      <w:marRight w:val="0"/>
      <w:marTop w:val="0"/>
      <w:marBottom w:val="0"/>
      <w:divBdr>
        <w:top w:val="none" w:sz="0" w:space="0" w:color="auto"/>
        <w:left w:val="none" w:sz="0" w:space="0" w:color="auto"/>
        <w:bottom w:val="none" w:sz="0" w:space="0" w:color="auto"/>
        <w:right w:val="none" w:sz="0" w:space="0" w:color="auto"/>
      </w:divBdr>
      <w:divsChild>
        <w:div w:id="1198741151">
          <w:marLeft w:val="0"/>
          <w:marRight w:val="0"/>
          <w:marTop w:val="0"/>
          <w:marBottom w:val="0"/>
          <w:divBdr>
            <w:top w:val="single" w:sz="2" w:space="0" w:color="D9D9E3"/>
            <w:left w:val="single" w:sz="2" w:space="0" w:color="D9D9E3"/>
            <w:bottom w:val="single" w:sz="2" w:space="0" w:color="D9D9E3"/>
            <w:right w:val="single" w:sz="2" w:space="0" w:color="D9D9E3"/>
          </w:divBdr>
          <w:divsChild>
            <w:div w:id="1724864396">
              <w:marLeft w:val="0"/>
              <w:marRight w:val="0"/>
              <w:marTop w:val="0"/>
              <w:marBottom w:val="0"/>
              <w:divBdr>
                <w:top w:val="single" w:sz="2" w:space="0" w:color="D9D9E3"/>
                <w:left w:val="single" w:sz="2" w:space="0" w:color="D9D9E3"/>
                <w:bottom w:val="single" w:sz="2" w:space="0" w:color="D9D9E3"/>
                <w:right w:val="single" w:sz="2" w:space="0" w:color="D9D9E3"/>
              </w:divBdr>
              <w:divsChild>
                <w:div w:id="750008483">
                  <w:marLeft w:val="0"/>
                  <w:marRight w:val="0"/>
                  <w:marTop w:val="0"/>
                  <w:marBottom w:val="0"/>
                  <w:divBdr>
                    <w:top w:val="single" w:sz="2" w:space="0" w:color="D9D9E3"/>
                    <w:left w:val="single" w:sz="2" w:space="0" w:color="D9D9E3"/>
                    <w:bottom w:val="single" w:sz="2" w:space="0" w:color="D9D9E3"/>
                    <w:right w:val="single" w:sz="2" w:space="0" w:color="D9D9E3"/>
                  </w:divBdr>
                  <w:divsChild>
                    <w:div w:id="602541245">
                      <w:marLeft w:val="0"/>
                      <w:marRight w:val="0"/>
                      <w:marTop w:val="0"/>
                      <w:marBottom w:val="0"/>
                      <w:divBdr>
                        <w:top w:val="single" w:sz="2" w:space="0" w:color="D9D9E3"/>
                        <w:left w:val="single" w:sz="2" w:space="0" w:color="D9D9E3"/>
                        <w:bottom w:val="single" w:sz="2" w:space="0" w:color="D9D9E3"/>
                        <w:right w:val="single" w:sz="2" w:space="0" w:color="D9D9E3"/>
                      </w:divBdr>
                      <w:divsChild>
                        <w:div w:id="935284199">
                          <w:marLeft w:val="0"/>
                          <w:marRight w:val="0"/>
                          <w:marTop w:val="0"/>
                          <w:marBottom w:val="0"/>
                          <w:divBdr>
                            <w:top w:val="single" w:sz="2" w:space="0" w:color="D9D9E3"/>
                            <w:left w:val="single" w:sz="2" w:space="0" w:color="D9D9E3"/>
                            <w:bottom w:val="single" w:sz="2" w:space="0" w:color="D9D9E3"/>
                            <w:right w:val="single" w:sz="2" w:space="0" w:color="D9D9E3"/>
                          </w:divBdr>
                          <w:divsChild>
                            <w:div w:id="604732973">
                              <w:marLeft w:val="0"/>
                              <w:marRight w:val="0"/>
                              <w:marTop w:val="100"/>
                              <w:marBottom w:val="100"/>
                              <w:divBdr>
                                <w:top w:val="single" w:sz="2" w:space="0" w:color="D9D9E3"/>
                                <w:left w:val="single" w:sz="2" w:space="0" w:color="D9D9E3"/>
                                <w:bottom w:val="single" w:sz="2" w:space="0" w:color="D9D9E3"/>
                                <w:right w:val="single" w:sz="2" w:space="0" w:color="D9D9E3"/>
                              </w:divBdr>
                              <w:divsChild>
                                <w:div w:id="1764184354">
                                  <w:marLeft w:val="0"/>
                                  <w:marRight w:val="0"/>
                                  <w:marTop w:val="0"/>
                                  <w:marBottom w:val="0"/>
                                  <w:divBdr>
                                    <w:top w:val="single" w:sz="2" w:space="0" w:color="D9D9E3"/>
                                    <w:left w:val="single" w:sz="2" w:space="0" w:color="D9D9E3"/>
                                    <w:bottom w:val="single" w:sz="2" w:space="0" w:color="D9D9E3"/>
                                    <w:right w:val="single" w:sz="2" w:space="0" w:color="D9D9E3"/>
                                  </w:divBdr>
                                  <w:divsChild>
                                    <w:div w:id="697240760">
                                      <w:marLeft w:val="0"/>
                                      <w:marRight w:val="0"/>
                                      <w:marTop w:val="0"/>
                                      <w:marBottom w:val="0"/>
                                      <w:divBdr>
                                        <w:top w:val="single" w:sz="2" w:space="0" w:color="D9D9E3"/>
                                        <w:left w:val="single" w:sz="2" w:space="0" w:color="D9D9E3"/>
                                        <w:bottom w:val="single" w:sz="2" w:space="0" w:color="D9D9E3"/>
                                        <w:right w:val="single" w:sz="2" w:space="0" w:color="D9D9E3"/>
                                      </w:divBdr>
                                      <w:divsChild>
                                        <w:div w:id="1182210141">
                                          <w:marLeft w:val="0"/>
                                          <w:marRight w:val="0"/>
                                          <w:marTop w:val="0"/>
                                          <w:marBottom w:val="0"/>
                                          <w:divBdr>
                                            <w:top w:val="single" w:sz="2" w:space="0" w:color="D9D9E3"/>
                                            <w:left w:val="single" w:sz="2" w:space="0" w:color="D9D9E3"/>
                                            <w:bottom w:val="single" w:sz="2" w:space="0" w:color="D9D9E3"/>
                                            <w:right w:val="single" w:sz="2" w:space="0" w:color="D9D9E3"/>
                                          </w:divBdr>
                                          <w:divsChild>
                                            <w:div w:id="162090428">
                                              <w:marLeft w:val="0"/>
                                              <w:marRight w:val="0"/>
                                              <w:marTop w:val="0"/>
                                              <w:marBottom w:val="0"/>
                                              <w:divBdr>
                                                <w:top w:val="single" w:sz="2" w:space="0" w:color="D9D9E3"/>
                                                <w:left w:val="single" w:sz="2" w:space="0" w:color="D9D9E3"/>
                                                <w:bottom w:val="single" w:sz="2" w:space="0" w:color="D9D9E3"/>
                                                <w:right w:val="single" w:sz="2" w:space="0" w:color="D9D9E3"/>
                                              </w:divBdr>
                                              <w:divsChild>
                                                <w:div w:id="1905023266">
                                                  <w:marLeft w:val="0"/>
                                                  <w:marRight w:val="0"/>
                                                  <w:marTop w:val="0"/>
                                                  <w:marBottom w:val="0"/>
                                                  <w:divBdr>
                                                    <w:top w:val="single" w:sz="2" w:space="0" w:color="D9D9E3"/>
                                                    <w:left w:val="single" w:sz="2" w:space="0" w:color="D9D9E3"/>
                                                    <w:bottom w:val="single" w:sz="2" w:space="0" w:color="D9D9E3"/>
                                                    <w:right w:val="single" w:sz="2" w:space="0" w:color="D9D9E3"/>
                                                  </w:divBdr>
                                                  <w:divsChild>
                                                    <w:div w:id="18753130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418674056">
          <w:marLeft w:val="0"/>
          <w:marRight w:val="0"/>
          <w:marTop w:val="0"/>
          <w:marBottom w:val="0"/>
          <w:divBdr>
            <w:top w:val="none" w:sz="0" w:space="0" w:color="auto"/>
            <w:left w:val="none" w:sz="0" w:space="0" w:color="auto"/>
            <w:bottom w:val="none" w:sz="0" w:space="0" w:color="auto"/>
            <w:right w:val="none" w:sz="0" w:space="0" w:color="auto"/>
          </w:divBdr>
          <w:divsChild>
            <w:div w:id="1444769381">
              <w:marLeft w:val="0"/>
              <w:marRight w:val="0"/>
              <w:marTop w:val="0"/>
              <w:marBottom w:val="0"/>
              <w:divBdr>
                <w:top w:val="single" w:sz="2" w:space="0" w:color="D9D9E3"/>
                <w:left w:val="single" w:sz="2" w:space="0" w:color="D9D9E3"/>
                <w:bottom w:val="single" w:sz="2" w:space="0" w:color="D9D9E3"/>
                <w:right w:val="single" w:sz="2" w:space="0" w:color="D9D9E3"/>
              </w:divBdr>
              <w:divsChild>
                <w:div w:id="810053368">
                  <w:marLeft w:val="0"/>
                  <w:marRight w:val="0"/>
                  <w:marTop w:val="0"/>
                  <w:marBottom w:val="0"/>
                  <w:divBdr>
                    <w:top w:val="single" w:sz="2" w:space="0" w:color="D9D9E3"/>
                    <w:left w:val="single" w:sz="2" w:space="0" w:color="D9D9E3"/>
                    <w:bottom w:val="single" w:sz="2" w:space="0" w:color="D9D9E3"/>
                    <w:right w:val="single" w:sz="2" w:space="0" w:color="D9D9E3"/>
                  </w:divBdr>
                  <w:divsChild>
                    <w:div w:id="1508715578">
                      <w:marLeft w:val="0"/>
                      <w:marRight w:val="0"/>
                      <w:marTop w:val="0"/>
                      <w:marBottom w:val="0"/>
                      <w:divBdr>
                        <w:top w:val="single" w:sz="6" w:space="0" w:color="auto"/>
                        <w:left w:val="single" w:sz="6" w:space="0" w:color="auto"/>
                        <w:bottom w:val="single" w:sz="6" w:space="0" w:color="auto"/>
                        <w:right w:val="single" w:sz="6" w:space="0" w:color="auto"/>
                      </w:divBdr>
                      <w:divsChild>
                        <w:div w:id="516164764">
                          <w:marLeft w:val="0"/>
                          <w:marRight w:val="0"/>
                          <w:marTop w:val="0"/>
                          <w:marBottom w:val="0"/>
                          <w:divBdr>
                            <w:top w:val="none" w:sz="0" w:space="0" w:color="auto"/>
                            <w:left w:val="none" w:sz="0" w:space="0" w:color="auto"/>
                            <w:bottom w:val="none" w:sz="0" w:space="0" w:color="auto"/>
                            <w:right w:val="none" w:sz="0" w:space="0" w:color="auto"/>
                          </w:divBdr>
                          <w:divsChild>
                            <w:div w:id="117263376">
                              <w:marLeft w:val="0"/>
                              <w:marRight w:val="0"/>
                              <w:marTop w:val="0"/>
                              <w:marBottom w:val="0"/>
                              <w:divBdr>
                                <w:top w:val="none" w:sz="0" w:space="0" w:color="auto"/>
                                <w:left w:val="none" w:sz="0" w:space="0" w:color="auto"/>
                                <w:bottom w:val="none" w:sz="0" w:space="0" w:color="auto"/>
                                <w:right w:val="none" w:sz="0" w:space="0" w:color="auto"/>
                              </w:divBdr>
                              <w:divsChild>
                                <w:div w:id="2118324952">
                                  <w:marLeft w:val="0"/>
                                  <w:marRight w:val="0"/>
                                  <w:marTop w:val="0"/>
                                  <w:marBottom w:val="0"/>
                                  <w:divBdr>
                                    <w:top w:val="none" w:sz="0" w:space="0" w:color="auto"/>
                                    <w:left w:val="none" w:sz="0" w:space="0" w:color="auto"/>
                                    <w:bottom w:val="none" w:sz="0" w:space="0" w:color="auto"/>
                                    <w:right w:val="none" w:sz="0" w:space="0" w:color="auto"/>
                                  </w:divBdr>
                                  <w:divsChild>
                                    <w:div w:id="548762652">
                                      <w:marLeft w:val="0"/>
                                      <w:marRight w:val="0"/>
                                      <w:marTop w:val="0"/>
                                      <w:marBottom w:val="0"/>
                                      <w:divBdr>
                                        <w:top w:val="none" w:sz="0" w:space="0" w:color="auto"/>
                                        <w:left w:val="none" w:sz="0" w:space="0" w:color="auto"/>
                                        <w:bottom w:val="none" w:sz="0" w:space="0" w:color="auto"/>
                                        <w:right w:val="none" w:sz="0" w:space="0" w:color="auto"/>
                                      </w:divBdr>
                                      <w:divsChild>
                                        <w:div w:id="876894835">
                                          <w:marLeft w:val="0"/>
                                          <w:marRight w:val="0"/>
                                          <w:marTop w:val="0"/>
                                          <w:marBottom w:val="0"/>
                                          <w:divBdr>
                                            <w:top w:val="none" w:sz="0" w:space="0" w:color="auto"/>
                                            <w:left w:val="none" w:sz="0" w:space="0" w:color="auto"/>
                                            <w:bottom w:val="none" w:sz="0" w:space="0" w:color="auto"/>
                                            <w:right w:val="none" w:sz="0" w:space="0" w:color="auto"/>
                                          </w:divBdr>
                                          <w:divsChild>
                                            <w:div w:id="66794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7467249">
      <w:bodyDiv w:val="1"/>
      <w:marLeft w:val="0"/>
      <w:marRight w:val="0"/>
      <w:marTop w:val="0"/>
      <w:marBottom w:val="0"/>
      <w:divBdr>
        <w:top w:val="none" w:sz="0" w:space="0" w:color="auto"/>
        <w:left w:val="none" w:sz="0" w:space="0" w:color="auto"/>
        <w:bottom w:val="none" w:sz="0" w:space="0" w:color="auto"/>
        <w:right w:val="none" w:sz="0" w:space="0" w:color="auto"/>
      </w:divBdr>
    </w:div>
    <w:div w:id="1575703950">
      <w:bodyDiv w:val="1"/>
      <w:marLeft w:val="0"/>
      <w:marRight w:val="0"/>
      <w:marTop w:val="0"/>
      <w:marBottom w:val="0"/>
      <w:divBdr>
        <w:top w:val="none" w:sz="0" w:space="0" w:color="auto"/>
        <w:left w:val="none" w:sz="0" w:space="0" w:color="auto"/>
        <w:bottom w:val="none" w:sz="0" w:space="0" w:color="auto"/>
        <w:right w:val="none" w:sz="0" w:space="0" w:color="auto"/>
      </w:divBdr>
    </w:div>
    <w:div w:id="1623682250">
      <w:bodyDiv w:val="1"/>
      <w:marLeft w:val="0"/>
      <w:marRight w:val="0"/>
      <w:marTop w:val="0"/>
      <w:marBottom w:val="0"/>
      <w:divBdr>
        <w:top w:val="none" w:sz="0" w:space="0" w:color="auto"/>
        <w:left w:val="none" w:sz="0" w:space="0" w:color="auto"/>
        <w:bottom w:val="none" w:sz="0" w:space="0" w:color="auto"/>
        <w:right w:val="none" w:sz="0" w:space="0" w:color="auto"/>
      </w:divBdr>
    </w:div>
    <w:div w:id="1658458082">
      <w:bodyDiv w:val="1"/>
      <w:marLeft w:val="0"/>
      <w:marRight w:val="0"/>
      <w:marTop w:val="0"/>
      <w:marBottom w:val="0"/>
      <w:divBdr>
        <w:top w:val="none" w:sz="0" w:space="0" w:color="auto"/>
        <w:left w:val="none" w:sz="0" w:space="0" w:color="auto"/>
        <w:bottom w:val="none" w:sz="0" w:space="0" w:color="auto"/>
        <w:right w:val="none" w:sz="0" w:space="0" w:color="auto"/>
      </w:divBdr>
    </w:div>
    <w:div w:id="1691561338">
      <w:bodyDiv w:val="1"/>
      <w:marLeft w:val="0"/>
      <w:marRight w:val="0"/>
      <w:marTop w:val="0"/>
      <w:marBottom w:val="0"/>
      <w:divBdr>
        <w:top w:val="none" w:sz="0" w:space="0" w:color="auto"/>
        <w:left w:val="none" w:sz="0" w:space="0" w:color="auto"/>
        <w:bottom w:val="none" w:sz="0" w:space="0" w:color="auto"/>
        <w:right w:val="none" w:sz="0" w:space="0" w:color="auto"/>
      </w:divBdr>
      <w:divsChild>
        <w:div w:id="1647708680">
          <w:marLeft w:val="0"/>
          <w:marRight w:val="0"/>
          <w:marTop w:val="0"/>
          <w:marBottom w:val="0"/>
          <w:divBdr>
            <w:top w:val="none" w:sz="0" w:space="0" w:color="auto"/>
            <w:left w:val="none" w:sz="0" w:space="0" w:color="auto"/>
            <w:bottom w:val="none" w:sz="0" w:space="0" w:color="auto"/>
            <w:right w:val="none" w:sz="0" w:space="0" w:color="auto"/>
          </w:divBdr>
          <w:divsChild>
            <w:div w:id="1859125946">
              <w:marLeft w:val="0"/>
              <w:marRight w:val="0"/>
              <w:marTop w:val="0"/>
              <w:marBottom w:val="0"/>
              <w:divBdr>
                <w:top w:val="none" w:sz="0" w:space="0" w:color="auto"/>
                <w:left w:val="none" w:sz="0" w:space="0" w:color="auto"/>
                <w:bottom w:val="none" w:sz="0" w:space="0" w:color="auto"/>
                <w:right w:val="none" w:sz="0" w:space="0" w:color="auto"/>
              </w:divBdr>
              <w:divsChild>
                <w:div w:id="1763843507">
                  <w:marLeft w:val="0"/>
                  <w:marRight w:val="0"/>
                  <w:marTop w:val="0"/>
                  <w:marBottom w:val="0"/>
                  <w:divBdr>
                    <w:top w:val="none" w:sz="0" w:space="0" w:color="auto"/>
                    <w:left w:val="none" w:sz="0" w:space="0" w:color="auto"/>
                    <w:bottom w:val="none" w:sz="0" w:space="0" w:color="auto"/>
                    <w:right w:val="none" w:sz="0" w:space="0" w:color="auto"/>
                  </w:divBdr>
                </w:div>
              </w:divsChild>
            </w:div>
            <w:div w:id="1639458602">
              <w:marLeft w:val="0"/>
              <w:marRight w:val="0"/>
              <w:marTop w:val="0"/>
              <w:marBottom w:val="0"/>
              <w:divBdr>
                <w:top w:val="none" w:sz="0" w:space="0" w:color="auto"/>
                <w:left w:val="none" w:sz="0" w:space="0" w:color="auto"/>
                <w:bottom w:val="none" w:sz="0" w:space="0" w:color="auto"/>
                <w:right w:val="none" w:sz="0" w:space="0" w:color="auto"/>
              </w:divBdr>
              <w:divsChild>
                <w:div w:id="425615623">
                  <w:marLeft w:val="0"/>
                  <w:marRight w:val="0"/>
                  <w:marTop w:val="0"/>
                  <w:marBottom w:val="0"/>
                  <w:divBdr>
                    <w:top w:val="none" w:sz="0" w:space="0" w:color="auto"/>
                    <w:left w:val="none" w:sz="0" w:space="0" w:color="auto"/>
                    <w:bottom w:val="none" w:sz="0" w:space="0" w:color="auto"/>
                    <w:right w:val="none" w:sz="0" w:space="0" w:color="auto"/>
                  </w:divBdr>
                </w:div>
              </w:divsChild>
            </w:div>
            <w:div w:id="2043357019">
              <w:marLeft w:val="0"/>
              <w:marRight w:val="0"/>
              <w:marTop w:val="0"/>
              <w:marBottom w:val="0"/>
              <w:divBdr>
                <w:top w:val="none" w:sz="0" w:space="0" w:color="auto"/>
                <w:left w:val="none" w:sz="0" w:space="0" w:color="auto"/>
                <w:bottom w:val="none" w:sz="0" w:space="0" w:color="auto"/>
                <w:right w:val="none" w:sz="0" w:space="0" w:color="auto"/>
              </w:divBdr>
              <w:divsChild>
                <w:div w:id="19958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239177">
      <w:bodyDiv w:val="1"/>
      <w:marLeft w:val="0"/>
      <w:marRight w:val="0"/>
      <w:marTop w:val="0"/>
      <w:marBottom w:val="0"/>
      <w:divBdr>
        <w:top w:val="none" w:sz="0" w:space="0" w:color="auto"/>
        <w:left w:val="none" w:sz="0" w:space="0" w:color="auto"/>
        <w:bottom w:val="none" w:sz="0" w:space="0" w:color="auto"/>
        <w:right w:val="none" w:sz="0" w:space="0" w:color="auto"/>
      </w:divBdr>
      <w:divsChild>
        <w:div w:id="664210308">
          <w:marLeft w:val="0"/>
          <w:marRight w:val="0"/>
          <w:marTop w:val="0"/>
          <w:marBottom w:val="0"/>
          <w:divBdr>
            <w:top w:val="none" w:sz="0" w:space="0" w:color="auto"/>
            <w:left w:val="none" w:sz="0" w:space="0" w:color="auto"/>
            <w:bottom w:val="none" w:sz="0" w:space="0" w:color="auto"/>
            <w:right w:val="none" w:sz="0" w:space="0" w:color="auto"/>
          </w:divBdr>
          <w:divsChild>
            <w:div w:id="943076997">
              <w:marLeft w:val="0"/>
              <w:marRight w:val="0"/>
              <w:marTop w:val="0"/>
              <w:marBottom w:val="0"/>
              <w:divBdr>
                <w:top w:val="none" w:sz="0" w:space="0" w:color="auto"/>
                <w:left w:val="none" w:sz="0" w:space="0" w:color="auto"/>
                <w:bottom w:val="none" w:sz="0" w:space="0" w:color="auto"/>
                <w:right w:val="none" w:sz="0" w:space="0" w:color="auto"/>
              </w:divBdr>
              <w:divsChild>
                <w:div w:id="132331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0069164">
      <w:bodyDiv w:val="1"/>
      <w:marLeft w:val="0"/>
      <w:marRight w:val="0"/>
      <w:marTop w:val="0"/>
      <w:marBottom w:val="0"/>
      <w:divBdr>
        <w:top w:val="none" w:sz="0" w:space="0" w:color="auto"/>
        <w:left w:val="none" w:sz="0" w:space="0" w:color="auto"/>
        <w:bottom w:val="none" w:sz="0" w:space="0" w:color="auto"/>
        <w:right w:val="none" w:sz="0" w:space="0" w:color="auto"/>
      </w:divBdr>
    </w:div>
    <w:div w:id="1913614048">
      <w:bodyDiv w:val="1"/>
      <w:marLeft w:val="0"/>
      <w:marRight w:val="0"/>
      <w:marTop w:val="0"/>
      <w:marBottom w:val="0"/>
      <w:divBdr>
        <w:top w:val="none" w:sz="0" w:space="0" w:color="auto"/>
        <w:left w:val="none" w:sz="0" w:space="0" w:color="auto"/>
        <w:bottom w:val="none" w:sz="0" w:space="0" w:color="auto"/>
        <w:right w:val="none" w:sz="0" w:space="0" w:color="auto"/>
      </w:divBdr>
      <w:divsChild>
        <w:div w:id="469369312">
          <w:marLeft w:val="0"/>
          <w:marRight w:val="0"/>
          <w:marTop w:val="0"/>
          <w:marBottom w:val="0"/>
          <w:divBdr>
            <w:top w:val="none" w:sz="0" w:space="0" w:color="auto"/>
            <w:left w:val="none" w:sz="0" w:space="0" w:color="auto"/>
            <w:bottom w:val="none" w:sz="0" w:space="0" w:color="auto"/>
            <w:right w:val="none" w:sz="0" w:space="0" w:color="auto"/>
          </w:divBdr>
          <w:divsChild>
            <w:div w:id="1494224024">
              <w:marLeft w:val="0"/>
              <w:marRight w:val="0"/>
              <w:marTop w:val="0"/>
              <w:marBottom w:val="0"/>
              <w:divBdr>
                <w:top w:val="none" w:sz="0" w:space="0" w:color="auto"/>
                <w:left w:val="none" w:sz="0" w:space="0" w:color="auto"/>
                <w:bottom w:val="none" w:sz="0" w:space="0" w:color="auto"/>
                <w:right w:val="none" w:sz="0" w:space="0" w:color="auto"/>
              </w:divBdr>
              <w:divsChild>
                <w:div w:id="337387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020543">
      <w:bodyDiv w:val="1"/>
      <w:marLeft w:val="0"/>
      <w:marRight w:val="0"/>
      <w:marTop w:val="0"/>
      <w:marBottom w:val="0"/>
      <w:divBdr>
        <w:top w:val="none" w:sz="0" w:space="0" w:color="auto"/>
        <w:left w:val="none" w:sz="0" w:space="0" w:color="auto"/>
        <w:bottom w:val="none" w:sz="0" w:space="0" w:color="auto"/>
        <w:right w:val="none" w:sz="0" w:space="0" w:color="auto"/>
      </w:divBdr>
    </w:div>
    <w:div w:id="1931769723">
      <w:bodyDiv w:val="1"/>
      <w:marLeft w:val="0"/>
      <w:marRight w:val="0"/>
      <w:marTop w:val="0"/>
      <w:marBottom w:val="0"/>
      <w:divBdr>
        <w:top w:val="none" w:sz="0" w:space="0" w:color="auto"/>
        <w:left w:val="none" w:sz="0" w:space="0" w:color="auto"/>
        <w:bottom w:val="none" w:sz="0" w:space="0" w:color="auto"/>
        <w:right w:val="none" w:sz="0" w:space="0" w:color="auto"/>
      </w:divBdr>
      <w:divsChild>
        <w:div w:id="180315756">
          <w:marLeft w:val="0"/>
          <w:marRight w:val="0"/>
          <w:marTop w:val="0"/>
          <w:marBottom w:val="0"/>
          <w:divBdr>
            <w:top w:val="none" w:sz="0" w:space="0" w:color="auto"/>
            <w:left w:val="none" w:sz="0" w:space="0" w:color="auto"/>
            <w:bottom w:val="none" w:sz="0" w:space="0" w:color="auto"/>
            <w:right w:val="none" w:sz="0" w:space="0" w:color="auto"/>
          </w:divBdr>
          <w:divsChild>
            <w:div w:id="1579710476">
              <w:marLeft w:val="0"/>
              <w:marRight w:val="0"/>
              <w:marTop w:val="0"/>
              <w:marBottom w:val="0"/>
              <w:divBdr>
                <w:top w:val="none" w:sz="0" w:space="0" w:color="auto"/>
                <w:left w:val="none" w:sz="0" w:space="0" w:color="auto"/>
                <w:bottom w:val="none" w:sz="0" w:space="0" w:color="auto"/>
                <w:right w:val="none" w:sz="0" w:space="0" w:color="auto"/>
              </w:divBdr>
              <w:divsChild>
                <w:div w:id="33600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806926">
      <w:bodyDiv w:val="1"/>
      <w:marLeft w:val="0"/>
      <w:marRight w:val="0"/>
      <w:marTop w:val="0"/>
      <w:marBottom w:val="0"/>
      <w:divBdr>
        <w:top w:val="none" w:sz="0" w:space="0" w:color="auto"/>
        <w:left w:val="none" w:sz="0" w:space="0" w:color="auto"/>
        <w:bottom w:val="none" w:sz="0" w:space="0" w:color="auto"/>
        <w:right w:val="none" w:sz="0" w:space="0" w:color="auto"/>
      </w:divBdr>
    </w:div>
    <w:div w:id="2034762985">
      <w:bodyDiv w:val="1"/>
      <w:marLeft w:val="0"/>
      <w:marRight w:val="0"/>
      <w:marTop w:val="0"/>
      <w:marBottom w:val="0"/>
      <w:divBdr>
        <w:top w:val="none" w:sz="0" w:space="0" w:color="auto"/>
        <w:left w:val="none" w:sz="0" w:space="0" w:color="auto"/>
        <w:bottom w:val="none" w:sz="0" w:space="0" w:color="auto"/>
        <w:right w:val="none" w:sz="0" w:space="0" w:color="auto"/>
      </w:divBdr>
    </w:div>
    <w:div w:id="2087070848">
      <w:bodyDiv w:val="1"/>
      <w:marLeft w:val="0"/>
      <w:marRight w:val="0"/>
      <w:marTop w:val="0"/>
      <w:marBottom w:val="0"/>
      <w:divBdr>
        <w:top w:val="none" w:sz="0" w:space="0" w:color="auto"/>
        <w:left w:val="none" w:sz="0" w:space="0" w:color="auto"/>
        <w:bottom w:val="none" w:sz="0" w:space="0" w:color="auto"/>
        <w:right w:val="none" w:sz="0" w:space="0" w:color="auto"/>
      </w:divBdr>
    </w:div>
    <w:div w:id="21328921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8.emf"/><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image" Target="media/image31.emf"/><Relationship Id="rId47" Type="http://schemas.openxmlformats.org/officeDocument/2006/relationships/image" Target="media/image36.png"/><Relationship Id="rId50" Type="http://schemas.openxmlformats.org/officeDocument/2006/relationships/image" Target="media/image39.tiff"/><Relationship Id="rId55" Type="http://schemas.openxmlformats.org/officeDocument/2006/relationships/image" Target="media/image44.tif"/><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8.png"/><Relationship Id="rId11" Type="http://schemas.openxmlformats.org/officeDocument/2006/relationships/footer" Target="footer3.xml"/><Relationship Id="rId24" Type="http://schemas.openxmlformats.org/officeDocument/2006/relationships/image" Target="media/image13.tiff"/><Relationship Id="rId32" Type="http://schemas.openxmlformats.org/officeDocument/2006/relationships/image" Target="media/image21.tiff"/><Relationship Id="rId37" Type="http://schemas.openxmlformats.org/officeDocument/2006/relationships/image" Target="media/image26.emf"/><Relationship Id="rId40" Type="http://schemas.openxmlformats.org/officeDocument/2006/relationships/image" Target="media/image29.emf"/><Relationship Id="rId45" Type="http://schemas.openxmlformats.org/officeDocument/2006/relationships/image" Target="media/image34.tiff"/><Relationship Id="rId53" Type="http://schemas.openxmlformats.org/officeDocument/2006/relationships/image" Target="media/image42.emf"/><Relationship Id="rId5" Type="http://schemas.openxmlformats.org/officeDocument/2006/relationships/webSettings" Target="webSettings.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tiff"/><Relationship Id="rId35" Type="http://schemas.openxmlformats.org/officeDocument/2006/relationships/image" Target="media/image24.png"/><Relationship Id="rId43" Type="http://schemas.openxmlformats.org/officeDocument/2006/relationships/image" Target="media/image32.emf"/><Relationship Id="rId48" Type="http://schemas.openxmlformats.org/officeDocument/2006/relationships/image" Target="media/image37.tif"/><Relationship Id="rId56" Type="http://schemas.openxmlformats.org/officeDocument/2006/relationships/fontTable" Target="fontTable.xml"/><Relationship Id="rId8" Type="http://schemas.openxmlformats.org/officeDocument/2006/relationships/footer" Target="footer1.xml"/><Relationship Id="rId51" Type="http://schemas.openxmlformats.org/officeDocument/2006/relationships/image" Target="media/image40.tiff"/><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tiff"/><Relationship Id="rId38" Type="http://schemas.openxmlformats.org/officeDocument/2006/relationships/image" Target="media/image27.emf"/><Relationship Id="rId46" Type="http://schemas.openxmlformats.org/officeDocument/2006/relationships/image" Target="media/image35.png"/><Relationship Id="rId20" Type="http://schemas.openxmlformats.org/officeDocument/2006/relationships/image" Target="media/image9.png"/><Relationship Id="rId41" Type="http://schemas.openxmlformats.org/officeDocument/2006/relationships/image" Target="media/image30.emf"/><Relationship Id="rId54" Type="http://schemas.openxmlformats.org/officeDocument/2006/relationships/image" Target="media/image43.tif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png"/><Relationship Id="rId23" Type="http://schemas.openxmlformats.org/officeDocument/2006/relationships/image" Target="media/image12.tiff"/><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image" Target="media/image38.png"/><Relationship Id="rId57" Type="http://schemas.openxmlformats.org/officeDocument/2006/relationships/theme" Target="theme/theme1.xml"/><Relationship Id="rId10" Type="http://schemas.openxmlformats.org/officeDocument/2006/relationships/header" Target="header1.xml"/><Relationship Id="rId31" Type="http://schemas.openxmlformats.org/officeDocument/2006/relationships/image" Target="media/image20.tiff"/><Relationship Id="rId44" Type="http://schemas.openxmlformats.org/officeDocument/2006/relationships/image" Target="media/image33.tiff"/><Relationship Id="rId52" Type="http://schemas.openxmlformats.org/officeDocument/2006/relationships/image" Target="media/image41.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E00AD1-FF20-B24B-AC69-DFD59FBA1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67</Pages>
  <Words>54055</Words>
  <Characters>308118</Characters>
  <Application>Microsoft Office Word</Application>
  <DocSecurity>0</DocSecurity>
  <Lines>2567</Lines>
  <Paragraphs>722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Abousleiman, Ghainaa</dc:creator>
  <cp:keywords/>
  <dc:description/>
  <cp:lastModifiedBy>Abousleiman, Ghainaa</cp:lastModifiedBy>
  <cp:revision>5</cp:revision>
  <cp:lastPrinted>2024-05-01T22:26:00Z</cp:lastPrinted>
  <dcterms:created xsi:type="dcterms:W3CDTF">2024-05-01T22:26:00Z</dcterms:created>
  <dcterms:modified xsi:type="dcterms:W3CDTF">2024-05-02T20:01:00Z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zotero-version="6.0.37"&gt;&lt;session id="qmqyikfm"/&gt;&lt;style id="http://www.zotero.org/styles/ieee" locale="en-US"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