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9582BC" w14:textId="77777777" w:rsidR="002407BF" w:rsidRDefault="002407BF" w:rsidP="002407BF">
      <w:pPr>
        <w:jc w:val="center"/>
      </w:pPr>
    </w:p>
    <w:p w14:paraId="22ADD3AD" w14:textId="29FD4317" w:rsidR="00863E76" w:rsidRPr="005A6293" w:rsidRDefault="00863E76" w:rsidP="002407BF">
      <w:pPr>
        <w:jc w:val="center"/>
      </w:pPr>
      <w:r w:rsidRPr="005A6293">
        <w:t>UNIVERSITY OF OKLAHOMA</w:t>
      </w:r>
    </w:p>
    <w:p w14:paraId="2CC52B62" w14:textId="77777777" w:rsidR="002407BF" w:rsidRPr="005A6293" w:rsidRDefault="002407BF" w:rsidP="002407BF">
      <w:pPr>
        <w:jc w:val="center"/>
      </w:pPr>
    </w:p>
    <w:p w14:paraId="359AEDD8" w14:textId="6CA8B6E4" w:rsidR="00863E76" w:rsidRPr="005A6293" w:rsidRDefault="00863E76" w:rsidP="002407BF">
      <w:pPr>
        <w:jc w:val="center"/>
      </w:pPr>
      <w:r w:rsidRPr="005A6293">
        <w:t>GRADUATE COLLEGE</w:t>
      </w:r>
    </w:p>
    <w:p w14:paraId="1F7D418A" w14:textId="77777777" w:rsidR="00863E76" w:rsidRPr="005A6293" w:rsidRDefault="00863E76" w:rsidP="002407BF">
      <w:pPr>
        <w:jc w:val="center"/>
      </w:pPr>
    </w:p>
    <w:p w14:paraId="4A8F6AD4" w14:textId="77777777" w:rsidR="00863E76" w:rsidRPr="005A6293" w:rsidRDefault="00863E76" w:rsidP="002407BF">
      <w:pPr>
        <w:jc w:val="center"/>
      </w:pPr>
    </w:p>
    <w:p w14:paraId="1DA48CDC" w14:textId="77777777" w:rsidR="00863E76" w:rsidRPr="005A6293" w:rsidRDefault="00863E76" w:rsidP="002407BF">
      <w:pPr>
        <w:jc w:val="center"/>
      </w:pPr>
    </w:p>
    <w:p w14:paraId="648052D1" w14:textId="77777777" w:rsidR="002407BF" w:rsidRPr="005A6293" w:rsidRDefault="002407BF" w:rsidP="002407BF">
      <w:pPr>
        <w:jc w:val="center"/>
      </w:pPr>
    </w:p>
    <w:p w14:paraId="29F60A5F" w14:textId="77777777" w:rsidR="002407BF" w:rsidRPr="005A6293" w:rsidRDefault="002407BF" w:rsidP="002407BF">
      <w:pPr>
        <w:jc w:val="center"/>
      </w:pPr>
    </w:p>
    <w:p w14:paraId="1F974EF6" w14:textId="73FC5D36" w:rsidR="00863E76" w:rsidRPr="005A6293" w:rsidRDefault="00863E76" w:rsidP="002407BF">
      <w:pPr>
        <w:spacing w:line="480" w:lineRule="auto"/>
        <w:jc w:val="center"/>
      </w:pPr>
      <w:r w:rsidRPr="005A6293">
        <w:t>“EDUCATE A NATION”: A HI</w:t>
      </w:r>
      <w:r w:rsidR="00F1240C">
        <w:t>STORICAL ANALYSIS OF FEMALE EDU</w:t>
      </w:r>
      <w:r w:rsidRPr="005A6293">
        <w:t>C</w:t>
      </w:r>
      <w:r w:rsidR="00F1240C">
        <w:t>A</w:t>
      </w:r>
      <w:r w:rsidRPr="005A6293">
        <w:t>TION’S IMPACT ON KENYAN ECONOMICS AND POLITICS</w:t>
      </w:r>
    </w:p>
    <w:p w14:paraId="74AC796C" w14:textId="77777777" w:rsidR="00863E76" w:rsidRPr="005A6293" w:rsidRDefault="00863E76" w:rsidP="002407BF">
      <w:pPr>
        <w:jc w:val="center"/>
      </w:pPr>
    </w:p>
    <w:p w14:paraId="4CBC96FB" w14:textId="77777777" w:rsidR="00863E76" w:rsidRPr="005A6293" w:rsidRDefault="00863E76" w:rsidP="002407BF">
      <w:pPr>
        <w:jc w:val="center"/>
      </w:pPr>
    </w:p>
    <w:p w14:paraId="17BB2078" w14:textId="77777777" w:rsidR="00863E76" w:rsidRPr="005A6293" w:rsidRDefault="00863E76" w:rsidP="002407BF">
      <w:pPr>
        <w:jc w:val="center"/>
      </w:pPr>
    </w:p>
    <w:p w14:paraId="5EF8AE4F" w14:textId="77777777" w:rsidR="002407BF" w:rsidRPr="005A6293" w:rsidRDefault="002407BF" w:rsidP="002407BF">
      <w:pPr>
        <w:jc w:val="center"/>
      </w:pPr>
    </w:p>
    <w:p w14:paraId="0543F7B3" w14:textId="77777777" w:rsidR="002407BF" w:rsidRPr="005A6293" w:rsidRDefault="002407BF" w:rsidP="002407BF">
      <w:pPr>
        <w:jc w:val="center"/>
      </w:pPr>
    </w:p>
    <w:p w14:paraId="1B825031" w14:textId="77777777" w:rsidR="002407BF" w:rsidRPr="005A6293" w:rsidRDefault="002407BF" w:rsidP="002407BF">
      <w:pPr>
        <w:jc w:val="center"/>
      </w:pPr>
    </w:p>
    <w:p w14:paraId="714B2A2F" w14:textId="77777777" w:rsidR="002407BF" w:rsidRPr="005A6293" w:rsidRDefault="002407BF" w:rsidP="002407BF">
      <w:pPr>
        <w:jc w:val="center"/>
      </w:pPr>
    </w:p>
    <w:p w14:paraId="775CAAD2" w14:textId="77777777" w:rsidR="00863E76" w:rsidRPr="005A6293" w:rsidRDefault="00863E76" w:rsidP="002407BF">
      <w:pPr>
        <w:jc w:val="center"/>
      </w:pPr>
      <w:r w:rsidRPr="005A6293">
        <w:t xml:space="preserve">A THESIS </w:t>
      </w:r>
    </w:p>
    <w:p w14:paraId="6B9E4ABA" w14:textId="77777777" w:rsidR="002407BF" w:rsidRPr="005A6293" w:rsidRDefault="002407BF" w:rsidP="002407BF">
      <w:pPr>
        <w:jc w:val="center"/>
      </w:pPr>
    </w:p>
    <w:p w14:paraId="00D9555E" w14:textId="11D8BA0D" w:rsidR="00863E76" w:rsidRPr="005A6293" w:rsidRDefault="00863E76" w:rsidP="002407BF">
      <w:pPr>
        <w:jc w:val="center"/>
      </w:pPr>
      <w:r w:rsidRPr="005A6293">
        <w:t>SUBMITTED TO THE GRADUATE FACULTY</w:t>
      </w:r>
    </w:p>
    <w:p w14:paraId="32A5B2F0" w14:textId="77777777" w:rsidR="002407BF" w:rsidRPr="005A6293" w:rsidRDefault="002407BF" w:rsidP="002407BF">
      <w:pPr>
        <w:jc w:val="center"/>
      </w:pPr>
    </w:p>
    <w:p w14:paraId="6D9F42F6" w14:textId="7AE236E5" w:rsidR="00863E76" w:rsidRPr="005A6293" w:rsidRDefault="00863E76" w:rsidP="002407BF">
      <w:pPr>
        <w:jc w:val="center"/>
      </w:pPr>
      <w:r w:rsidRPr="005A6293">
        <w:t>in</w:t>
      </w:r>
      <w:r w:rsidR="00686095" w:rsidRPr="005A6293">
        <w:t xml:space="preserve"> partial</w:t>
      </w:r>
      <w:r w:rsidRPr="005A6293">
        <w:t xml:space="preserve"> fulfillment of the requirements for the</w:t>
      </w:r>
    </w:p>
    <w:p w14:paraId="19CE7449" w14:textId="77777777" w:rsidR="002407BF" w:rsidRPr="005A6293" w:rsidRDefault="002407BF" w:rsidP="002407BF">
      <w:pPr>
        <w:jc w:val="center"/>
      </w:pPr>
    </w:p>
    <w:p w14:paraId="0D1A2831" w14:textId="21299BBD" w:rsidR="00863E76" w:rsidRPr="005A6293" w:rsidRDefault="00863E76" w:rsidP="002407BF">
      <w:pPr>
        <w:jc w:val="center"/>
      </w:pPr>
      <w:r w:rsidRPr="005A6293">
        <w:t>Degree of</w:t>
      </w:r>
    </w:p>
    <w:p w14:paraId="204FD8DB" w14:textId="77777777" w:rsidR="002407BF" w:rsidRPr="005A6293" w:rsidRDefault="002407BF" w:rsidP="002407BF">
      <w:pPr>
        <w:jc w:val="center"/>
      </w:pPr>
    </w:p>
    <w:p w14:paraId="5E37E3C3" w14:textId="54486AB7" w:rsidR="00863E76" w:rsidRPr="005A6293" w:rsidRDefault="00863E76" w:rsidP="002407BF">
      <w:pPr>
        <w:jc w:val="center"/>
      </w:pPr>
      <w:r w:rsidRPr="005A6293">
        <w:t>MASTER OF ARTS IN INTERNATIONAL STUDIES</w:t>
      </w:r>
    </w:p>
    <w:p w14:paraId="7932CC23" w14:textId="77777777" w:rsidR="00863E76" w:rsidRPr="005A6293" w:rsidRDefault="00863E76" w:rsidP="002407BF">
      <w:pPr>
        <w:jc w:val="center"/>
      </w:pPr>
    </w:p>
    <w:p w14:paraId="2CCE5CDE" w14:textId="77777777" w:rsidR="00863E76" w:rsidRPr="005A6293" w:rsidRDefault="00863E76" w:rsidP="002407BF">
      <w:pPr>
        <w:jc w:val="center"/>
      </w:pPr>
    </w:p>
    <w:p w14:paraId="5666102C" w14:textId="77777777" w:rsidR="00863E76" w:rsidRPr="005A6293" w:rsidRDefault="00863E76" w:rsidP="002407BF">
      <w:pPr>
        <w:jc w:val="center"/>
      </w:pPr>
    </w:p>
    <w:p w14:paraId="24874A84" w14:textId="77777777" w:rsidR="00863E76" w:rsidRPr="005A6293" w:rsidRDefault="00863E76" w:rsidP="002407BF">
      <w:pPr>
        <w:jc w:val="center"/>
      </w:pPr>
    </w:p>
    <w:p w14:paraId="74EC901F" w14:textId="77777777" w:rsidR="0071501F" w:rsidRPr="005A6293" w:rsidRDefault="0071501F" w:rsidP="002407BF">
      <w:pPr>
        <w:jc w:val="center"/>
      </w:pPr>
    </w:p>
    <w:p w14:paraId="323F1636" w14:textId="77777777" w:rsidR="002407BF" w:rsidRPr="005A6293" w:rsidRDefault="002407BF" w:rsidP="002407BF">
      <w:pPr>
        <w:jc w:val="center"/>
      </w:pPr>
    </w:p>
    <w:p w14:paraId="3943E87D" w14:textId="77777777" w:rsidR="002407BF" w:rsidRPr="005A6293" w:rsidRDefault="002407BF" w:rsidP="002407BF">
      <w:pPr>
        <w:jc w:val="center"/>
      </w:pPr>
    </w:p>
    <w:p w14:paraId="7D3AD933" w14:textId="77777777" w:rsidR="002407BF" w:rsidRPr="005A6293" w:rsidRDefault="002407BF" w:rsidP="002407BF">
      <w:pPr>
        <w:jc w:val="center"/>
      </w:pPr>
    </w:p>
    <w:p w14:paraId="55AB78E8" w14:textId="77777777" w:rsidR="002407BF" w:rsidRPr="005A6293" w:rsidRDefault="002407BF" w:rsidP="002407BF">
      <w:pPr>
        <w:jc w:val="center"/>
      </w:pPr>
    </w:p>
    <w:p w14:paraId="2E4A2E08" w14:textId="77777777" w:rsidR="002407BF" w:rsidRPr="005A6293" w:rsidRDefault="002407BF" w:rsidP="002407BF">
      <w:pPr>
        <w:jc w:val="center"/>
      </w:pPr>
    </w:p>
    <w:p w14:paraId="6ED4A2E6" w14:textId="77777777" w:rsidR="002407BF" w:rsidRPr="005A6293" w:rsidRDefault="002407BF" w:rsidP="002407BF">
      <w:pPr>
        <w:jc w:val="center"/>
      </w:pPr>
    </w:p>
    <w:p w14:paraId="6E7A4205" w14:textId="77777777" w:rsidR="002407BF" w:rsidRPr="005A6293" w:rsidRDefault="002407BF" w:rsidP="002407BF">
      <w:pPr>
        <w:jc w:val="center"/>
      </w:pPr>
    </w:p>
    <w:p w14:paraId="3AEB375F" w14:textId="5188DD70" w:rsidR="00863E76" w:rsidRPr="005A6293" w:rsidRDefault="00863E76" w:rsidP="002407BF">
      <w:pPr>
        <w:jc w:val="center"/>
      </w:pPr>
      <w:r w:rsidRPr="005A6293">
        <w:t>By</w:t>
      </w:r>
    </w:p>
    <w:p w14:paraId="6343AC61" w14:textId="77777777" w:rsidR="002407BF" w:rsidRPr="005A6293" w:rsidRDefault="002407BF" w:rsidP="002407BF">
      <w:pPr>
        <w:jc w:val="center"/>
      </w:pPr>
    </w:p>
    <w:p w14:paraId="7BCD1414" w14:textId="57BF30A8" w:rsidR="00863E76" w:rsidRPr="005A6293" w:rsidRDefault="00863E76" w:rsidP="002407BF">
      <w:pPr>
        <w:jc w:val="center"/>
      </w:pPr>
      <w:r w:rsidRPr="005A6293">
        <w:t>LILLI LEBEAU</w:t>
      </w:r>
    </w:p>
    <w:p w14:paraId="058844AC" w14:textId="7A4F2515" w:rsidR="00863E76" w:rsidRPr="005A6293" w:rsidRDefault="00863E76" w:rsidP="002407BF">
      <w:pPr>
        <w:jc w:val="center"/>
      </w:pPr>
      <w:r w:rsidRPr="005A6293">
        <w:t>Norman, Oklahoma</w:t>
      </w:r>
    </w:p>
    <w:p w14:paraId="41A17AE7" w14:textId="32A68219" w:rsidR="00863E76" w:rsidRPr="005A6293" w:rsidRDefault="00863E76" w:rsidP="002407BF">
      <w:pPr>
        <w:jc w:val="center"/>
      </w:pPr>
      <w:r w:rsidRPr="005A6293">
        <w:t>2018</w:t>
      </w:r>
    </w:p>
    <w:p w14:paraId="010A5670" w14:textId="77777777" w:rsidR="00A569BD" w:rsidRPr="005A6293" w:rsidRDefault="00A569BD" w:rsidP="002407BF">
      <w:pPr>
        <w:jc w:val="center"/>
      </w:pPr>
    </w:p>
    <w:p w14:paraId="1791A5C4" w14:textId="77777777" w:rsidR="007B62E1" w:rsidRPr="005A6293" w:rsidRDefault="007B62E1" w:rsidP="002407BF">
      <w:pPr>
        <w:jc w:val="center"/>
      </w:pPr>
    </w:p>
    <w:p w14:paraId="49911EE1" w14:textId="77777777" w:rsidR="007B62E1" w:rsidRPr="005A6293" w:rsidRDefault="007B62E1" w:rsidP="002407BF">
      <w:pPr>
        <w:jc w:val="center"/>
      </w:pPr>
    </w:p>
    <w:p w14:paraId="5F5A6CF0" w14:textId="77777777" w:rsidR="007B62E1" w:rsidRPr="005A6293" w:rsidRDefault="007B62E1" w:rsidP="002407BF">
      <w:pPr>
        <w:jc w:val="center"/>
      </w:pPr>
    </w:p>
    <w:p w14:paraId="2B120CCE" w14:textId="77777777" w:rsidR="007B62E1" w:rsidRPr="005A6293" w:rsidRDefault="007B62E1" w:rsidP="002407BF">
      <w:pPr>
        <w:jc w:val="center"/>
      </w:pPr>
    </w:p>
    <w:p w14:paraId="4F9D0BC9" w14:textId="77777777" w:rsidR="00A569BD" w:rsidRPr="005A6293" w:rsidRDefault="00A569BD" w:rsidP="00A738C6">
      <w:pPr>
        <w:jc w:val="center"/>
      </w:pPr>
    </w:p>
    <w:p w14:paraId="3638FB1A" w14:textId="77777777" w:rsidR="002407BF" w:rsidRPr="005A6293" w:rsidRDefault="002407BF" w:rsidP="00A738C6">
      <w:pPr>
        <w:jc w:val="center"/>
      </w:pPr>
    </w:p>
    <w:p w14:paraId="3E09F65E" w14:textId="0748DF2E" w:rsidR="00863E76" w:rsidRPr="005A6293" w:rsidRDefault="00863E76" w:rsidP="00A738C6">
      <w:pPr>
        <w:jc w:val="center"/>
      </w:pPr>
      <w:r w:rsidRPr="005A6293">
        <w:t>“EDUCATE A NATION”: A HI</w:t>
      </w:r>
      <w:r w:rsidR="008222D2">
        <w:t>STORICAL ANALYSIS OF FEMALE EDU</w:t>
      </w:r>
      <w:r w:rsidRPr="005A6293">
        <w:t>C</w:t>
      </w:r>
      <w:r w:rsidR="008222D2">
        <w:t>A</w:t>
      </w:r>
      <w:r w:rsidRPr="005A6293">
        <w:t>TION’S IMPACT ON KENYAN ECONOMICS AND POLITICS</w:t>
      </w:r>
    </w:p>
    <w:p w14:paraId="6AF4BA52" w14:textId="77777777" w:rsidR="00863E76" w:rsidRPr="005A6293" w:rsidRDefault="00863E76" w:rsidP="00A738C6">
      <w:pPr>
        <w:jc w:val="center"/>
        <w:rPr>
          <w:b/>
        </w:rPr>
      </w:pPr>
    </w:p>
    <w:p w14:paraId="138E9482" w14:textId="77777777" w:rsidR="00863E76" w:rsidRPr="005A6293" w:rsidRDefault="00863E76" w:rsidP="00A738C6">
      <w:pPr>
        <w:jc w:val="center"/>
        <w:rPr>
          <w:b/>
        </w:rPr>
      </w:pPr>
    </w:p>
    <w:p w14:paraId="499CC3CA" w14:textId="6612329E" w:rsidR="00863E76" w:rsidRPr="005A6293" w:rsidRDefault="00863E76" w:rsidP="00A738C6">
      <w:pPr>
        <w:jc w:val="center"/>
      </w:pPr>
      <w:r w:rsidRPr="005A6293">
        <w:t>A THESIS APPROVED FOR THE</w:t>
      </w:r>
    </w:p>
    <w:p w14:paraId="1E0FFAB8" w14:textId="47B75EE1" w:rsidR="00863E76" w:rsidRPr="005A6293" w:rsidRDefault="00863E76" w:rsidP="00A738C6">
      <w:pPr>
        <w:jc w:val="center"/>
      </w:pPr>
      <w:r w:rsidRPr="005A6293">
        <w:t>COLLEGE OF INTERNTIONAL STUDIES</w:t>
      </w:r>
    </w:p>
    <w:p w14:paraId="632CC611" w14:textId="77777777" w:rsidR="00863E76" w:rsidRPr="005A6293" w:rsidRDefault="00863E76" w:rsidP="00A738C6">
      <w:pPr>
        <w:jc w:val="center"/>
      </w:pPr>
    </w:p>
    <w:p w14:paraId="60BFBC5F" w14:textId="77777777" w:rsidR="00863E76" w:rsidRPr="005A6293" w:rsidRDefault="00863E76" w:rsidP="00A738C6">
      <w:pPr>
        <w:jc w:val="center"/>
      </w:pPr>
    </w:p>
    <w:p w14:paraId="36AA7229" w14:textId="77777777" w:rsidR="00863E76" w:rsidRPr="005A6293" w:rsidRDefault="00863E76" w:rsidP="00A738C6">
      <w:pPr>
        <w:jc w:val="center"/>
      </w:pPr>
    </w:p>
    <w:p w14:paraId="43EA6D14" w14:textId="77777777" w:rsidR="00863E76" w:rsidRPr="005A6293" w:rsidRDefault="00863E76" w:rsidP="00A738C6">
      <w:pPr>
        <w:jc w:val="center"/>
      </w:pPr>
    </w:p>
    <w:p w14:paraId="13677E79" w14:textId="77777777" w:rsidR="00863E76" w:rsidRPr="005A6293" w:rsidRDefault="00863E76" w:rsidP="00A738C6">
      <w:pPr>
        <w:jc w:val="center"/>
      </w:pPr>
    </w:p>
    <w:p w14:paraId="046B9225" w14:textId="77777777" w:rsidR="00863E76" w:rsidRPr="005A6293" w:rsidRDefault="00863E76" w:rsidP="00A738C6">
      <w:pPr>
        <w:jc w:val="center"/>
      </w:pPr>
    </w:p>
    <w:p w14:paraId="2DD25309" w14:textId="77777777" w:rsidR="00863E76" w:rsidRPr="005A6293" w:rsidRDefault="00863E76" w:rsidP="00A738C6">
      <w:pPr>
        <w:jc w:val="center"/>
      </w:pPr>
    </w:p>
    <w:p w14:paraId="78C83F95" w14:textId="77777777" w:rsidR="00863E76" w:rsidRPr="005A6293" w:rsidRDefault="00863E76" w:rsidP="00A738C6">
      <w:pPr>
        <w:jc w:val="center"/>
      </w:pPr>
    </w:p>
    <w:p w14:paraId="353C23A0" w14:textId="77777777" w:rsidR="00863E76" w:rsidRPr="005A6293" w:rsidRDefault="00863E76" w:rsidP="00A738C6">
      <w:pPr>
        <w:jc w:val="center"/>
      </w:pPr>
    </w:p>
    <w:p w14:paraId="5FE40941" w14:textId="77777777" w:rsidR="00863E76" w:rsidRPr="005A6293" w:rsidRDefault="00863E76" w:rsidP="00A738C6">
      <w:pPr>
        <w:jc w:val="center"/>
      </w:pPr>
    </w:p>
    <w:p w14:paraId="5F2F8B90" w14:textId="77777777" w:rsidR="00863E76" w:rsidRPr="005A6293" w:rsidRDefault="00863E76" w:rsidP="00A738C6">
      <w:pPr>
        <w:jc w:val="center"/>
      </w:pPr>
    </w:p>
    <w:p w14:paraId="0EA36C0D" w14:textId="5E32123D" w:rsidR="00863E76" w:rsidRPr="005A6293" w:rsidRDefault="00863E76" w:rsidP="00A738C6">
      <w:pPr>
        <w:jc w:val="center"/>
      </w:pPr>
      <w:r w:rsidRPr="005A6293">
        <w:t>BY</w:t>
      </w:r>
    </w:p>
    <w:p w14:paraId="548116EC" w14:textId="77777777" w:rsidR="00863E76" w:rsidRPr="005A6293" w:rsidRDefault="00863E76" w:rsidP="00A738C6">
      <w:pPr>
        <w:jc w:val="center"/>
      </w:pPr>
    </w:p>
    <w:p w14:paraId="77594B99" w14:textId="77777777" w:rsidR="00863E76" w:rsidRPr="005A6293" w:rsidRDefault="00863E76" w:rsidP="00A738C6">
      <w:pPr>
        <w:jc w:val="center"/>
      </w:pPr>
    </w:p>
    <w:p w14:paraId="37B6340E" w14:textId="77777777" w:rsidR="00863E76" w:rsidRPr="005A6293" w:rsidRDefault="00863E76" w:rsidP="00A738C6">
      <w:pPr>
        <w:jc w:val="center"/>
      </w:pPr>
    </w:p>
    <w:p w14:paraId="63F7C025" w14:textId="77777777" w:rsidR="00863E76" w:rsidRPr="005A6293" w:rsidRDefault="00863E76" w:rsidP="00A738C6">
      <w:pPr>
        <w:jc w:val="center"/>
      </w:pPr>
    </w:p>
    <w:p w14:paraId="4305E392" w14:textId="77777777" w:rsidR="002407BF" w:rsidRPr="005A6293" w:rsidRDefault="002407BF" w:rsidP="00A738C6">
      <w:pPr>
        <w:jc w:val="center"/>
      </w:pPr>
    </w:p>
    <w:p w14:paraId="32933B16" w14:textId="53F82AAF" w:rsidR="00863E76" w:rsidRPr="005A6293" w:rsidRDefault="00863E76" w:rsidP="00863E76">
      <w:pPr>
        <w:jc w:val="right"/>
      </w:pPr>
      <w:r w:rsidRPr="005A6293">
        <w:t>______________________________</w:t>
      </w:r>
    </w:p>
    <w:p w14:paraId="554E8731" w14:textId="22446103" w:rsidR="00863E76" w:rsidRPr="005A6293" w:rsidRDefault="00863E76" w:rsidP="00863E76">
      <w:pPr>
        <w:jc w:val="right"/>
      </w:pPr>
      <w:r w:rsidRPr="005A6293">
        <w:t>Dr. Rebecca Cruise, Chair</w:t>
      </w:r>
    </w:p>
    <w:p w14:paraId="40A55897" w14:textId="77777777" w:rsidR="00863E76" w:rsidRPr="005A6293" w:rsidRDefault="00863E76" w:rsidP="00863E76">
      <w:pPr>
        <w:jc w:val="right"/>
      </w:pPr>
    </w:p>
    <w:p w14:paraId="2A246670" w14:textId="77777777" w:rsidR="00863E76" w:rsidRPr="005A6293" w:rsidRDefault="00863E76" w:rsidP="002407BF">
      <w:pPr>
        <w:jc w:val="right"/>
      </w:pPr>
    </w:p>
    <w:p w14:paraId="517A9939" w14:textId="728A62D3" w:rsidR="00863E76" w:rsidRPr="005A6293" w:rsidRDefault="00863E76" w:rsidP="00863E76">
      <w:pPr>
        <w:jc w:val="right"/>
      </w:pPr>
      <w:r w:rsidRPr="005A6293">
        <w:t>______________________________</w:t>
      </w:r>
    </w:p>
    <w:p w14:paraId="675504EF" w14:textId="190BB72E" w:rsidR="00863E76" w:rsidRPr="005A6293" w:rsidRDefault="00863E76" w:rsidP="00863E76">
      <w:pPr>
        <w:jc w:val="right"/>
      </w:pPr>
      <w:r w:rsidRPr="005A6293">
        <w:t>Dr. Natalie Letsa</w:t>
      </w:r>
    </w:p>
    <w:p w14:paraId="717F1A27" w14:textId="77777777" w:rsidR="00863E76" w:rsidRPr="005A6293" w:rsidRDefault="00863E76" w:rsidP="002407BF">
      <w:pPr>
        <w:jc w:val="right"/>
      </w:pPr>
    </w:p>
    <w:p w14:paraId="341B3E15" w14:textId="77777777" w:rsidR="00863E76" w:rsidRPr="005A6293" w:rsidRDefault="00863E76" w:rsidP="00863E76">
      <w:pPr>
        <w:jc w:val="right"/>
      </w:pPr>
    </w:p>
    <w:p w14:paraId="14298579" w14:textId="41FE1E08" w:rsidR="00863E76" w:rsidRPr="005A6293" w:rsidRDefault="00863E76" w:rsidP="00863E76">
      <w:pPr>
        <w:jc w:val="right"/>
      </w:pPr>
      <w:r w:rsidRPr="005A6293">
        <w:t>______________________________</w:t>
      </w:r>
    </w:p>
    <w:p w14:paraId="17F21E45" w14:textId="4D2A96F2" w:rsidR="00863E76" w:rsidRPr="005A6293" w:rsidRDefault="00863E76" w:rsidP="00863E76">
      <w:pPr>
        <w:jc w:val="right"/>
      </w:pPr>
      <w:r w:rsidRPr="005A6293">
        <w:t>Dr. Andreana Prichard</w:t>
      </w:r>
    </w:p>
    <w:p w14:paraId="2653E626" w14:textId="77777777" w:rsidR="00863E76" w:rsidRPr="005A6293" w:rsidRDefault="00863E76" w:rsidP="00863E76">
      <w:pPr>
        <w:jc w:val="right"/>
      </w:pPr>
    </w:p>
    <w:p w14:paraId="7BB119B7" w14:textId="77777777" w:rsidR="00863E76" w:rsidRPr="005A6293" w:rsidRDefault="00863E76" w:rsidP="00863E76">
      <w:pPr>
        <w:jc w:val="right"/>
      </w:pPr>
    </w:p>
    <w:p w14:paraId="5434807C" w14:textId="77777777" w:rsidR="00863E76" w:rsidRPr="005A6293" w:rsidRDefault="00863E76" w:rsidP="00863E76">
      <w:pPr>
        <w:jc w:val="right"/>
      </w:pPr>
    </w:p>
    <w:p w14:paraId="7D31EA63" w14:textId="77777777" w:rsidR="00863E76" w:rsidRPr="005A6293" w:rsidRDefault="00863E76" w:rsidP="00863E76">
      <w:pPr>
        <w:jc w:val="right"/>
      </w:pPr>
    </w:p>
    <w:p w14:paraId="7EF9D3E5" w14:textId="77777777" w:rsidR="00863E76" w:rsidRPr="005A6293" w:rsidRDefault="00863E76" w:rsidP="00863E76">
      <w:pPr>
        <w:jc w:val="right"/>
      </w:pPr>
    </w:p>
    <w:p w14:paraId="5142E2D0" w14:textId="77777777" w:rsidR="00863E76" w:rsidRPr="005A6293" w:rsidRDefault="00863E76" w:rsidP="00863E76">
      <w:pPr>
        <w:jc w:val="right"/>
      </w:pPr>
    </w:p>
    <w:p w14:paraId="0E0431B0" w14:textId="77777777" w:rsidR="00863E76" w:rsidRPr="005A6293" w:rsidRDefault="00863E76" w:rsidP="002407BF">
      <w:pPr>
        <w:jc w:val="center"/>
      </w:pPr>
    </w:p>
    <w:p w14:paraId="51F2E489" w14:textId="77777777" w:rsidR="00863E76" w:rsidRPr="005A6293" w:rsidRDefault="00863E76" w:rsidP="002407BF">
      <w:pPr>
        <w:jc w:val="center"/>
      </w:pPr>
    </w:p>
    <w:p w14:paraId="6E362D10" w14:textId="77777777" w:rsidR="00863E76" w:rsidRPr="005A6293" w:rsidRDefault="00863E76" w:rsidP="002407BF">
      <w:pPr>
        <w:jc w:val="center"/>
      </w:pPr>
    </w:p>
    <w:p w14:paraId="2F6BC217" w14:textId="77777777" w:rsidR="00863E76" w:rsidRPr="005A6293" w:rsidRDefault="00863E76" w:rsidP="002407BF">
      <w:pPr>
        <w:jc w:val="center"/>
      </w:pPr>
    </w:p>
    <w:p w14:paraId="5401A8D2" w14:textId="77777777" w:rsidR="00863E76" w:rsidRPr="005A6293" w:rsidRDefault="00863E76" w:rsidP="002407BF">
      <w:pPr>
        <w:jc w:val="center"/>
      </w:pPr>
    </w:p>
    <w:p w14:paraId="5EB67088" w14:textId="77777777" w:rsidR="00863E76" w:rsidRPr="005A6293" w:rsidRDefault="00863E76" w:rsidP="002407BF">
      <w:pPr>
        <w:jc w:val="center"/>
      </w:pPr>
    </w:p>
    <w:p w14:paraId="1807EEFF" w14:textId="77777777" w:rsidR="00863E76" w:rsidRPr="005A6293" w:rsidRDefault="00863E76" w:rsidP="002407BF">
      <w:pPr>
        <w:jc w:val="center"/>
      </w:pPr>
    </w:p>
    <w:p w14:paraId="03685B19" w14:textId="77777777" w:rsidR="00863E76" w:rsidRPr="005A6293" w:rsidRDefault="00863E76" w:rsidP="002407BF">
      <w:pPr>
        <w:jc w:val="center"/>
      </w:pPr>
    </w:p>
    <w:p w14:paraId="557B72DF" w14:textId="77777777" w:rsidR="00863E76" w:rsidRPr="005A6293" w:rsidRDefault="00863E76" w:rsidP="002407BF">
      <w:pPr>
        <w:jc w:val="center"/>
      </w:pPr>
    </w:p>
    <w:p w14:paraId="7BF2B5F7" w14:textId="77777777" w:rsidR="00863E76" w:rsidRPr="005A6293" w:rsidRDefault="00863E76" w:rsidP="002407BF">
      <w:pPr>
        <w:jc w:val="center"/>
      </w:pPr>
    </w:p>
    <w:p w14:paraId="293BC695" w14:textId="77777777" w:rsidR="00863E76" w:rsidRPr="005A6293" w:rsidRDefault="00863E76" w:rsidP="002407BF">
      <w:pPr>
        <w:jc w:val="center"/>
      </w:pPr>
    </w:p>
    <w:p w14:paraId="753E13B9" w14:textId="77777777" w:rsidR="00863E76" w:rsidRPr="005A6293" w:rsidRDefault="00863E76" w:rsidP="002407BF">
      <w:pPr>
        <w:jc w:val="center"/>
      </w:pPr>
    </w:p>
    <w:p w14:paraId="698798FD" w14:textId="77777777" w:rsidR="00863E76" w:rsidRPr="005A6293" w:rsidRDefault="00863E76" w:rsidP="002407BF">
      <w:pPr>
        <w:jc w:val="center"/>
      </w:pPr>
    </w:p>
    <w:p w14:paraId="12051A9F" w14:textId="77777777" w:rsidR="00863E76" w:rsidRPr="005A6293" w:rsidRDefault="00863E76" w:rsidP="002407BF">
      <w:pPr>
        <w:jc w:val="center"/>
      </w:pPr>
    </w:p>
    <w:p w14:paraId="68DB1123" w14:textId="77777777" w:rsidR="00863E76" w:rsidRPr="005A6293" w:rsidRDefault="00863E76" w:rsidP="002407BF">
      <w:pPr>
        <w:jc w:val="center"/>
      </w:pPr>
    </w:p>
    <w:p w14:paraId="372D6194" w14:textId="77777777" w:rsidR="00863E76" w:rsidRPr="005A6293" w:rsidRDefault="00863E76" w:rsidP="002407BF">
      <w:pPr>
        <w:jc w:val="center"/>
      </w:pPr>
    </w:p>
    <w:p w14:paraId="630539E3" w14:textId="77777777" w:rsidR="00863E76" w:rsidRPr="005A6293" w:rsidRDefault="00863E76" w:rsidP="002407BF">
      <w:pPr>
        <w:jc w:val="center"/>
      </w:pPr>
    </w:p>
    <w:p w14:paraId="5A8AB279" w14:textId="77777777" w:rsidR="00863E76" w:rsidRPr="005A6293" w:rsidRDefault="00863E76" w:rsidP="002407BF">
      <w:pPr>
        <w:jc w:val="center"/>
      </w:pPr>
    </w:p>
    <w:p w14:paraId="15EDB336" w14:textId="77777777" w:rsidR="00863E76" w:rsidRPr="005A6293" w:rsidRDefault="00863E76" w:rsidP="002407BF">
      <w:pPr>
        <w:jc w:val="center"/>
      </w:pPr>
    </w:p>
    <w:p w14:paraId="5B00DDA1" w14:textId="77777777" w:rsidR="00863E76" w:rsidRPr="005A6293" w:rsidRDefault="00863E76" w:rsidP="002407BF">
      <w:pPr>
        <w:jc w:val="center"/>
      </w:pPr>
    </w:p>
    <w:p w14:paraId="4B436079" w14:textId="77777777" w:rsidR="00863E76" w:rsidRPr="005A6293" w:rsidRDefault="00863E76" w:rsidP="002407BF">
      <w:pPr>
        <w:jc w:val="center"/>
      </w:pPr>
    </w:p>
    <w:p w14:paraId="72D8ECE0" w14:textId="77777777" w:rsidR="00863E76" w:rsidRPr="005A6293" w:rsidRDefault="00863E76" w:rsidP="00863E76">
      <w:pPr>
        <w:jc w:val="center"/>
      </w:pPr>
    </w:p>
    <w:p w14:paraId="0704554C" w14:textId="77777777" w:rsidR="00863E76" w:rsidRPr="005A6293" w:rsidRDefault="00863E76" w:rsidP="00863E76">
      <w:pPr>
        <w:jc w:val="center"/>
      </w:pPr>
    </w:p>
    <w:p w14:paraId="4C490B44" w14:textId="77777777" w:rsidR="00863E76" w:rsidRPr="005A6293" w:rsidRDefault="00863E76" w:rsidP="00863E76">
      <w:pPr>
        <w:jc w:val="center"/>
      </w:pPr>
    </w:p>
    <w:p w14:paraId="2942148F" w14:textId="77777777" w:rsidR="00863E76" w:rsidRPr="005A6293" w:rsidRDefault="00863E76" w:rsidP="00863E76">
      <w:pPr>
        <w:jc w:val="center"/>
      </w:pPr>
    </w:p>
    <w:p w14:paraId="671B7828" w14:textId="77777777" w:rsidR="00863E76" w:rsidRPr="005A6293" w:rsidRDefault="00863E76" w:rsidP="00863E76">
      <w:pPr>
        <w:jc w:val="center"/>
      </w:pPr>
    </w:p>
    <w:p w14:paraId="23DD77F1" w14:textId="77777777" w:rsidR="00863E76" w:rsidRPr="005A6293" w:rsidRDefault="00863E76" w:rsidP="00863E76">
      <w:pPr>
        <w:jc w:val="center"/>
      </w:pPr>
    </w:p>
    <w:p w14:paraId="024F1120" w14:textId="77777777" w:rsidR="00863E76" w:rsidRPr="005A6293" w:rsidRDefault="00863E76" w:rsidP="00863E76">
      <w:pPr>
        <w:jc w:val="center"/>
      </w:pPr>
    </w:p>
    <w:p w14:paraId="2E50B16C" w14:textId="77777777" w:rsidR="00863E76" w:rsidRPr="005A6293" w:rsidRDefault="00863E76" w:rsidP="00863E76">
      <w:pPr>
        <w:jc w:val="center"/>
      </w:pPr>
    </w:p>
    <w:p w14:paraId="68B349EF" w14:textId="77777777" w:rsidR="00863E76" w:rsidRPr="005A6293" w:rsidRDefault="00863E76" w:rsidP="00863E76">
      <w:pPr>
        <w:jc w:val="center"/>
      </w:pPr>
    </w:p>
    <w:p w14:paraId="41285487" w14:textId="77777777" w:rsidR="00863E76" w:rsidRPr="005A6293" w:rsidRDefault="00863E76" w:rsidP="00863E76">
      <w:pPr>
        <w:jc w:val="center"/>
      </w:pPr>
    </w:p>
    <w:p w14:paraId="433F9ECD" w14:textId="77777777" w:rsidR="00863E76" w:rsidRPr="005A6293" w:rsidRDefault="00863E76" w:rsidP="00863E76">
      <w:pPr>
        <w:jc w:val="center"/>
      </w:pPr>
    </w:p>
    <w:p w14:paraId="7ABBFD8E" w14:textId="77777777" w:rsidR="00863E76" w:rsidRPr="005A6293" w:rsidRDefault="00863E76" w:rsidP="00863E76">
      <w:pPr>
        <w:jc w:val="center"/>
      </w:pPr>
    </w:p>
    <w:p w14:paraId="18FB1DAF" w14:textId="77777777" w:rsidR="00863E76" w:rsidRPr="005A6293" w:rsidRDefault="00863E76" w:rsidP="00863E76">
      <w:pPr>
        <w:jc w:val="center"/>
      </w:pPr>
    </w:p>
    <w:p w14:paraId="74AE8808" w14:textId="77777777" w:rsidR="00863E76" w:rsidRPr="005A6293" w:rsidRDefault="00863E76" w:rsidP="00863E76">
      <w:pPr>
        <w:jc w:val="center"/>
      </w:pPr>
    </w:p>
    <w:p w14:paraId="66A5835B" w14:textId="77777777" w:rsidR="00863E76" w:rsidRPr="005A6293" w:rsidRDefault="00863E76" w:rsidP="00863E76">
      <w:pPr>
        <w:jc w:val="center"/>
      </w:pPr>
    </w:p>
    <w:p w14:paraId="76AD1BFD" w14:textId="77777777" w:rsidR="00863E76" w:rsidRPr="005A6293" w:rsidRDefault="00863E76" w:rsidP="002407BF">
      <w:pPr>
        <w:jc w:val="center"/>
      </w:pPr>
    </w:p>
    <w:p w14:paraId="6A17A242" w14:textId="77777777" w:rsidR="00863E76" w:rsidRPr="005A6293" w:rsidRDefault="00863E76" w:rsidP="002407BF">
      <w:pPr>
        <w:jc w:val="center"/>
      </w:pPr>
    </w:p>
    <w:p w14:paraId="27B8A6CE" w14:textId="77777777" w:rsidR="00863E76" w:rsidRPr="005A6293" w:rsidRDefault="00863E76" w:rsidP="002407BF">
      <w:pPr>
        <w:jc w:val="center"/>
      </w:pPr>
    </w:p>
    <w:p w14:paraId="71E3E4BB" w14:textId="77777777" w:rsidR="00863E76" w:rsidRPr="005A6293" w:rsidRDefault="00863E76" w:rsidP="002407BF">
      <w:pPr>
        <w:jc w:val="center"/>
      </w:pPr>
    </w:p>
    <w:p w14:paraId="1F50F07D" w14:textId="77777777" w:rsidR="00863E76" w:rsidRPr="005A6293" w:rsidRDefault="00863E76" w:rsidP="002407BF">
      <w:pPr>
        <w:jc w:val="center"/>
      </w:pPr>
    </w:p>
    <w:p w14:paraId="12636D9A" w14:textId="77777777" w:rsidR="0071501F" w:rsidRPr="005A6293" w:rsidRDefault="0071501F" w:rsidP="002407BF">
      <w:pPr>
        <w:jc w:val="center"/>
      </w:pPr>
    </w:p>
    <w:p w14:paraId="3BF36FE6" w14:textId="77777777" w:rsidR="00A8411A" w:rsidRPr="005A6293" w:rsidRDefault="00A8411A" w:rsidP="002407BF">
      <w:pPr>
        <w:jc w:val="center"/>
      </w:pPr>
    </w:p>
    <w:p w14:paraId="72D98BF3" w14:textId="77777777" w:rsidR="00A8411A" w:rsidRPr="005A6293" w:rsidRDefault="00A8411A" w:rsidP="002407BF">
      <w:pPr>
        <w:jc w:val="center"/>
      </w:pPr>
    </w:p>
    <w:p w14:paraId="5FA7505B" w14:textId="3558E60F" w:rsidR="00863E76" w:rsidRPr="005A6293" w:rsidRDefault="00863E76" w:rsidP="00863E76">
      <w:pPr>
        <w:jc w:val="center"/>
      </w:pPr>
      <w:r w:rsidRPr="005A6293">
        <w:sym w:font="Symbol" w:char="F0D3"/>
      </w:r>
      <w:r w:rsidRPr="005A6293">
        <w:t xml:space="preserve"> Copyright by LILLI LEBEAU 2018</w:t>
      </w:r>
    </w:p>
    <w:p w14:paraId="49CE14BA" w14:textId="77777777" w:rsidR="006366A6" w:rsidRPr="005A6293" w:rsidRDefault="00863E76" w:rsidP="00863E76">
      <w:pPr>
        <w:jc w:val="center"/>
        <w:sectPr w:rsidR="006366A6" w:rsidRPr="005A6293" w:rsidSect="00F916D9">
          <w:footerReference w:type="even" r:id="rId7"/>
          <w:pgSz w:w="12240" w:h="15840"/>
          <w:pgMar w:top="1440" w:right="1440" w:bottom="1440" w:left="2304" w:header="720" w:footer="720" w:gutter="0"/>
          <w:cols w:space="720"/>
          <w:docGrid w:linePitch="360"/>
        </w:sectPr>
      </w:pPr>
      <w:r w:rsidRPr="005A6293">
        <w:t>All rights Reserved.</w:t>
      </w:r>
    </w:p>
    <w:p w14:paraId="4C772CF5" w14:textId="5B548FEE" w:rsidR="00863E76" w:rsidRPr="005A6293" w:rsidRDefault="00863E76" w:rsidP="00FD07E1">
      <w:pPr>
        <w:spacing w:line="480" w:lineRule="auto"/>
        <w:jc w:val="center"/>
        <w:rPr>
          <w:b/>
        </w:rPr>
      </w:pPr>
      <w:r w:rsidRPr="005A6293">
        <w:rPr>
          <w:b/>
        </w:rPr>
        <w:lastRenderedPageBreak/>
        <w:t>Acknowledgements</w:t>
      </w:r>
    </w:p>
    <w:p w14:paraId="430D7AB5" w14:textId="77777777" w:rsidR="009734BF" w:rsidRPr="005A6293" w:rsidRDefault="00863E76" w:rsidP="004F0D8A">
      <w:pPr>
        <w:spacing w:line="480" w:lineRule="auto"/>
        <w:ind w:firstLine="720"/>
      </w:pPr>
      <w:r w:rsidRPr="005A6293">
        <w:t xml:space="preserve">I would like to thank my </w:t>
      </w:r>
      <w:r w:rsidR="004F0D8A" w:rsidRPr="005A6293">
        <w:t>entire committee for their continuous support, patience, and motivation throughout my Master’s project. I express gratitude to Dr. Rebecca Cruise for her unwavering belief in my project and her help streamlining my huge ideas; Dr. Andreana Prichard for always encouraging me to expand my viewpoint and for her grounded advice</w:t>
      </w:r>
      <w:r w:rsidR="009734BF" w:rsidRPr="005A6293">
        <w:t xml:space="preserve">; and Dr. Natalie Letsa for encouraging me to step back and look at the bigger picture of my research. </w:t>
      </w:r>
    </w:p>
    <w:p w14:paraId="338A4A63" w14:textId="0587550C" w:rsidR="00863E76" w:rsidRPr="005A6293" w:rsidRDefault="009734BF" w:rsidP="004F0D8A">
      <w:pPr>
        <w:spacing w:line="480" w:lineRule="auto"/>
        <w:ind w:firstLine="720"/>
      </w:pPr>
      <w:r w:rsidRPr="005A6293">
        <w:t>Additionally, I would like to thank the members of the College of International Studies and the Department of International and Area Studies</w:t>
      </w:r>
      <w:r w:rsidR="004F0D8A" w:rsidRPr="005A6293">
        <w:t xml:space="preserve"> </w:t>
      </w:r>
      <w:r w:rsidRPr="005A6293">
        <w:t xml:space="preserve">for broadening my viewpoints, keeping me fed with free lunches, and always having an open door. </w:t>
      </w:r>
    </w:p>
    <w:p w14:paraId="4F0ECACF" w14:textId="319EB1A5" w:rsidR="009734BF" w:rsidRPr="005A6293" w:rsidRDefault="009734BF" w:rsidP="004F0D8A">
      <w:pPr>
        <w:spacing w:line="480" w:lineRule="auto"/>
        <w:ind w:firstLine="720"/>
      </w:pPr>
      <w:r w:rsidRPr="005A6293">
        <w:t>I would also like to express gratitude to my fellow graduate students for helping me succeed in this program. In particu</w:t>
      </w:r>
      <w:r w:rsidR="00BC300F" w:rsidRPr="005A6293">
        <w:t>lar, thank you Nela for being a steadfast</w:t>
      </w:r>
      <w:r w:rsidRPr="005A6293">
        <w:t xml:space="preserve"> friend, Sarah “I have a bee in my bonnet” Rodden for pushing me to be better, Josie for making me come into school, Alex </w:t>
      </w:r>
      <w:r w:rsidR="00B24359" w:rsidRPr="005A6293">
        <w:t xml:space="preserve">for </w:t>
      </w:r>
      <w:r w:rsidR="00775272" w:rsidRPr="005A6293">
        <w:t>keeping it real always</w:t>
      </w:r>
      <w:r w:rsidR="00B24359" w:rsidRPr="005A6293">
        <w:t xml:space="preserve">, and James for being the token guy in the office. </w:t>
      </w:r>
    </w:p>
    <w:p w14:paraId="796EF0D6" w14:textId="1D118CB0" w:rsidR="009734BF" w:rsidRPr="005A6293" w:rsidRDefault="009734BF" w:rsidP="004F0D8A">
      <w:pPr>
        <w:spacing w:line="480" w:lineRule="auto"/>
        <w:ind w:firstLine="720"/>
      </w:pPr>
      <w:r w:rsidRPr="005A6293">
        <w:t>Finally, I would like to thank my family for supporting and encouraging me through all my years of study. Particularly my husban</w:t>
      </w:r>
      <w:r w:rsidR="00B24359" w:rsidRPr="005A6293">
        <w:t>d</w:t>
      </w:r>
      <w:r w:rsidR="00BC300F" w:rsidRPr="005A6293">
        <w:t xml:space="preserve"> Josh, who encouraged and supported me throughout this whole crazy process. Thanks for doing the extra dishes! </w:t>
      </w:r>
    </w:p>
    <w:p w14:paraId="4237A83E" w14:textId="77777777" w:rsidR="00736671" w:rsidRPr="005A6293" w:rsidRDefault="00736671" w:rsidP="004F0D8A">
      <w:pPr>
        <w:spacing w:line="480" w:lineRule="auto"/>
        <w:ind w:firstLine="720"/>
      </w:pPr>
    </w:p>
    <w:p w14:paraId="6C3E25EB" w14:textId="77777777" w:rsidR="00736671" w:rsidRPr="005A6293" w:rsidRDefault="00736671" w:rsidP="004F0D8A">
      <w:pPr>
        <w:spacing w:line="480" w:lineRule="auto"/>
        <w:ind w:firstLine="720"/>
      </w:pPr>
    </w:p>
    <w:p w14:paraId="27418895" w14:textId="77777777" w:rsidR="00736671" w:rsidRPr="005A6293" w:rsidRDefault="00736671" w:rsidP="004F0D8A">
      <w:pPr>
        <w:spacing w:line="480" w:lineRule="auto"/>
        <w:ind w:firstLine="720"/>
      </w:pPr>
    </w:p>
    <w:p w14:paraId="1821784D" w14:textId="77777777" w:rsidR="00736671" w:rsidRPr="005A6293" w:rsidRDefault="00736671" w:rsidP="004F0D8A">
      <w:pPr>
        <w:spacing w:line="480" w:lineRule="auto"/>
        <w:ind w:firstLine="720"/>
      </w:pPr>
    </w:p>
    <w:p w14:paraId="2D5AD926" w14:textId="77777777" w:rsidR="00736671" w:rsidRPr="005A6293" w:rsidRDefault="00736671" w:rsidP="00844222">
      <w:pPr>
        <w:spacing w:line="480" w:lineRule="auto"/>
      </w:pPr>
    </w:p>
    <w:p w14:paraId="1149600C" w14:textId="76B2F04C" w:rsidR="00736671" w:rsidRPr="005A6293" w:rsidRDefault="00736671" w:rsidP="00736671">
      <w:pPr>
        <w:spacing w:line="480" w:lineRule="auto"/>
        <w:ind w:firstLine="720"/>
        <w:jc w:val="center"/>
        <w:rPr>
          <w:b/>
        </w:rPr>
      </w:pPr>
      <w:r w:rsidRPr="005A6293">
        <w:rPr>
          <w:b/>
        </w:rPr>
        <w:lastRenderedPageBreak/>
        <w:t>Table of Contents</w:t>
      </w:r>
    </w:p>
    <w:p w14:paraId="49B98533" w14:textId="7ED00EE8" w:rsidR="00736671" w:rsidRPr="005A6293" w:rsidRDefault="00E17D71" w:rsidP="0071501F">
      <w:pPr>
        <w:spacing w:line="480" w:lineRule="auto"/>
      </w:pPr>
      <w:r w:rsidRPr="005A6293">
        <w:t>List of Tables</w:t>
      </w:r>
      <w:r w:rsidR="00372734" w:rsidRPr="005A6293">
        <w:t xml:space="preserve"> </w:t>
      </w:r>
      <w:r w:rsidRPr="005A6293">
        <w:t>..</w:t>
      </w:r>
      <w:r w:rsidR="00372734" w:rsidRPr="005A6293">
        <w:t>............................................................................................................... vii</w:t>
      </w:r>
    </w:p>
    <w:p w14:paraId="268BC0A1" w14:textId="2163A520" w:rsidR="00DB27E0" w:rsidRPr="005A6293" w:rsidRDefault="00DB27E0" w:rsidP="0071501F">
      <w:pPr>
        <w:spacing w:line="480" w:lineRule="auto"/>
      </w:pPr>
      <w:r w:rsidRPr="005A6293">
        <w:t>List of Figures .............................................................................................................. viii</w:t>
      </w:r>
    </w:p>
    <w:p w14:paraId="092EA0B7" w14:textId="7B5C7F47" w:rsidR="00736671" w:rsidRPr="005A6293" w:rsidRDefault="00736671" w:rsidP="0071501F">
      <w:pPr>
        <w:spacing w:line="480" w:lineRule="auto"/>
      </w:pPr>
      <w:r w:rsidRPr="005A6293">
        <w:t>Abstract</w:t>
      </w:r>
      <w:r w:rsidR="00372734" w:rsidRPr="005A6293">
        <w:t xml:space="preserve"> .............................................................................................</w:t>
      </w:r>
      <w:r w:rsidR="00DB27E0" w:rsidRPr="005A6293">
        <w:t>............................. ix</w:t>
      </w:r>
    </w:p>
    <w:p w14:paraId="71EECB15" w14:textId="3F61DE93" w:rsidR="00736671" w:rsidRPr="005A6293" w:rsidRDefault="00736671" w:rsidP="0071501F">
      <w:pPr>
        <w:spacing w:line="480" w:lineRule="auto"/>
      </w:pPr>
      <w:r w:rsidRPr="005A6293">
        <w:t>Introduction</w:t>
      </w:r>
      <w:r w:rsidR="00372734" w:rsidRPr="005A6293">
        <w:t xml:space="preserve"> ...................................................</w:t>
      </w:r>
      <w:r w:rsidR="0071501F" w:rsidRPr="005A6293">
        <w:t>.</w:t>
      </w:r>
      <w:r w:rsidR="00372734" w:rsidRPr="005A6293">
        <w:t>................................................................. 1</w:t>
      </w:r>
    </w:p>
    <w:p w14:paraId="0A6BD690" w14:textId="5EB8821D" w:rsidR="00736671" w:rsidRPr="005A6293" w:rsidRDefault="00736671" w:rsidP="0071501F">
      <w:pPr>
        <w:spacing w:line="480" w:lineRule="auto"/>
      </w:pPr>
      <w:r w:rsidRPr="005A6293">
        <w:tab/>
        <w:t>Overview</w:t>
      </w:r>
      <w:r w:rsidR="00372734" w:rsidRPr="005A6293">
        <w:t xml:space="preserve"> ............................................................................................................. 2</w:t>
      </w:r>
    </w:p>
    <w:p w14:paraId="01003D02" w14:textId="7C22F0F0" w:rsidR="00736671" w:rsidRPr="005A6293" w:rsidRDefault="00736671" w:rsidP="0071501F">
      <w:pPr>
        <w:spacing w:line="480" w:lineRule="auto"/>
      </w:pPr>
      <w:r w:rsidRPr="005A6293">
        <w:tab/>
        <w:t>Kenya</w:t>
      </w:r>
      <w:r w:rsidR="00372734" w:rsidRPr="005A6293">
        <w:t xml:space="preserve"> ................................................................</w:t>
      </w:r>
      <w:r w:rsidR="0071501F" w:rsidRPr="005A6293">
        <w:t>.</w:t>
      </w:r>
      <w:r w:rsidR="00372734" w:rsidRPr="005A6293">
        <w:t>.....................................</w:t>
      </w:r>
      <w:r w:rsidR="0071501F" w:rsidRPr="005A6293">
        <w:t>..</w:t>
      </w:r>
      <w:r w:rsidR="00401599" w:rsidRPr="005A6293">
        <w:t>.......... 4</w:t>
      </w:r>
    </w:p>
    <w:p w14:paraId="584567B3" w14:textId="4A8ECB89" w:rsidR="00736671" w:rsidRPr="005A6293" w:rsidRDefault="00736671" w:rsidP="0071501F">
      <w:pPr>
        <w:spacing w:line="480" w:lineRule="auto"/>
      </w:pPr>
      <w:r w:rsidRPr="005A6293">
        <w:tab/>
        <w:t>Theoretical Framework</w:t>
      </w:r>
      <w:r w:rsidR="00372734" w:rsidRPr="005A6293">
        <w:t xml:space="preserve"> ...................................</w:t>
      </w:r>
      <w:r w:rsidR="0071501F" w:rsidRPr="005A6293">
        <w:t>..</w:t>
      </w:r>
      <w:r w:rsidR="00372734" w:rsidRPr="005A6293">
        <w:t>....................</w:t>
      </w:r>
      <w:r w:rsidR="00401599" w:rsidRPr="005A6293">
        <w:t xml:space="preserve">.............................. </w:t>
      </w:r>
      <w:r w:rsidR="009622F4" w:rsidRPr="005A6293">
        <w:t>7</w:t>
      </w:r>
    </w:p>
    <w:p w14:paraId="3F87775A" w14:textId="0DD19CD0" w:rsidR="00736671" w:rsidRPr="005A6293" w:rsidRDefault="00736671" w:rsidP="0071501F">
      <w:pPr>
        <w:spacing w:line="480" w:lineRule="auto"/>
      </w:pPr>
      <w:r w:rsidRPr="005A6293">
        <w:tab/>
        <w:t>Significance</w:t>
      </w:r>
      <w:r w:rsidR="00372734" w:rsidRPr="005A6293">
        <w:t xml:space="preserve"> </w:t>
      </w:r>
      <w:r w:rsidR="0071501F" w:rsidRPr="005A6293">
        <w:t>...........................................................................</w:t>
      </w:r>
      <w:r w:rsidR="00401599" w:rsidRPr="005A6293">
        <w:t>.............................. 9</w:t>
      </w:r>
    </w:p>
    <w:p w14:paraId="702DF419" w14:textId="30BAFA39" w:rsidR="00736671" w:rsidRPr="005A6293" w:rsidRDefault="00736671" w:rsidP="0071501F">
      <w:pPr>
        <w:spacing w:line="480" w:lineRule="auto"/>
      </w:pPr>
      <w:r w:rsidRPr="005A6293">
        <w:tab/>
        <w:t>Methodology</w:t>
      </w:r>
      <w:r w:rsidR="0071501F" w:rsidRPr="005A6293">
        <w:t xml:space="preserve"> ....................................................................................................... 9</w:t>
      </w:r>
    </w:p>
    <w:p w14:paraId="65843526" w14:textId="6323263A" w:rsidR="00736671" w:rsidRPr="005A6293" w:rsidRDefault="00736671" w:rsidP="0071501F">
      <w:pPr>
        <w:spacing w:line="480" w:lineRule="auto"/>
      </w:pPr>
      <w:r w:rsidRPr="005A6293">
        <w:tab/>
        <w:t>Chapter Outline</w:t>
      </w:r>
      <w:r w:rsidR="0071501F" w:rsidRPr="005A6293">
        <w:t xml:space="preserve"> .....................................................................</w:t>
      </w:r>
      <w:r w:rsidR="00401599" w:rsidRPr="005A6293">
        <w:t>............................ 1</w:t>
      </w:r>
      <w:r w:rsidR="009622F4" w:rsidRPr="005A6293">
        <w:t>0</w:t>
      </w:r>
    </w:p>
    <w:p w14:paraId="1EE77661" w14:textId="4E0A5199" w:rsidR="00736671" w:rsidRPr="005A6293" w:rsidRDefault="00736671" w:rsidP="00736671">
      <w:pPr>
        <w:spacing w:line="480" w:lineRule="auto"/>
      </w:pPr>
      <w:r w:rsidRPr="005A6293">
        <w:t>Chapter 1: The Theoretical Framework</w:t>
      </w:r>
      <w:r w:rsidR="0071501F" w:rsidRPr="005A6293">
        <w:t xml:space="preserve"> ...........................................</w:t>
      </w:r>
      <w:r w:rsidR="00401599" w:rsidRPr="005A6293">
        <w:t>............................. 12</w:t>
      </w:r>
    </w:p>
    <w:p w14:paraId="18221832" w14:textId="033641D9" w:rsidR="00736671" w:rsidRPr="005A6293" w:rsidRDefault="00736671" w:rsidP="00736671">
      <w:pPr>
        <w:spacing w:line="480" w:lineRule="auto"/>
      </w:pPr>
      <w:r w:rsidRPr="005A6293">
        <w:tab/>
        <w:t>Frameworks</w:t>
      </w:r>
      <w:r w:rsidR="0071501F" w:rsidRPr="005A6293">
        <w:t xml:space="preserve"> .......................................................................................................</w:t>
      </w:r>
      <w:r w:rsidR="00401599" w:rsidRPr="005A6293">
        <w:t xml:space="preserve"> 12</w:t>
      </w:r>
    </w:p>
    <w:p w14:paraId="78E4973C" w14:textId="70B0C7B6" w:rsidR="00736671" w:rsidRPr="005A6293" w:rsidRDefault="00736671" w:rsidP="00736671">
      <w:pPr>
        <w:spacing w:line="480" w:lineRule="auto"/>
      </w:pPr>
      <w:r w:rsidRPr="005A6293">
        <w:tab/>
        <w:t xml:space="preserve">Education and Gender </w:t>
      </w:r>
      <w:r w:rsidR="0071501F" w:rsidRPr="005A6293">
        <w:t xml:space="preserve">....................................................................................... </w:t>
      </w:r>
      <w:r w:rsidR="00401599" w:rsidRPr="005A6293">
        <w:t>16</w:t>
      </w:r>
    </w:p>
    <w:p w14:paraId="301EFEAB" w14:textId="0975EFAE" w:rsidR="00736671" w:rsidRPr="005A6293" w:rsidRDefault="00736671" w:rsidP="00736671">
      <w:pPr>
        <w:spacing w:line="480" w:lineRule="auto"/>
      </w:pPr>
      <w:r w:rsidRPr="005A6293">
        <w:tab/>
        <w:t>Literature</w:t>
      </w:r>
      <w:r w:rsidR="0071501F" w:rsidRPr="005A6293">
        <w:t xml:space="preserve"> ...........................................................................................................</w:t>
      </w:r>
      <w:r w:rsidR="00401599" w:rsidRPr="005A6293">
        <w:t xml:space="preserve"> 18</w:t>
      </w:r>
    </w:p>
    <w:p w14:paraId="19EEAA09" w14:textId="2E09A7D6" w:rsidR="00736671" w:rsidRPr="005A6293" w:rsidRDefault="00736671" w:rsidP="00736671">
      <w:pPr>
        <w:spacing w:line="480" w:lineRule="auto"/>
      </w:pPr>
      <w:r w:rsidRPr="005A6293">
        <w:tab/>
        <w:t>Conclusion</w:t>
      </w:r>
      <w:r w:rsidR="0071501F" w:rsidRPr="005A6293">
        <w:t xml:space="preserve"> .........................................................................................................</w:t>
      </w:r>
      <w:r w:rsidR="00401599" w:rsidRPr="005A6293">
        <w:t xml:space="preserve"> 28</w:t>
      </w:r>
    </w:p>
    <w:p w14:paraId="4C9D39E1" w14:textId="6FBFE662" w:rsidR="00736671" w:rsidRPr="005A6293" w:rsidRDefault="00736671" w:rsidP="00736671">
      <w:pPr>
        <w:spacing w:line="480" w:lineRule="auto"/>
      </w:pPr>
      <w:r w:rsidRPr="005A6293">
        <w:t>Chapter 2: The Pre-Colonial Period</w:t>
      </w:r>
      <w:r w:rsidR="0071501F" w:rsidRPr="005A6293">
        <w:t xml:space="preserve"> ......................................................................</w:t>
      </w:r>
      <w:r w:rsidR="00401599" w:rsidRPr="005A6293">
        <w:t>........ 29</w:t>
      </w:r>
    </w:p>
    <w:p w14:paraId="04770061" w14:textId="0BCD38E1" w:rsidR="00736671" w:rsidRPr="005A6293" w:rsidRDefault="00736671" w:rsidP="00736671">
      <w:pPr>
        <w:spacing w:line="480" w:lineRule="auto"/>
      </w:pPr>
      <w:r w:rsidRPr="005A6293">
        <w:tab/>
        <w:t>Education</w:t>
      </w:r>
      <w:r w:rsidR="0071501F" w:rsidRPr="005A6293">
        <w:t xml:space="preserve"> ...........................................................................................................</w:t>
      </w:r>
      <w:r w:rsidR="00401599" w:rsidRPr="005A6293">
        <w:t xml:space="preserve"> 30</w:t>
      </w:r>
    </w:p>
    <w:p w14:paraId="656954C8" w14:textId="567E68A5" w:rsidR="00736671" w:rsidRPr="005A6293" w:rsidRDefault="00736671" w:rsidP="00736671">
      <w:pPr>
        <w:spacing w:line="480" w:lineRule="auto"/>
      </w:pPr>
      <w:r w:rsidRPr="005A6293">
        <w:tab/>
        <w:t xml:space="preserve">Education and Gender </w:t>
      </w:r>
      <w:r w:rsidR="0071501F" w:rsidRPr="005A6293">
        <w:t xml:space="preserve">....................................................................................... </w:t>
      </w:r>
      <w:r w:rsidR="00401599" w:rsidRPr="005A6293">
        <w:t>3</w:t>
      </w:r>
      <w:r w:rsidR="009622F4" w:rsidRPr="005A6293">
        <w:t>8</w:t>
      </w:r>
    </w:p>
    <w:p w14:paraId="65B37AB8" w14:textId="4315C188" w:rsidR="00736671" w:rsidRPr="005A6293" w:rsidRDefault="00736671" w:rsidP="00736671">
      <w:pPr>
        <w:spacing w:line="480" w:lineRule="auto"/>
      </w:pPr>
      <w:r w:rsidRPr="005A6293">
        <w:tab/>
        <w:t>Economic Interaction</w:t>
      </w:r>
      <w:r w:rsidR="0071501F" w:rsidRPr="005A6293">
        <w:t xml:space="preserve"> .........................................................</w:t>
      </w:r>
      <w:r w:rsidR="00401599" w:rsidRPr="005A6293">
        <w:t>............................... 40</w:t>
      </w:r>
    </w:p>
    <w:p w14:paraId="5DC4D7DA" w14:textId="4A815928" w:rsidR="00736671" w:rsidRPr="005A6293" w:rsidRDefault="00736671" w:rsidP="00736671">
      <w:pPr>
        <w:spacing w:line="480" w:lineRule="auto"/>
      </w:pPr>
      <w:r w:rsidRPr="005A6293">
        <w:tab/>
        <w:t>Political Interaction</w:t>
      </w:r>
      <w:r w:rsidR="0071501F" w:rsidRPr="005A6293">
        <w:t xml:space="preserve"> ...........................................................................................</w:t>
      </w:r>
      <w:r w:rsidR="00401599" w:rsidRPr="005A6293">
        <w:t xml:space="preserve"> 4</w:t>
      </w:r>
      <w:r w:rsidR="009622F4" w:rsidRPr="005A6293">
        <w:t>3</w:t>
      </w:r>
    </w:p>
    <w:p w14:paraId="106B9959" w14:textId="24BFCABC" w:rsidR="00736671" w:rsidRPr="005A6293" w:rsidRDefault="00736671" w:rsidP="00736671">
      <w:pPr>
        <w:spacing w:line="480" w:lineRule="auto"/>
      </w:pPr>
      <w:r w:rsidRPr="005A6293">
        <w:tab/>
        <w:t>Conclusion</w:t>
      </w:r>
      <w:r w:rsidR="0071501F" w:rsidRPr="005A6293">
        <w:t xml:space="preserve"> ........................................................................................................</w:t>
      </w:r>
      <w:r w:rsidR="00401599" w:rsidRPr="005A6293">
        <w:t xml:space="preserve"> 4</w:t>
      </w:r>
      <w:r w:rsidR="009622F4" w:rsidRPr="005A6293">
        <w:t>5</w:t>
      </w:r>
    </w:p>
    <w:p w14:paraId="2BFCE70F" w14:textId="34E04311" w:rsidR="00736671" w:rsidRPr="005A6293" w:rsidRDefault="00736671" w:rsidP="00736671">
      <w:pPr>
        <w:spacing w:line="480" w:lineRule="auto"/>
      </w:pPr>
      <w:r w:rsidRPr="005A6293">
        <w:t>Chapter 3: The Colonial Period</w:t>
      </w:r>
      <w:r w:rsidR="0071501F" w:rsidRPr="005A6293">
        <w:t xml:space="preserve"> ........................................................</w:t>
      </w:r>
      <w:r w:rsidR="00401599" w:rsidRPr="005A6293">
        <w:t xml:space="preserve">............................ </w:t>
      </w:r>
      <w:r w:rsidR="009622F4" w:rsidRPr="005A6293">
        <w:t>46</w:t>
      </w:r>
    </w:p>
    <w:p w14:paraId="447AD2AB" w14:textId="1A79A770" w:rsidR="00736671" w:rsidRPr="005A6293" w:rsidRDefault="00736671" w:rsidP="00736671">
      <w:pPr>
        <w:spacing w:line="480" w:lineRule="auto"/>
      </w:pPr>
      <w:r w:rsidRPr="005A6293">
        <w:lastRenderedPageBreak/>
        <w:tab/>
        <w:t>Education</w:t>
      </w:r>
      <w:r w:rsidR="0071501F" w:rsidRPr="005A6293">
        <w:t xml:space="preserve"> ...........................................................................................................</w:t>
      </w:r>
      <w:r w:rsidR="00401599" w:rsidRPr="005A6293">
        <w:t xml:space="preserve"> </w:t>
      </w:r>
      <w:r w:rsidR="002313CC" w:rsidRPr="005A6293">
        <w:t>46</w:t>
      </w:r>
    </w:p>
    <w:p w14:paraId="36F0D1AC" w14:textId="4819395F" w:rsidR="00736671" w:rsidRPr="005A6293" w:rsidRDefault="00736671" w:rsidP="00736671">
      <w:pPr>
        <w:spacing w:line="480" w:lineRule="auto"/>
      </w:pPr>
      <w:r w:rsidRPr="005A6293">
        <w:tab/>
        <w:t>Education and Gender</w:t>
      </w:r>
      <w:r w:rsidR="0071501F" w:rsidRPr="005A6293">
        <w:t xml:space="preserve"> .......................................................................................</w:t>
      </w:r>
      <w:r w:rsidR="00401599" w:rsidRPr="005A6293">
        <w:t xml:space="preserve"> </w:t>
      </w:r>
      <w:r w:rsidR="002313CC" w:rsidRPr="005A6293">
        <w:t>59</w:t>
      </w:r>
    </w:p>
    <w:p w14:paraId="4FA88E5F" w14:textId="0ABAC882" w:rsidR="00736671" w:rsidRPr="005A6293" w:rsidRDefault="00736671" w:rsidP="00736671">
      <w:pPr>
        <w:spacing w:line="480" w:lineRule="auto"/>
      </w:pPr>
      <w:r w:rsidRPr="005A6293">
        <w:tab/>
        <w:t>Economic Interaction</w:t>
      </w:r>
      <w:r w:rsidR="0071501F" w:rsidRPr="005A6293">
        <w:t xml:space="preserve"> .........................................................</w:t>
      </w:r>
      <w:r w:rsidR="00401599" w:rsidRPr="005A6293">
        <w:t>...............................</w:t>
      </w:r>
      <w:r w:rsidRPr="005A6293">
        <w:t xml:space="preserve"> </w:t>
      </w:r>
      <w:r w:rsidR="002313CC" w:rsidRPr="005A6293">
        <w:t>66</w:t>
      </w:r>
    </w:p>
    <w:p w14:paraId="106AB904" w14:textId="3AAAD248" w:rsidR="00736671" w:rsidRPr="005A6293" w:rsidRDefault="00736671" w:rsidP="00736671">
      <w:pPr>
        <w:spacing w:line="480" w:lineRule="auto"/>
      </w:pPr>
      <w:r w:rsidRPr="005A6293">
        <w:tab/>
        <w:t>Political Interaction</w:t>
      </w:r>
      <w:r w:rsidR="0071501F" w:rsidRPr="005A6293">
        <w:t xml:space="preserve"> ...........................................................................................</w:t>
      </w:r>
      <w:r w:rsidRPr="005A6293">
        <w:t xml:space="preserve"> 7</w:t>
      </w:r>
      <w:r w:rsidR="002313CC" w:rsidRPr="005A6293">
        <w:t>2</w:t>
      </w:r>
    </w:p>
    <w:p w14:paraId="69489482" w14:textId="4651F0B1" w:rsidR="00736671" w:rsidRPr="005A6293" w:rsidRDefault="00736671" w:rsidP="00736671">
      <w:pPr>
        <w:spacing w:line="480" w:lineRule="auto"/>
      </w:pPr>
      <w:r w:rsidRPr="005A6293">
        <w:tab/>
        <w:t>Conclusion</w:t>
      </w:r>
      <w:r w:rsidR="0071501F" w:rsidRPr="005A6293">
        <w:t xml:space="preserve"> .........................................................................................................</w:t>
      </w:r>
      <w:r w:rsidR="00401599" w:rsidRPr="005A6293">
        <w:t xml:space="preserve"> 8</w:t>
      </w:r>
      <w:r w:rsidR="002313CC" w:rsidRPr="005A6293">
        <w:t>0</w:t>
      </w:r>
    </w:p>
    <w:p w14:paraId="20763910" w14:textId="508B9CA7" w:rsidR="00736671" w:rsidRPr="005A6293" w:rsidRDefault="00736671" w:rsidP="00736671">
      <w:pPr>
        <w:spacing w:line="480" w:lineRule="auto"/>
      </w:pPr>
      <w:r w:rsidRPr="005A6293">
        <w:t>Chapter 4: The Post-Colonial Period</w:t>
      </w:r>
      <w:r w:rsidR="0071501F" w:rsidRPr="005A6293">
        <w:t xml:space="preserve"> ............................................................................. 8</w:t>
      </w:r>
      <w:r w:rsidR="002313CC" w:rsidRPr="005A6293">
        <w:t>1</w:t>
      </w:r>
    </w:p>
    <w:p w14:paraId="7B316788" w14:textId="17059128" w:rsidR="00736671" w:rsidRPr="005A6293" w:rsidRDefault="00736671" w:rsidP="00736671">
      <w:pPr>
        <w:spacing w:line="480" w:lineRule="auto"/>
      </w:pPr>
      <w:r w:rsidRPr="005A6293">
        <w:tab/>
        <w:t>Education</w:t>
      </w:r>
      <w:r w:rsidR="0071501F" w:rsidRPr="005A6293">
        <w:t xml:space="preserve"> ...........................................................................................................</w:t>
      </w:r>
      <w:r w:rsidRPr="005A6293">
        <w:t xml:space="preserve"> 8</w:t>
      </w:r>
      <w:r w:rsidR="002313CC" w:rsidRPr="005A6293">
        <w:t>3</w:t>
      </w:r>
    </w:p>
    <w:p w14:paraId="315DC784" w14:textId="4B9E60E1" w:rsidR="00736671" w:rsidRPr="005A6293" w:rsidRDefault="00736671" w:rsidP="00736671">
      <w:pPr>
        <w:spacing w:line="480" w:lineRule="auto"/>
      </w:pPr>
      <w:r w:rsidRPr="005A6293">
        <w:tab/>
        <w:t>Education and Gender</w:t>
      </w:r>
      <w:r w:rsidR="0071501F" w:rsidRPr="005A6293">
        <w:t xml:space="preserve"> .......................................................</w:t>
      </w:r>
      <w:r w:rsidR="00401599" w:rsidRPr="005A6293">
        <w:t>..............</w:t>
      </w:r>
      <w:r w:rsidR="002313CC" w:rsidRPr="005A6293">
        <w:t>..</w:t>
      </w:r>
      <w:r w:rsidR="00401599" w:rsidRPr="005A6293">
        <w:t xml:space="preserve">................ </w:t>
      </w:r>
      <w:r w:rsidR="002313CC" w:rsidRPr="005A6293">
        <w:t>94</w:t>
      </w:r>
    </w:p>
    <w:p w14:paraId="75BBD736" w14:textId="15F77E2B" w:rsidR="00736671" w:rsidRPr="005A6293" w:rsidRDefault="00736671" w:rsidP="00736671">
      <w:pPr>
        <w:spacing w:line="480" w:lineRule="auto"/>
      </w:pPr>
      <w:r w:rsidRPr="005A6293">
        <w:tab/>
        <w:t>Economic Interaction</w:t>
      </w:r>
      <w:r w:rsidR="0071501F" w:rsidRPr="005A6293">
        <w:t xml:space="preserve"> .......................................................</w:t>
      </w:r>
      <w:r w:rsidR="00401599" w:rsidRPr="005A6293">
        <w:t>...............................</w:t>
      </w:r>
      <w:r w:rsidRPr="005A6293">
        <w:t xml:space="preserve"> 11</w:t>
      </w:r>
      <w:r w:rsidR="002313CC" w:rsidRPr="005A6293">
        <w:t>0</w:t>
      </w:r>
    </w:p>
    <w:p w14:paraId="423C1EAA" w14:textId="52AFF6B6" w:rsidR="00736671" w:rsidRPr="005A6293" w:rsidRDefault="00736671" w:rsidP="00736671">
      <w:pPr>
        <w:spacing w:line="480" w:lineRule="auto"/>
      </w:pPr>
      <w:r w:rsidRPr="005A6293">
        <w:tab/>
        <w:t>Political Interaction</w:t>
      </w:r>
      <w:r w:rsidR="0071501F" w:rsidRPr="005A6293">
        <w:t xml:space="preserve"> .........................................................................................</w:t>
      </w:r>
      <w:r w:rsidR="00401599" w:rsidRPr="005A6293">
        <w:t xml:space="preserve"> 1</w:t>
      </w:r>
      <w:r w:rsidR="002313CC" w:rsidRPr="005A6293">
        <w:t>13</w:t>
      </w:r>
    </w:p>
    <w:p w14:paraId="177136E7" w14:textId="4BCEB58E" w:rsidR="00736671" w:rsidRPr="005A6293" w:rsidRDefault="00736671" w:rsidP="00736671">
      <w:pPr>
        <w:spacing w:line="480" w:lineRule="auto"/>
      </w:pPr>
      <w:r w:rsidRPr="005A6293">
        <w:tab/>
        <w:t>Conclusion</w:t>
      </w:r>
      <w:r w:rsidR="0071501F" w:rsidRPr="005A6293">
        <w:t xml:space="preserve"> ......................................................................................................</w:t>
      </w:r>
      <w:r w:rsidR="00401599" w:rsidRPr="005A6293">
        <w:t xml:space="preserve"> 12</w:t>
      </w:r>
      <w:r w:rsidR="002313CC" w:rsidRPr="005A6293">
        <w:t>0</w:t>
      </w:r>
    </w:p>
    <w:p w14:paraId="0A48277D" w14:textId="348CB34E" w:rsidR="00736671" w:rsidRPr="005A6293" w:rsidRDefault="00736671" w:rsidP="00736671">
      <w:pPr>
        <w:spacing w:line="480" w:lineRule="auto"/>
      </w:pPr>
      <w:r w:rsidRPr="005A6293">
        <w:t>Conclusion</w:t>
      </w:r>
      <w:r w:rsidR="0071501F" w:rsidRPr="005A6293">
        <w:t xml:space="preserve"> .......................................................................................</w:t>
      </w:r>
      <w:r w:rsidR="00401599" w:rsidRPr="005A6293">
        <w:t>........................... 1</w:t>
      </w:r>
      <w:r w:rsidR="002313CC" w:rsidRPr="005A6293">
        <w:t>21</w:t>
      </w:r>
    </w:p>
    <w:p w14:paraId="0D1F8A87" w14:textId="4392A5A1" w:rsidR="00736671" w:rsidRPr="005A6293" w:rsidRDefault="00372734" w:rsidP="00736671">
      <w:pPr>
        <w:spacing w:line="480" w:lineRule="auto"/>
      </w:pPr>
      <w:r w:rsidRPr="005A6293">
        <w:tab/>
        <w:t xml:space="preserve">Review of Themes </w:t>
      </w:r>
      <w:r w:rsidR="0071501F" w:rsidRPr="005A6293">
        <w:t xml:space="preserve">.......................................................................................... </w:t>
      </w:r>
      <w:r w:rsidR="00401599" w:rsidRPr="005A6293">
        <w:t>1</w:t>
      </w:r>
      <w:r w:rsidR="002313CC" w:rsidRPr="005A6293">
        <w:t>22</w:t>
      </w:r>
    </w:p>
    <w:p w14:paraId="52E3365D" w14:textId="3582C5B9" w:rsidR="00372734" w:rsidRPr="005A6293" w:rsidRDefault="00372734" w:rsidP="00736671">
      <w:pPr>
        <w:spacing w:line="480" w:lineRule="auto"/>
      </w:pPr>
      <w:r w:rsidRPr="005A6293">
        <w:tab/>
        <w:t>Significance and Contributions to the Literature</w:t>
      </w:r>
      <w:r w:rsidR="0071501F" w:rsidRPr="005A6293">
        <w:t xml:space="preserve"> .............</w:t>
      </w:r>
      <w:r w:rsidR="00401599" w:rsidRPr="005A6293">
        <w:t>..............................</w:t>
      </w:r>
      <w:r w:rsidRPr="005A6293">
        <w:t xml:space="preserve"> 1</w:t>
      </w:r>
      <w:r w:rsidR="002313CC" w:rsidRPr="005A6293">
        <w:t>25</w:t>
      </w:r>
    </w:p>
    <w:p w14:paraId="0A4F9E6E" w14:textId="06BEE8ED" w:rsidR="00372734" w:rsidRPr="005A6293" w:rsidRDefault="00372734" w:rsidP="00736671">
      <w:pPr>
        <w:spacing w:line="480" w:lineRule="auto"/>
      </w:pPr>
      <w:r w:rsidRPr="005A6293">
        <w:tab/>
        <w:t>Implications and Future Research</w:t>
      </w:r>
      <w:r w:rsidR="0071501F" w:rsidRPr="005A6293">
        <w:t xml:space="preserve"> ..................................................................</w:t>
      </w:r>
      <w:r w:rsidRPr="005A6293">
        <w:t xml:space="preserve"> 1</w:t>
      </w:r>
      <w:r w:rsidR="002313CC" w:rsidRPr="005A6293">
        <w:t>26</w:t>
      </w:r>
    </w:p>
    <w:p w14:paraId="3F880F71" w14:textId="6EFAC2A7" w:rsidR="00372734" w:rsidRPr="005A6293" w:rsidRDefault="00372734" w:rsidP="00736671">
      <w:pPr>
        <w:spacing w:line="480" w:lineRule="auto"/>
      </w:pPr>
      <w:r w:rsidRPr="005A6293">
        <w:t>Bibliography</w:t>
      </w:r>
      <w:r w:rsidR="0071501F" w:rsidRPr="005A6293">
        <w:t xml:space="preserve"> ...............................................................................................................</w:t>
      </w:r>
      <w:r w:rsidR="008B18B3">
        <w:t xml:space="preserve"> 12</w:t>
      </w:r>
      <w:r w:rsidR="002313CC" w:rsidRPr="005A6293">
        <w:t>8</w:t>
      </w:r>
    </w:p>
    <w:p w14:paraId="6CBCBA4E" w14:textId="77777777" w:rsidR="00736671" w:rsidRPr="005A6293" w:rsidRDefault="00736671" w:rsidP="00736671">
      <w:pPr>
        <w:spacing w:line="480" w:lineRule="auto"/>
      </w:pPr>
    </w:p>
    <w:p w14:paraId="206A53FF" w14:textId="6F6C84E6" w:rsidR="00736671" w:rsidRPr="005A6293" w:rsidRDefault="00736671" w:rsidP="00736671">
      <w:pPr>
        <w:spacing w:line="480" w:lineRule="auto"/>
      </w:pPr>
      <w:r w:rsidRPr="005A6293">
        <w:tab/>
      </w:r>
    </w:p>
    <w:p w14:paraId="78EF059F" w14:textId="77777777" w:rsidR="00E13B91" w:rsidRPr="005A6293" w:rsidRDefault="00E13B91" w:rsidP="00736671">
      <w:pPr>
        <w:spacing w:line="480" w:lineRule="auto"/>
      </w:pPr>
    </w:p>
    <w:p w14:paraId="04B7A5CB" w14:textId="77777777" w:rsidR="00E13B91" w:rsidRPr="005A6293" w:rsidRDefault="00E13B91" w:rsidP="00736671">
      <w:pPr>
        <w:spacing w:line="480" w:lineRule="auto"/>
      </w:pPr>
    </w:p>
    <w:p w14:paraId="14600822" w14:textId="77777777" w:rsidR="00E13B91" w:rsidRPr="005A6293" w:rsidRDefault="00E13B91" w:rsidP="00736671">
      <w:pPr>
        <w:spacing w:line="480" w:lineRule="auto"/>
      </w:pPr>
    </w:p>
    <w:p w14:paraId="4324BA59" w14:textId="77777777" w:rsidR="00E13B91" w:rsidRPr="005A6293" w:rsidRDefault="00E13B91" w:rsidP="00736671">
      <w:pPr>
        <w:spacing w:line="480" w:lineRule="auto"/>
      </w:pPr>
    </w:p>
    <w:p w14:paraId="51C26B64" w14:textId="77777777" w:rsidR="00844222" w:rsidRPr="005A6293" w:rsidRDefault="00844222" w:rsidP="00736671">
      <w:pPr>
        <w:spacing w:line="480" w:lineRule="auto"/>
      </w:pPr>
    </w:p>
    <w:p w14:paraId="05800D17" w14:textId="1C82E1C2" w:rsidR="00CB5912" w:rsidRPr="005A6293" w:rsidRDefault="00CB5912" w:rsidP="00CB5912">
      <w:pPr>
        <w:spacing w:line="480" w:lineRule="auto"/>
        <w:jc w:val="center"/>
      </w:pPr>
      <w:r w:rsidRPr="005A6293">
        <w:rPr>
          <w:b/>
        </w:rPr>
        <w:lastRenderedPageBreak/>
        <w:t>List of Tables</w:t>
      </w:r>
    </w:p>
    <w:p w14:paraId="1384A3A6" w14:textId="77777777" w:rsidR="00D22963" w:rsidRPr="005A6293" w:rsidRDefault="00D22963" w:rsidP="00DD475D">
      <w:pPr>
        <w:spacing w:line="480" w:lineRule="auto"/>
        <w:ind w:left="720" w:hanging="720"/>
      </w:pPr>
    </w:p>
    <w:p w14:paraId="440B6853" w14:textId="249ED2D4" w:rsidR="00D22963" w:rsidRPr="005A6293" w:rsidRDefault="00D22963" w:rsidP="00DD475D">
      <w:pPr>
        <w:spacing w:line="480" w:lineRule="auto"/>
        <w:ind w:left="720" w:hanging="720"/>
      </w:pPr>
      <w:r w:rsidRPr="005A6293">
        <w:t>Table 1. Summary of Variables ....................................................................................... 3</w:t>
      </w:r>
    </w:p>
    <w:p w14:paraId="30578B45" w14:textId="78EC1212" w:rsidR="00237BDA" w:rsidRPr="005A6293" w:rsidRDefault="00237BDA" w:rsidP="00DD475D">
      <w:pPr>
        <w:spacing w:line="480" w:lineRule="auto"/>
        <w:ind w:left="720" w:hanging="720"/>
      </w:pPr>
      <w:r w:rsidRPr="005A6293">
        <w:t xml:space="preserve">Table </w:t>
      </w:r>
      <w:r w:rsidR="00754F74" w:rsidRPr="005A6293">
        <w:t>2</w:t>
      </w:r>
      <w:r w:rsidRPr="005A6293">
        <w:t xml:space="preserve">. Kikuyu </w:t>
      </w:r>
      <w:r w:rsidR="00641653" w:rsidRPr="005A6293">
        <w:t>Levels of Education ............................................</w:t>
      </w:r>
      <w:r w:rsidR="00C206C9" w:rsidRPr="005A6293">
        <w:t>................................ 34</w:t>
      </w:r>
    </w:p>
    <w:p w14:paraId="641B7E01" w14:textId="6B4F2964" w:rsidR="00CB5912" w:rsidRPr="005A6293" w:rsidRDefault="00641653" w:rsidP="00DD475D">
      <w:pPr>
        <w:spacing w:line="480" w:lineRule="auto"/>
        <w:ind w:left="720" w:hanging="720"/>
      </w:pPr>
      <w:r w:rsidRPr="005A6293">
        <w:t xml:space="preserve">Table </w:t>
      </w:r>
      <w:r w:rsidR="00754F74" w:rsidRPr="005A6293">
        <w:t>3</w:t>
      </w:r>
      <w:r w:rsidR="002948A9" w:rsidRPr="005A6293">
        <w:t xml:space="preserve">. </w:t>
      </w:r>
      <w:r w:rsidR="00DD475D" w:rsidRPr="005A6293">
        <w:t>Gross primary enrollment rate by gender, 1970-2009</w:t>
      </w:r>
      <w:r w:rsidR="00B5508A" w:rsidRPr="005A6293">
        <w:t xml:space="preserve"> .............</w:t>
      </w:r>
      <w:r w:rsidR="00546EC7" w:rsidRPr="005A6293">
        <w:t>....</w:t>
      </w:r>
      <w:r w:rsidR="00B5508A" w:rsidRPr="005A6293">
        <w:t>.......</w:t>
      </w:r>
      <w:r w:rsidR="009D1112" w:rsidRPr="005A6293">
        <w:t>.....</w:t>
      </w:r>
      <w:r w:rsidR="00C206C9" w:rsidRPr="005A6293">
        <w:t xml:space="preserve">.. </w:t>
      </w:r>
      <w:r w:rsidR="00546EC7" w:rsidRPr="005A6293">
        <w:t>95-96</w:t>
      </w:r>
    </w:p>
    <w:p w14:paraId="3B073981" w14:textId="630C2827" w:rsidR="002948A9" w:rsidRPr="005A6293" w:rsidRDefault="00641653" w:rsidP="00DD475D">
      <w:pPr>
        <w:spacing w:line="480" w:lineRule="auto"/>
      </w:pPr>
      <w:r w:rsidRPr="005A6293">
        <w:t xml:space="preserve">Table </w:t>
      </w:r>
      <w:r w:rsidR="00754F74" w:rsidRPr="005A6293">
        <w:t>4</w:t>
      </w:r>
      <w:r w:rsidR="002948A9" w:rsidRPr="005A6293">
        <w:t xml:space="preserve">. </w:t>
      </w:r>
      <w:r w:rsidR="00DD475D" w:rsidRPr="005A6293">
        <w:t>Net primary enrollment rates by gender, 1999-2012</w:t>
      </w:r>
      <w:r w:rsidR="00B5508A" w:rsidRPr="005A6293">
        <w:t xml:space="preserve"> ............................</w:t>
      </w:r>
      <w:r w:rsidR="00C206C9" w:rsidRPr="005A6293">
        <w:t>.</w:t>
      </w:r>
      <w:r w:rsidR="00546EC7" w:rsidRPr="005A6293">
        <w:t>..</w:t>
      </w:r>
      <w:r w:rsidR="00C206C9" w:rsidRPr="005A6293">
        <w:t>......</w:t>
      </w:r>
      <w:r w:rsidR="00B5508A" w:rsidRPr="005A6293">
        <w:t>.</w:t>
      </w:r>
      <w:r w:rsidR="00C206C9" w:rsidRPr="005A6293">
        <w:t xml:space="preserve"> </w:t>
      </w:r>
      <w:r w:rsidR="00546EC7" w:rsidRPr="005A6293">
        <w:t>97</w:t>
      </w:r>
    </w:p>
    <w:p w14:paraId="71FCFB98" w14:textId="2E8A23DF" w:rsidR="002948A9" w:rsidRPr="005A6293" w:rsidRDefault="00641653" w:rsidP="00DD475D">
      <w:pPr>
        <w:spacing w:line="480" w:lineRule="auto"/>
      </w:pPr>
      <w:r w:rsidRPr="005A6293">
        <w:t xml:space="preserve">Table </w:t>
      </w:r>
      <w:r w:rsidR="00754F74" w:rsidRPr="005A6293">
        <w:t>5</w:t>
      </w:r>
      <w:r w:rsidR="002948A9" w:rsidRPr="005A6293">
        <w:t xml:space="preserve">. </w:t>
      </w:r>
      <w:r w:rsidR="00DD475D" w:rsidRPr="005A6293">
        <w:t>Enrollment in public primary schools by gender and province, 2003</w:t>
      </w:r>
      <w:r w:rsidR="00B5508A" w:rsidRPr="005A6293">
        <w:t xml:space="preserve"> ....</w:t>
      </w:r>
      <w:r w:rsidR="00546EC7" w:rsidRPr="005A6293">
        <w:t>..</w:t>
      </w:r>
      <w:r w:rsidR="00B5508A" w:rsidRPr="005A6293">
        <w:t>.</w:t>
      </w:r>
      <w:r w:rsidR="00546EC7" w:rsidRPr="005A6293">
        <w:t>.</w:t>
      </w:r>
      <w:r w:rsidR="00B5508A" w:rsidRPr="005A6293">
        <w:t xml:space="preserve">.... </w:t>
      </w:r>
      <w:r w:rsidR="00546EC7" w:rsidRPr="005A6293">
        <w:t>99</w:t>
      </w:r>
    </w:p>
    <w:p w14:paraId="4E62F854" w14:textId="7B5837C3" w:rsidR="002948A9" w:rsidRPr="005A6293" w:rsidRDefault="00641653" w:rsidP="00DD475D">
      <w:pPr>
        <w:spacing w:line="480" w:lineRule="auto"/>
      </w:pPr>
      <w:r w:rsidRPr="005A6293">
        <w:t xml:space="preserve">Table </w:t>
      </w:r>
      <w:r w:rsidR="00754F74" w:rsidRPr="005A6293">
        <w:t>6</w:t>
      </w:r>
      <w:r w:rsidR="002948A9" w:rsidRPr="005A6293">
        <w:t>.</w:t>
      </w:r>
      <w:r w:rsidR="00DD475D" w:rsidRPr="005A6293">
        <w:t xml:space="preserve"> Net primary enrollment rates by gender and province, 2002</w:t>
      </w:r>
      <w:r w:rsidR="00B5508A" w:rsidRPr="005A6293">
        <w:t xml:space="preserve"> ..........</w:t>
      </w:r>
      <w:r w:rsidR="00C21B97" w:rsidRPr="005A6293">
        <w:t>.</w:t>
      </w:r>
      <w:r w:rsidR="00546EC7" w:rsidRPr="005A6293">
        <w:t>...</w:t>
      </w:r>
      <w:r w:rsidR="00C21B97" w:rsidRPr="005A6293">
        <w:t>......</w:t>
      </w:r>
      <w:r w:rsidR="00B5508A" w:rsidRPr="005A6293">
        <w:t>......</w:t>
      </w:r>
      <w:r w:rsidR="00C206C9" w:rsidRPr="005A6293">
        <w:t xml:space="preserve"> </w:t>
      </w:r>
      <w:r w:rsidR="00546EC7" w:rsidRPr="005A6293">
        <w:t>99</w:t>
      </w:r>
    </w:p>
    <w:p w14:paraId="685104B2" w14:textId="3EFBA447" w:rsidR="002948A9" w:rsidRPr="005A6293" w:rsidRDefault="00641653" w:rsidP="00DD475D">
      <w:pPr>
        <w:spacing w:line="480" w:lineRule="auto"/>
      </w:pPr>
      <w:r w:rsidRPr="005A6293">
        <w:t xml:space="preserve">Table </w:t>
      </w:r>
      <w:r w:rsidR="00754F74" w:rsidRPr="005A6293">
        <w:t>7</w:t>
      </w:r>
      <w:r w:rsidR="002948A9" w:rsidRPr="005A6293">
        <w:t xml:space="preserve">. </w:t>
      </w:r>
      <w:r w:rsidR="00DD475D" w:rsidRPr="005A6293">
        <w:t>Education Gini 15+ by gender, 1950-2010</w:t>
      </w:r>
      <w:r w:rsidR="00B5508A" w:rsidRPr="005A6293">
        <w:t xml:space="preserve"> ..................</w:t>
      </w:r>
      <w:r w:rsidR="00C206C9" w:rsidRPr="005A6293">
        <w:t>................</w:t>
      </w:r>
      <w:r w:rsidR="00546EC7" w:rsidRPr="005A6293">
        <w:t>.</w:t>
      </w:r>
      <w:r w:rsidR="00C206C9" w:rsidRPr="005A6293">
        <w:t>......</w:t>
      </w:r>
      <w:r w:rsidR="009D1112" w:rsidRPr="005A6293">
        <w:t>..</w:t>
      </w:r>
      <w:r w:rsidR="00B5508A" w:rsidRPr="005A6293">
        <w:t>. 1</w:t>
      </w:r>
      <w:r w:rsidR="00C206C9" w:rsidRPr="005A6293">
        <w:t>0</w:t>
      </w:r>
      <w:r w:rsidR="00546EC7" w:rsidRPr="005A6293">
        <w:t>0-101</w:t>
      </w:r>
    </w:p>
    <w:p w14:paraId="22D89AE6" w14:textId="0861AB54" w:rsidR="002948A9" w:rsidRPr="005A6293" w:rsidRDefault="00641653" w:rsidP="00DD475D">
      <w:pPr>
        <w:spacing w:line="480" w:lineRule="auto"/>
      </w:pPr>
      <w:r w:rsidRPr="005A6293">
        <w:t xml:space="preserve">Table </w:t>
      </w:r>
      <w:r w:rsidR="00754F74" w:rsidRPr="005A6293">
        <w:t>8</w:t>
      </w:r>
      <w:r w:rsidR="002948A9" w:rsidRPr="005A6293">
        <w:t xml:space="preserve">. </w:t>
      </w:r>
      <w:r w:rsidR="00DD475D" w:rsidRPr="005A6293">
        <w:t>Education Gini 15-19 by gender, 1950-2010</w:t>
      </w:r>
      <w:r w:rsidR="00C21B97" w:rsidRPr="005A6293">
        <w:t xml:space="preserve"> .................................</w:t>
      </w:r>
      <w:r w:rsidR="00546EC7" w:rsidRPr="005A6293">
        <w:t>.</w:t>
      </w:r>
      <w:r w:rsidR="00C21B97" w:rsidRPr="005A6293">
        <w:t>..............</w:t>
      </w:r>
      <w:r w:rsidR="00C206C9" w:rsidRPr="005A6293">
        <w:t xml:space="preserve"> 10</w:t>
      </w:r>
      <w:r w:rsidR="00546EC7" w:rsidRPr="005A6293">
        <w:t>1</w:t>
      </w:r>
    </w:p>
    <w:p w14:paraId="6ABB2006" w14:textId="7BD2CB2A" w:rsidR="002948A9" w:rsidRPr="005A6293" w:rsidRDefault="00641653" w:rsidP="00DD475D">
      <w:pPr>
        <w:spacing w:line="480" w:lineRule="auto"/>
      </w:pPr>
      <w:r w:rsidRPr="005A6293">
        <w:t xml:space="preserve">Table </w:t>
      </w:r>
      <w:r w:rsidR="00754F74" w:rsidRPr="005A6293">
        <w:t>9</w:t>
      </w:r>
      <w:r w:rsidR="002948A9" w:rsidRPr="005A6293">
        <w:t xml:space="preserve">. </w:t>
      </w:r>
      <w:r w:rsidR="00DD475D" w:rsidRPr="005A6293">
        <w:t>Education 15+ by quintile by gender, 2005</w:t>
      </w:r>
      <w:r w:rsidR="00C21B97" w:rsidRPr="005A6293">
        <w:t xml:space="preserve"> ..............</w:t>
      </w:r>
      <w:r w:rsidR="00C206C9" w:rsidRPr="005A6293">
        <w:t>........................</w:t>
      </w:r>
      <w:r w:rsidR="00546EC7" w:rsidRPr="005A6293">
        <w:t>.</w:t>
      </w:r>
      <w:r w:rsidR="00C206C9" w:rsidRPr="005A6293">
        <w:t>.</w:t>
      </w:r>
      <w:r w:rsidR="00C21B97" w:rsidRPr="005A6293">
        <w:t>...</w:t>
      </w:r>
      <w:r w:rsidR="00C206C9" w:rsidRPr="005A6293">
        <w:t xml:space="preserve"> 10</w:t>
      </w:r>
      <w:r w:rsidR="00546EC7" w:rsidRPr="005A6293">
        <w:t>2-103</w:t>
      </w:r>
    </w:p>
    <w:p w14:paraId="7B7267E6" w14:textId="7ABE9E03" w:rsidR="008378CC" w:rsidRPr="005A6293" w:rsidRDefault="008378CC" w:rsidP="00DD475D">
      <w:pPr>
        <w:spacing w:line="480" w:lineRule="auto"/>
      </w:pPr>
      <w:r w:rsidRPr="005A6293">
        <w:t xml:space="preserve">Table </w:t>
      </w:r>
      <w:r w:rsidR="00754F74" w:rsidRPr="005A6293">
        <w:t>10</w:t>
      </w:r>
      <w:r w:rsidRPr="005A6293">
        <w:t xml:space="preserve">. </w:t>
      </w:r>
      <w:r w:rsidR="004D7B11" w:rsidRPr="005A6293">
        <w:t xml:space="preserve">Summary of </w:t>
      </w:r>
      <w:r w:rsidR="00D22963" w:rsidRPr="005A6293">
        <w:t>Variables</w:t>
      </w:r>
      <w:r w:rsidR="004D7B11" w:rsidRPr="005A6293">
        <w:t xml:space="preserve"> ..........................</w:t>
      </w:r>
      <w:r w:rsidR="00FB731F" w:rsidRPr="005A6293">
        <w:t>.........................</w:t>
      </w:r>
      <w:r w:rsidR="004D7B11" w:rsidRPr="005A6293">
        <w:t>.....................</w:t>
      </w:r>
      <w:r w:rsidR="00C206C9" w:rsidRPr="005A6293">
        <w:t>.......</w:t>
      </w:r>
      <w:r w:rsidR="004D7B11" w:rsidRPr="005A6293">
        <w:t>.</w:t>
      </w:r>
      <w:r w:rsidR="00C206C9" w:rsidRPr="005A6293">
        <w:t xml:space="preserve"> 1</w:t>
      </w:r>
      <w:r w:rsidR="00546EC7" w:rsidRPr="005A6293">
        <w:t>25</w:t>
      </w:r>
    </w:p>
    <w:p w14:paraId="0DBDE4DA" w14:textId="77777777" w:rsidR="00CB5912" w:rsidRPr="005A6293" w:rsidRDefault="00CB5912" w:rsidP="00CB5912">
      <w:pPr>
        <w:spacing w:line="480" w:lineRule="auto"/>
        <w:jc w:val="center"/>
      </w:pPr>
    </w:p>
    <w:p w14:paraId="490135AB" w14:textId="77777777" w:rsidR="00CB5912" w:rsidRPr="005A6293" w:rsidRDefault="00CB5912" w:rsidP="00CB5912">
      <w:pPr>
        <w:spacing w:line="480" w:lineRule="auto"/>
        <w:jc w:val="center"/>
      </w:pPr>
    </w:p>
    <w:p w14:paraId="4E74BCFC" w14:textId="77777777" w:rsidR="00CB5912" w:rsidRPr="005A6293" w:rsidRDefault="00CB5912" w:rsidP="00CB5912">
      <w:pPr>
        <w:spacing w:line="480" w:lineRule="auto"/>
        <w:jc w:val="center"/>
      </w:pPr>
    </w:p>
    <w:p w14:paraId="6F82DD8B" w14:textId="77777777" w:rsidR="00CB5912" w:rsidRPr="005A6293" w:rsidRDefault="00CB5912" w:rsidP="00CB5912">
      <w:pPr>
        <w:spacing w:line="480" w:lineRule="auto"/>
        <w:jc w:val="center"/>
      </w:pPr>
    </w:p>
    <w:p w14:paraId="0A7A2113" w14:textId="77777777" w:rsidR="00CB5912" w:rsidRPr="005A6293" w:rsidRDefault="00CB5912" w:rsidP="00CB5912">
      <w:pPr>
        <w:spacing w:line="480" w:lineRule="auto"/>
        <w:jc w:val="center"/>
      </w:pPr>
    </w:p>
    <w:p w14:paraId="0A5387E2" w14:textId="77777777" w:rsidR="00CB5912" w:rsidRPr="005A6293" w:rsidRDefault="00CB5912" w:rsidP="00CB5912">
      <w:pPr>
        <w:spacing w:line="480" w:lineRule="auto"/>
        <w:jc w:val="center"/>
      </w:pPr>
    </w:p>
    <w:p w14:paraId="4190A27F" w14:textId="77777777" w:rsidR="00CB5912" w:rsidRPr="005A6293" w:rsidRDefault="00CB5912" w:rsidP="00CB5912">
      <w:pPr>
        <w:spacing w:line="480" w:lineRule="auto"/>
        <w:jc w:val="center"/>
      </w:pPr>
    </w:p>
    <w:p w14:paraId="64B6C138" w14:textId="77777777" w:rsidR="00CB5912" w:rsidRPr="005A6293" w:rsidRDefault="00CB5912" w:rsidP="00CB5912">
      <w:pPr>
        <w:spacing w:line="480" w:lineRule="auto"/>
        <w:jc w:val="center"/>
      </w:pPr>
    </w:p>
    <w:p w14:paraId="521F6E70" w14:textId="77777777" w:rsidR="00CB5912" w:rsidRPr="005A6293" w:rsidRDefault="00CB5912" w:rsidP="00CB5912">
      <w:pPr>
        <w:spacing w:line="480" w:lineRule="auto"/>
        <w:jc w:val="center"/>
      </w:pPr>
    </w:p>
    <w:p w14:paraId="1ADCAA83" w14:textId="77777777" w:rsidR="00CB5912" w:rsidRPr="005A6293" w:rsidRDefault="00CB5912" w:rsidP="00CB5912">
      <w:pPr>
        <w:spacing w:line="480" w:lineRule="auto"/>
        <w:jc w:val="center"/>
      </w:pPr>
    </w:p>
    <w:p w14:paraId="3607760E" w14:textId="77777777" w:rsidR="00957D64" w:rsidRPr="005A6293" w:rsidRDefault="00957D64" w:rsidP="00957D64">
      <w:pPr>
        <w:spacing w:line="480" w:lineRule="auto"/>
      </w:pPr>
    </w:p>
    <w:p w14:paraId="519EF64A" w14:textId="70137BEB" w:rsidR="00CB5912" w:rsidRPr="005A6293" w:rsidRDefault="00DB27E0" w:rsidP="00CB5912">
      <w:pPr>
        <w:spacing w:line="480" w:lineRule="auto"/>
        <w:jc w:val="center"/>
        <w:rPr>
          <w:b/>
        </w:rPr>
      </w:pPr>
      <w:r w:rsidRPr="005A6293">
        <w:rPr>
          <w:b/>
        </w:rPr>
        <w:lastRenderedPageBreak/>
        <w:t>List of Figures</w:t>
      </w:r>
    </w:p>
    <w:p w14:paraId="011E3E78" w14:textId="4698E29C" w:rsidR="000072D4" w:rsidRPr="005A6293" w:rsidRDefault="000072D4" w:rsidP="000072D4">
      <w:pPr>
        <w:pStyle w:val="NoSpacing"/>
        <w:spacing w:line="480" w:lineRule="auto"/>
        <w:rPr>
          <w:rFonts w:eastAsia="Times New Roman" w:cs="Times New Roman"/>
          <w:color w:val="000000" w:themeColor="text1"/>
        </w:rPr>
      </w:pPr>
      <w:r w:rsidRPr="005A6293">
        <w:t xml:space="preserve">Figure 1. </w:t>
      </w:r>
      <w:r w:rsidRPr="005A6293">
        <w:rPr>
          <w:rFonts w:eastAsia="Times New Roman" w:cs="Times New Roman"/>
          <w:color w:val="000000" w:themeColor="text1"/>
        </w:rPr>
        <w:t>Map of Ethnic Groups by Province .............................................................</w:t>
      </w:r>
      <w:r w:rsidR="00386C45" w:rsidRPr="005A6293">
        <w:rPr>
          <w:rFonts w:eastAsia="Times New Roman" w:cs="Times New Roman"/>
          <w:color w:val="000000" w:themeColor="text1"/>
        </w:rPr>
        <w:t>...</w:t>
      </w:r>
      <w:r w:rsidRPr="005A6293">
        <w:rPr>
          <w:rFonts w:eastAsia="Times New Roman" w:cs="Times New Roman"/>
          <w:color w:val="000000" w:themeColor="text1"/>
        </w:rPr>
        <w:t>.</w:t>
      </w:r>
      <w:r w:rsidR="009C0657" w:rsidRPr="005A6293">
        <w:rPr>
          <w:rFonts w:eastAsia="Times New Roman" w:cs="Times New Roman"/>
          <w:color w:val="000000" w:themeColor="text1"/>
        </w:rPr>
        <w:t xml:space="preserve"> 5</w:t>
      </w:r>
    </w:p>
    <w:p w14:paraId="06C28921" w14:textId="7DC0C74E" w:rsidR="00DB27E0" w:rsidRPr="005A6293" w:rsidRDefault="00957D64" w:rsidP="00412C61">
      <w:pPr>
        <w:spacing w:line="480" w:lineRule="auto"/>
        <w:ind w:left="720" w:hanging="720"/>
      </w:pPr>
      <w:r w:rsidRPr="005A6293">
        <w:t>F</w:t>
      </w:r>
      <w:r w:rsidR="000072D4" w:rsidRPr="005A6293">
        <w:t>igure 2</w:t>
      </w:r>
      <w:r w:rsidRPr="005A6293">
        <w:t>.</w:t>
      </w:r>
      <w:r w:rsidR="00412C61" w:rsidRPr="005A6293">
        <w:t xml:space="preserve"> Enrollment rates for primary education, 1970-1977</w:t>
      </w:r>
      <w:r w:rsidR="008A7CA6" w:rsidRPr="005A6293">
        <w:t xml:space="preserve"> ......................................</w:t>
      </w:r>
      <w:r w:rsidR="009C0657" w:rsidRPr="005A6293">
        <w:t xml:space="preserve"> </w:t>
      </w:r>
      <w:r w:rsidR="006323ED" w:rsidRPr="005A6293">
        <w:t>88</w:t>
      </w:r>
    </w:p>
    <w:p w14:paraId="5748BF64" w14:textId="67AB0307" w:rsidR="00957D64" w:rsidRPr="005A6293" w:rsidRDefault="000072D4" w:rsidP="00412C61">
      <w:pPr>
        <w:spacing w:line="480" w:lineRule="auto"/>
        <w:ind w:left="720" w:hanging="720"/>
      </w:pPr>
      <w:r w:rsidRPr="005A6293">
        <w:t>Figure 3</w:t>
      </w:r>
      <w:r w:rsidR="00957D64" w:rsidRPr="005A6293">
        <w:t xml:space="preserve">. </w:t>
      </w:r>
      <w:r w:rsidR="00412C61" w:rsidRPr="005A6293">
        <w:t>Enrollment rates for primary education, 1976-1983</w:t>
      </w:r>
      <w:r w:rsidR="008A7CA6" w:rsidRPr="005A6293">
        <w:t xml:space="preserve"> .....</w:t>
      </w:r>
      <w:r w:rsidR="00D34C0E" w:rsidRPr="005A6293">
        <w:t>..............................</w:t>
      </w:r>
      <w:r w:rsidR="009C0657" w:rsidRPr="005A6293">
        <w:t>..</w:t>
      </w:r>
      <w:r w:rsidR="008A7CA6" w:rsidRPr="005A6293">
        <w:t>.</w:t>
      </w:r>
      <w:r w:rsidR="009C0657" w:rsidRPr="005A6293">
        <w:t xml:space="preserve"> 9</w:t>
      </w:r>
      <w:r w:rsidR="006323ED" w:rsidRPr="005A6293">
        <w:t>0</w:t>
      </w:r>
    </w:p>
    <w:p w14:paraId="55B5C58A" w14:textId="26A021F3" w:rsidR="00957D64" w:rsidRPr="005A6293" w:rsidRDefault="000072D4" w:rsidP="00412C61">
      <w:pPr>
        <w:spacing w:line="480" w:lineRule="auto"/>
        <w:ind w:left="720" w:hanging="720"/>
      </w:pPr>
      <w:r w:rsidRPr="005A6293">
        <w:t>Figure 4</w:t>
      </w:r>
      <w:r w:rsidR="00957D64" w:rsidRPr="005A6293">
        <w:t xml:space="preserve">. </w:t>
      </w:r>
      <w:r w:rsidR="00412C61" w:rsidRPr="005A6293">
        <w:t>Enrollment rates for primary education, 1995-2006</w:t>
      </w:r>
      <w:r w:rsidR="008A7CA6" w:rsidRPr="005A6293">
        <w:t xml:space="preserve"> ...................................</w:t>
      </w:r>
      <w:r w:rsidR="009C0657" w:rsidRPr="005A6293">
        <w:t>..</w:t>
      </w:r>
      <w:r w:rsidR="008A7CA6" w:rsidRPr="005A6293">
        <w:t>.</w:t>
      </w:r>
      <w:r w:rsidR="009C0657" w:rsidRPr="005A6293">
        <w:t xml:space="preserve"> </w:t>
      </w:r>
      <w:r w:rsidR="006323ED" w:rsidRPr="005A6293">
        <w:t>92</w:t>
      </w:r>
    </w:p>
    <w:p w14:paraId="41D95B3F" w14:textId="68432B29" w:rsidR="00957D64" w:rsidRPr="005A6293" w:rsidRDefault="00957D64" w:rsidP="00412C61">
      <w:pPr>
        <w:spacing w:line="480" w:lineRule="auto"/>
      </w:pPr>
      <w:r w:rsidRPr="005A6293">
        <w:t xml:space="preserve">Figure 5. </w:t>
      </w:r>
      <w:r w:rsidR="00412C61" w:rsidRPr="005A6293">
        <w:t>Education Gini 15+ by gender, 1950-2010</w:t>
      </w:r>
      <w:r w:rsidR="008A7CA6" w:rsidRPr="005A6293">
        <w:t xml:space="preserve"> ..................................................</w:t>
      </w:r>
      <w:r w:rsidR="009C0657" w:rsidRPr="005A6293">
        <w:t xml:space="preserve"> 10</w:t>
      </w:r>
      <w:r w:rsidR="006323ED" w:rsidRPr="005A6293">
        <w:t>2</w:t>
      </w:r>
    </w:p>
    <w:p w14:paraId="3685EAC5" w14:textId="77777777" w:rsidR="00DB27E0" w:rsidRPr="005A6293" w:rsidRDefault="00DB27E0" w:rsidP="00CB5912">
      <w:pPr>
        <w:spacing w:line="480" w:lineRule="auto"/>
        <w:jc w:val="center"/>
      </w:pPr>
    </w:p>
    <w:p w14:paraId="4A8C5FE8" w14:textId="77777777" w:rsidR="00DB27E0" w:rsidRPr="005A6293" w:rsidRDefault="00DB27E0" w:rsidP="00CB5912">
      <w:pPr>
        <w:spacing w:line="480" w:lineRule="auto"/>
        <w:jc w:val="center"/>
      </w:pPr>
    </w:p>
    <w:p w14:paraId="0648270B" w14:textId="77777777" w:rsidR="00DB27E0" w:rsidRPr="005A6293" w:rsidRDefault="00DB27E0" w:rsidP="00CB5912">
      <w:pPr>
        <w:spacing w:line="480" w:lineRule="auto"/>
        <w:jc w:val="center"/>
      </w:pPr>
    </w:p>
    <w:p w14:paraId="190E89B8" w14:textId="77777777" w:rsidR="00DB27E0" w:rsidRPr="005A6293" w:rsidRDefault="00DB27E0" w:rsidP="00CB5912">
      <w:pPr>
        <w:spacing w:line="480" w:lineRule="auto"/>
        <w:jc w:val="center"/>
      </w:pPr>
    </w:p>
    <w:p w14:paraId="5DC61E93" w14:textId="77777777" w:rsidR="00DB27E0" w:rsidRPr="005A6293" w:rsidRDefault="00DB27E0" w:rsidP="00CB5912">
      <w:pPr>
        <w:spacing w:line="480" w:lineRule="auto"/>
        <w:jc w:val="center"/>
      </w:pPr>
    </w:p>
    <w:p w14:paraId="148FD93A" w14:textId="77777777" w:rsidR="00DB27E0" w:rsidRPr="005A6293" w:rsidRDefault="00DB27E0" w:rsidP="00CB5912">
      <w:pPr>
        <w:spacing w:line="480" w:lineRule="auto"/>
        <w:jc w:val="center"/>
      </w:pPr>
    </w:p>
    <w:p w14:paraId="6D8D4828" w14:textId="77777777" w:rsidR="00DB27E0" w:rsidRPr="005A6293" w:rsidRDefault="00DB27E0" w:rsidP="00CB5912">
      <w:pPr>
        <w:spacing w:line="480" w:lineRule="auto"/>
        <w:jc w:val="center"/>
      </w:pPr>
    </w:p>
    <w:p w14:paraId="60160850" w14:textId="77777777" w:rsidR="00DB27E0" w:rsidRPr="005A6293" w:rsidRDefault="00DB27E0" w:rsidP="00CB5912">
      <w:pPr>
        <w:spacing w:line="480" w:lineRule="auto"/>
        <w:jc w:val="center"/>
      </w:pPr>
    </w:p>
    <w:p w14:paraId="4849C08D" w14:textId="77777777" w:rsidR="00DB27E0" w:rsidRPr="005A6293" w:rsidRDefault="00DB27E0" w:rsidP="00CB5912">
      <w:pPr>
        <w:spacing w:line="480" w:lineRule="auto"/>
        <w:jc w:val="center"/>
      </w:pPr>
    </w:p>
    <w:p w14:paraId="506CB2BE" w14:textId="77777777" w:rsidR="00DB27E0" w:rsidRPr="005A6293" w:rsidRDefault="00DB27E0" w:rsidP="00CB5912">
      <w:pPr>
        <w:spacing w:line="480" w:lineRule="auto"/>
        <w:jc w:val="center"/>
      </w:pPr>
    </w:p>
    <w:p w14:paraId="751214D6" w14:textId="77777777" w:rsidR="00DB27E0" w:rsidRPr="005A6293" w:rsidRDefault="00DB27E0" w:rsidP="00CB5912">
      <w:pPr>
        <w:spacing w:line="480" w:lineRule="auto"/>
        <w:jc w:val="center"/>
      </w:pPr>
    </w:p>
    <w:p w14:paraId="51B65292" w14:textId="77777777" w:rsidR="00DB27E0" w:rsidRPr="005A6293" w:rsidRDefault="00DB27E0" w:rsidP="00CB5912">
      <w:pPr>
        <w:spacing w:line="480" w:lineRule="auto"/>
        <w:jc w:val="center"/>
      </w:pPr>
    </w:p>
    <w:p w14:paraId="5A8A9C8E" w14:textId="77777777" w:rsidR="00DB27E0" w:rsidRPr="005A6293" w:rsidRDefault="00DB27E0" w:rsidP="00CB5912">
      <w:pPr>
        <w:spacing w:line="480" w:lineRule="auto"/>
        <w:jc w:val="center"/>
      </w:pPr>
    </w:p>
    <w:p w14:paraId="12A4D48C" w14:textId="77777777" w:rsidR="00DB27E0" w:rsidRPr="005A6293" w:rsidRDefault="00DB27E0" w:rsidP="00CB5912">
      <w:pPr>
        <w:spacing w:line="480" w:lineRule="auto"/>
        <w:jc w:val="center"/>
      </w:pPr>
    </w:p>
    <w:p w14:paraId="587AB3FB" w14:textId="77777777" w:rsidR="00DB27E0" w:rsidRPr="005A6293" w:rsidRDefault="00DB27E0" w:rsidP="00CB5912">
      <w:pPr>
        <w:spacing w:line="480" w:lineRule="auto"/>
        <w:jc w:val="center"/>
      </w:pPr>
    </w:p>
    <w:p w14:paraId="76579C11" w14:textId="77777777" w:rsidR="00DB27E0" w:rsidRPr="005A6293" w:rsidRDefault="00DB27E0" w:rsidP="00CB5912">
      <w:pPr>
        <w:spacing w:line="480" w:lineRule="auto"/>
        <w:jc w:val="center"/>
      </w:pPr>
    </w:p>
    <w:p w14:paraId="3A77F4FB" w14:textId="77777777" w:rsidR="00412C61" w:rsidRPr="005A6293" w:rsidRDefault="00412C61" w:rsidP="00412C61">
      <w:pPr>
        <w:spacing w:line="480" w:lineRule="auto"/>
      </w:pPr>
    </w:p>
    <w:p w14:paraId="5A5B48F3" w14:textId="7B0A8AD5" w:rsidR="00CB5912" w:rsidRPr="005A6293" w:rsidRDefault="00CB5912" w:rsidP="00412C61">
      <w:pPr>
        <w:spacing w:line="480" w:lineRule="auto"/>
        <w:jc w:val="center"/>
        <w:rPr>
          <w:b/>
        </w:rPr>
      </w:pPr>
      <w:r w:rsidRPr="005A6293">
        <w:rPr>
          <w:b/>
        </w:rPr>
        <w:lastRenderedPageBreak/>
        <w:t>Abstra</w:t>
      </w:r>
      <w:bookmarkStart w:id="0" w:name="_GoBack"/>
      <w:bookmarkEnd w:id="0"/>
      <w:r w:rsidRPr="005A6293">
        <w:rPr>
          <w:b/>
        </w:rPr>
        <w:t>ct</w:t>
      </w:r>
    </w:p>
    <w:p w14:paraId="5DB29C0A" w14:textId="4E80A177" w:rsidR="00FD07E1" w:rsidRPr="005A6293" w:rsidRDefault="00327020" w:rsidP="00327020">
      <w:pPr>
        <w:spacing w:line="480" w:lineRule="auto"/>
        <w:ind w:firstLine="720"/>
      </w:pPr>
      <w:r w:rsidRPr="005A6293">
        <w:t>Gender norms impact the educational system in Kenya, and influence the quantity and quality of education females receive</w:t>
      </w:r>
      <w:r w:rsidR="00FD07E1" w:rsidRPr="005A6293">
        <w:t>.</w:t>
      </w:r>
      <w:r w:rsidRPr="005A6293">
        <w:t xml:space="preserve"> Additionally, this relationship formed between education and gender norms interacts with other societal structures, such as economic and political </w:t>
      </w:r>
      <w:r w:rsidR="00753763" w:rsidRPr="005A6293">
        <w:t>structures</w:t>
      </w:r>
      <w:r w:rsidRPr="005A6293">
        <w:t xml:space="preserve">. </w:t>
      </w:r>
      <w:r w:rsidR="002D765C" w:rsidRPr="005A6293">
        <w:t>Considering</w:t>
      </w:r>
      <w:r w:rsidR="00753763" w:rsidRPr="005A6293">
        <w:t xml:space="preserve"> the connection between these structures, I analyze how changing gender norms impact educational, economic, and political structures in Kenya throughout three time-periods: pre-colonial, colonial, and post-colonial. </w:t>
      </w:r>
      <w:r w:rsidR="002D765C" w:rsidRPr="005A6293">
        <w:t>I argue that shifting gender norms and educational structures in each period creates a unique relationship</w:t>
      </w:r>
      <w:r w:rsidR="00872D21" w:rsidRPr="005A6293">
        <w:t>, as norms constrain the set of behaviors deemed appropriate for females in education</w:t>
      </w:r>
      <w:r w:rsidR="002D765C" w:rsidRPr="005A6293">
        <w:t xml:space="preserve"> to create a system of measureable educational inequalities for females in Kenya. </w:t>
      </w:r>
      <w:r w:rsidR="004303FE" w:rsidRPr="005A6293">
        <w:t xml:space="preserve">The findings illustrate a few key issues. First, there is a distinct relationship between education and gender in each period that is categorically different than the relationship in other periods due to the shifting nature of gender norms and educational structures. Furthermore, </w:t>
      </w:r>
      <w:r w:rsidR="00296B0D" w:rsidRPr="005A6293">
        <w:t xml:space="preserve">I produce measureable results that define gender-based educational inequality in each time-period as well as measureable impacts to both the economic and political structures. </w:t>
      </w:r>
      <w:r w:rsidR="003B72E4" w:rsidRPr="005A6293">
        <w:t xml:space="preserve">Finally, </w:t>
      </w:r>
      <w:r w:rsidR="000C1FA1" w:rsidRPr="005A6293">
        <w:t>I</w:t>
      </w:r>
      <w:r w:rsidR="00C8242E" w:rsidRPr="005A6293">
        <w:t xml:space="preserve"> </w:t>
      </w:r>
      <w:r w:rsidR="00052F82" w:rsidRPr="005A6293">
        <w:t xml:space="preserve">map the changes to </w:t>
      </w:r>
      <w:r w:rsidR="000C1FA1" w:rsidRPr="005A6293">
        <w:t xml:space="preserve">my variables (gender, education, economics, and politics) and denote how these shifting variables have shaped the education system in Kenya today. </w:t>
      </w:r>
    </w:p>
    <w:p w14:paraId="4E509A53" w14:textId="77777777" w:rsidR="00FD07E1" w:rsidRPr="005A6293" w:rsidRDefault="00863E76" w:rsidP="00CB5912">
      <w:pPr>
        <w:spacing w:line="480" w:lineRule="auto"/>
        <w:jc w:val="center"/>
        <w:rPr>
          <w:b/>
        </w:rPr>
        <w:sectPr w:rsidR="00FD07E1" w:rsidRPr="005A6293" w:rsidSect="00FD07E1">
          <w:footerReference w:type="default" r:id="rId8"/>
          <w:pgSz w:w="12240" w:h="15840"/>
          <w:pgMar w:top="1440" w:right="1440" w:bottom="1440" w:left="2304" w:header="720" w:footer="720" w:gutter="0"/>
          <w:pgNumType w:fmt="lowerRoman" w:start="4"/>
          <w:cols w:space="720"/>
          <w:docGrid w:linePitch="360"/>
        </w:sectPr>
      </w:pPr>
      <w:r w:rsidRPr="005A6293">
        <w:rPr>
          <w:b/>
        </w:rPr>
        <w:br w:type="page"/>
      </w:r>
    </w:p>
    <w:p w14:paraId="6E625EC0" w14:textId="361CFED4" w:rsidR="00C00ED3" w:rsidRPr="005A6293" w:rsidRDefault="00082233" w:rsidP="00FD07E1">
      <w:pPr>
        <w:spacing w:line="480" w:lineRule="auto"/>
        <w:jc w:val="center"/>
        <w:rPr>
          <w:b/>
        </w:rPr>
      </w:pPr>
      <w:r w:rsidRPr="005A6293">
        <w:rPr>
          <w:b/>
        </w:rPr>
        <w:lastRenderedPageBreak/>
        <w:t>Introduction</w:t>
      </w:r>
    </w:p>
    <w:p w14:paraId="52F5387D" w14:textId="29A3997D" w:rsidR="007C3E75" w:rsidRPr="005A6293" w:rsidRDefault="007B416B" w:rsidP="007C3E75">
      <w:pPr>
        <w:spacing w:line="480" w:lineRule="auto"/>
        <w:jc w:val="center"/>
        <w:rPr>
          <w:rFonts w:eastAsia="Times New Roman" w:cs="Times New Roman"/>
          <w:color w:val="000000" w:themeColor="text1"/>
        </w:rPr>
      </w:pPr>
      <w:r w:rsidRPr="005A6293">
        <w:rPr>
          <w:rFonts w:eastAsia="Times New Roman" w:cs="Times New Roman"/>
          <w:color w:val="000000" w:themeColor="text1"/>
        </w:rPr>
        <w:t>“</w:t>
      </w:r>
      <w:r w:rsidRPr="005A6293">
        <w:t>Wathomithia muiretu, ni wathomith</w:t>
      </w:r>
      <w:r w:rsidR="00E26301" w:rsidRPr="005A6293">
        <w:t>ia mbururi</w:t>
      </w:r>
      <w:r w:rsidRPr="005A6293">
        <w:rPr>
          <w:rFonts w:eastAsia="Times New Roman" w:cs="Times New Roman"/>
          <w:color w:val="000000" w:themeColor="text1"/>
        </w:rPr>
        <w:t>”.</w:t>
      </w:r>
      <w:r w:rsidRPr="005A6293">
        <w:rPr>
          <w:rStyle w:val="FootnoteReference"/>
          <w:rFonts w:eastAsia="Times New Roman" w:cs="Times New Roman"/>
          <w:color w:val="000000" w:themeColor="text1"/>
        </w:rPr>
        <w:footnoteReference w:id="1"/>
      </w:r>
    </w:p>
    <w:p w14:paraId="6695CA3B" w14:textId="5C6AAC40" w:rsidR="008543B1" w:rsidRPr="005A6293" w:rsidRDefault="007C3E75" w:rsidP="0068257B">
      <w:pPr>
        <w:spacing w:line="480" w:lineRule="auto"/>
        <w:rPr>
          <w:rFonts w:eastAsia="Times New Roman" w:cs="Times New Roman"/>
          <w:color w:val="000000" w:themeColor="text1"/>
        </w:rPr>
      </w:pPr>
      <w:r w:rsidRPr="005A6293">
        <w:rPr>
          <w:rFonts w:eastAsia="Times New Roman" w:cs="Times New Roman"/>
          <w:color w:val="000000" w:themeColor="text1"/>
        </w:rPr>
        <w:t>The</w:t>
      </w:r>
      <w:r w:rsidR="00E26301" w:rsidRPr="005A6293">
        <w:rPr>
          <w:rFonts w:eastAsia="Times New Roman" w:cs="Times New Roman"/>
          <w:color w:val="000000" w:themeColor="text1"/>
        </w:rPr>
        <w:t xml:space="preserve"> Embu saying </w:t>
      </w:r>
      <w:r w:rsidR="00E973A8" w:rsidRPr="005A6293">
        <w:rPr>
          <w:rFonts w:eastAsia="Times New Roman" w:cs="Times New Roman"/>
          <w:color w:val="000000" w:themeColor="text1"/>
        </w:rPr>
        <w:t xml:space="preserve">quoted above </w:t>
      </w:r>
      <w:r w:rsidR="00E26301" w:rsidRPr="005A6293">
        <w:rPr>
          <w:rFonts w:eastAsia="Times New Roman" w:cs="Times New Roman"/>
          <w:color w:val="000000" w:themeColor="text1"/>
        </w:rPr>
        <w:t xml:space="preserve">translates </w:t>
      </w:r>
      <w:r w:rsidR="00E973A8" w:rsidRPr="005A6293">
        <w:rPr>
          <w:rFonts w:eastAsia="Times New Roman" w:cs="Times New Roman"/>
          <w:color w:val="000000" w:themeColor="text1"/>
        </w:rPr>
        <w:t xml:space="preserve">roughly </w:t>
      </w:r>
      <w:r w:rsidR="00E26301" w:rsidRPr="005A6293">
        <w:rPr>
          <w:rFonts w:eastAsia="Times New Roman" w:cs="Times New Roman"/>
          <w:color w:val="000000" w:themeColor="text1"/>
        </w:rPr>
        <w:t xml:space="preserve">to “when you educate a girl, you educate a whole nation”. This saying captures the spirit of this thesis, which is founded on the belief that female education is </w:t>
      </w:r>
      <w:r w:rsidR="0079210F" w:rsidRPr="005A6293">
        <w:rPr>
          <w:rFonts w:eastAsia="Times New Roman" w:cs="Times New Roman"/>
          <w:color w:val="000000" w:themeColor="text1"/>
        </w:rPr>
        <w:t xml:space="preserve">necessary, important, and even crucial for a </w:t>
      </w:r>
      <w:r w:rsidR="00942E22" w:rsidRPr="005A6293">
        <w:rPr>
          <w:rFonts w:eastAsia="Times New Roman" w:cs="Times New Roman"/>
          <w:color w:val="000000" w:themeColor="text1"/>
        </w:rPr>
        <w:t xml:space="preserve">flourishing nation. </w:t>
      </w:r>
      <w:r w:rsidR="00CB3664" w:rsidRPr="005A6293">
        <w:rPr>
          <w:rFonts w:eastAsia="Times New Roman" w:cs="Times New Roman"/>
          <w:color w:val="000000" w:themeColor="text1"/>
        </w:rPr>
        <w:t>In this paper, I highlight</w:t>
      </w:r>
      <w:r w:rsidR="00075A79" w:rsidRPr="005A6293">
        <w:rPr>
          <w:rFonts w:eastAsia="Times New Roman" w:cs="Times New Roman"/>
          <w:color w:val="000000" w:themeColor="text1"/>
        </w:rPr>
        <w:t xml:space="preserve"> the importance</w:t>
      </w:r>
      <w:r w:rsidR="00A3673A">
        <w:rPr>
          <w:rFonts w:eastAsia="Times New Roman" w:cs="Times New Roman"/>
          <w:color w:val="000000" w:themeColor="text1"/>
        </w:rPr>
        <w:t xml:space="preserve"> of female education, recognize</w:t>
      </w:r>
      <w:r w:rsidR="00075A79" w:rsidRPr="005A6293">
        <w:rPr>
          <w:rFonts w:eastAsia="Times New Roman" w:cs="Times New Roman"/>
          <w:color w:val="000000" w:themeColor="text1"/>
        </w:rPr>
        <w:t xml:space="preserve"> the complexity of providing equit</w:t>
      </w:r>
      <w:r w:rsidR="00A3673A">
        <w:rPr>
          <w:rFonts w:eastAsia="Times New Roman" w:cs="Times New Roman"/>
          <w:color w:val="000000" w:themeColor="text1"/>
        </w:rPr>
        <w:t>able education, and demonstrate</w:t>
      </w:r>
      <w:r w:rsidR="00075A79" w:rsidRPr="005A6293">
        <w:rPr>
          <w:rFonts w:eastAsia="Times New Roman" w:cs="Times New Roman"/>
          <w:color w:val="000000" w:themeColor="text1"/>
        </w:rPr>
        <w:t xml:space="preserve"> some of the impacts of inequitable education on the society at large. </w:t>
      </w:r>
      <w:r w:rsidR="003C4FD7" w:rsidRPr="005A6293">
        <w:rPr>
          <w:rFonts w:eastAsia="Times New Roman" w:cs="Times New Roman"/>
          <w:color w:val="000000" w:themeColor="text1"/>
        </w:rPr>
        <w:t xml:space="preserve">I believe that education is one of the greatest gifts that anyone can receive and that providing equitable education for girls is </w:t>
      </w:r>
      <w:r w:rsidR="003A1ABD" w:rsidRPr="005A6293">
        <w:rPr>
          <w:rFonts w:eastAsia="Times New Roman" w:cs="Times New Roman"/>
          <w:color w:val="000000" w:themeColor="text1"/>
        </w:rPr>
        <w:t>vital</w:t>
      </w:r>
      <w:r w:rsidR="003C4FD7" w:rsidRPr="005A6293">
        <w:rPr>
          <w:rFonts w:eastAsia="Times New Roman" w:cs="Times New Roman"/>
          <w:color w:val="000000" w:themeColor="text1"/>
        </w:rPr>
        <w:t xml:space="preserve">, and I am not alone. Malala Yousafzai, a young activist from Pakistan and Nobel Prize laureate, also believes that female education can change the world. </w:t>
      </w:r>
      <w:r w:rsidR="00C8032A" w:rsidRPr="005A6293">
        <w:rPr>
          <w:rFonts w:eastAsia="Times New Roman" w:cs="Times New Roman"/>
          <w:color w:val="000000" w:themeColor="text1"/>
        </w:rPr>
        <w:t xml:space="preserve">As she argues in a speech to the United Nations, </w:t>
      </w:r>
    </w:p>
    <w:p w14:paraId="7E20CE3F" w14:textId="0027EC00" w:rsidR="002A5920" w:rsidRPr="005A6293" w:rsidRDefault="00C8032A" w:rsidP="00096EE9">
      <w:pPr>
        <w:spacing w:after="280"/>
        <w:ind w:left="720"/>
        <w:rPr>
          <w:rFonts w:eastAsia="Times New Roman" w:cs="Times New Roman"/>
          <w:color w:val="000000" w:themeColor="text1"/>
        </w:rPr>
      </w:pPr>
      <w:r w:rsidRPr="005A6293">
        <w:rPr>
          <w:rFonts w:eastAsia="Times New Roman" w:cs="Times New Roman"/>
          <w:color w:val="000000" w:themeColor="text1"/>
        </w:rPr>
        <w:t>none of the SDGs (Sustainable Development Goals), not a single one</w:t>
      </w:r>
      <w:r w:rsidR="008543B1" w:rsidRPr="005A6293">
        <w:rPr>
          <w:rFonts w:eastAsia="Times New Roman" w:cs="Times New Roman"/>
          <w:color w:val="000000" w:themeColor="text1"/>
        </w:rPr>
        <w:t xml:space="preserve">, can be accomplished unless we educate all girls. If you want to grow economies, improve the air we breathe, promote peace, and advance public health, we must invest in girls… when girls cannot go to school they lose the opportunity to pursue their dreams, and </w:t>
      </w:r>
      <w:r w:rsidR="00D75437" w:rsidRPr="005A6293">
        <w:rPr>
          <w:rFonts w:eastAsia="Times New Roman" w:cs="Times New Roman"/>
          <w:color w:val="000000" w:themeColor="text1"/>
        </w:rPr>
        <w:t>our world loses their potential</w:t>
      </w:r>
      <w:r w:rsidR="008543B1" w:rsidRPr="005A6293">
        <w:rPr>
          <w:rFonts w:eastAsia="Times New Roman" w:cs="Times New Roman"/>
          <w:color w:val="000000" w:themeColor="text1"/>
        </w:rPr>
        <w:t>.</w:t>
      </w:r>
      <w:r w:rsidR="008543B1" w:rsidRPr="005A6293">
        <w:rPr>
          <w:rStyle w:val="FootnoteReference"/>
          <w:rFonts w:eastAsia="Times New Roman" w:cs="Times New Roman"/>
          <w:color w:val="000000" w:themeColor="text1"/>
        </w:rPr>
        <w:footnoteReference w:id="2"/>
      </w:r>
    </w:p>
    <w:p w14:paraId="2CFCFFD0" w14:textId="6B33431A" w:rsidR="0068257B" w:rsidRPr="005A6293" w:rsidRDefault="00F026F9" w:rsidP="0068257B">
      <w:pPr>
        <w:spacing w:line="480" w:lineRule="auto"/>
      </w:pPr>
      <w:r w:rsidRPr="005A6293">
        <w:t>Access to equitable educati</w:t>
      </w:r>
      <w:r w:rsidR="00A3673A">
        <w:t>on gives girls the opportunity</w:t>
      </w:r>
      <w:r w:rsidRPr="005A6293">
        <w:t xml:space="preserve"> to pursue their dreams and change the world. </w:t>
      </w:r>
      <w:r w:rsidR="00A424B5" w:rsidRPr="005A6293">
        <w:t xml:space="preserve">Therefore, </w:t>
      </w:r>
      <w:r w:rsidR="00CB3664" w:rsidRPr="005A6293">
        <w:t>I focus</w:t>
      </w:r>
      <w:r w:rsidR="00A424B5" w:rsidRPr="005A6293">
        <w:t xml:space="preserve"> on female education with the goal of shaping nations and eventually shaping the world. </w:t>
      </w:r>
    </w:p>
    <w:p w14:paraId="18911B05" w14:textId="66244837" w:rsidR="00CB111A" w:rsidRPr="005A6293" w:rsidRDefault="00CB111A" w:rsidP="0068257B">
      <w:pPr>
        <w:spacing w:line="480" w:lineRule="auto"/>
      </w:pPr>
    </w:p>
    <w:p w14:paraId="495BE9C7" w14:textId="77777777" w:rsidR="00CB111A" w:rsidRPr="005A6293" w:rsidRDefault="00CB111A" w:rsidP="0068257B">
      <w:pPr>
        <w:spacing w:line="480" w:lineRule="auto"/>
      </w:pPr>
    </w:p>
    <w:p w14:paraId="7C4CD4E6" w14:textId="77777777" w:rsidR="00082233" w:rsidRPr="005A6293" w:rsidRDefault="00082233" w:rsidP="0068257B">
      <w:pPr>
        <w:spacing w:line="480" w:lineRule="auto"/>
        <w:rPr>
          <w:b/>
        </w:rPr>
      </w:pPr>
      <w:r w:rsidRPr="005A6293">
        <w:rPr>
          <w:b/>
        </w:rPr>
        <w:lastRenderedPageBreak/>
        <w:t>Overview</w:t>
      </w:r>
    </w:p>
    <w:p w14:paraId="52833EC5" w14:textId="0578E488" w:rsidR="00192886" w:rsidRPr="005A6293" w:rsidRDefault="00082233" w:rsidP="00836CBA">
      <w:pPr>
        <w:spacing w:line="480" w:lineRule="auto"/>
      </w:pPr>
      <w:r w:rsidRPr="005A6293">
        <w:tab/>
        <w:t xml:space="preserve">Development at its most simple form is about improving the quality of people’s lives. Where development gets complex is when we begin thinking about what type of development is best, whom development is for, what development implies, and how development is best </w:t>
      </w:r>
      <w:r w:rsidR="00EF3787" w:rsidRPr="005A6293">
        <w:t xml:space="preserve">pursued. In this thesis, I </w:t>
      </w:r>
      <w:r w:rsidRPr="005A6293">
        <w:t>analyze education in Kenya with a specific fo</w:t>
      </w:r>
      <w:r w:rsidR="00EF3787" w:rsidRPr="005A6293">
        <w:t xml:space="preserve">cus on girls’ education </w:t>
      </w:r>
      <w:r w:rsidR="004C270F" w:rsidRPr="005A6293">
        <w:t>by investigating the relationship between education and gender. This relationship refers to the restrictions that gender norms place on all students, and the corresponding manner in which both boys and girls internalize or fight against gender norms reflected in their education through avenues such as: hidden curriculum, teacher expectations, or future career options. This unique relationship forms the backbone of my research question:</w:t>
      </w:r>
      <w:r w:rsidR="006238B7">
        <w:t xml:space="preserve"> how does the</w:t>
      </w:r>
      <w:r w:rsidR="00F33388" w:rsidRPr="005A6293">
        <w:t xml:space="preserve"> relationship between education and gender interact with other societal structures, such as politics and economics overtime? </w:t>
      </w:r>
      <w:r w:rsidR="004C270F" w:rsidRPr="005A6293">
        <w:t xml:space="preserve">I argue that overtime gender norms continuously impact the education system and through that system the economic and political structures of Kenya; however, my research indicates that gender norms had the most substantial impact on Kenya during the colonial period due to the influx of Western gender norms. The result of the fluctuation of gender norms was an increase in restrictions to access and attainment of women’s education in the colonial period and the subsequent decrease of those restrictions in the post-colonial period; restrictions to achievement and accomplishment of women’s education in Kenya have remained stubbornly persistent throughout each time-period. Additionally, the impact on the economic and political structures followed the same pattern of increased impact during the colonial period, and </w:t>
      </w:r>
      <w:r w:rsidR="004C270F" w:rsidRPr="005A6293">
        <w:lastRenderedPageBreak/>
        <w:t>subsequent decreased impact in the post-colonial period. These findings are summarized in the table below.</w:t>
      </w:r>
    </w:p>
    <w:p w14:paraId="496DD1EB" w14:textId="0D9536AA" w:rsidR="009917E5" w:rsidRPr="005A6293" w:rsidRDefault="009917E5" w:rsidP="009917E5">
      <w:pPr>
        <w:spacing w:line="480" w:lineRule="auto"/>
        <w:rPr>
          <w:rFonts w:cs="Times New Roman"/>
        </w:rPr>
      </w:pPr>
      <w:r w:rsidRPr="005A6293">
        <w:rPr>
          <w:rFonts w:cs="Times New Roman"/>
        </w:rPr>
        <w:t xml:space="preserve">Table 1. Summary of </w:t>
      </w:r>
      <w:r w:rsidR="00D22963" w:rsidRPr="005A6293">
        <w:rPr>
          <w:rFonts w:cs="Times New Roman"/>
        </w:rPr>
        <w:t>Variables</w:t>
      </w:r>
      <w:r w:rsidRPr="005A6293">
        <w:rPr>
          <w:rStyle w:val="FootnoteReference"/>
          <w:rFonts w:cs="Times New Roman"/>
        </w:rPr>
        <w:footnoteReference w:id="3"/>
      </w:r>
    </w:p>
    <w:tbl>
      <w:tblPr>
        <w:tblStyle w:val="PlainTable32"/>
        <w:tblW w:w="0" w:type="auto"/>
        <w:tblLook w:val="04A0" w:firstRow="1" w:lastRow="0" w:firstColumn="1" w:lastColumn="0" w:noHBand="0" w:noVBand="1"/>
      </w:tblPr>
      <w:tblGrid>
        <w:gridCol w:w="1936"/>
        <w:gridCol w:w="2238"/>
        <w:gridCol w:w="2205"/>
        <w:gridCol w:w="2333"/>
      </w:tblGrid>
      <w:tr w:rsidR="009917E5" w:rsidRPr="005A6293" w14:paraId="76DFA738" w14:textId="77777777" w:rsidTr="00DC353F">
        <w:trPr>
          <w:cnfStyle w:val="100000000000" w:firstRow="1" w:lastRow="0" w:firstColumn="0" w:lastColumn="0" w:oddVBand="0" w:evenVBand="0" w:oddHBand="0" w:evenHBand="0" w:firstRowFirstColumn="0" w:firstRowLastColumn="0" w:lastRowFirstColumn="0" w:lastRowLastColumn="0"/>
          <w:trHeight w:val="351"/>
        </w:trPr>
        <w:tc>
          <w:tcPr>
            <w:cnfStyle w:val="001000000100" w:firstRow="0" w:lastRow="0" w:firstColumn="1" w:lastColumn="0" w:oddVBand="0" w:evenVBand="0" w:oddHBand="0" w:evenHBand="0" w:firstRowFirstColumn="1" w:firstRowLastColumn="0" w:lastRowFirstColumn="0" w:lastRowLastColumn="0"/>
            <w:tcW w:w="1936" w:type="dxa"/>
          </w:tcPr>
          <w:p w14:paraId="151B0089" w14:textId="77777777" w:rsidR="009917E5" w:rsidRPr="005A6293" w:rsidRDefault="009917E5" w:rsidP="00DC353F">
            <w:pPr>
              <w:rPr>
                <w:b w:val="0"/>
              </w:rPr>
            </w:pPr>
          </w:p>
        </w:tc>
        <w:tc>
          <w:tcPr>
            <w:tcW w:w="2238" w:type="dxa"/>
          </w:tcPr>
          <w:p w14:paraId="47F04B48" w14:textId="77777777" w:rsidR="009917E5" w:rsidRPr="005A6293" w:rsidRDefault="009917E5" w:rsidP="00DC353F">
            <w:pPr>
              <w:cnfStyle w:val="100000000000" w:firstRow="1" w:lastRow="0" w:firstColumn="0" w:lastColumn="0" w:oddVBand="0" w:evenVBand="0" w:oddHBand="0" w:evenHBand="0" w:firstRowFirstColumn="0" w:firstRowLastColumn="0" w:lastRowFirstColumn="0" w:lastRowLastColumn="0"/>
              <w:rPr>
                <w:b w:val="0"/>
              </w:rPr>
            </w:pPr>
            <w:r w:rsidRPr="005A6293">
              <w:rPr>
                <w:b w:val="0"/>
              </w:rPr>
              <w:t>pre-colonial</w:t>
            </w:r>
          </w:p>
        </w:tc>
        <w:tc>
          <w:tcPr>
            <w:tcW w:w="2205" w:type="dxa"/>
          </w:tcPr>
          <w:p w14:paraId="6884D5E1" w14:textId="77777777" w:rsidR="009917E5" w:rsidRPr="005A6293" w:rsidRDefault="009917E5" w:rsidP="00DC353F">
            <w:pPr>
              <w:cnfStyle w:val="100000000000" w:firstRow="1" w:lastRow="0" w:firstColumn="0" w:lastColumn="0" w:oddVBand="0" w:evenVBand="0" w:oddHBand="0" w:evenHBand="0" w:firstRowFirstColumn="0" w:firstRowLastColumn="0" w:lastRowFirstColumn="0" w:lastRowLastColumn="0"/>
              <w:rPr>
                <w:b w:val="0"/>
              </w:rPr>
            </w:pPr>
            <w:r w:rsidRPr="005A6293">
              <w:rPr>
                <w:b w:val="0"/>
              </w:rPr>
              <w:t>Colonial</w:t>
            </w:r>
          </w:p>
        </w:tc>
        <w:tc>
          <w:tcPr>
            <w:tcW w:w="2333" w:type="dxa"/>
          </w:tcPr>
          <w:p w14:paraId="4B0E18F1" w14:textId="77777777" w:rsidR="009917E5" w:rsidRPr="005A6293" w:rsidRDefault="009917E5" w:rsidP="00DC353F">
            <w:pPr>
              <w:cnfStyle w:val="100000000000" w:firstRow="1" w:lastRow="0" w:firstColumn="0" w:lastColumn="0" w:oddVBand="0" w:evenVBand="0" w:oddHBand="0" w:evenHBand="0" w:firstRowFirstColumn="0" w:firstRowLastColumn="0" w:lastRowFirstColumn="0" w:lastRowLastColumn="0"/>
              <w:rPr>
                <w:b w:val="0"/>
              </w:rPr>
            </w:pPr>
            <w:r w:rsidRPr="005A6293">
              <w:rPr>
                <w:b w:val="0"/>
              </w:rPr>
              <w:t>Post-colonial</w:t>
            </w:r>
          </w:p>
        </w:tc>
      </w:tr>
      <w:tr w:rsidR="009917E5" w:rsidRPr="005A6293" w14:paraId="673F01DF" w14:textId="77777777" w:rsidTr="00DC3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tcPr>
          <w:p w14:paraId="7D1F0F18" w14:textId="77777777" w:rsidR="009917E5" w:rsidRPr="005A6293" w:rsidRDefault="009917E5" w:rsidP="00DC353F">
            <w:r w:rsidRPr="005A6293">
              <w:t>Education and gender</w:t>
            </w:r>
          </w:p>
        </w:tc>
        <w:tc>
          <w:tcPr>
            <w:tcW w:w="2238" w:type="dxa"/>
          </w:tcPr>
          <w:p w14:paraId="2B930062"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r w:rsidRPr="005A6293">
              <w:t xml:space="preserve"> </w:t>
            </w:r>
          </w:p>
        </w:tc>
        <w:tc>
          <w:tcPr>
            <w:tcW w:w="2205" w:type="dxa"/>
          </w:tcPr>
          <w:p w14:paraId="41828266"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p>
        </w:tc>
        <w:tc>
          <w:tcPr>
            <w:tcW w:w="2333" w:type="dxa"/>
          </w:tcPr>
          <w:p w14:paraId="46D151E1"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p>
        </w:tc>
      </w:tr>
      <w:tr w:rsidR="009917E5" w:rsidRPr="005A6293" w14:paraId="32143DCC" w14:textId="77777777" w:rsidTr="00DC353F">
        <w:tc>
          <w:tcPr>
            <w:cnfStyle w:val="001000000000" w:firstRow="0" w:lastRow="0" w:firstColumn="1" w:lastColumn="0" w:oddVBand="0" w:evenVBand="0" w:oddHBand="0" w:evenHBand="0" w:firstRowFirstColumn="0" w:firstRowLastColumn="0" w:lastRowFirstColumn="0" w:lastRowLastColumn="0"/>
            <w:tcW w:w="1936" w:type="dxa"/>
          </w:tcPr>
          <w:p w14:paraId="7737BFBE" w14:textId="77777777" w:rsidR="009917E5" w:rsidRPr="005A6293" w:rsidRDefault="009917E5" w:rsidP="00DC353F">
            <w:pPr>
              <w:rPr>
                <w:b w:val="0"/>
                <w:caps w:val="0"/>
              </w:rPr>
            </w:pPr>
            <w:r w:rsidRPr="005A6293">
              <w:rPr>
                <w:b w:val="0"/>
                <w:caps w:val="0"/>
              </w:rPr>
              <w:t>Access</w:t>
            </w:r>
          </w:p>
        </w:tc>
        <w:tc>
          <w:tcPr>
            <w:tcW w:w="2238" w:type="dxa"/>
          </w:tcPr>
          <w:p w14:paraId="30C3E644" w14:textId="77777777" w:rsidR="009917E5" w:rsidRPr="005A6293" w:rsidRDefault="009917E5" w:rsidP="00DC353F">
            <w:pPr>
              <w:cnfStyle w:val="000000000000" w:firstRow="0" w:lastRow="0" w:firstColumn="0" w:lastColumn="0" w:oddVBand="0" w:evenVBand="0" w:oddHBand="0" w:evenHBand="0" w:firstRowFirstColumn="0" w:firstRowLastColumn="0" w:lastRowFirstColumn="0" w:lastRowLastColumn="0"/>
            </w:pPr>
            <w:r w:rsidRPr="005A6293">
              <w:t>Unrestricted</w:t>
            </w:r>
          </w:p>
        </w:tc>
        <w:tc>
          <w:tcPr>
            <w:tcW w:w="2205" w:type="dxa"/>
          </w:tcPr>
          <w:p w14:paraId="66659D7C" w14:textId="77777777" w:rsidR="009917E5" w:rsidRPr="005A6293" w:rsidRDefault="009917E5" w:rsidP="00DC353F">
            <w:pPr>
              <w:cnfStyle w:val="000000000000" w:firstRow="0" w:lastRow="0" w:firstColumn="0" w:lastColumn="0" w:oddVBand="0" w:evenVBand="0" w:oddHBand="0" w:evenHBand="0" w:firstRowFirstColumn="0" w:firstRowLastColumn="0" w:lastRowFirstColumn="0" w:lastRowLastColumn="0"/>
            </w:pPr>
            <w:r w:rsidRPr="005A6293">
              <w:t>Restricted</w:t>
            </w:r>
          </w:p>
        </w:tc>
        <w:tc>
          <w:tcPr>
            <w:tcW w:w="2333" w:type="dxa"/>
          </w:tcPr>
          <w:p w14:paraId="635795A1" w14:textId="77777777" w:rsidR="009917E5" w:rsidRPr="005A6293" w:rsidRDefault="009917E5" w:rsidP="00DC353F">
            <w:pPr>
              <w:cnfStyle w:val="000000000000" w:firstRow="0" w:lastRow="0" w:firstColumn="0" w:lastColumn="0" w:oddVBand="0" w:evenVBand="0" w:oddHBand="0" w:evenHBand="0" w:firstRowFirstColumn="0" w:firstRowLastColumn="0" w:lastRowFirstColumn="0" w:lastRowLastColumn="0"/>
            </w:pPr>
            <w:r w:rsidRPr="005A6293">
              <w:t>Unrestricted</w:t>
            </w:r>
          </w:p>
        </w:tc>
      </w:tr>
      <w:tr w:rsidR="009917E5" w:rsidRPr="005A6293" w14:paraId="7CE32ABB" w14:textId="77777777" w:rsidTr="00DC3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tcPr>
          <w:p w14:paraId="4D937BB2" w14:textId="77777777" w:rsidR="009917E5" w:rsidRPr="005A6293" w:rsidRDefault="009917E5" w:rsidP="00DC353F">
            <w:pPr>
              <w:rPr>
                <w:b w:val="0"/>
                <w:caps w:val="0"/>
              </w:rPr>
            </w:pPr>
            <w:r w:rsidRPr="005A6293">
              <w:rPr>
                <w:b w:val="0"/>
                <w:caps w:val="0"/>
              </w:rPr>
              <w:t>Attainment</w:t>
            </w:r>
          </w:p>
        </w:tc>
        <w:tc>
          <w:tcPr>
            <w:tcW w:w="2238" w:type="dxa"/>
          </w:tcPr>
          <w:p w14:paraId="2DFD4B89"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r w:rsidRPr="005A6293">
              <w:t>Unrestricted</w:t>
            </w:r>
          </w:p>
        </w:tc>
        <w:tc>
          <w:tcPr>
            <w:tcW w:w="2205" w:type="dxa"/>
          </w:tcPr>
          <w:p w14:paraId="69478183"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r w:rsidRPr="005A6293">
              <w:t>Restricted</w:t>
            </w:r>
          </w:p>
        </w:tc>
        <w:tc>
          <w:tcPr>
            <w:tcW w:w="2333" w:type="dxa"/>
          </w:tcPr>
          <w:p w14:paraId="77406803"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r w:rsidRPr="005A6293">
              <w:t>Almost Unrestricted</w:t>
            </w:r>
          </w:p>
        </w:tc>
      </w:tr>
      <w:tr w:rsidR="009917E5" w:rsidRPr="005A6293" w14:paraId="43852A0E" w14:textId="77777777" w:rsidTr="00DC353F">
        <w:tc>
          <w:tcPr>
            <w:cnfStyle w:val="001000000000" w:firstRow="0" w:lastRow="0" w:firstColumn="1" w:lastColumn="0" w:oddVBand="0" w:evenVBand="0" w:oddHBand="0" w:evenHBand="0" w:firstRowFirstColumn="0" w:firstRowLastColumn="0" w:lastRowFirstColumn="0" w:lastRowLastColumn="0"/>
            <w:tcW w:w="1936" w:type="dxa"/>
          </w:tcPr>
          <w:p w14:paraId="31EB3AA6" w14:textId="77777777" w:rsidR="009917E5" w:rsidRPr="005A6293" w:rsidRDefault="009917E5" w:rsidP="00DC353F">
            <w:pPr>
              <w:rPr>
                <w:b w:val="0"/>
                <w:caps w:val="0"/>
              </w:rPr>
            </w:pPr>
            <w:r w:rsidRPr="005A6293">
              <w:rPr>
                <w:b w:val="0"/>
                <w:caps w:val="0"/>
              </w:rPr>
              <w:t>Achievement</w:t>
            </w:r>
          </w:p>
        </w:tc>
        <w:tc>
          <w:tcPr>
            <w:tcW w:w="2238" w:type="dxa"/>
          </w:tcPr>
          <w:p w14:paraId="2835CFBE" w14:textId="77777777" w:rsidR="009917E5" w:rsidRPr="005A6293" w:rsidRDefault="009917E5" w:rsidP="00DC353F">
            <w:pPr>
              <w:cnfStyle w:val="000000000000" w:firstRow="0" w:lastRow="0" w:firstColumn="0" w:lastColumn="0" w:oddVBand="0" w:evenVBand="0" w:oddHBand="0" w:evenHBand="0" w:firstRowFirstColumn="0" w:firstRowLastColumn="0" w:lastRowFirstColumn="0" w:lastRowLastColumn="0"/>
            </w:pPr>
            <w:r w:rsidRPr="005A6293">
              <w:t>Restricted</w:t>
            </w:r>
          </w:p>
        </w:tc>
        <w:tc>
          <w:tcPr>
            <w:tcW w:w="2205" w:type="dxa"/>
          </w:tcPr>
          <w:p w14:paraId="336F72E8" w14:textId="77777777" w:rsidR="009917E5" w:rsidRPr="005A6293" w:rsidRDefault="009917E5" w:rsidP="00DC353F">
            <w:pPr>
              <w:cnfStyle w:val="000000000000" w:firstRow="0" w:lastRow="0" w:firstColumn="0" w:lastColumn="0" w:oddVBand="0" w:evenVBand="0" w:oddHBand="0" w:evenHBand="0" w:firstRowFirstColumn="0" w:firstRowLastColumn="0" w:lastRowFirstColumn="0" w:lastRowLastColumn="0"/>
            </w:pPr>
            <w:r w:rsidRPr="005A6293">
              <w:t>Restricted</w:t>
            </w:r>
          </w:p>
        </w:tc>
        <w:tc>
          <w:tcPr>
            <w:tcW w:w="2333" w:type="dxa"/>
          </w:tcPr>
          <w:p w14:paraId="559801AD" w14:textId="77777777" w:rsidR="009917E5" w:rsidRPr="005A6293" w:rsidRDefault="009917E5" w:rsidP="00DC353F">
            <w:pPr>
              <w:cnfStyle w:val="000000000000" w:firstRow="0" w:lastRow="0" w:firstColumn="0" w:lastColumn="0" w:oddVBand="0" w:evenVBand="0" w:oddHBand="0" w:evenHBand="0" w:firstRowFirstColumn="0" w:firstRowLastColumn="0" w:lastRowFirstColumn="0" w:lastRowLastColumn="0"/>
            </w:pPr>
            <w:r w:rsidRPr="005A6293">
              <w:t>Restricted</w:t>
            </w:r>
          </w:p>
        </w:tc>
      </w:tr>
      <w:tr w:rsidR="009917E5" w:rsidRPr="005A6293" w14:paraId="216775FE" w14:textId="77777777" w:rsidTr="00DC3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tcPr>
          <w:p w14:paraId="66AB3D9D" w14:textId="77777777" w:rsidR="009917E5" w:rsidRPr="005A6293" w:rsidRDefault="009917E5" w:rsidP="00DC353F">
            <w:pPr>
              <w:rPr>
                <w:b w:val="0"/>
                <w:caps w:val="0"/>
              </w:rPr>
            </w:pPr>
            <w:r w:rsidRPr="005A6293">
              <w:rPr>
                <w:b w:val="0"/>
                <w:caps w:val="0"/>
              </w:rPr>
              <w:t>Accomplishment</w:t>
            </w:r>
          </w:p>
        </w:tc>
        <w:tc>
          <w:tcPr>
            <w:tcW w:w="2238" w:type="dxa"/>
          </w:tcPr>
          <w:p w14:paraId="5267AAC4"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r w:rsidRPr="005A6293">
              <w:t>Restricted</w:t>
            </w:r>
          </w:p>
        </w:tc>
        <w:tc>
          <w:tcPr>
            <w:tcW w:w="2205" w:type="dxa"/>
          </w:tcPr>
          <w:p w14:paraId="6E0F0F45"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r w:rsidRPr="005A6293">
              <w:t>Restricted</w:t>
            </w:r>
          </w:p>
        </w:tc>
        <w:tc>
          <w:tcPr>
            <w:tcW w:w="2333" w:type="dxa"/>
          </w:tcPr>
          <w:p w14:paraId="52C9C3C0"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r w:rsidRPr="005A6293">
              <w:t>Restricted</w:t>
            </w:r>
          </w:p>
        </w:tc>
      </w:tr>
      <w:tr w:rsidR="009917E5" w:rsidRPr="005A6293" w14:paraId="73AB8B8B" w14:textId="77777777" w:rsidTr="00DC353F">
        <w:tc>
          <w:tcPr>
            <w:cnfStyle w:val="001000000000" w:firstRow="0" w:lastRow="0" w:firstColumn="1" w:lastColumn="0" w:oddVBand="0" w:evenVBand="0" w:oddHBand="0" w:evenHBand="0" w:firstRowFirstColumn="0" w:firstRowLastColumn="0" w:lastRowFirstColumn="0" w:lastRowLastColumn="0"/>
            <w:tcW w:w="1936" w:type="dxa"/>
          </w:tcPr>
          <w:p w14:paraId="19265191" w14:textId="77777777" w:rsidR="009917E5" w:rsidRPr="005A6293" w:rsidRDefault="009917E5" w:rsidP="00DC353F">
            <w:r w:rsidRPr="005A6293">
              <w:t>economics</w:t>
            </w:r>
          </w:p>
        </w:tc>
        <w:tc>
          <w:tcPr>
            <w:tcW w:w="2238" w:type="dxa"/>
          </w:tcPr>
          <w:p w14:paraId="6E13D54E" w14:textId="77777777" w:rsidR="009917E5" w:rsidRPr="005A6293" w:rsidRDefault="009917E5" w:rsidP="00DC353F">
            <w:pPr>
              <w:cnfStyle w:val="000000000000" w:firstRow="0" w:lastRow="0" w:firstColumn="0" w:lastColumn="0" w:oddVBand="0" w:evenVBand="0" w:oddHBand="0" w:evenHBand="0" w:firstRowFirstColumn="0" w:firstRowLastColumn="0" w:lastRowFirstColumn="0" w:lastRowLastColumn="0"/>
            </w:pPr>
          </w:p>
        </w:tc>
        <w:tc>
          <w:tcPr>
            <w:tcW w:w="2205" w:type="dxa"/>
          </w:tcPr>
          <w:p w14:paraId="09EB02EE" w14:textId="77777777" w:rsidR="009917E5" w:rsidRPr="005A6293" w:rsidRDefault="009917E5" w:rsidP="00DC353F">
            <w:pPr>
              <w:cnfStyle w:val="000000000000" w:firstRow="0" w:lastRow="0" w:firstColumn="0" w:lastColumn="0" w:oddVBand="0" w:evenVBand="0" w:oddHBand="0" w:evenHBand="0" w:firstRowFirstColumn="0" w:firstRowLastColumn="0" w:lastRowFirstColumn="0" w:lastRowLastColumn="0"/>
            </w:pPr>
          </w:p>
        </w:tc>
        <w:tc>
          <w:tcPr>
            <w:tcW w:w="2333" w:type="dxa"/>
          </w:tcPr>
          <w:p w14:paraId="17DC2607" w14:textId="77777777" w:rsidR="009917E5" w:rsidRPr="005A6293" w:rsidRDefault="009917E5" w:rsidP="00DC353F">
            <w:pPr>
              <w:cnfStyle w:val="000000000000" w:firstRow="0" w:lastRow="0" w:firstColumn="0" w:lastColumn="0" w:oddVBand="0" w:evenVBand="0" w:oddHBand="0" w:evenHBand="0" w:firstRowFirstColumn="0" w:firstRowLastColumn="0" w:lastRowFirstColumn="0" w:lastRowLastColumn="0"/>
            </w:pPr>
          </w:p>
        </w:tc>
      </w:tr>
      <w:tr w:rsidR="009917E5" w:rsidRPr="005A6293" w14:paraId="69FDCBFF" w14:textId="77777777" w:rsidTr="00DC3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tcPr>
          <w:p w14:paraId="17154BC2" w14:textId="77777777" w:rsidR="009917E5" w:rsidRPr="005A6293" w:rsidRDefault="009917E5" w:rsidP="00DC353F">
            <w:pPr>
              <w:rPr>
                <w:b w:val="0"/>
                <w:caps w:val="0"/>
              </w:rPr>
            </w:pPr>
            <w:r w:rsidRPr="005A6293">
              <w:rPr>
                <w:b w:val="0"/>
                <w:caps w:val="0"/>
              </w:rPr>
              <w:t>Division of Labor</w:t>
            </w:r>
          </w:p>
        </w:tc>
        <w:tc>
          <w:tcPr>
            <w:tcW w:w="2238" w:type="dxa"/>
          </w:tcPr>
          <w:p w14:paraId="2708197C"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r w:rsidRPr="005A6293">
              <w:t xml:space="preserve">Yes – High </w:t>
            </w:r>
          </w:p>
        </w:tc>
        <w:tc>
          <w:tcPr>
            <w:tcW w:w="2205" w:type="dxa"/>
          </w:tcPr>
          <w:p w14:paraId="7CC672E0"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r w:rsidRPr="005A6293">
              <w:t xml:space="preserve">Yes – High </w:t>
            </w:r>
          </w:p>
        </w:tc>
        <w:tc>
          <w:tcPr>
            <w:tcW w:w="2333" w:type="dxa"/>
          </w:tcPr>
          <w:p w14:paraId="6431EA7E"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r w:rsidRPr="005A6293">
              <w:t>Yes – Medium</w:t>
            </w:r>
          </w:p>
        </w:tc>
      </w:tr>
      <w:tr w:rsidR="009917E5" w:rsidRPr="005A6293" w14:paraId="5EEBF963" w14:textId="77777777" w:rsidTr="00DC353F">
        <w:trPr>
          <w:trHeight w:val="306"/>
        </w:trPr>
        <w:tc>
          <w:tcPr>
            <w:cnfStyle w:val="001000000000" w:firstRow="0" w:lastRow="0" w:firstColumn="1" w:lastColumn="0" w:oddVBand="0" w:evenVBand="0" w:oddHBand="0" w:evenHBand="0" w:firstRowFirstColumn="0" w:firstRowLastColumn="0" w:lastRowFirstColumn="0" w:lastRowLastColumn="0"/>
            <w:tcW w:w="1936" w:type="dxa"/>
          </w:tcPr>
          <w:p w14:paraId="4887E8E0" w14:textId="77777777" w:rsidR="009917E5" w:rsidRPr="005A6293" w:rsidRDefault="009917E5" w:rsidP="00DC353F">
            <w:r w:rsidRPr="005A6293">
              <w:t>politics</w:t>
            </w:r>
          </w:p>
        </w:tc>
        <w:tc>
          <w:tcPr>
            <w:tcW w:w="2238" w:type="dxa"/>
          </w:tcPr>
          <w:p w14:paraId="20FDC127" w14:textId="77777777" w:rsidR="009917E5" w:rsidRPr="005A6293" w:rsidRDefault="009917E5" w:rsidP="00DC353F">
            <w:pPr>
              <w:cnfStyle w:val="000000000000" w:firstRow="0" w:lastRow="0" w:firstColumn="0" w:lastColumn="0" w:oddVBand="0" w:evenVBand="0" w:oddHBand="0" w:evenHBand="0" w:firstRowFirstColumn="0" w:firstRowLastColumn="0" w:lastRowFirstColumn="0" w:lastRowLastColumn="0"/>
            </w:pPr>
          </w:p>
        </w:tc>
        <w:tc>
          <w:tcPr>
            <w:tcW w:w="2205" w:type="dxa"/>
          </w:tcPr>
          <w:p w14:paraId="41E7BE99" w14:textId="77777777" w:rsidR="009917E5" w:rsidRPr="005A6293" w:rsidRDefault="009917E5" w:rsidP="00DC353F">
            <w:pPr>
              <w:cnfStyle w:val="000000000000" w:firstRow="0" w:lastRow="0" w:firstColumn="0" w:lastColumn="0" w:oddVBand="0" w:evenVBand="0" w:oddHBand="0" w:evenHBand="0" w:firstRowFirstColumn="0" w:firstRowLastColumn="0" w:lastRowFirstColumn="0" w:lastRowLastColumn="0"/>
            </w:pPr>
          </w:p>
        </w:tc>
        <w:tc>
          <w:tcPr>
            <w:tcW w:w="2333" w:type="dxa"/>
          </w:tcPr>
          <w:p w14:paraId="7287CDB8" w14:textId="77777777" w:rsidR="009917E5" w:rsidRPr="005A6293" w:rsidRDefault="009917E5" w:rsidP="00DC353F">
            <w:pPr>
              <w:cnfStyle w:val="000000000000" w:firstRow="0" w:lastRow="0" w:firstColumn="0" w:lastColumn="0" w:oddVBand="0" w:evenVBand="0" w:oddHBand="0" w:evenHBand="0" w:firstRowFirstColumn="0" w:firstRowLastColumn="0" w:lastRowFirstColumn="0" w:lastRowLastColumn="0"/>
            </w:pPr>
          </w:p>
        </w:tc>
      </w:tr>
      <w:tr w:rsidR="009917E5" w:rsidRPr="005A6293" w14:paraId="74AE8725" w14:textId="77777777" w:rsidTr="00DC35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tcPr>
          <w:p w14:paraId="1DCB3A63" w14:textId="77777777" w:rsidR="009917E5" w:rsidRPr="005A6293" w:rsidRDefault="009917E5" w:rsidP="00DC353F">
            <w:pPr>
              <w:rPr>
                <w:b w:val="0"/>
                <w:caps w:val="0"/>
              </w:rPr>
            </w:pPr>
            <w:r w:rsidRPr="005A6293">
              <w:rPr>
                <w:b w:val="0"/>
                <w:caps w:val="0"/>
              </w:rPr>
              <w:t>Policies</w:t>
            </w:r>
          </w:p>
        </w:tc>
        <w:tc>
          <w:tcPr>
            <w:tcW w:w="2238" w:type="dxa"/>
          </w:tcPr>
          <w:p w14:paraId="188B9F44"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r w:rsidRPr="005A6293">
              <w:t xml:space="preserve">Yes – Low </w:t>
            </w:r>
          </w:p>
        </w:tc>
        <w:tc>
          <w:tcPr>
            <w:tcW w:w="2205" w:type="dxa"/>
          </w:tcPr>
          <w:p w14:paraId="3F69A921"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r w:rsidRPr="005A6293">
              <w:t xml:space="preserve">Yes – High </w:t>
            </w:r>
          </w:p>
        </w:tc>
        <w:tc>
          <w:tcPr>
            <w:tcW w:w="2333" w:type="dxa"/>
          </w:tcPr>
          <w:p w14:paraId="538A1E05" w14:textId="77777777" w:rsidR="009917E5" w:rsidRPr="005A6293" w:rsidRDefault="009917E5" w:rsidP="00DC353F">
            <w:pPr>
              <w:cnfStyle w:val="000000100000" w:firstRow="0" w:lastRow="0" w:firstColumn="0" w:lastColumn="0" w:oddVBand="0" w:evenVBand="0" w:oddHBand="1" w:evenHBand="0" w:firstRowFirstColumn="0" w:firstRowLastColumn="0" w:lastRowFirstColumn="0" w:lastRowLastColumn="0"/>
            </w:pPr>
            <w:r w:rsidRPr="005A6293">
              <w:t xml:space="preserve">Yes – Medium </w:t>
            </w:r>
          </w:p>
        </w:tc>
      </w:tr>
    </w:tbl>
    <w:p w14:paraId="597A71D5" w14:textId="77777777" w:rsidR="009917E5" w:rsidRPr="005A6293" w:rsidRDefault="009917E5" w:rsidP="00836CBA">
      <w:pPr>
        <w:spacing w:line="480" w:lineRule="auto"/>
      </w:pPr>
    </w:p>
    <w:p w14:paraId="63EBF776" w14:textId="7F206ACE" w:rsidR="004C270F" w:rsidRPr="005A6293" w:rsidRDefault="002573F2" w:rsidP="00F06FF9">
      <w:pPr>
        <w:spacing w:line="480" w:lineRule="auto"/>
        <w:ind w:firstLine="720"/>
      </w:pPr>
      <w:r>
        <w:t xml:space="preserve">A few conclusions </w:t>
      </w:r>
      <w:r w:rsidR="004C270F" w:rsidRPr="005A6293">
        <w:t xml:space="preserve">can be drawn from these findings. First, the restriction to achievement and accomplishment in education due to gender norms is persistent, which indicates that the policies addressing these areas of gender inequality in education have thus far be ineffective. Any further policy recommendations must address these areas of gender inequality through different means. Additionally, the influx of Western norms had a negative impact on education, economics, and politics. Despite this, development initiatives still draw on Western norms to improve education and other development projects. Finally, despite progress in reducing the negative impacts of gender norms in Kenya, my research indicates that gender equality is still elusive. </w:t>
      </w:r>
    </w:p>
    <w:p w14:paraId="70ED6D4A" w14:textId="037C0C59" w:rsidR="00082233" w:rsidRPr="005A6293" w:rsidRDefault="00A32973" w:rsidP="001B7262">
      <w:pPr>
        <w:spacing w:line="480" w:lineRule="auto"/>
        <w:ind w:firstLine="720"/>
      </w:pPr>
      <w:r w:rsidRPr="005A6293">
        <w:lastRenderedPageBreak/>
        <w:t>Sen argues that freedoms, such as education, are important to development for three</w:t>
      </w:r>
      <w:r w:rsidR="006E5DDF" w:rsidRPr="005A6293">
        <w:t xml:space="preserve"> reasons: as individual rights that carry</w:t>
      </w:r>
      <w:r w:rsidRPr="005A6293">
        <w:t xml:space="preserve"> intrinsic value, </w:t>
      </w:r>
      <w:r w:rsidR="006E5DDF" w:rsidRPr="005A6293">
        <w:t>as</w:t>
      </w:r>
      <w:r w:rsidRPr="005A6293">
        <w:t xml:space="preserve"> valuable tools to achieve development goals, and </w:t>
      </w:r>
      <w:r w:rsidR="006E5DDF" w:rsidRPr="005A6293">
        <w:t>as</w:t>
      </w:r>
      <w:r w:rsidRPr="005A6293">
        <w:t xml:space="preserve"> the primary </w:t>
      </w:r>
      <w:r w:rsidR="002E6549" w:rsidRPr="005A6293">
        <w:t xml:space="preserve">final </w:t>
      </w:r>
      <w:r w:rsidRPr="005A6293">
        <w:t>goals of development.</w:t>
      </w:r>
      <w:r w:rsidR="00C807F6" w:rsidRPr="005A6293">
        <w:rPr>
          <w:rStyle w:val="FootnoteReference"/>
        </w:rPr>
        <w:footnoteReference w:id="4"/>
      </w:r>
      <w:r w:rsidRPr="005A6293">
        <w:t xml:space="preserve"> Therefore, the focus on the relationship between education and gender is important for three reasons. </w:t>
      </w:r>
      <w:r w:rsidR="00082233" w:rsidRPr="005A6293">
        <w:t>First, it is important to understand how gender norms restrict girls’ education if we accept that education is an individual rig</w:t>
      </w:r>
      <w:r w:rsidR="00D83BF2">
        <w:t>ht. Next, the impact of norms on</w:t>
      </w:r>
      <w:r w:rsidR="00082233" w:rsidRPr="005A6293">
        <w:t xml:space="preserve"> education is important if we accept that education is a primary goal of the development process. Finally, analyzing this relationship is important because if we accept that education is a useful tool for development, then we must understand how inequality in education impacts other important societal structures, such as economics and politics.  </w:t>
      </w:r>
    </w:p>
    <w:p w14:paraId="5F86B03C" w14:textId="4B5A6959" w:rsidR="00082233" w:rsidRPr="005A6293" w:rsidRDefault="00AE0F59" w:rsidP="0068257B">
      <w:pPr>
        <w:spacing w:line="480" w:lineRule="auto"/>
        <w:rPr>
          <w:b/>
        </w:rPr>
      </w:pPr>
      <w:r w:rsidRPr="005A6293">
        <w:rPr>
          <w:b/>
        </w:rPr>
        <w:t xml:space="preserve">Kenya </w:t>
      </w:r>
    </w:p>
    <w:p w14:paraId="2AD147FA" w14:textId="7E632AFF" w:rsidR="002D30F6" w:rsidRPr="005A6293" w:rsidRDefault="00BF7133" w:rsidP="00AD02AC">
      <w:pPr>
        <w:spacing w:line="480" w:lineRule="auto"/>
        <w:ind w:firstLine="720"/>
        <w:rPr>
          <w:rFonts w:cs="Times New Roman"/>
        </w:rPr>
      </w:pPr>
      <w:r w:rsidRPr="005A6293">
        <w:rPr>
          <w:rFonts w:cs="Times New Roman"/>
        </w:rPr>
        <w:t>The area of Africa that later became known as Kenya was populated as early as 2000 B.C.E. by Cushit</w:t>
      </w:r>
      <w:r w:rsidR="00A60CBA" w:rsidRPr="005A6293">
        <w:rPr>
          <w:rFonts w:cs="Times New Roman"/>
        </w:rPr>
        <w:t>ic p</w:t>
      </w:r>
      <w:r w:rsidR="0067654F" w:rsidRPr="005A6293">
        <w:rPr>
          <w:rFonts w:cs="Times New Roman"/>
        </w:rPr>
        <w:t>eople from Northern Africa.</w:t>
      </w:r>
      <w:r w:rsidR="00DD6B03" w:rsidRPr="005A6293">
        <w:rPr>
          <w:rFonts w:cs="Times New Roman"/>
        </w:rPr>
        <w:t xml:space="preserve"> </w:t>
      </w:r>
      <w:r w:rsidR="00A60CBA" w:rsidRPr="005A6293">
        <w:rPr>
          <w:rFonts w:cs="Times New Roman"/>
        </w:rPr>
        <w:t>The Cushitic peoples were pushed to the northern and eastern areas of Kenya when the Bantu expansion reached Kenya and settled primarily along the Kenyan coast and cente</w:t>
      </w:r>
      <w:r w:rsidR="0067654F" w:rsidRPr="005A6293">
        <w:rPr>
          <w:rFonts w:cs="Times New Roman"/>
        </w:rPr>
        <w:t>r of Kenya</w:t>
      </w:r>
      <w:r w:rsidR="00CE3D28" w:rsidRPr="005A6293">
        <w:rPr>
          <w:rFonts w:cs="Times New Roman"/>
        </w:rPr>
        <w:t xml:space="preserve"> sometime around 200</w:t>
      </w:r>
      <w:r w:rsidR="00994DF8" w:rsidRPr="005A6293">
        <w:rPr>
          <w:rFonts w:cs="Times New Roman"/>
        </w:rPr>
        <w:t xml:space="preserve"> C.E</w:t>
      </w:r>
      <w:r w:rsidR="0067654F" w:rsidRPr="005A6293">
        <w:rPr>
          <w:rFonts w:cs="Times New Roman"/>
        </w:rPr>
        <w:t>.</w:t>
      </w:r>
      <w:r w:rsidR="0073634B" w:rsidRPr="005A6293">
        <w:rPr>
          <w:rFonts w:cs="Times New Roman"/>
        </w:rPr>
        <w:t xml:space="preserve"> </w:t>
      </w:r>
      <w:r w:rsidR="00A60CBA" w:rsidRPr="005A6293">
        <w:rPr>
          <w:rFonts w:cs="Times New Roman"/>
        </w:rPr>
        <w:t>The Bantu-speaking people along the coast intermingled with Arab traders and created a unique culture, the Swahili culture</w:t>
      </w:r>
      <w:r w:rsidR="00A722A9" w:rsidRPr="005A6293">
        <w:rPr>
          <w:rFonts w:cs="Times New Roman"/>
        </w:rPr>
        <w:t xml:space="preserve"> around 700-800 C.E</w:t>
      </w:r>
      <w:r w:rsidR="00A60CBA" w:rsidRPr="005A6293">
        <w:rPr>
          <w:rFonts w:cs="Times New Roman"/>
        </w:rPr>
        <w:t>. The Bantu-speaking communities in the ce</w:t>
      </w:r>
      <w:r w:rsidR="00D306EF" w:rsidRPr="005A6293">
        <w:rPr>
          <w:rFonts w:cs="Times New Roman"/>
        </w:rPr>
        <w:t>nter of Kenya formed some powerful</w:t>
      </w:r>
      <w:r w:rsidR="00A60CBA" w:rsidRPr="005A6293">
        <w:rPr>
          <w:rFonts w:cs="Times New Roman"/>
        </w:rPr>
        <w:t xml:space="preserve"> ethnic groups, such as</w:t>
      </w:r>
      <w:r w:rsidR="0073634B" w:rsidRPr="005A6293">
        <w:rPr>
          <w:rFonts w:cs="Times New Roman"/>
        </w:rPr>
        <w:t xml:space="preserve"> the </w:t>
      </w:r>
      <w:r w:rsidR="0067654F" w:rsidRPr="005A6293">
        <w:rPr>
          <w:rFonts w:cs="Times New Roman"/>
        </w:rPr>
        <w:t>Kikuyu, Embu, Meru, and Kamba.</w:t>
      </w:r>
      <w:r w:rsidR="0067654F" w:rsidRPr="005A6293">
        <w:rPr>
          <w:rStyle w:val="FootnoteReference"/>
          <w:rFonts w:cs="Times New Roman"/>
        </w:rPr>
        <w:footnoteReference w:id="5"/>
      </w:r>
      <w:r w:rsidR="0073634B" w:rsidRPr="005A6293">
        <w:rPr>
          <w:rFonts w:cs="Times New Roman"/>
        </w:rPr>
        <w:t xml:space="preserve"> </w:t>
      </w:r>
      <w:r w:rsidR="00A60CBA" w:rsidRPr="005A6293">
        <w:rPr>
          <w:rFonts w:cs="Times New Roman"/>
        </w:rPr>
        <w:t xml:space="preserve">Finally, hundreds of years later, the Nilotic people settled the Rift Valley area of Kenya between 1100 and 1500 C.E. </w:t>
      </w:r>
      <w:r w:rsidR="00907545" w:rsidRPr="005A6293">
        <w:rPr>
          <w:rFonts w:cs="Times New Roman"/>
        </w:rPr>
        <w:lastRenderedPageBreak/>
        <w:t>creating e</w:t>
      </w:r>
      <w:r w:rsidR="0073634B" w:rsidRPr="005A6293">
        <w:rPr>
          <w:rFonts w:cs="Times New Roman"/>
        </w:rPr>
        <w:t xml:space="preserve">thnic groups such as </w:t>
      </w:r>
      <w:r w:rsidR="0067654F" w:rsidRPr="005A6293">
        <w:rPr>
          <w:rFonts w:cs="Times New Roman"/>
        </w:rPr>
        <w:t>the Luo, Kalenjin, and Maasai.</w:t>
      </w:r>
      <w:r w:rsidR="0067654F" w:rsidRPr="005A6293">
        <w:rPr>
          <w:rStyle w:val="FootnoteReference"/>
          <w:rFonts w:cs="Times New Roman"/>
        </w:rPr>
        <w:footnoteReference w:id="6"/>
      </w:r>
      <w:r w:rsidR="00907545" w:rsidRPr="005A6293">
        <w:rPr>
          <w:rFonts w:cs="Times New Roman"/>
        </w:rPr>
        <w:t xml:space="preserve"> </w:t>
      </w:r>
      <w:r w:rsidR="00354302" w:rsidRPr="005A6293">
        <w:rPr>
          <w:rFonts w:cs="Times New Roman"/>
        </w:rPr>
        <w:t xml:space="preserve">Before colonization, ethnic groups moved around Kenya </w:t>
      </w:r>
      <w:r w:rsidR="00CE4BDD" w:rsidRPr="005A6293">
        <w:rPr>
          <w:rFonts w:cs="Times New Roman"/>
        </w:rPr>
        <w:t xml:space="preserve">continuously </w:t>
      </w:r>
      <w:r w:rsidR="00354302" w:rsidRPr="005A6293">
        <w:rPr>
          <w:rFonts w:cs="Times New Roman"/>
        </w:rPr>
        <w:t>as there were no borders. However, under colonization, British officials created external and internal borders to delimit each ethnic group.</w:t>
      </w:r>
      <w:r w:rsidR="006E219F" w:rsidRPr="005A6293">
        <w:rPr>
          <w:rStyle w:val="FootnoteReference"/>
          <w:rFonts w:cs="Times New Roman"/>
        </w:rPr>
        <w:footnoteReference w:id="7"/>
      </w:r>
      <w:r w:rsidR="00354302" w:rsidRPr="005A6293">
        <w:rPr>
          <w:rFonts w:cs="Times New Roman"/>
        </w:rPr>
        <w:t xml:space="preserve"> </w:t>
      </w:r>
      <w:r w:rsidR="006974BE" w:rsidRPr="005A6293">
        <w:rPr>
          <w:rFonts w:cs="Times New Roman"/>
        </w:rPr>
        <w:t xml:space="preserve">Today, the majorities of many ethnic groups are still contained within provincial borders, as shown in figure one below. </w:t>
      </w:r>
      <w:r w:rsidR="00354302" w:rsidRPr="005A6293">
        <w:rPr>
          <w:rFonts w:cs="Times New Roman"/>
        </w:rPr>
        <w:t xml:space="preserve">I will be referencing these ethnic groups and their locations </w:t>
      </w:r>
      <w:r w:rsidR="00547B75" w:rsidRPr="005A6293">
        <w:rPr>
          <w:rFonts w:cs="Times New Roman"/>
        </w:rPr>
        <w:t xml:space="preserve">according to the map below </w:t>
      </w:r>
      <w:r w:rsidR="00354302" w:rsidRPr="005A6293">
        <w:rPr>
          <w:rFonts w:cs="Times New Roman"/>
        </w:rPr>
        <w:t xml:space="preserve">throughout the paper. </w:t>
      </w:r>
    </w:p>
    <w:p w14:paraId="7C55D281" w14:textId="2B8431E9" w:rsidR="002D30F6" w:rsidRPr="005A6293" w:rsidRDefault="00B80230" w:rsidP="002D30F6">
      <w:pPr>
        <w:pStyle w:val="NoSpacing"/>
        <w:rPr>
          <w:rFonts w:eastAsia="Times New Roman" w:cs="Times New Roman"/>
          <w:color w:val="000000" w:themeColor="text1"/>
        </w:rPr>
      </w:pPr>
      <w:r w:rsidRPr="005A6293">
        <w:rPr>
          <w:rFonts w:eastAsia="Times New Roman" w:cs="Times New Roman"/>
          <w:color w:val="000000" w:themeColor="text1"/>
        </w:rPr>
        <w:t>Figure 1</w:t>
      </w:r>
      <w:r w:rsidR="002D30F6" w:rsidRPr="005A6293">
        <w:rPr>
          <w:rFonts w:eastAsia="Times New Roman" w:cs="Times New Roman"/>
          <w:color w:val="000000" w:themeColor="text1"/>
        </w:rPr>
        <w:t>. Map of Ethnic Groups by Province</w:t>
      </w:r>
    </w:p>
    <w:p w14:paraId="037992EE" w14:textId="4A299542" w:rsidR="002D30F6" w:rsidRPr="005A6293" w:rsidRDefault="00434061" w:rsidP="00AD02AC">
      <w:pPr>
        <w:pStyle w:val="NoSpacing"/>
        <w:jc w:val="center"/>
        <w:rPr>
          <w:rFonts w:eastAsia="Times New Roman" w:cs="Times New Roman"/>
          <w:color w:val="000000" w:themeColor="text1"/>
        </w:rPr>
      </w:pPr>
      <w:r w:rsidRPr="005A6293">
        <w:rPr>
          <w:rFonts w:eastAsia="Times New Roman" w:cs="Times New Roman"/>
          <w:noProof/>
          <w:color w:val="000000" w:themeColor="text1"/>
        </w:rPr>
        <w:drawing>
          <wp:inline distT="0" distB="0" distL="0" distR="0" wp14:anchorId="58004362" wp14:editId="6BD4A2F7">
            <wp:extent cx="4300151" cy="3238924"/>
            <wp:effectExtent l="0" t="0" r="0" b="0"/>
            <wp:docPr id="9" name="Picture 9" descr="../../../../Desktop/Kenya%20Ethnic%20Grou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Kenya%20Ethnic%20Group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6406" cy="3243635"/>
                    </a:xfrm>
                    <a:prstGeom prst="rect">
                      <a:avLst/>
                    </a:prstGeom>
                    <a:noFill/>
                    <a:ln>
                      <a:noFill/>
                    </a:ln>
                  </pic:spPr>
                </pic:pic>
              </a:graphicData>
            </a:graphic>
          </wp:inline>
        </w:drawing>
      </w:r>
    </w:p>
    <w:p w14:paraId="511DB92D" w14:textId="476A628F" w:rsidR="002D30F6" w:rsidRPr="005A6293" w:rsidRDefault="00AD02AC" w:rsidP="00553721">
      <w:pPr>
        <w:pStyle w:val="NoSpacing"/>
        <w:spacing w:line="480" w:lineRule="auto"/>
        <w:ind w:firstLine="720"/>
        <w:rPr>
          <w:rFonts w:eastAsia="Times New Roman" w:cs="Times New Roman"/>
          <w:color w:val="000000" w:themeColor="text1"/>
          <w:sz w:val="16"/>
          <w:szCs w:val="16"/>
        </w:rPr>
      </w:pPr>
      <w:r w:rsidRPr="005A6293">
        <w:rPr>
          <w:rFonts w:eastAsia="Times New Roman" w:cs="Times New Roman"/>
          <w:color w:val="000000" w:themeColor="text1"/>
          <w:sz w:val="16"/>
          <w:szCs w:val="16"/>
        </w:rPr>
        <w:t xml:space="preserve">    Source: </w:t>
      </w:r>
      <w:r w:rsidR="00DF57A8" w:rsidRPr="005A6293">
        <w:rPr>
          <w:rFonts w:eastAsia="Times New Roman" w:cs="Times New Roman"/>
          <w:color w:val="000000" w:themeColor="text1"/>
          <w:sz w:val="16"/>
          <w:szCs w:val="16"/>
        </w:rPr>
        <w:t>CIA, UK Foreign Office, Africa Studies Center</w:t>
      </w:r>
    </w:p>
    <w:p w14:paraId="4D23CD7B" w14:textId="40F676CE" w:rsidR="00082233" w:rsidRPr="005A6293" w:rsidRDefault="00AE5AC5" w:rsidP="0068257B">
      <w:pPr>
        <w:spacing w:line="480" w:lineRule="auto"/>
        <w:ind w:firstLine="720"/>
        <w:rPr>
          <w:rFonts w:cs="Times New Roman"/>
        </w:rPr>
      </w:pPr>
      <w:r w:rsidRPr="005A6293">
        <w:rPr>
          <w:rFonts w:cs="Times New Roman"/>
        </w:rPr>
        <w:t xml:space="preserve">Long before Europeans started exploring the Kenyan coast, Arab travelers </w:t>
      </w:r>
      <w:r w:rsidR="005177C0" w:rsidRPr="005A6293">
        <w:rPr>
          <w:rFonts w:cs="Times New Roman"/>
        </w:rPr>
        <w:t xml:space="preserve">have been engaging in trade with ethnic groups in Kenya </w:t>
      </w:r>
      <w:r w:rsidR="00082233" w:rsidRPr="005A6293">
        <w:rPr>
          <w:rFonts w:cs="Times New Roman"/>
        </w:rPr>
        <w:t>sinc</w:t>
      </w:r>
      <w:r w:rsidR="00F2232B" w:rsidRPr="005A6293">
        <w:rPr>
          <w:rFonts w:cs="Times New Roman"/>
        </w:rPr>
        <w:t>e around 700 C.E</w:t>
      </w:r>
      <w:r w:rsidR="00082233" w:rsidRPr="005A6293">
        <w:rPr>
          <w:rFonts w:cs="Times New Roman"/>
        </w:rPr>
        <w:t>.</w:t>
      </w:r>
      <w:r w:rsidR="00F2232B" w:rsidRPr="005A6293">
        <w:rPr>
          <w:rStyle w:val="FootnoteReference"/>
          <w:rFonts w:cs="Times New Roman"/>
        </w:rPr>
        <w:footnoteReference w:id="8"/>
      </w:r>
      <w:r w:rsidR="00082233" w:rsidRPr="005A6293">
        <w:rPr>
          <w:rFonts w:cs="Times New Roman"/>
        </w:rPr>
        <w:t xml:space="preserve"> </w:t>
      </w:r>
      <w:r w:rsidR="00D351AE" w:rsidRPr="005A6293">
        <w:rPr>
          <w:rFonts w:cs="Times New Roman"/>
        </w:rPr>
        <w:t xml:space="preserve">The Portuguese were the first European explorers to reach Kenya, in the </w:t>
      </w:r>
      <w:r w:rsidR="007A7A07" w:rsidRPr="005A6293">
        <w:rPr>
          <w:rFonts w:cs="Times New Roman"/>
        </w:rPr>
        <w:t>late 1400s.</w:t>
      </w:r>
      <w:r w:rsidR="007A7A07" w:rsidRPr="005A6293">
        <w:rPr>
          <w:rStyle w:val="FootnoteReference"/>
          <w:rFonts w:cs="Times New Roman"/>
        </w:rPr>
        <w:footnoteReference w:id="9"/>
      </w:r>
      <w:r w:rsidR="00D351AE" w:rsidRPr="005A6293">
        <w:rPr>
          <w:rFonts w:cs="Times New Roman"/>
        </w:rPr>
        <w:t xml:space="preserve"> They took control of the coastal region from Arabs, and remained in the region until the </w:t>
      </w:r>
      <w:r w:rsidR="00D351AE" w:rsidRPr="005A6293">
        <w:rPr>
          <w:rFonts w:cs="Times New Roman"/>
        </w:rPr>
        <w:lastRenderedPageBreak/>
        <w:t>1600s when the Inam of Omam took back control o</w:t>
      </w:r>
      <w:r w:rsidR="007A7A07" w:rsidRPr="005A6293">
        <w:rPr>
          <w:rFonts w:cs="Times New Roman"/>
        </w:rPr>
        <w:t>f the coastal region of Kenya.</w:t>
      </w:r>
      <w:r w:rsidR="007A7A07" w:rsidRPr="005A6293">
        <w:rPr>
          <w:rStyle w:val="FootnoteReference"/>
          <w:rFonts w:cs="Times New Roman"/>
        </w:rPr>
        <w:footnoteReference w:id="10"/>
      </w:r>
      <w:r w:rsidR="00D351AE" w:rsidRPr="005A6293">
        <w:rPr>
          <w:rFonts w:cs="Times New Roman"/>
        </w:rPr>
        <w:t xml:space="preserve"> </w:t>
      </w:r>
      <w:r w:rsidR="00082233" w:rsidRPr="005A6293">
        <w:rPr>
          <w:rFonts w:cs="Times New Roman"/>
        </w:rPr>
        <w:t>The first European missionary to arrive in Kenya was Dr. Joh</w:t>
      </w:r>
      <w:r w:rsidR="002313DD" w:rsidRPr="005A6293">
        <w:rPr>
          <w:rFonts w:cs="Times New Roman"/>
        </w:rPr>
        <w:t>ann Krapf in 1844</w:t>
      </w:r>
      <w:r w:rsidR="00082233" w:rsidRPr="005A6293">
        <w:rPr>
          <w:rFonts w:cs="Times New Roman"/>
        </w:rPr>
        <w:t>.</w:t>
      </w:r>
      <w:r w:rsidR="002313DD" w:rsidRPr="005A6293">
        <w:rPr>
          <w:rStyle w:val="FootnoteReference"/>
          <w:rFonts w:cs="Times New Roman"/>
        </w:rPr>
        <w:footnoteReference w:id="11"/>
      </w:r>
      <w:r w:rsidR="004C29AF" w:rsidRPr="005A6293">
        <w:rPr>
          <w:rFonts w:cs="Times New Roman"/>
        </w:rPr>
        <w:t xml:space="preserve"> Christian m</w:t>
      </w:r>
      <w:r w:rsidR="00082233" w:rsidRPr="005A6293">
        <w:rPr>
          <w:rFonts w:cs="Times New Roman"/>
        </w:rPr>
        <w:t>issionaries spread all over the continent throughout the 19</w:t>
      </w:r>
      <w:r w:rsidR="00082233" w:rsidRPr="005A6293">
        <w:rPr>
          <w:rFonts w:cs="Times New Roman"/>
          <w:vertAlign w:val="superscript"/>
        </w:rPr>
        <w:t>th</w:t>
      </w:r>
      <w:r w:rsidR="00563E30" w:rsidRPr="005A6293">
        <w:rPr>
          <w:rFonts w:cs="Times New Roman"/>
        </w:rPr>
        <w:t xml:space="preserve"> century</w:t>
      </w:r>
      <w:r w:rsidR="00082233" w:rsidRPr="005A6293">
        <w:rPr>
          <w:rFonts w:cs="Times New Roman"/>
        </w:rPr>
        <w:t xml:space="preserve"> and expanded European influence, culture, and ideals around Africa. However, European conquest of the continent began in earnest at the very end of the 19</w:t>
      </w:r>
      <w:r w:rsidR="00082233" w:rsidRPr="005A6293">
        <w:rPr>
          <w:rFonts w:cs="Times New Roman"/>
          <w:vertAlign w:val="superscript"/>
        </w:rPr>
        <w:t>th</w:t>
      </w:r>
      <w:r w:rsidR="00082233" w:rsidRPr="005A6293">
        <w:rPr>
          <w:rFonts w:cs="Times New Roman"/>
        </w:rPr>
        <w:t xml:space="preserve"> century with the Berlin West </w:t>
      </w:r>
      <w:r w:rsidR="00CB6470" w:rsidRPr="005A6293">
        <w:rPr>
          <w:rFonts w:cs="Times New Roman"/>
        </w:rPr>
        <w:t>Africa Conference.</w:t>
      </w:r>
      <w:r w:rsidR="00CB6470" w:rsidRPr="005A6293">
        <w:rPr>
          <w:rStyle w:val="FootnoteReference"/>
          <w:rFonts w:cs="Times New Roman"/>
        </w:rPr>
        <w:footnoteReference w:id="12"/>
      </w:r>
      <w:r w:rsidR="00B816A3" w:rsidRPr="005A6293">
        <w:rPr>
          <w:rFonts w:cs="Times New Roman"/>
        </w:rPr>
        <w:t xml:space="preserve"> The conference le</w:t>
      </w:r>
      <w:r w:rsidR="007D262E" w:rsidRPr="005A6293">
        <w:rPr>
          <w:rFonts w:cs="Times New Roman"/>
        </w:rPr>
        <w:t>d to the “S</w:t>
      </w:r>
      <w:r w:rsidR="00082233" w:rsidRPr="005A6293">
        <w:rPr>
          <w:rFonts w:cs="Times New Roman"/>
        </w:rPr>
        <w:t>cramble for Africa</w:t>
      </w:r>
      <w:r w:rsidR="007D262E" w:rsidRPr="005A6293">
        <w:rPr>
          <w:rFonts w:cs="Times New Roman"/>
        </w:rPr>
        <w:t>”</w:t>
      </w:r>
      <w:r w:rsidR="00082233" w:rsidRPr="005A6293">
        <w:rPr>
          <w:rFonts w:cs="Times New Roman"/>
        </w:rPr>
        <w:t>, and emboldened European powers to claim areas</w:t>
      </w:r>
      <w:r w:rsidR="00096F8F" w:rsidRPr="005A6293">
        <w:rPr>
          <w:rFonts w:cs="Times New Roman"/>
        </w:rPr>
        <w:t xml:space="preserve"> of Africa that they wished to “</w:t>
      </w:r>
      <w:r w:rsidR="00082233" w:rsidRPr="005A6293">
        <w:rPr>
          <w:rFonts w:cs="Times New Roman"/>
        </w:rPr>
        <w:t>ef</w:t>
      </w:r>
      <w:r w:rsidR="00096F8F" w:rsidRPr="005A6293">
        <w:rPr>
          <w:rFonts w:cs="Times New Roman"/>
        </w:rPr>
        <w:t>fectively occupy”</w:t>
      </w:r>
      <w:r w:rsidR="00082233" w:rsidRPr="005A6293">
        <w:rPr>
          <w:rFonts w:cs="Times New Roman"/>
        </w:rPr>
        <w:t>.</w:t>
      </w:r>
      <w:r w:rsidR="00CB6470" w:rsidRPr="005A6293">
        <w:rPr>
          <w:rStyle w:val="FootnoteReference"/>
          <w:rFonts w:cs="Times New Roman"/>
        </w:rPr>
        <w:footnoteReference w:id="13"/>
      </w:r>
      <w:r w:rsidR="00082233" w:rsidRPr="005A6293">
        <w:rPr>
          <w:rFonts w:cs="Times New Roman"/>
        </w:rPr>
        <w:t xml:space="preserve"> British occupation in Kenya began shor</w:t>
      </w:r>
      <w:r w:rsidR="00235ABE" w:rsidRPr="005A6293">
        <w:rPr>
          <w:rFonts w:cs="Times New Roman"/>
        </w:rPr>
        <w:t>tly after the conference in 1885</w:t>
      </w:r>
      <w:r w:rsidR="00082233" w:rsidRPr="005A6293">
        <w:rPr>
          <w:rFonts w:cs="Times New Roman"/>
        </w:rPr>
        <w:t>, and culminated in the British declaration of Kenya as part of the British East African Pro</w:t>
      </w:r>
      <w:r w:rsidR="00CB6470" w:rsidRPr="005A6293">
        <w:rPr>
          <w:rFonts w:cs="Times New Roman"/>
        </w:rPr>
        <w:t>tectorate in 1895</w:t>
      </w:r>
      <w:r w:rsidR="00082233" w:rsidRPr="005A6293">
        <w:rPr>
          <w:rFonts w:cs="Times New Roman"/>
        </w:rPr>
        <w:t>.</w:t>
      </w:r>
      <w:r w:rsidR="00CB6470" w:rsidRPr="005A6293">
        <w:rPr>
          <w:rStyle w:val="FootnoteReference"/>
          <w:rFonts w:cs="Times New Roman"/>
        </w:rPr>
        <w:footnoteReference w:id="14"/>
      </w:r>
      <w:r w:rsidR="00082233" w:rsidRPr="005A6293">
        <w:rPr>
          <w:rFonts w:cs="Times New Roman"/>
        </w:rPr>
        <w:t xml:space="preserve"> </w:t>
      </w:r>
    </w:p>
    <w:p w14:paraId="207D5388" w14:textId="69FA9518" w:rsidR="00D351AE" w:rsidRPr="005A6293" w:rsidRDefault="00B9514E" w:rsidP="0068257B">
      <w:pPr>
        <w:spacing w:line="480" w:lineRule="auto"/>
        <w:ind w:firstLine="720"/>
        <w:rPr>
          <w:rFonts w:cs="Times New Roman"/>
        </w:rPr>
      </w:pPr>
      <w:r w:rsidRPr="005A6293">
        <w:rPr>
          <w:rFonts w:cs="Times New Roman"/>
        </w:rPr>
        <w:t>Kenya experienced a huge period of transformation under colonial rule, as different ethnic communities were combined under one formal state structure</w:t>
      </w:r>
      <w:r w:rsidR="004C5467" w:rsidRPr="005A6293">
        <w:rPr>
          <w:rFonts w:cs="Times New Roman"/>
        </w:rPr>
        <w:t xml:space="preserve">. Western economic, political, and educational institutions were introduced into Kenya, and many Kenyans adapted and resisted to the intrusion of Western structures. </w:t>
      </w:r>
      <w:r w:rsidR="00775853" w:rsidRPr="005A6293">
        <w:rPr>
          <w:rFonts w:cs="Times New Roman"/>
        </w:rPr>
        <w:t>Kenya remained under colonial rule from 1895 until 1963, when Kenya gai</w:t>
      </w:r>
      <w:r w:rsidR="008843DE" w:rsidRPr="005A6293">
        <w:rPr>
          <w:rFonts w:cs="Times New Roman"/>
        </w:rPr>
        <w:t>ned independence from England.</w:t>
      </w:r>
      <w:r w:rsidR="00421BEA">
        <w:rPr>
          <w:rFonts w:cs="Times New Roman"/>
        </w:rPr>
        <w:t xml:space="preserve"> The independence</w:t>
      </w:r>
      <w:r w:rsidR="00775853" w:rsidRPr="005A6293">
        <w:rPr>
          <w:rFonts w:cs="Times New Roman"/>
        </w:rPr>
        <w:t xml:space="preserve"> period has been marked by ethnic politics, </w:t>
      </w:r>
      <w:r w:rsidR="00DA037C" w:rsidRPr="005A6293">
        <w:rPr>
          <w:rFonts w:cs="Times New Roman"/>
        </w:rPr>
        <w:t xml:space="preserve">democratic and authoritarian swings, </w:t>
      </w:r>
      <w:r w:rsidR="00775853" w:rsidRPr="005A6293">
        <w:rPr>
          <w:rFonts w:cs="Times New Roman"/>
        </w:rPr>
        <w:t xml:space="preserve">economic liberalization and development initiatives, </w:t>
      </w:r>
      <w:r w:rsidR="00DA037C" w:rsidRPr="005A6293">
        <w:rPr>
          <w:rFonts w:cs="Times New Roman"/>
        </w:rPr>
        <w:t xml:space="preserve">economic </w:t>
      </w:r>
      <w:r w:rsidR="00DA037C" w:rsidRPr="005A6293">
        <w:rPr>
          <w:rFonts w:cs="Times New Roman"/>
        </w:rPr>
        <w:lastRenderedPageBreak/>
        <w:t xml:space="preserve">booms and busts, </w:t>
      </w:r>
      <w:r w:rsidRPr="005A6293">
        <w:rPr>
          <w:rFonts w:cs="Times New Roman"/>
        </w:rPr>
        <w:t>and an imagining and reinforcement of Kenyan culture. This paper traces historical events from the pre-colonial period all the way to present day Kenya.</w:t>
      </w:r>
    </w:p>
    <w:p w14:paraId="5A3901F6" w14:textId="4BDF4A9B" w:rsidR="00FC1806" w:rsidRPr="005A6293" w:rsidRDefault="00CB3664" w:rsidP="00836CBA">
      <w:pPr>
        <w:spacing w:line="480" w:lineRule="auto"/>
        <w:ind w:firstLine="720"/>
        <w:rPr>
          <w:rFonts w:cs="Times New Roman"/>
        </w:rPr>
      </w:pPr>
      <w:r w:rsidRPr="005A6293">
        <w:rPr>
          <w:rFonts w:cs="Times New Roman"/>
        </w:rPr>
        <w:t>I focus</w:t>
      </w:r>
      <w:r w:rsidR="003C6B88" w:rsidRPr="005A6293">
        <w:rPr>
          <w:rFonts w:cs="Times New Roman"/>
        </w:rPr>
        <w:t xml:space="preserve"> on Kenya for a few</w:t>
      </w:r>
      <w:r w:rsidR="00082233" w:rsidRPr="005A6293">
        <w:rPr>
          <w:rFonts w:cs="Times New Roman"/>
        </w:rPr>
        <w:t xml:space="preserve"> reasons</w:t>
      </w:r>
      <w:r w:rsidR="003C6B88" w:rsidRPr="005A6293">
        <w:rPr>
          <w:rFonts w:cs="Times New Roman"/>
        </w:rPr>
        <w:t>.  First, Kenya is data rich, meaning that there is an ample amount of information on Kenya from multiple time periods. Access to a wealth of information is a benefit to this thesis, as I can address many of my variables with fuller details. Additionally,</w:t>
      </w:r>
      <w:r w:rsidR="00082233" w:rsidRPr="005A6293">
        <w:rPr>
          <w:rFonts w:cs="Times New Roman"/>
        </w:rPr>
        <w:t xml:space="preserve"> Kenya was a British colonial territory. Each colonial power br</w:t>
      </w:r>
      <w:r w:rsidR="00804AB4" w:rsidRPr="005A6293">
        <w:rPr>
          <w:rFonts w:cs="Times New Roman"/>
        </w:rPr>
        <w:t>ought different styles, culture</w:t>
      </w:r>
      <w:r w:rsidR="00082233" w:rsidRPr="005A6293">
        <w:rPr>
          <w:rFonts w:cs="Times New Roman"/>
        </w:rPr>
        <w:t>, policies, and settlers</w:t>
      </w:r>
      <w:r w:rsidR="004F73EE" w:rsidRPr="005A6293">
        <w:rPr>
          <w:rFonts w:cs="Times New Roman"/>
        </w:rPr>
        <w:t xml:space="preserve"> to Africa</w:t>
      </w:r>
      <w:r w:rsidR="00082233" w:rsidRPr="005A6293">
        <w:rPr>
          <w:rFonts w:cs="Times New Roman"/>
        </w:rPr>
        <w:t>.</w:t>
      </w:r>
      <w:r w:rsidR="00CB6470" w:rsidRPr="005A6293">
        <w:rPr>
          <w:rStyle w:val="FootnoteReference"/>
          <w:rFonts w:cs="Times New Roman"/>
        </w:rPr>
        <w:footnoteReference w:id="15"/>
      </w:r>
      <w:r w:rsidR="00082233" w:rsidRPr="005A6293">
        <w:rPr>
          <w:rFonts w:cs="Times New Roman"/>
        </w:rPr>
        <w:t xml:space="preserve"> Although Britain dominated much of East Africa, the only three parts to remain under British control for </w:t>
      </w:r>
      <w:r w:rsidR="00C07072" w:rsidRPr="005A6293">
        <w:rPr>
          <w:rFonts w:cs="Times New Roman"/>
        </w:rPr>
        <w:t>the entire colonial period</w:t>
      </w:r>
      <w:r w:rsidR="00082233" w:rsidRPr="005A6293">
        <w:rPr>
          <w:rFonts w:cs="Times New Roman"/>
        </w:rPr>
        <w:t xml:space="preserve"> were: Kenya, Uganda, and part of Somalia</w:t>
      </w:r>
      <w:r w:rsidR="00281C5E" w:rsidRPr="005A6293">
        <w:rPr>
          <w:rFonts w:cs="Times New Roman"/>
        </w:rPr>
        <w:t xml:space="preserve"> (Somaliland)</w:t>
      </w:r>
      <w:r w:rsidR="00082233" w:rsidRPr="005A6293">
        <w:rPr>
          <w:rFonts w:cs="Times New Roman"/>
        </w:rPr>
        <w:t>.</w:t>
      </w:r>
      <w:r w:rsidR="00C07072" w:rsidRPr="005A6293">
        <w:rPr>
          <w:rStyle w:val="FootnoteReference"/>
          <w:rFonts w:cs="Times New Roman"/>
        </w:rPr>
        <w:footnoteReference w:id="16"/>
      </w:r>
      <w:r w:rsidR="00821EC9" w:rsidRPr="005A6293">
        <w:rPr>
          <w:rFonts w:cs="Times New Roman"/>
        </w:rPr>
        <w:t xml:space="preserve"> </w:t>
      </w:r>
      <w:r w:rsidR="0050460F" w:rsidRPr="005A6293">
        <w:rPr>
          <w:rFonts w:cs="Times New Roman"/>
        </w:rPr>
        <w:t xml:space="preserve">Kenya also has the most robust education system compared to other countries in East </w:t>
      </w:r>
      <w:r w:rsidR="007009C8" w:rsidRPr="005A6293">
        <w:rPr>
          <w:rFonts w:cs="Times New Roman"/>
        </w:rPr>
        <w:t xml:space="preserve">Africa, and is ranked in the medium human development category. </w:t>
      </w:r>
      <w:r w:rsidR="0003442C" w:rsidRPr="005A6293">
        <w:rPr>
          <w:rFonts w:cs="Times New Roman"/>
        </w:rPr>
        <w:t>I expect a more robust education system to have less educational inequality, which would lessen the impact of gender on education; any gender impacts on education still present are therefore persistent problems</w:t>
      </w:r>
      <w:r w:rsidR="00E31F94" w:rsidRPr="005A6293">
        <w:rPr>
          <w:rFonts w:cs="Times New Roman"/>
        </w:rPr>
        <w:t xml:space="preserve">. </w:t>
      </w:r>
      <w:r w:rsidR="006F4500" w:rsidRPr="005A6293">
        <w:rPr>
          <w:rFonts w:cs="Times New Roman"/>
        </w:rPr>
        <w:t>While these reasons enhance my study on Kenya, this study can b</w:t>
      </w:r>
      <w:r w:rsidR="00A64594" w:rsidRPr="005A6293">
        <w:rPr>
          <w:rFonts w:cs="Times New Roman"/>
        </w:rPr>
        <w:t xml:space="preserve">e duplicated in many countries as countries worldwide struggled with the onslaught of norm change and adaptation due to colonialism. </w:t>
      </w:r>
    </w:p>
    <w:p w14:paraId="25A3126E" w14:textId="2D0CA92E" w:rsidR="007D433C" w:rsidRPr="005A6293" w:rsidRDefault="00082233" w:rsidP="0068257B">
      <w:pPr>
        <w:spacing w:line="480" w:lineRule="auto"/>
        <w:rPr>
          <w:rFonts w:cs="Times New Roman"/>
          <w:b/>
        </w:rPr>
      </w:pPr>
      <w:r w:rsidRPr="005A6293">
        <w:rPr>
          <w:rFonts w:cs="Times New Roman"/>
          <w:b/>
        </w:rPr>
        <w:t>Theoretical Framework</w:t>
      </w:r>
    </w:p>
    <w:p w14:paraId="1F5047A7" w14:textId="695C4F79" w:rsidR="00082233" w:rsidRPr="005A6293" w:rsidRDefault="00FC1806" w:rsidP="007D433C">
      <w:pPr>
        <w:spacing w:line="480" w:lineRule="auto"/>
        <w:ind w:firstLine="720"/>
      </w:pPr>
      <w:r w:rsidRPr="005A6293">
        <w:t>T</w:t>
      </w:r>
      <w:r w:rsidR="00082233" w:rsidRPr="005A6293">
        <w:t xml:space="preserve">he capabilities approach to development is the foundation for this thesis. The </w:t>
      </w:r>
      <w:r w:rsidR="00110FD1" w:rsidRPr="005A6293">
        <w:t xml:space="preserve">capabilities approach </w:t>
      </w:r>
      <w:r w:rsidR="00082233" w:rsidRPr="005A6293">
        <w:t xml:space="preserve">argues that development should be the “process of expanding the </w:t>
      </w:r>
      <w:r w:rsidR="00082233" w:rsidRPr="005A6293">
        <w:lastRenderedPageBreak/>
        <w:t>real freedom</w:t>
      </w:r>
      <w:r w:rsidR="00C72147" w:rsidRPr="005A6293">
        <w:t>s that people enjoy”</w:t>
      </w:r>
      <w:r w:rsidR="00082233" w:rsidRPr="005A6293">
        <w:t>.</w:t>
      </w:r>
      <w:r w:rsidR="00C72147" w:rsidRPr="005A6293">
        <w:rPr>
          <w:rStyle w:val="FootnoteReference"/>
        </w:rPr>
        <w:footnoteReference w:id="17"/>
      </w:r>
      <w:r w:rsidR="00082233" w:rsidRPr="005A6293">
        <w:t xml:space="preserve"> The</w:t>
      </w:r>
      <w:r w:rsidR="00D1684F" w:rsidRPr="005A6293">
        <w:t>se</w:t>
      </w:r>
      <w:r w:rsidR="00082233" w:rsidRPr="005A6293">
        <w:t xml:space="preserve"> freedoms have multiple important roles within the capabilities theory. Primarily, these freedoms represen</w:t>
      </w:r>
      <w:r w:rsidR="00AC3DC9" w:rsidRPr="005A6293">
        <w:t>t the end goal of development, s</w:t>
      </w:r>
      <w:r w:rsidR="00082233" w:rsidRPr="005A6293">
        <w:t xml:space="preserve">uch as the idea that a developed society should have a robust, fair, and quality education system. Additionally, these freedoms are also some of the more useful tools in promoting development; Sen states that “freedoms are not only the primary ends of development, they are also among </w:t>
      </w:r>
      <w:r w:rsidR="00C72147" w:rsidRPr="005A6293">
        <w:t>its principal means”</w:t>
      </w:r>
      <w:r w:rsidR="00082233" w:rsidRPr="005A6293">
        <w:t>.</w:t>
      </w:r>
      <w:r w:rsidR="00C72147" w:rsidRPr="005A6293">
        <w:rPr>
          <w:rStyle w:val="FootnoteReference"/>
        </w:rPr>
        <w:footnoteReference w:id="18"/>
      </w:r>
      <w:r w:rsidR="00082233" w:rsidRPr="005A6293">
        <w:t xml:space="preserve"> Education, therefore, should also be utilized to promote development within a society. Finally, </w:t>
      </w:r>
      <w:r w:rsidR="00C000DB" w:rsidRPr="005A6293">
        <w:t xml:space="preserve">individual freedoms are important because of their intrinsic value. </w:t>
      </w:r>
      <w:r w:rsidR="00082233" w:rsidRPr="005A6293">
        <w:t>These three primary functions of freedoms guide the fundamental assumptions of my research; mainly that education is important, that unfreedoms in education impact other freedoms in economics and politics, and that unfreedoms in economics and politics also impact freedoms in education</w:t>
      </w:r>
      <w:r w:rsidR="007D433C" w:rsidRPr="005A6293">
        <w:t xml:space="preserve">.  </w:t>
      </w:r>
    </w:p>
    <w:p w14:paraId="2036C44D" w14:textId="0A90D810" w:rsidR="00A430A8" w:rsidRPr="005A6293" w:rsidRDefault="00082233" w:rsidP="0068257B">
      <w:pPr>
        <w:spacing w:line="480" w:lineRule="auto"/>
      </w:pPr>
      <w:r w:rsidRPr="005A6293">
        <w:tab/>
      </w:r>
      <w:r w:rsidR="003901E5" w:rsidRPr="005A6293">
        <w:t xml:space="preserve">The second framework I operationalize is a constructivist </w:t>
      </w:r>
      <w:r w:rsidR="00125A88" w:rsidRPr="005A6293">
        <w:t>perception</w:t>
      </w:r>
      <w:r w:rsidR="00A430A8" w:rsidRPr="005A6293">
        <w:t xml:space="preserve"> of</w:t>
      </w:r>
      <w:r w:rsidR="003901E5" w:rsidRPr="005A6293">
        <w:t xml:space="preserve"> norms.</w:t>
      </w:r>
      <w:r w:rsidR="00BA1F3D" w:rsidRPr="005A6293">
        <w:t xml:space="preserve"> Norms restrict</w:t>
      </w:r>
      <w:r w:rsidR="00A430A8" w:rsidRPr="005A6293">
        <w:t xml:space="preserve"> </w:t>
      </w:r>
      <w:r w:rsidR="00BA1F3D" w:rsidRPr="005A6293">
        <w:t xml:space="preserve">the set of behaviors that are deemed appropriate for certain individuals based off their identity. Norms are pervasive to all parts of society, including the societal structures of education, economics, and politics. </w:t>
      </w:r>
      <w:r w:rsidR="007D2010" w:rsidRPr="005A6293">
        <w:t>As norms are not static</w:t>
      </w:r>
      <w:r w:rsidR="00A84FB2" w:rsidRPr="005A6293">
        <w:t>, it is important to conceptualize how norms evolve, change, and eventually deterio</w:t>
      </w:r>
      <w:r w:rsidR="00B2719E" w:rsidRPr="005A6293">
        <w:t>rate</w:t>
      </w:r>
      <w:r w:rsidR="00A84FB2" w:rsidRPr="005A6293">
        <w:t>. The theoretical notion of norms is important for this paper because of the analysis on education</w:t>
      </w:r>
      <w:r w:rsidR="005B56BC" w:rsidRPr="005A6293">
        <w:t xml:space="preserve"> </w:t>
      </w:r>
      <w:r w:rsidR="00A84FB2" w:rsidRPr="005A6293">
        <w:t xml:space="preserve">and gender. My main </w:t>
      </w:r>
      <w:r w:rsidR="00860D34" w:rsidRPr="005A6293">
        <w:t>claim</w:t>
      </w:r>
      <w:r w:rsidR="00A84FB2" w:rsidRPr="005A6293">
        <w:t xml:space="preserve"> is that gender norms influence education, which creates a unique rela</w:t>
      </w:r>
      <w:r w:rsidR="005B56BC" w:rsidRPr="005A6293">
        <w:t>tionship between education</w:t>
      </w:r>
      <w:r w:rsidR="00A84FB2" w:rsidRPr="005A6293">
        <w:t xml:space="preserve"> and gender. Throughout this paper, I demonstrate how this relationship changes over time and the impacts of that change, which is due to changing norms on gender. </w:t>
      </w:r>
    </w:p>
    <w:p w14:paraId="01F4C17C" w14:textId="77777777" w:rsidR="00082233" w:rsidRPr="005A6293" w:rsidRDefault="00082233" w:rsidP="0068257B">
      <w:pPr>
        <w:spacing w:line="480" w:lineRule="auto"/>
        <w:rPr>
          <w:b/>
        </w:rPr>
      </w:pPr>
      <w:r w:rsidRPr="005A6293">
        <w:rPr>
          <w:b/>
        </w:rPr>
        <w:lastRenderedPageBreak/>
        <w:t>Significance</w:t>
      </w:r>
    </w:p>
    <w:p w14:paraId="190D2F6B" w14:textId="709B1712" w:rsidR="00B9585B" w:rsidRPr="005A6293" w:rsidRDefault="00B9585B" w:rsidP="0068257B">
      <w:pPr>
        <w:spacing w:line="480" w:lineRule="auto"/>
      </w:pPr>
      <w:r w:rsidRPr="005A6293">
        <w:tab/>
        <w:t>This thesis provides a detailed look at the interaction between education, politics, and economics in Kenya throughout three different</w:t>
      </w:r>
      <w:r w:rsidR="00CB3664" w:rsidRPr="005A6293">
        <w:t xml:space="preserve"> time periods. While it</w:t>
      </w:r>
      <w:r w:rsidRPr="005A6293">
        <w:t xml:space="preserve"> does not represent a holistic look at these three societal structures, the s</w:t>
      </w:r>
      <w:r w:rsidR="00C22F70" w:rsidRPr="005A6293">
        <w:t>trength of this paper</w:t>
      </w:r>
      <w:r w:rsidRPr="005A6293">
        <w:t xml:space="preserve"> is that by focusing on specific links between the three structures, I am able to demonstrate different avenues through which these structures are linked. Additionally, </w:t>
      </w:r>
      <w:r w:rsidR="00C22F70" w:rsidRPr="005A6293">
        <w:t>I add</w:t>
      </w:r>
      <w:r w:rsidRPr="005A6293">
        <w:t xml:space="preserve"> to the literature on the capab</w:t>
      </w:r>
      <w:r w:rsidR="00F17B85" w:rsidRPr="005A6293">
        <w:t>ilities approach as well as the impact of</w:t>
      </w:r>
      <w:r w:rsidRPr="005A6293">
        <w:t xml:space="preserve"> gender in </w:t>
      </w:r>
      <w:r w:rsidR="00494B5A" w:rsidRPr="005A6293">
        <w:t xml:space="preserve">education. </w:t>
      </w:r>
      <w:r w:rsidR="00C22F70" w:rsidRPr="005A6293">
        <w:t>I provide</w:t>
      </w:r>
      <w:r w:rsidR="00494B5A" w:rsidRPr="005A6293">
        <w:t xml:space="preserve"> an in-depth historical analysis</w:t>
      </w:r>
      <w:r w:rsidRPr="005A6293">
        <w:t xml:space="preserve"> to each of these fields, which demonstrates new ways to concept</w:t>
      </w:r>
      <w:r w:rsidR="005B56BC" w:rsidRPr="005A6293">
        <w:t>ualize and study education</w:t>
      </w:r>
      <w:r w:rsidRPr="005A6293">
        <w:t xml:space="preserve"> and gender. </w:t>
      </w:r>
      <w:r w:rsidR="00847E11" w:rsidRPr="005A6293">
        <w:t>This has real world applications because it demonstrates the historical</w:t>
      </w:r>
      <w:r w:rsidR="005B56BC" w:rsidRPr="005A6293">
        <w:t xml:space="preserve"> complexities of education</w:t>
      </w:r>
      <w:r w:rsidR="00847E11" w:rsidRPr="005A6293">
        <w:t xml:space="preserve"> and gender and the insufficient response of development to this relationship</w:t>
      </w:r>
      <w:r w:rsidR="00FD0E6A" w:rsidRPr="005A6293">
        <w:t xml:space="preserve">. </w:t>
      </w:r>
      <w:r w:rsidR="002450A1" w:rsidRPr="005A6293">
        <w:t>To make efficient and effective policies relating to female education, we must have a better understand of the dynamics that impact female edu</w:t>
      </w:r>
      <w:r w:rsidR="003056EB" w:rsidRPr="005A6293">
        <w:t>cation as well as the impacts felt by</w:t>
      </w:r>
      <w:r w:rsidR="002450A1" w:rsidRPr="005A6293">
        <w:t xml:space="preserve"> other parts of society. </w:t>
      </w:r>
    </w:p>
    <w:p w14:paraId="2C5C5AC4" w14:textId="6856A278" w:rsidR="00082233" w:rsidRPr="005A6293" w:rsidRDefault="00082233" w:rsidP="0068257B">
      <w:pPr>
        <w:spacing w:line="480" w:lineRule="auto"/>
        <w:rPr>
          <w:b/>
        </w:rPr>
      </w:pPr>
      <w:r w:rsidRPr="005A6293">
        <w:rPr>
          <w:b/>
        </w:rPr>
        <w:t>Methodology</w:t>
      </w:r>
      <w:r w:rsidR="001D5BCC" w:rsidRPr="005A6293">
        <w:t xml:space="preserve"> </w:t>
      </w:r>
    </w:p>
    <w:p w14:paraId="2A8D88B2" w14:textId="4075039A" w:rsidR="002120EC" w:rsidRPr="005A6293" w:rsidRDefault="00C81C72" w:rsidP="0068257B">
      <w:pPr>
        <w:spacing w:line="480" w:lineRule="auto"/>
      </w:pPr>
      <w:r w:rsidRPr="005A6293">
        <w:tab/>
        <w:t xml:space="preserve">The methodology employed in this paper is historical analysis. </w:t>
      </w:r>
      <w:r w:rsidR="00E556DA" w:rsidRPr="005A6293">
        <w:t xml:space="preserve">The use of a historical analysis allows me to answer my </w:t>
      </w:r>
      <w:r w:rsidR="008340CA">
        <w:t>research question: how does the</w:t>
      </w:r>
      <w:r w:rsidR="00E556DA" w:rsidRPr="005A6293">
        <w:t xml:space="preserve"> relationship between education and gender interact with other societal structures, such as politics and economics</w:t>
      </w:r>
      <w:r w:rsidR="00370326" w:rsidRPr="005A6293">
        <w:t>, and how does that interaction change over time</w:t>
      </w:r>
      <w:r w:rsidR="00E556DA" w:rsidRPr="005A6293">
        <w:t xml:space="preserve">? Additionally, </w:t>
      </w:r>
      <w:r w:rsidR="00231F6A" w:rsidRPr="005A6293">
        <w:t>I employ historical analysis as a met</w:t>
      </w:r>
      <w:r w:rsidR="007115F6">
        <w:t xml:space="preserve">hodology because my data is </w:t>
      </w:r>
      <w:r w:rsidR="00231F6A" w:rsidRPr="005A6293">
        <w:t>from secondary sources rather than primary sources</w:t>
      </w:r>
      <w:r w:rsidR="00E556DA" w:rsidRPr="005A6293">
        <w:t>. Therefor</w:t>
      </w:r>
      <w:r w:rsidR="00C22F70" w:rsidRPr="005A6293">
        <w:t>e, throughout this paper</w:t>
      </w:r>
      <w:r w:rsidR="00A5402A" w:rsidRPr="005A6293">
        <w:t xml:space="preserve"> I</w:t>
      </w:r>
      <w:r w:rsidR="00E556DA" w:rsidRPr="005A6293">
        <w:t xml:space="preserve"> operationalize this methodology by analyzing historical evidence and tracing how this data demonstrates</w:t>
      </w:r>
      <w:r w:rsidR="00023531" w:rsidRPr="005A6293">
        <w:t xml:space="preserve"> interaction</w:t>
      </w:r>
      <w:r w:rsidR="00E556DA" w:rsidRPr="005A6293">
        <w:t xml:space="preserve"> between education, gender, economics, and politics. </w:t>
      </w:r>
    </w:p>
    <w:p w14:paraId="6490C10C" w14:textId="70D33AB2" w:rsidR="00A06C83" w:rsidRPr="005A6293" w:rsidRDefault="002120EC" w:rsidP="0068257B">
      <w:pPr>
        <w:spacing w:line="480" w:lineRule="auto"/>
      </w:pPr>
      <w:r w:rsidRPr="005A6293">
        <w:lastRenderedPageBreak/>
        <w:tab/>
      </w:r>
      <w:r w:rsidR="00E225C9">
        <w:t>I ch</w:t>
      </w:r>
      <w:r w:rsidR="00AC7539" w:rsidRPr="005A6293">
        <w:t xml:space="preserve">ose Kenya in part because it is data rich, meaning that there is an ample amount of data for all my variables. However, the further back in time I explore, the less data I can access. Therefore, each time-period chapter will have a specific methodology based on access to data. In the pre-colonial chapter, I review historical accounts and ethnographies to piece together a foundation for this thesis. In the colonial chapter, I have more access to historical analysis and some </w:t>
      </w:r>
      <w:r w:rsidR="003E625D" w:rsidRPr="005A6293">
        <w:t xml:space="preserve">numerical </w:t>
      </w:r>
      <w:r w:rsidR="00AC7539" w:rsidRPr="005A6293">
        <w:t xml:space="preserve">data. Finally, in the post-colonial chapter I have access to a large amount of </w:t>
      </w:r>
      <w:r w:rsidR="00A06C83" w:rsidRPr="005A6293">
        <w:t xml:space="preserve">current analysis as well as </w:t>
      </w:r>
      <w:r w:rsidR="007A78CB" w:rsidRPr="005A6293">
        <w:t xml:space="preserve">numerical </w:t>
      </w:r>
      <w:r w:rsidR="00A06C83" w:rsidRPr="005A6293">
        <w:t>data. Additionally, I create and examine a specific index, called</w:t>
      </w:r>
      <w:r w:rsidRPr="005A6293">
        <w:t xml:space="preserve"> the educational Gini</w:t>
      </w:r>
      <w:r w:rsidR="00A06C83" w:rsidRPr="005A6293">
        <w:t>, with data that I have access t</w:t>
      </w:r>
      <w:r w:rsidR="007B3760" w:rsidRPr="005A6293">
        <w:t>o from the post-colonial era</w:t>
      </w:r>
      <w:r w:rsidRPr="005A6293">
        <w:t xml:space="preserve">. </w:t>
      </w:r>
      <w:r w:rsidR="00A06C83" w:rsidRPr="005A6293">
        <w:t xml:space="preserve">By employing historical accounts, ethnographies, historical analysis, current analysis and numerical data, I fully address how the relationship between gender and education shifts throughout time in a manner than interacts with economic and political structures in Kenya.  </w:t>
      </w:r>
    </w:p>
    <w:p w14:paraId="6E12EE09" w14:textId="77777777" w:rsidR="00082233" w:rsidRPr="005A6293" w:rsidRDefault="00082233" w:rsidP="0068257B">
      <w:pPr>
        <w:spacing w:line="480" w:lineRule="auto"/>
        <w:rPr>
          <w:b/>
        </w:rPr>
      </w:pPr>
      <w:r w:rsidRPr="005A6293">
        <w:rPr>
          <w:b/>
        </w:rPr>
        <w:t xml:space="preserve">Chapter Outline </w:t>
      </w:r>
    </w:p>
    <w:p w14:paraId="096BC34A" w14:textId="3FAC6936" w:rsidR="00082233" w:rsidRPr="005A6293" w:rsidRDefault="00082233" w:rsidP="0068257B">
      <w:pPr>
        <w:spacing w:line="480" w:lineRule="auto"/>
        <w:rPr>
          <w:rFonts w:cs="Times New Roman"/>
        </w:rPr>
      </w:pPr>
      <w:r w:rsidRPr="005A6293">
        <w:tab/>
      </w:r>
      <w:r w:rsidR="007212B1" w:rsidRPr="005A6293">
        <w:rPr>
          <w:rFonts w:cs="Times New Roman"/>
        </w:rPr>
        <w:t>In c</w:t>
      </w:r>
      <w:r w:rsidRPr="005A6293">
        <w:rPr>
          <w:rFonts w:cs="Times New Roman"/>
        </w:rPr>
        <w:t>hapter one</w:t>
      </w:r>
      <w:r w:rsidR="00A5402A" w:rsidRPr="005A6293">
        <w:rPr>
          <w:rFonts w:cs="Times New Roman"/>
        </w:rPr>
        <w:t xml:space="preserve">, I </w:t>
      </w:r>
      <w:r w:rsidRPr="005A6293">
        <w:rPr>
          <w:rFonts w:cs="Times New Roman"/>
        </w:rPr>
        <w:t xml:space="preserve">provide a full background and literature review of the pertinent social </w:t>
      </w:r>
      <w:r w:rsidR="00EF3787" w:rsidRPr="005A6293">
        <w:rPr>
          <w:rFonts w:cs="Times New Roman"/>
        </w:rPr>
        <w:t>structures under review</w:t>
      </w:r>
      <w:r w:rsidRPr="005A6293">
        <w:rPr>
          <w:rFonts w:cs="Times New Roman"/>
        </w:rPr>
        <w:t xml:space="preserve">. </w:t>
      </w:r>
      <w:r w:rsidR="00A5402A" w:rsidRPr="005A6293">
        <w:rPr>
          <w:rFonts w:cs="Times New Roman"/>
        </w:rPr>
        <w:t xml:space="preserve">Additionally, I </w:t>
      </w:r>
      <w:r w:rsidRPr="005A6293">
        <w:rPr>
          <w:rFonts w:cs="Times New Roman"/>
        </w:rPr>
        <w:t>an</w:t>
      </w:r>
      <w:r w:rsidR="005F2275" w:rsidRPr="005A6293">
        <w:rPr>
          <w:rFonts w:cs="Times New Roman"/>
        </w:rPr>
        <w:t>alyze the two</w:t>
      </w:r>
      <w:r w:rsidR="005F66D9" w:rsidRPr="005A6293">
        <w:rPr>
          <w:rFonts w:cs="Times New Roman"/>
        </w:rPr>
        <w:t xml:space="preserve"> frameworks I </w:t>
      </w:r>
      <w:r w:rsidRPr="005A6293">
        <w:rPr>
          <w:rFonts w:cs="Times New Roman"/>
        </w:rPr>
        <w:t>employ, and indicate how the assumptions and results from eac</w:t>
      </w:r>
      <w:r w:rsidR="00C22F70" w:rsidRPr="005A6293">
        <w:rPr>
          <w:rFonts w:cs="Times New Roman"/>
        </w:rPr>
        <w:t>h framework influences my thesis</w:t>
      </w:r>
      <w:r w:rsidRPr="005A6293">
        <w:rPr>
          <w:rFonts w:cs="Times New Roman"/>
        </w:rPr>
        <w:t>. Cha</w:t>
      </w:r>
      <w:r w:rsidR="00A5402A" w:rsidRPr="005A6293">
        <w:rPr>
          <w:rFonts w:cs="Times New Roman"/>
        </w:rPr>
        <w:t xml:space="preserve">pters two, three, and four </w:t>
      </w:r>
      <w:r w:rsidRPr="005A6293">
        <w:rPr>
          <w:rFonts w:cs="Times New Roman"/>
        </w:rPr>
        <w:t>all follow the same g</w:t>
      </w:r>
      <w:r w:rsidR="00A5402A" w:rsidRPr="005A6293">
        <w:rPr>
          <w:rFonts w:cs="Times New Roman"/>
        </w:rPr>
        <w:t xml:space="preserve">eneral structure. First, I </w:t>
      </w:r>
      <w:r w:rsidRPr="005A6293">
        <w:rPr>
          <w:rFonts w:cs="Times New Roman"/>
        </w:rPr>
        <w:t>introduce the education system that was present during the specific time-period covered by th</w:t>
      </w:r>
      <w:r w:rsidR="00A5402A" w:rsidRPr="005A6293">
        <w:rPr>
          <w:rFonts w:cs="Times New Roman"/>
        </w:rPr>
        <w:t xml:space="preserve">e chapter. Next, I </w:t>
      </w:r>
      <w:r w:rsidRPr="005A6293">
        <w:rPr>
          <w:rFonts w:cs="Times New Roman"/>
        </w:rPr>
        <w:t>demonstrate the rela</w:t>
      </w:r>
      <w:r w:rsidR="005B56BC" w:rsidRPr="005A6293">
        <w:rPr>
          <w:rFonts w:cs="Times New Roman"/>
        </w:rPr>
        <w:t>tionship between education</w:t>
      </w:r>
      <w:r w:rsidR="00A5402A" w:rsidRPr="005A6293">
        <w:rPr>
          <w:rFonts w:cs="Times New Roman"/>
        </w:rPr>
        <w:t xml:space="preserve"> and gender; each chapter </w:t>
      </w:r>
      <w:r w:rsidR="006A0CE7">
        <w:rPr>
          <w:rFonts w:cs="Times New Roman"/>
        </w:rPr>
        <w:t>analyzes</w:t>
      </w:r>
      <w:r w:rsidRPr="005A6293">
        <w:rPr>
          <w:rFonts w:cs="Times New Roman"/>
        </w:rPr>
        <w:t xml:space="preserve"> a different relationship due to differences in </w:t>
      </w:r>
      <w:r w:rsidR="006D2C07" w:rsidRPr="005A6293">
        <w:rPr>
          <w:rFonts w:cs="Times New Roman"/>
        </w:rPr>
        <w:t xml:space="preserve">the </w:t>
      </w:r>
      <w:r w:rsidRPr="005A6293">
        <w:rPr>
          <w:rFonts w:cs="Times New Roman"/>
        </w:rPr>
        <w:t xml:space="preserve">education </w:t>
      </w:r>
      <w:r w:rsidR="006D2C07" w:rsidRPr="005A6293">
        <w:rPr>
          <w:rFonts w:cs="Times New Roman"/>
        </w:rPr>
        <w:t xml:space="preserve">system </w:t>
      </w:r>
      <w:r w:rsidRPr="005A6293">
        <w:rPr>
          <w:rFonts w:cs="Times New Roman"/>
        </w:rPr>
        <w:t>as well as gender n</w:t>
      </w:r>
      <w:r w:rsidR="00A5402A" w:rsidRPr="005A6293">
        <w:rPr>
          <w:rFonts w:cs="Times New Roman"/>
        </w:rPr>
        <w:t xml:space="preserve">orms. </w:t>
      </w:r>
      <w:r w:rsidR="006A4AF3">
        <w:rPr>
          <w:rFonts w:cs="Times New Roman"/>
        </w:rPr>
        <w:t>Additionally, e</w:t>
      </w:r>
      <w:r w:rsidR="00A5402A" w:rsidRPr="005A6293">
        <w:rPr>
          <w:rFonts w:cs="Times New Roman"/>
        </w:rPr>
        <w:t>ach chapter</w:t>
      </w:r>
      <w:r w:rsidRPr="005A6293">
        <w:rPr>
          <w:rFonts w:cs="Times New Roman"/>
        </w:rPr>
        <w:t xml:space="preserve"> conclude</w:t>
      </w:r>
      <w:r w:rsidR="00A5402A" w:rsidRPr="005A6293">
        <w:rPr>
          <w:rFonts w:cs="Times New Roman"/>
        </w:rPr>
        <w:t>s</w:t>
      </w:r>
      <w:r w:rsidRPr="005A6293">
        <w:rPr>
          <w:rFonts w:cs="Times New Roman"/>
        </w:rPr>
        <w:t xml:space="preserve"> with a discussion of how the rela</w:t>
      </w:r>
      <w:r w:rsidR="005B56BC" w:rsidRPr="005A6293">
        <w:rPr>
          <w:rFonts w:cs="Times New Roman"/>
        </w:rPr>
        <w:t>tionship between education</w:t>
      </w:r>
      <w:r w:rsidRPr="005A6293">
        <w:rPr>
          <w:rFonts w:cs="Times New Roman"/>
        </w:rPr>
        <w:t xml:space="preserve"> and gender interacts with economics and politics. </w:t>
      </w:r>
      <w:r w:rsidRPr="005A6293">
        <w:rPr>
          <w:rFonts w:cs="Times New Roman"/>
        </w:rPr>
        <w:lastRenderedPageBreak/>
        <w:t>Fi</w:t>
      </w:r>
      <w:r w:rsidR="00A5402A" w:rsidRPr="005A6293">
        <w:rPr>
          <w:rFonts w:cs="Times New Roman"/>
        </w:rPr>
        <w:t xml:space="preserve">nally, in the conclusion I </w:t>
      </w:r>
      <w:r w:rsidR="00C22F70" w:rsidRPr="005A6293">
        <w:rPr>
          <w:rFonts w:cs="Times New Roman"/>
        </w:rPr>
        <w:t>review the pertinent findings</w:t>
      </w:r>
      <w:r w:rsidRPr="005A6293">
        <w:rPr>
          <w:rFonts w:cs="Times New Roman"/>
        </w:rPr>
        <w:t>, and indicate further research opportunities regarding education in Kenya.</w:t>
      </w:r>
    </w:p>
    <w:p w14:paraId="754EF618" w14:textId="396A6C12" w:rsidR="00723A06" w:rsidRPr="005A6293" w:rsidRDefault="00723A06">
      <w:pPr>
        <w:rPr>
          <w:rFonts w:cs="Times New Roman"/>
        </w:rPr>
      </w:pPr>
      <w:r w:rsidRPr="005A6293">
        <w:rPr>
          <w:rFonts w:cs="Times New Roman"/>
        </w:rPr>
        <w:br w:type="page"/>
      </w:r>
    </w:p>
    <w:p w14:paraId="062FB2AC" w14:textId="4073C78E" w:rsidR="00082233" w:rsidRPr="005A6293" w:rsidRDefault="00082233" w:rsidP="0013708C">
      <w:pPr>
        <w:spacing w:line="480" w:lineRule="auto"/>
        <w:jc w:val="center"/>
        <w:rPr>
          <w:rFonts w:cs="Times New Roman"/>
          <w:b/>
          <w:bCs/>
        </w:rPr>
      </w:pPr>
      <w:r w:rsidRPr="005A6293">
        <w:rPr>
          <w:rFonts w:cs="Times New Roman"/>
          <w:b/>
          <w:bCs/>
        </w:rPr>
        <w:lastRenderedPageBreak/>
        <w:t>Chapter 1</w:t>
      </w:r>
      <w:r w:rsidR="00F76C2D" w:rsidRPr="005A6293">
        <w:rPr>
          <w:rFonts w:cs="Times New Roman"/>
          <w:b/>
          <w:bCs/>
        </w:rPr>
        <w:t>: The Theoretical Framework</w:t>
      </w:r>
    </w:p>
    <w:p w14:paraId="4BC5650B" w14:textId="27D1BE85" w:rsidR="00082233" w:rsidRPr="005A6293" w:rsidRDefault="00082233" w:rsidP="006258EB">
      <w:pPr>
        <w:spacing w:line="480" w:lineRule="auto"/>
        <w:outlineLvl w:val="0"/>
        <w:rPr>
          <w:rFonts w:cs="Times New Roman"/>
          <w:b/>
          <w:bCs/>
        </w:rPr>
      </w:pPr>
      <w:r w:rsidRPr="005A6293">
        <w:rPr>
          <w:rFonts w:cs="Times New Roman"/>
          <w:b/>
          <w:bCs/>
        </w:rPr>
        <w:t>Introduction</w:t>
      </w:r>
      <w:r w:rsidRPr="005A6293">
        <w:rPr>
          <w:rFonts w:cs="Times New Roman"/>
        </w:rPr>
        <w:t xml:space="preserve">  </w:t>
      </w:r>
    </w:p>
    <w:p w14:paraId="2DCDF897" w14:textId="1D54F4BC" w:rsidR="0063662E" w:rsidRPr="005A6293" w:rsidRDefault="009B6C1C" w:rsidP="0068257B">
      <w:pPr>
        <w:spacing w:line="480" w:lineRule="auto"/>
        <w:ind w:firstLine="720"/>
        <w:rPr>
          <w:rFonts w:cs="Times New Roman"/>
        </w:rPr>
      </w:pPr>
      <w:r w:rsidRPr="005A6293">
        <w:rPr>
          <w:rFonts w:cs="Times New Roman"/>
        </w:rPr>
        <w:t xml:space="preserve">In order to understand and quantify how gender, education, economics, and politics interacted throughout the pre-colonial, colonial, and post-colonial periods in Kenya, we must have a theoretical foundation that enables us to conceptualize the interactions. </w:t>
      </w:r>
      <w:r w:rsidR="00651EB0" w:rsidRPr="005A6293">
        <w:rPr>
          <w:rFonts w:cs="Times New Roman"/>
        </w:rPr>
        <w:t xml:space="preserve">This chapter provides the groundwork for the rest of the </w:t>
      </w:r>
      <w:r w:rsidR="00D51307" w:rsidRPr="005A6293">
        <w:rPr>
          <w:rFonts w:cs="Times New Roman"/>
        </w:rPr>
        <w:t>thesis, by introducing the two</w:t>
      </w:r>
      <w:r w:rsidR="00651EB0" w:rsidRPr="005A6293">
        <w:rPr>
          <w:rFonts w:cs="Times New Roman"/>
        </w:rPr>
        <w:t xml:space="preserve"> theoretical frameworks, defining the relationship between education and gender, and providing a brief overview of relevant literature. </w:t>
      </w:r>
      <w:r w:rsidR="002755E8" w:rsidRPr="005A6293">
        <w:rPr>
          <w:rFonts w:cs="Times New Roman"/>
        </w:rPr>
        <w:t>T</w:t>
      </w:r>
      <w:r w:rsidR="00D40A62" w:rsidRPr="005A6293">
        <w:rPr>
          <w:rFonts w:cs="Times New Roman"/>
        </w:rPr>
        <w:t xml:space="preserve">he theoretical frameworks only </w:t>
      </w:r>
      <w:r w:rsidR="00F50404" w:rsidRPr="005A6293">
        <w:rPr>
          <w:rFonts w:cs="Times New Roman"/>
        </w:rPr>
        <w:t>provide an outline</w:t>
      </w:r>
      <w:r w:rsidR="00D40A62" w:rsidRPr="005A6293">
        <w:rPr>
          <w:rFonts w:cs="Times New Roman"/>
        </w:rPr>
        <w:t xml:space="preserve">, while the </w:t>
      </w:r>
      <w:r w:rsidR="00F50404" w:rsidRPr="005A6293">
        <w:rPr>
          <w:rFonts w:cs="Times New Roman"/>
        </w:rPr>
        <w:t>way</w:t>
      </w:r>
      <w:r w:rsidR="00D40A62" w:rsidRPr="005A6293">
        <w:rPr>
          <w:rFonts w:cs="Times New Roman"/>
        </w:rPr>
        <w:t xml:space="preserve"> I quantify and measure variables stems primarily from the methodology section.  </w:t>
      </w:r>
    </w:p>
    <w:p w14:paraId="2E1FADA7" w14:textId="77777777" w:rsidR="00082233" w:rsidRPr="005A6293" w:rsidRDefault="00082233" w:rsidP="0068257B">
      <w:pPr>
        <w:spacing w:line="480" w:lineRule="auto"/>
        <w:outlineLvl w:val="0"/>
        <w:rPr>
          <w:rFonts w:cs="Times New Roman"/>
          <w:b/>
          <w:bCs/>
        </w:rPr>
      </w:pPr>
      <w:r w:rsidRPr="005A6293">
        <w:rPr>
          <w:rFonts w:cs="Times New Roman"/>
          <w:b/>
          <w:bCs/>
        </w:rPr>
        <w:t>Frameworks</w:t>
      </w:r>
    </w:p>
    <w:p w14:paraId="1055AB20" w14:textId="77777777" w:rsidR="00082233" w:rsidRPr="005A6293" w:rsidRDefault="00082233" w:rsidP="0068257B">
      <w:pPr>
        <w:spacing w:line="480" w:lineRule="auto"/>
        <w:rPr>
          <w:rFonts w:cs="Times New Roman"/>
          <w:i/>
          <w:iCs/>
        </w:rPr>
      </w:pPr>
      <w:r w:rsidRPr="005A6293">
        <w:rPr>
          <w:rFonts w:cs="Times New Roman"/>
          <w:i/>
          <w:iCs/>
        </w:rPr>
        <w:t>Capabilities Approach</w:t>
      </w:r>
    </w:p>
    <w:p w14:paraId="41929ABB" w14:textId="7478C7A5" w:rsidR="00082233" w:rsidRPr="005A6293" w:rsidRDefault="00222198" w:rsidP="0068257B">
      <w:pPr>
        <w:spacing w:line="480" w:lineRule="auto"/>
        <w:ind w:firstLine="720"/>
        <w:rPr>
          <w:rFonts w:eastAsia="Times New Roman" w:cs="Times New Roman"/>
        </w:rPr>
      </w:pPr>
      <w:r w:rsidRPr="005A6293">
        <w:rPr>
          <w:rFonts w:eastAsia="Times New Roman" w:cs="Times New Roman"/>
        </w:rPr>
        <w:t>T</w:t>
      </w:r>
      <w:r w:rsidR="00082233" w:rsidRPr="005A6293">
        <w:rPr>
          <w:rFonts w:eastAsia="Times New Roman" w:cs="Times New Roman"/>
        </w:rPr>
        <w:t>he overa</w:t>
      </w:r>
      <w:r w:rsidR="00F50404" w:rsidRPr="005A6293">
        <w:rPr>
          <w:rFonts w:eastAsia="Times New Roman" w:cs="Times New Roman"/>
        </w:rPr>
        <w:t>rching framework</w:t>
      </w:r>
      <w:r w:rsidR="00082233" w:rsidRPr="005A6293">
        <w:rPr>
          <w:rFonts w:eastAsia="Times New Roman" w:cs="Times New Roman"/>
        </w:rPr>
        <w:t xml:space="preserve"> is the capabilities approach in line with authors such as Amartya Sen and Martha Nussbaum. </w:t>
      </w:r>
      <w:r w:rsidR="00A26A67" w:rsidRPr="005A6293">
        <w:rPr>
          <w:rFonts w:eastAsia="Times New Roman" w:cs="Times New Roman"/>
        </w:rPr>
        <w:t xml:space="preserve">Sen constructs a holistic view of development </w:t>
      </w:r>
      <w:r w:rsidR="00082233" w:rsidRPr="005A6293">
        <w:rPr>
          <w:rFonts w:eastAsia="Times New Roman" w:cs="Times New Roman"/>
        </w:rPr>
        <w:t xml:space="preserve">in his book aptly titled </w:t>
      </w:r>
      <w:r w:rsidR="00082233" w:rsidRPr="005A6293">
        <w:rPr>
          <w:rFonts w:eastAsia="Times New Roman" w:cs="Times New Roman"/>
          <w:i/>
          <w:iCs/>
        </w:rPr>
        <w:t>Development as Freedom</w:t>
      </w:r>
      <w:r w:rsidR="00082233" w:rsidRPr="005A6293">
        <w:rPr>
          <w:rFonts w:eastAsia="Times New Roman" w:cs="Times New Roman"/>
        </w:rPr>
        <w:t>. Sen argues that development is the “process of expanding the real freedom that people enjoy” while simultaneously actively removing so</w:t>
      </w:r>
      <w:r w:rsidR="0012237E" w:rsidRPr="005A6293">
        <w:rPr>
          <w:rFonts w:eastAsia="Times New Roman" w:cs="Times New Roman"/>
        </w:rPr>
        <w:t>urces of “unfreedoms”</w:t>
      </w:r>
      <w:r w:rsidR="00082233" w:rsidRPr="005A6293">
        <w:rPr>
          <w:rFonts w:eastAsia="Times New Roman" w:cs="Times New Roman"/>
        </w:rPr>
        <w:t>.</w:t>
      </w:r>
      <w:r w:rsidR="0012237E" w:rsidRPr="005A6293">
        <w:rPr>
          <w:rStyle w:val="FootnoteReference"/>
          <w:rFonts w:eastAsia="Times New Roman" w:cs="Times New Roman"/>
        </w:rPr>
        <w:footnoteReference w:id="19"/>
      </w:r>
      <w:r w:rsidR="00082233" w:rsidRPr="005A6293">
        <w:rPr>
          <w:rFonts w:eastAsia="Times New Roman" w:cs="Times New Roman"/>
        </w:rPr>
        <w:t xml:space="preserve"> One of the </w:t>
      </w:r>
      <w:r w:rsidR="009F5E55" w:rsidRPr="005A6293">
        <w:rPr>
          <w:rFonts w:eastAsia="Times New Roman" w:cs="Times New Roman"/>
        </w:rPr>
        <w:t>freedoms that Sen defines is</w:t>
      </w:r>
      <w:r w:rsidR="00082233" w:rsidRPr="005A6293">
        <w:rPr>
          <w:rFonts w:eastAsia="Times New Roman" w:cs="Times New Roman"/>
        </w:rPr>
        <w:t xml:space="preserve"> education, which is a social opportunity. Therefore, education is a freedom and restrictions on education or lack of education can b</w:t>
      </w:r>
      <w:r w:rsidR="002A6A9E">
        <w:rPr>
          <w:rFonts w:eastAsia="Times New Roman" w:cs="Times New Roman"/>
        </w:rPr>
        <w:t>e classified as</w:t>
      </w:r>
      <w:r w:rsidR="00B748AA" w:rsidRPr="005A6293">
        <w:rPr>
          <w:rFonts w:eastAsia="Times New Roman" w:cs="Times New Roman"/>
        </w:rPr>
        <w:t xml:space="preserve"> “unfreedom</w:t>
      </w:r>
      <w:r w:rsidR="002A6A9E">
        <w:rPr>
          <w:rFonts w:eastAsia="Times New Roman" w:cs="Times New Roman"/>
        </w:rPr>
        <w:t>s</w:t>
      </w:r>
      <w:r w:rsidR="00B748AA" w:rsidRPr="005A6293">
        <w:rPr>
          <w:rFonts w:eastAsia="Times New Roman" w:cs="Times New Roman"/>
        </w:rPr>
        <w:t xml:space="preserve">” </w:t>
      </w:r>
      <w:r w:rsidR="002204C0">
        <w:rPr>
          <w:rFonts w:eastAsia="Times New Roman" w:cs="Times New Roman"/>
        </w:rPr>
        <w:t xml:space="preserve">due to </w:t>
      </w:r>
      <w:r w:rsidR="00082233" w:rsidRPr="005A6293">
        <w:rPr>
          <w:rFonts w:eastAsia="Times New Roman" w:cs="Times New Roman"/>
        </w:rPr>
        <w:t>t</w:t>
      </w:r>
      <w:r w:rsidR="002204C0">
        <w:rPr>
          <w:rFonts w:eastAsia="Times New Roman" w:cs="Times New Roman"/>
        </w:rPr>
        <w:t>he correlation</w:t>
      </w:r>
      <w:r w:rsidR="00082233" w:rsidRPr="005A6293">
        <w:rPr>
          <w:rFonts w:eastAsia="Times New Roman" w:cs="Times New Roman"/>
        </w:rPr>
        <w:t xml:space="preserve"> between individual freedoms, such as education, and the achievement of social developm</w:t>
      </w:r>
      <w:r w:rsidR="004B01BC">
        <w:rPr>
          <w:rFonts w:eastAsia="Times New Roman" w:cs="Times New Roman"/>
        </w:rPr>
        <w:t>ent. Additionally, Sen indicates</w:t>
      </w:r>
      <w:r w:rsidR="00082233" w:rsidRPr="005A6293">
        <w:rPr>
          <w:rFonts w:eastAsia="Times New Roman" w:cs="Times New Roman"/>
        </w:rPr>
        <w:t xml:space="preserve"> that these “freedoms are not only the primary ends of development, they are also among</w:t>
      </w:r>
      <w:r w:rsidR="0012237E" w:rsidRPr="005A6293">
        <w:rPr>
          <w:rFonts w:eastAsia="Times New Roman" w:cs="Times New Roman"/>
        </w:rPr>
        <w:t xml:space="preserve"> its </w:t>
      </w:r>
      <w:r w:rsidR="0012237E" w:rsidRPr="005A6293">
        <w:rPr>
          <w:rFonts w:eastAsia="Times New Roman" w:cs="Times New Roman"/>
        </w:rPr>
        <w:lastRenderedPageBreak/>
        <w:t>principle means”</w:t>
      </w:r>
      <w:r w:rsidR="00082233" w:rsidRPr="005A6293">
        <w:rPr>
          <w:rFonts w:eastAsia="Times New Roman" w:cs="Times New Roman"/>
        </w:rPr>
        <w:t>.</w:t>
      </w:r>
      <w:r w:rsidR="0012237E" w:rsidRPr="005A6293">
        <w:rPr>
          <w:rStyle w:val="FootnoteReference"/>
          <w:rFonts w:eastAsia="Times New Roman" w:cs="Times New Roman"/>
        </w:rPr>
        <w:footnoteReference w:id="20"/>
      </w:r>
      <w:r w:rsidR="00082233" w:rsidRPr="005A6293">
        <w:rPr>
          <w:rFonts w:eastAsia="Times New Roman" w:cs="Times New Roman"/>
        </w:rPr>
        <w:t xml:space="preserve"> Applying this framework, development </w:t>
      </w:r>
      <w:r w:rsidR="0096649E" w:rsidRPr="005A6293">
        <w:rPr>
          <w:rFonts w:eastAsia="Times New Roman" w:cs="Times New Roman"/>
        </w:rPr>
        <w:t>should promote education for three</w:t>
      </w:r>
      <w:r w:rsidR="00082233" w:rsidRPr="005A6293">
        <w:rPr>
          <w:rFonts w:eastAsia="Times New Roman" w:cs="Times New Roman"/>
        </w:rPr>
        <w:t xml:space="preserve"> reasons. </w:t>
      </w:r>
      <w:r w:rsidR="0096649E" w:rsidRPr="005A6293">
        <w:rPr>
          <w:rFonts w:eastAsia="Times New Roman" w:cs="Times New Roman"/>
        </w:rPr>
        <w:t>The first</w:t>
      </w:r>
      <w:r w:rsidR="00082233" w:rsidRPr="005A6293">
        <w:rPr>
          <w:rFonts w:eastAsia="Times New Roman" w:cs="Times New Roman"/>
        </w:rPr>
        <w:t xml:space="preserve"> reason development should promote education</w:t>
      </w:r>
      <w:r w:rsidR="004F0780" w:rsidRPr="005A6293">
        <w:rPr>
          <w:rFonts w:eastAsia="Times New Roman" w:cs="Times New Roman"/>
        </w:rPr>
        <w:t xml:space="preserve"> is because it is</w:t>
      </w:r>
      <w:r w:rsidR="00082233" w:rsidRPr="005A6293">
        <w:rPr>
          <w:rFonts w:eastAsia="Times New Roman" w:cs="Times New Roman"/>
        </w:rPr>
        <w:t xml:space="preserve"> an important goal of development</w:t>
      </w:r>
      <w:r w:rsidR="0096649E" w:rsidRPr="005A6293">
        <w:rPr>
          <w:rFonts w:eastAsia="Times New Roman" w:cs="Times New Roman"/>
        </w:rPr>
        <w:t xml:space="preserve">. Secondly, education is </w:t>
      </w:r>
      <w:r w:rsidR="00082233" w:rsidRPr="005A6293">
        <w:rPr>
          <w:rFonts w:eastAsia="Times New Roman" w:cs="Times New Roman"/>
        </w:rPr>
        <w:t>an important tool</w:t>
      </w:r>
      <w:r w:rsidR="00EE0B0B" w:rsidRPr="005A6293">
        <w:rPr>
          <w:rFonts w:eastAsia="Times New Roman" w:cs="Times New Roman"/>
        </w:rPr>
        <w:t xml:space="preserve"> </w:t>
      </w:r>
      <w:r w:rsidR="0096649E" w:rsidRPr="005A6293">
        <w:rPr>
          <w:rFonts w:eastAsia="Times New Roman" w:cs="Times New Roman"/>
        </w:rPr>
        <w:t>within the development process. Finally, educ</w:t>
      </w:r>
      <w:r w:rsidR="003C3D07" w:rsidRPr="005A6293">
        <w:rPr>
          <w:rFonts w:eastAsia="Times New Roman" w:cs="Times New Roman"/>
        </w:rPr>
        <w:t xml:space="preserve">ation is an </w:t>
      </w:r>
      <w:r w:rsidR="0096649E" w:rsidRPr="005A6293">
        <w:rPr>
          <w:rFonts w:eastAsia="Times New Roman" w:cs="Times New Roman"/>
        </w:rPr>
        <w:t>individual freedom that people should enjoy simply because it is something that many people believe is important.</w:t>
      </w:r>
    </w:p>
    <w:p w14:paraId="25B14436" w14:textId="6DC6DF76" w:rsidR="00082233" w:rsidRPr="005A6293" w:rsidRDefault="00082233" w:rsidP="0068257B">
      <w:pPr>
        <w:spacing w:line="480" w:lineRule="auto"/>
        <w:ind w:firstLine="720"/>
        <w:rPr>
          <w:rFonts w:cs="Times New Roman"/>
        </w:rPr>
      </w:pPr>
      <w:r w:rsidRPr="005A6293">
        <w:rPr>
          <w:rFonts w:eastAsia="Times New Roman" w:cs="Times New Roman"/>
        </w:rPr>
        <w:t>The capabilities approach reframes how economics measures the value of options based off the best outcome from the set of op</w:t>
      </w:r>
      <w:r w:rsidR="00A312DE" w:rsidRPr="005A6293">
        <w:rPr>
          <w:rFonts w:eastAsia="Times New Roman" w:cs="Times New Roman"/>
        </w:rPr>
        <w:t>tions available</w:t>
      </w:r>
      <w:r w:rsidRPr="005A6293">
        <w:rPr>
          <w:rFonts w:eastAsia="Times New Roman" w:cs="Times New Roman"/>
        </w:rPr>
        <w:t>.</w:t>
      </w:r>
      <w:r w:rsidR="0012237E" w:rsidRPr="005A6293">
        <w:rPr>
          <w:rStyle w:val="FootnoteReference"/>
          <w:rFonts w:eastAsia="Times New Roman" w:cs="Times New Roman"/>
        </w:rPr>
        <w:footnoteReference w:id="21"/>
      </w:r>
      <w:r w:rsidRPr="005A6293">
        <w:rPr>
          <w:rFonts w:eastAsia="Times New Roman" w:cs="Times New Roman"/>
        </w:rPr>
        <w:t xml:space="preserve"> Inst</w:t>
      </w:r>
      <w:r w:rsidR="00F909B9" w:rsidRPr="005A6293">
        <w:rPr>
          <w:rFonts w:eastAsia="Times New Roman" w:cs="Times New Roman"/>
        </w:rPr>
        <w:t>ead, this approach argues that “</w:t>
      </w:r>
      <w:r w:rsidRPr="005A6293">
        <w:rPr>
          <w:rFonts w:eastAsia="Times New Roman" w:cs="Times New Roman"/>
        </w:rPr>
        <w:t>options are freedoms, and freedom has intrinsic va</w:t>
      </w:r>
      <w:r w:rsidR="00F909B9" w:rsidRPr="005A6293">
        <w:rPr>
          <w:rFonts w:cs="Times New Roman"/>
        </w:rPr>
        <w:t>lue”</w:t>
      </w:r>
      <w:r w:rsidRPr="005A6293">
        <w:rPr>
          <w:rFonts w:cs="Times New Roman"/>
        </w:rPr>
        <w:t>.</w:t>
      </w:r>
      <w:r w:rsidR="0012237E" w:rsidRPr="005A6293">
        <w:rPr>
          <w:rStyle w:val="FootnoteReference"/>
          <w:rFonts w:cs="Times New Roman"/>
        </w:rPr>
        <w:footnoteReference w:id="22"/>
      </w:r>
      <w:r w:rsidRPr="005A6293">
        <w:rPr>
          <w:rFonts w:cs="Times New Roman"/>
        </w:rPr>
        <w:t xml:space="preserve"> The focus moves from what are the best outcomes available with a given set of options, to instead focusing on the options themselves and deciding how to expand them; essentially, this approach is about expanding freedoms through expanding options or capabilities. </w:t>
      </w:r>
      <w:r w:rsidR="00C530CB" w:rsidRPr="005A6293">
        <w:rPr>
          <w:rFonts w:cs="Times New Roman"/>
        </w:rPr>
        <w:t>Nussbaum describes freedoms as “</w:t>
      </w:r>
      <w:r w:rsidRPr="005A6293">
        <w:rPr>
          <w:rFonts w:cs="Times New Roman"/>
        </w:rPr>
        <w:t>not just abilities residing inside a person but also the freedoms or opportunities created by a combination of personal abilities and the political, social, and econom</w:t>
      </w:r>
      <w:r w:rsidR="00C530CB" w:rsidRPr="005A6293">
        <w:rPr>
          <w:rFonts w:cs="Times New Roman"/>
        </w:rPr>
        <w:t>ic environment”</w:t>
      </w:r>
      <w:r w:rsidRPr="005A6293">
        <w:rPr>
          <w:rFonts w:cs="Times New Roman"/>
        </w:rPr>
        <w:t>.</w:t>
      </w:r>
      <w:r w:rsidR="00F6283C" w:rsidRPr="005A6293">
        <w:rPr>
          <w:rStyle w:val="FootnoteReference"/>
          <w:rFonts w:cs="Times New Roman"/>
        </w:rPr>
        <w:footnoteReference w:id="23"/>
      </w:r>
      <w:r w:rsidRPr="005A6293">
        <w:rPr>
          <w:rFonts w:cs="Times New Roman"/>
        </w:rPr>
        <w:t xml:space="preserve"> Therefore, </w:t>
      </w:r>
      <w:r w:rsidR="008448D5" w:rsidRPr="005A6293">
        <w:rPr>
          <w:rFonts w:cs="Times New Roman"/>
        </w:rPr>
        <w:t>I argue</w:t>
      </w:r>
      <w:r w:rsidRPr="005A6293">
        <w:rPr>
          <w:rFonts w:cs="Times New Roman"/>
        </w:rPr>
        <w:t xml:space="preserve"> that expanding education opportunities by decreasing educational inequalities is essential to enjoying education as a freedom that is both a goal, as well as a tool to pursue other goals such as greater economic, political, and social opportunities. The capabilities approach provides a theoretical</w:t>
      </w:r>
      <w:r w:rsidR="00906500" w:rsidRPr="005A6293">
        <w:rPr>
          <w:rFonts w:cs="Times New Roman"/>
        </w:rPr>
        <w:t xml:space="preserve"> reason for pursing this paper; </w:t>
      </w:r>
      <w:r w:rsidRPr="005A6293">
        <w:rPr>
          <w:rFonts w:cs="Times New Roman"/>
        </w:rPr>
        <w:t>I believe a detailed analy</w:t>
      </w:r>
      <w:r w:rsidR="00643A14" w:rsidRPr="005A6293">
        <w:rPr>
          <w:rFonts w:cs="Times New Roman"/>
        </w:rPr>
        <w:t>sis of education is important</w:t>
      </w:r>
      <w:r w:rsidRPr="005A6293">
        <w:rPr>
          <w:rFonts w:cs="Times New Roman"/>
        </w:rPr>
        <w:t xml:space="preserve"> because education is an individual freedom, a goal of development, and a tool of social devel</w:t>
      </w:r>
      <w:r w:rsidR="002367BC" w:rsidRPr="005A6293">
        <w:rPr>
          <w:rFonts w:cs="Times New Roman"/>
        </w:rPr>
        <w:t>opment. Therefore, while I am not</w:t>
      </w:r>
      <w:r w:rsidRPr="005A6293">
        <w:rPr>
          <w:rFonts w:cs="Times New Roman"/>
        </w:rPr>
        <w:t xml:space="preserve"> operationalizing the capabilities </w:t>
      </w:r>
      <w:r w:rsidRPr="005A6293">
        <w:rPr>
          <w:rFonts w:cs="Times New Roman"/>
        </w:rPr>
        <w:lastRenderedPageBreak/>
        <w:t xml:space="preserve">approach throughout the paper, </w:t>
      </w:r>
      <w:r w:rsidR="002348A7" w:rsidRPr="005A6293">
        <w:rPr>
          <w:rFonts w:cs="Times New Roman"/>
        </w:rPr>
        <w:t xml:space="preserve">it is necessary to understand </w:t>
      </w:r>
      <w:r w:rsidR="00CA1899" w:rsidRPr="005A6293">
        <w:rPr>
          <w:rFonts w:cs="Times New Roman"/>
        </w:rPr>
        <w:t>the theory</w:t>
      </w:r>
      <w:r w:rsidR="002348A7" w:rsidRPr="005A6293">
        <w:rPr>
          <w:rFonts w:cs="Times New Roman"/>
        </w:rPr>
        <w:t xml:space="preserve"> as it </w:t>
      </w:r>
      <w:r w:rsidRPr="005A6293">
        <w:rPr>
          <w:rFonts w:cs="Times New Roman"/>
        </w:rPr>
        <w:t xml:space="preserve">sets up the foundation of this paper. </w:t>
      </w:r>
    </w:p>
    <w:p w14:paraId="7EFFC5FF" w14:textId="77777777" w:rsidR="00082233" w:rsidRPr="005A6293" w:rsidRDefault="00082233" w:rsidP="0068257B">
      <w:pPr>
        <w:spacing w:line="480" w:lineRule="auto"/>
        <w:rPr>
          <w:rFonts w:cs="Times New Roman"/>
          <w:i/>
          <w:iCs/>
        </w:rPr>
      </w:pPr>
      <w:r w:rsidRPr="005A6293">
        <w:rPr>
          <w:rFonts w:cs="Times New Roman"/>
          <w:i/>
          <w:iCs/>
        </w:rPr>
        <w:t>Constructivist Norms</w:t>
      </w:r>
    </w:p>
    <w:p w14:paraId="355BBDF3" w14:textId="5D305A94" w:rsidR="00082233" w:rsidRPr="005A6293" w:rsidRDefault="00715254" w:rsidP="0068257B">
      <w:pPr>
        <w:spacing w:line="480" w:lineRule="auto"/>
        <w:ind w:firstLine="720"/>
        <w:rPr>
          <w:rFonts w:cs="Times New Roman"/>
        </w:rPr>
      </w:pPr>
      <w:r w:rsidRPr="005A6293">
        <w:rPr>
          <w:rFonts w:cs="Times New Roman"/>
        </w:rPr>
        <w:t>The second</w:t>
      </w:r>
      <w:r w:rsidR="00082233" w:rsidRPr="005A6293">
        <w:rPr>
          <w:rFonts w:cs="Times New Roman"/>
        </w:rPr>
        <w:t xml:space="preserve"> framework employed for this paper is constructivism, and more specifically how constructivism operationa</w:t>
      </w:r>
      <w:r w:rsidR="00C15E83" w:rsidRPr="005A6293">
        <w:rPr>
          <w:rFonts w:cs="Times New Roman"/>
        </w:rPr>
        <w:t>lizes norms. Norms are defined “</w:t>
      </w:r>
      <w:r w:rsidR="00082233" w:rsidRPr="005A6293">
        <w:rPr>
          <w:rFonts w:cs="Times New Roman"/>
        </w:rPr>
        <w:t>as a standard of appropriate behavior for actors with a given identit</w:t>
      </w:r>
      <w:r w:rsidR="00C15E83" w:rsidRPr="005A6293">
        <w:rPr>
          <w:rFonts w:cs="Times New Roman"/>
        </w:rPr>
        <w:t>y”</w:t>
      </w:r>
      <w:r w:rsidR="00082233" w:rsidRPr="005A6293">
        <w:rPr>
          <w:rFonts w:cs="Times New Roman"/>
        </w:rPr>
        <w:t>.</w:t>
      </w:r>
      <w:r w:rsidR="00AD6B3A" w:rsidRPr="005A6293">
        <w:rPr>
          <w:rStyle w:val="FootnoteReference"/>
          <w:rFonts w:cs="Times New Roman"/>
        </w:rPr>
        <w:footnoteReference w:id="24"/>
      </w:r>
      <w:r w:rsidR="00082233" w:rsidRPr="005A6293">
        <w:rPr>
          <w:rFonts w:cs="Times New Roman"/>
        </w:rPr>
        <w:t xml:space="preserve"> Therefore, norms correlate highly with identity. Ide</w:t>
      </w:r>
      <w:r w:rsidR="003105F0" w:rsidRPr="005A6293">
        <w:rPr>
          <w:rFonts w:cs="Times New Roman"/>
        </w:rPr>
        <w:t>ntity assigned to females</w:t>
      </w:r>
      <w:r w:rsidR="00082233" w:rsidRPr="005A6293">
        <w:rPr>
          <w:rFonts w:cs="Times New Roman"/>
        </w:rPr>
        <w:t xml:space="preserve"> based off their gender influences the norms associated with them as well as the behavior deemed appropriate from them. Norms not only influence appropriate behavior but also how people interact with each other, or how people come to intersubj</w:t>
      </w:r>
      <w:r w:rsidR="007D20A2" w:rsidRPr="005A6293">
        <w:rPr>
          <w:rFonts w:cs="Times New Roman"/>
        </w:rPr>
        <w:t>ective agreements</w:t>
      </w:r>
      <w:r w:rsidR="00082233" w:rsidRPr="005A6293">
        <w:rPr>
          <w:rFonts w:cs="Times New Roman"/>
        </w:rPr>
        <w:t>.</w:t>
      </w:r>
      <w:r w:rsidR="007D20A2" w:rsidRPr="005A6293">
        <w:rPr>
          <w:rStyle w:val="FootnoteReference"/>
          <w:rFonts w:cs="Times New Roman"/>
        </w:rPr>
        <w:footnoteReference w:id="25"/>
      </w:r>
      <w:r w:rsidR="00082233" w:rsidRPr="005A6293">
        <w:rPr>
          <w:rFonts w:cs="Times New Roman"/>
        </w:rPr>
        <w:t xml:space="preserve"> Therefore, norms are socially determined forms of appropriate behavior for individuals based off their perceived identity. </w:t>
      </w:r>
    </w:p>
    <w:p w14:paraId="6D8B75FC" w14:textId="07B54687" w:rsidR="00082233" w:rsidRPr="005A6293" w:rsidRDefault="00082233" w:rsidP="006A58E7">
      <w:pPr>
        <w:spacing w:line="480" w:lineRule="auto"/>
        <w:ind w:firstLine="720"/>
        <w:rPr>
          <w:rFonts w:cs="Times New Roman"/>
        </w:rPr>
      </w:pPr>
      <w:r w:rsidRPr="005A6293">
        <w:rPr>
          <w:rFonts w:cs="Times New Roman"/>
        </w:rPr>
        <w:t>Norms are pervasive in societal structures. In order to understand how norms are so pervasive, it is usef</w:t>
      </w:r>
      <w:r w:rsidR="00C15E83" w:rsidRPr="005A6293">
        <w:rPr>
          <w:rFonts w:cs="Times New Roman"/>
        </w:rPr>
        <w:t>ul to examine the “norm life cycle”</w:t>
      </w:r>
      <w:r w:rsidRPr="005A6293">
        <w:rPr>
          <w:rFonts w:cs="Times New Roman"/>
        </w:rPr>
        <w:t xml:space="preserve"> first proposed by Finnemore and Sikkink. The life cycle is a three stage process, including: emergence, cascade, and internal</w:t>
      </w:r>
      <w:r w:rsidR="007D20A2" w:rsidRPr="005A6293">
        <w:rPr>
          <w:rFonts w:cs="Times New Roman"/>
        </w:rPr>
        <w:t>ization</w:t>
      </w:r>
      <w:r w:rsidRPr="005A6293">
        <w:rPr>
          <w:rFonts w:cs="Times New Roman"/>
        </w:rPr>
        <w:t>.</w:t>
      </w:r>
      <w:r w:rsidR="007D20A2" w:rsidRPr="005A6293">
        <w:rPr>
          <w:rStyle w:val="FootnoteReference"/>
          <w:rFonts w:cs="Times New Roman"/>
        </w:rPr>
        <w:footnoteReference w:id="26"/>
      </w:r>
      <w:r w:rsidR="00840AB5" w:rsidRPr="005A6293">
        <w:rPr>
          <w:rFonts w:cs="Times New Roman"/>
        </w:rPr>
        <w:t xml:space="preserve"> Norm emergence indicate</w:t>
      </w:r>
      <w:r w:rsidRPr="005A6293">
        <w:rPr>
          <w:rFonts w:cs="Times New Roman"/>
        </w:rPr>
        <w:t xml:space="preserve">s the proposal of new norms by norm entrepreneurs. Norm cascades, also known as norm diffusion, is the accelerated adoption of norms throughout the international community. The primary mechanism for </w:t>
      </w:r>
      <w:r w:rsidRPr="005A6293">
        <w:rPr>
          <w:rFonts w:cs="Times New Roman"/>
        </w:rPr>
        <w:lastRenderedPageBreak/>
        <w:t>norm diffusion according to Finnemore and Sikkink is socializati</w:t>
      </w:r>
      <w:r w:rsidR="0096001E" w:rsidRPr="005A6293">
        <w:rPr>
          <w:rFonts w:cs="Times New Roman"/>
        </w:rPr>
        <w:t>on</w:t>
      </w:r>
      <w:r w:rsidRPr="005A6293">
        <w:rPr>
          <w:rFonts w:cs="Times New Roman"/>
        </w:rPr>
        <w:t>.</w:t>
      </w:r>
      <w:r w:rsidR="00813C3B" w:rsidRPr="005A6293">
        <w:rPr>
          <w:rStyle w:val="FootnoteReference"/>
          <w:rFonts w:cs="Times New Roman"/>
        </w:rPr>
        <w:footnoteReference w:id="27"/>
      </w:r>
      <w:r w:rsidRPr="005A6293">
        <w:rPr>
          <w:rFonts w:cs="Times New Roman"/>
        </w:rPr>
        <w:t xml:space="preserve"> Socialization is the pressure to observ</w:t>
      </w:r>
      <w:r w:rsidR="00DC75CC" w:rsidRPr="005A6293">
        <w:rPr>
          <w:rFonts w:cs="Times New Roman"/>
        </w:rPr>
        <w:t xml:space="preserve">e and submit to set identities </w:t>
      </w:r>
      <w:r w:rsidRPr="005A6293">
        <w:rPr>
          <w:rFonts w:cs="Times New Roman"/>
        </w:rPr>
        <w:t xml:space="preserve">and through this process norms are internalized by individuals, which is the third and final stage of the norms life cycle. </w:t>
      </w:r>
    </w:p>
    <w:p w14:paraId="1A3A29ED" w14:textId="28D466A3" w:rsidR="00082233" w:rsidRPr="005A6293" w:rsidRDefault="002367BC" w:rsidP="0068257B">
      <w:pPr>
        <w:spacing w:line="480" w:lineRule="auto"/>
        <w:ind w:firstLine="720"/>
        <w:rPr>
          <w:rFonts w:cs="Times New Roman"/>
        </w:rPr>
      </w:pPr>
      <w:r w:rsidRPr="005A6293">
        <w:rPr>
          <w:rFonts w:cs="Times New Roman"/>
        </w:rPr>
        <w:t>This paper</w:t>
      </w:r>
      <w:r w:rsidR="00082233" w:rsidRPr="005A6293">
        <w:rPr>
          <w:rFonts w:cs="Times New Roman"/>
        </w:rPr>
        <w:t xml:space="preserve"> primarily utilize</w:t>
      </w:r>
      <w:r w:rsidRPr="005A6293">
        <w:rPr>
          <w:rFonts w:cs="Times New Roman"/>
        </w:rPr>
        <w:t>s</w:t>
      </w:r>
      <w:r w:rsidR="00082233" w:rsidRPr="005A6293">
        <w:rPr>
          <w:rFonts w:cs="Times New Roman"/>
        </w:rPr>
        <w:t xml:space="preserve"> norms to indicate how the female identity has a set of appropriate behaviors due to their gender identity. I posit that these specific norms influence the </w:t>
      </w:r>
      <w:r w:rsidR="00B24CD9">
        <w:rPr>
          <w:rFonts w:cs="Times New Roman"/>
        </w:rPr>
        <w:t>opportunities</w:t>
      </w:r>
      <w:r w:rsidR="00082233" w:rsidRPr="005A6293">
        <w:rPr>
          <w:rFonts w:cs="Times New Roman"/>
        </w:rPr>
        <w:t xml:space="preserve"> women have in education; often these norms generate educational inequality because they erect barriers within education, which is an unfreedom. Additionally, the process of norm change is important to this paper, as colonization interrupted many norm structures and introduced norm change that was both simultaneously accepted and rejected by different individuals and groups within Kenya. </w:t>
      </w:r>
    </w:p>
    <w:p w14:paraId="57A5E667" w14:textId="59C7FB4E" w:rsidR="005A55B5" w:rsidRPr="005A6293" w:rsidRDefault="003E5130" w:rsidP="00FD14AA">
      <w:pPr>
        <w:spacing w:line="480" w:lineRule="auto"/>
        <w:ind w:firstLine="720"/>
        <w:rPr>
          <w:rFonts w:eastAsia="Times New Roman" w:cs="Times New Roman"/>
        </w:rPr>
      </w:pPr>
      <w:r w:rsidRPr="005A6293">
        <w:rPr>
          <w:rFonts w:eastAsia="Times New Roman" w:cs="Times New Roman"/>
        </w:rPr>
        <w:t xml:space="preserve">Throughout the paper, I operationalize </w:t>
      </w:r>
      <w:r w:rsidR="00715254" w:rsidRPr="005A6293">
        <w:rPr>
          <w:rFonts w:eastAsia="Times New Roman" w:cs="Times New Roman"/>
        </w:rPr>
        <w:t>the</w:t>
      </w:r>
      <w:r w:rsidRPr="005A6293">
        <w:rPr>
          <w:rFonts w:eastAsia="Times New Roman" w:cs="Times New Roman"/>
        </w:rPr>
        <w:t xml:space="preserve"> constructivist norms framework</w:t>
      </w:r>
      <w:r w:rsidR="00B55EC9" w:rsidRPr="005A6293">
        <w:rPr>
          <w:rFonts w:eastAsia="Times New Roman" w:cs="Times New Roman"/>
        </w:rPr>
        <w:t xml:space="preserve">. </w:t>
      </w:r>
      <w:r w:rsidR="00500284" w:rsidRPr="005A6293">
        <w:rPr>
          <w:rFonts w:eastAsia="Times New Roman" w:cs="Times New Roman"/>
        </w:rPr>
        <w:t>With the constructivist norms framework, I demonstrate how norm change impacts the relationship between gender and education</w:t>
      </w:r>
      <w:r w:rsidR="00123D1D" w:rsidRPr="005A6293">
        <w:rPr>
          <w:rFonts w:eastAsia="Times New Roman" w:cs="Times New Roman"/>
        </w:rPr>
        <w:t xml:space="preserve"> due to a re-categorization of gender identities</w:t>
      </w:r>
      <w:r w:rsidR="00500284" w:rsidRPr="005A6293">
        <w:rPr>
          <w:rFonts w:eastAsia="Times New Roman" w:cs="Times New Roman"/>
        </w:rPr>
        <w:t xml:space="preserve">. </w:t>
      </w:r>
      <w:r w:rsidR="00B57AAE" w:rsidRPr="005A6293">
        <w:rPr>
          <w:rFonts w:eastAsia="Times New Roman" w:cs="Times New Roman"/>
        </w:rPr>
        <w:t>Combining the framework</w:t>
      </w:r>
      <w:r w:rsidR="00A91A29" w:rsidRPr="005A6293">
        <w:rPr>
          <w:rFonts w:eastAsia="Times New Roman" w:cs="Times New Roman"/>
        </w:rPr>
        <w:t xml:space="preserve"> </w:t>
      </w:r>
      <w:r w:rsidR="00992AE3" w:rsidRPr="005A6293">
        <w:rPr>
          <w:rFonts w:eastAsia="Times New Roman" w:cs="Times New Roman"/>
        </w:rPr>
        <w:t>with</w:t>
      </w:r>
      <w:r w:rsidR="00A91A29" w:rsidRPr="005A6293">
        <w:rPr>
          <w:rFonts w:eastAsia="Times New Roman" w:cs="Times New Roman"/>
        </w:rPr>
        <w:t xml:space="preserve"> the methodology of historical analysis</w:t>
      </w:r>
      <w:r w:rsidR="003204E0" w:rsidRPr="005A6293">
        <w:rPr>
          <w:rFonts w:eastAsia="Times New Roman" w:cs="Times New Roman"/>
        </w:rPr>
        <w:t xml:space="preserve"> </w:t>
      </w:r>
      <w:r w:rsidR="00992AE3" w:rsidRPr="005A6293">
        <w:rPr>
          <w:rFonts w:eastAsia="Times New Roman" w:cs="Times New Roman"/>
        </w:rPr>
        <w:t xml:space="preserve">provides an overarching framework I apply to each time-period chapter. In the first chapter on the pre-colonial time-period, I create a foundation from which I can measure change to gender norms. In the next two chapters on the colonial and post-colonial time-periods, I will demonstrate </w:t>
      </w:r>
      <w:r w:rsidR="00DF000E" w:rsidRPr="005A6293">
        <w:rPr>
          <w:rFonts w:eastAsia="Times New Roman" w:cs="Times New Roman"/>
        </w:rPr>
        <w:t xml:space="preserve">how shifting gender norms leads to </w:t>
      </w:r>
      <w:r w:rsidR="00992AE3" w:rsidRPr="005A6293">
        <w:rPr>
          <w:rFonts w:eastAsia="Times New Roman" w:cs="Times New Roman"/>
        </w:rPr>
        <w:t>the re-categ</w:t>
      </w:r>
      <w:r w:rsidR="00DF000E" w:rsidRPr="005A6293">
        <w:rPr>
          <w:rFonts w:eastAsia="Times New Roman" w:cs="Times New Roman"/>
        </w:rPr>
        <w:t>orization of gender identities, which in turn impacts education, economics, and politics.</w:t>
      </w:r>
      <w:r w:rsidR="00FD14AA" w:rsidRPr="005A6293">
        <w:rPr>
          <w:rFonts w:eastAsia="Times New Roman" w:cs="Times New Roman"/>
        </w:rPr>
        <w:t xml:space="preserve"> </w:t>
      </w:r>
      <w:r w:rsidR="00155340" w:rsidRPr="005A6293">
        <w:rPr>
          <w:rFonts w:eastAsia="Times New Roman" w:cs="Times New Roman"/>
        </w:rPr>
        <w:t>I will demonstrate these changes through four measures I employ to determine the relationship bet</w:t>
      </w:r>
      <w:r w:rsidR="00C0558D" w:rsidRPr="005A6293">
        <w:rPr>
          <w:rFonts w:eastAsia="Times New Roman" w:cs="Times New Roman"/>
        </w:rPr>
        <w:t>ween education and gender; these measurements</w:t>
      </w:r>
      <w:r w:rsidR="00155340" w:rsidRPr="005A6293">
        <w:rPr>
          <w:rFonts w:eastAsia="Times New Roman" w:cs="Times New Roman"/>
        </w:rPr>
        <w:t xml:space="preserve"> are </w:t>
      </w:r>
      <w:r w:rsidR="00C0558D" w:rsidRPr="005A6293">
        <w:rPr>
          <w:rFonts w:eastAsia="Times New Roman" w:cs="Times New Roman"/>
        </w:rPr>
        <w:t xml:space="preserve">fully </w:t>
      </w:r>
      <w:r w:rsidR="00155340" w:rsidRPr="005A6293">
        <w:rPr>
          <w:rFonts w:eastAsia="Times New Roman" w:cs="Times New Roman"/>
        </w:rPr>
        <w:t xml:space="preserve">introduced </w:t>
      </w:r>
      <w:r w:rsidR="00155340" w:rsidRPr="005A6293">
        <w:rPr>
          <w:rFonts w:eastAsia="Times New Roman" w:cs="Times New Roman"/>
        </w:rPr>
        <w:lastRenderedPageBreak/>
        <w:t>in the next section</w:t>
      </w:r>
      <w:r w:rsidR="00204E7B" w:rsidRPr="005A6293">
        <w:rPr>
          <w:rFonts w:eastAsia="Times New Roman" w:cs="Times New Roman"/>
        </w:rPr>
        <w:t>. I wil</w:t>
      </w:r>
      <w:r w:rsidR="00C0558D" w:rsidRPr="005A6293">
        <w:rPr>
          <w:rFonts w:eastAsia="Times New Roman" w:cs="Times New Roman"/>
        </w:rPr>
        <w:t xml:space="preserve">l measure access, attainment, </w:t>
      </w:r>
      <w:r w:rsidR="00204E7B" w:rsidRPr="005A6293">
        <w:rPr>
          <w:rFonts w:eastAsia="Times New Roman" w:cs="Times New Roman"/>
        </w:rPr>
        <w:t xml:space="preserve">achievement and accomplishment </w:t>
      </w:r>
      <w:r w:rsidR="00C0558D" w:rsidRPr="005A6293">
        <w:rPr>
          <w:rFonts w:eastAsia="Times New Roman" w:cs="Times New Roman"/>
        </w:rPr>
        <w:t xml:space="preserve">in education </w:t>
      </w:r>
      <w:r w:rsidR="00204E7B" w:rsidRPr="005A6293">
        <w:rPr>
          <w:rFonts w:eastAsia="Times New Roman" w:cs="Times New Roman"/>
        </w:rPr>
        <w:t xml:space="preserve">to conceptualize and quantify changes in gender norms. </w:t>
      </w:r>
    </w:p>
    <w:p w14:paraId="446739CC" w14:textId="17D99B0A" w:rsidR="00082233" w:rsidRPr="005A6293" w:rsidRDefault="00082233" w:rsidP="0068257B">
      <w:pPr>
        <w:spacing w:line="480" w:lineRule="auto"/>
        <w:rPr>
          <w:rFonts w:cs="Times New Roman"/>
        </w:rPr>
      </w:pPr>
      <w:r w:rsidRPr="005A6293">
        <w:rPr>
          <w:rFonts w:cs="Times New Roman"/>
          <w:b/>
          <w:bCs/>
        </w:rPr>
        <w:t>E</w:t>
      </w:r>
      <w:r w:rsidR="00F10437" w:rsidRPr="005A6293">
        <w:rPr>
          <w:rFonts w:cs="Times New Roman"/>
          <w:b/>
          <w:bCs/>
        </w:rPr>
        <w:t xml:space="preserve">ducation </w:t>
      </w:r>
      <w:r w:rsidRPr="005A6293">
        <w:rPr>
          <w:rFonts w:cs="Times New Roman"/>
          <w:b/>
          <w:bCs/>
        </w:rPr>
        <w:t>and Gender</w:t>
      </w:r>
      <w:r w:rsidRPr="005A6293">
        <w:rPr>
          <w:rFonts w:cs="Times New Roman"/>
        </w:rPr>
        <w:t xml:space="preserve"> </w:t>
      </w:r>
    </w:p>
    <w:p w14:paraId="472112A3" w14:textId="4F4BF26A" w:rsidR="00082233" w:rsidRPr="005A6293" w:rsidRDefault="003F7A28" w:rsidP="0068257B">
      <w:pPr>
        <w:spacing w:line="480" w:lineRule="auto"/>
        <w:ind w:firstLine="720"/>
        <w:rPr>
          <w:rFonts w:cs="Times New Roman"/>
        </w:rPr>
      </w:pPr>
      <w:r w:rsidRPr="005A6293">
        <w:rPr>
          <w:rFonts w:cs="Times New Roman"/>
        </w:rPr>
        <w:t>The main focus of</w:t>
      </w:r>
      <w:r w:rsidR="00082233" w:rsidRPr="005A6293">
        <w:rPr>
          <w:rFonts w:cs="Times New Roman"/>
        </w:rPr>
        <w:t xml:space="preserve"> </w:t>
      </w:r>
      <w:r w:rsidR="001D2CEB" w:rsidRPr="005A6293">
        <w:rPr>
          <w:rFonts w:cs="Times New Roman"/>
        </w:rPr>
        <w:t>my argument</w:t>
      </w:r>
      <w:r w:rsidR="00082233" w:rsidRPr="005A6293">
        <w:rPr>
          <w:rFonts w:cs="Times New Roman"/>
        </w:rPr>
        <w:t xml:space="preserve"> centers around the relation</w:t>
      </w:r>
      <w:r w:rsidR="002E3323" w:rsidRPr="005A6293">
        <w:rPr>
          <w:rFonts w:cs="Times New Roman"/>
        </w:rPr>
        <w:t xml:space="preserve">ship between education </w:t>
      </w:r>
      <w:r w:rsidR="00082233" w:rsidRPr="005A6293">
        <w:rPr>
          <w:rFonts w:cs="Times New Roman"/>
        </w:rPr>
        <w:t>and gender. My main assumption is that education for females is different than education for males, and that this inequality stems specifically because of norms relating to the female gender. I categorize this educational inequality based off gender as an unfreedom, meaning that it restricts the educational opportunities women are presented with and, therefore, their educational capabilities as wel</w:t>
      </w:r>
      <w:r w:rsidR="002367BC" w:rsidRPr="005A6293">
        <w:rPr>
          <w:rFonts w:cs="Times New Roman"/>
        </w:rPr>
        <w:t xml:space="preserve">l. Throughout the paper, I </w:t>
      </w:r>
      <w:r w:rsidR="00082233" w:rsidRPr="005A6293">
        <w:rPr>
          <w:rFonts w:cs="Times New Roman"/>
        </w:rPr>
        <w:t>employ fo</w:t>
      </w:r>
      <w:r w:rsidR="00C45212" w:rsidRPr="005A6293">
        <w:rPr>
          <w:rFonts w:cs="Times New Roman"/>
        </w:rPr>
        <w:t>u</w:t>
      </w:r>
      <w:r w:rsidR="00082233" w:rsidRPr="005A6293">
        <w:rPr>
          <w:rFonts w:cs="Times New Roman"/>
        </w:rPr>
        <w:t xml:space="preserve">r measures to highlight the specific connection between education and gender. The four measures include: access, attainment, achievement, and accomplishment. </w:t>
      </w:r>
    </w:p>
    <w:p w14:paraId="5AD4D4A6" w14:textId="5720193E" w:rsidR="00082233" w:rsidRPr="005A6293" w:rsidRDefault="00082233" w:rsidP="0068257B">
      <w:pPr>
        <w:spacing w:line="480" w:lineRule="auto"/>
        <w:ind w:firstLine="720"/>
        <w:rPr>
          <w:rFonts w:eastAsia="Times New Roman" w:cs="Times New Roman"/>
        </w:rPr>
      </w:pPr>
      <w:r w:rsidRPr="005A6293">
        <w:rPr>
          <w:rFonts w:eastAsia="Times New Roman" w:cs="Times New Roman"/>
        </w:rPr>
        <w:t>I utilize these measures to initiate discussion on the different impacts of gender, the different implications of measurement tools, and lastly to gather a holistic picture of female education in Kenya. These four measures have been highlighted in education policy recommendations by Odaga a</w:t>
      </w:r>
      <w:r w:rsidR="00B519E2" w:rsidRPr="005A6293">
        <w:rPr>
          <w:rFonts w:eastAsia="Times New Roman" w:cs="Times New Roman"/>
        </w:rPr>
        <w:t>nd Heneveld</w:t>
      </w:r>
      <w:r w:rsidRPr="005A6293">
        <w:rPr>
          <w:rFonts w:eastAsia="Times New Roman" w:cs="Times New Roman"/>
        </w:rPr>
        <w:t>.</w:t>
      </w:r>
      <w:r w:rsidR="00DC7DD3" w:rsidRPr="005A6293">
        <w:rPr>
          <w:rStyle w:val="FootnoteReference"/>
          <w:rFonts w:eastAsia="Times New Roman" w:cs="Times New Roman"/>
        </w:rPr>
        <w:footnoteReference w:id="28"/>
      </w:r>
      <w:r w:rsidRPr="005A6293">
        <w:rPr>
          <w:rFonts w:eastAsia="Times New Roman" w:cs="Times New Roman"/>
        </w:rPr>
        <w:t xml:space="preserve"> The first two </w:t>
      </w:r>
      <w:r w:rsidR="00992C0F" w:rsidRPr="005A6293">
        <w:rPr>
          <w:rFonts w:eastAsia="Times New Roman" w:cs="Times New Roman"/>
        </w:rPr>
        <w:t>markers, access and attainment, are</w:t>
      </w:r>
      <w:r w:rsidRPr="005A6293">
        <w:rPr>
          <w:rFonts w:eastAsia="Times New Roman" w:cs="Times New Roman"/>
        </w:rPr>
        <w:t xml:space="preserve"> captured using quantitative data. </w:t>
      </w:r>
      <w:r w:rsidR="00992C0F" w:rsidRPr="005A6293">
        <w:rPr>
          <w:rFonts w:eastAsia="Times New Roman" w:cs="Times New Roman"/>
        </w:rPr>
        <w:t xml:space="preserve">Access is captured through enrollment data; the assumption is that students who are not enrolled in education have some restriction to accessing education. Attainment is </w:t>
      </w:r>
      <w:r w:rsidR="00A10462" w:rsidRPr="005A6293">
        <w:rPr>
          <w:rFonts w:eastAsia="Times New Roman" w:cs="Times New Roman"/>
        </w:rPr>
        <w:t xml:space="preserve">defined simply as the years of schooling, or the investment in education. </w:t>
      </w:r>
      <w:r w:rsidRPr="005A6293">
        <w:rPr>
          <w:rFonts w:eastAsia="Times New Roman" w:cs="Times New Roman"/>
        </w:rPr>
        <w:t xml:space="preserve">The second two markers, achievement and accomplishment, </w:t>
      </w:r>
      <w:r w:rsidR="006443C1" w:rsidRPr="005A6293">
        <w:rPr>
          <w:rFonts w:eastAsia="Times New Roman" w:cs="Times New Roman"/>
        </w:rPr>
        <w:t xml:space="preserve">are </w:t>
      </w:r>
      <w:r w:rsidRPr="005A6293">
        <w:rPr>
          <w:rFonts w:eastAsia="Times New Roman" w:cs="Times New Roman"/>
        </w:rPr>
        <w:t xml:space="preserve">gathered through qualitative data. </w:t>
      </w:r>
      <w:r w:rsidR="006443C1" w:rsidRPr="005A6293">
        <w:rPr>
          <w:rFonts w:eastAsia="Times New Roman" w:cs="Times New Roman"/>
        </w:rPr>
        <w:t xml:space="preserve">I operationalize achievement by analyzing barriers to education based off gender, and posit that these barriers deter or </w:t>
      </w:r>
      <w:r w:rsidR="006443C1" w:rsidRPr="005A6293">
        <w:rPr>
          <w:rFonts w:eastAsia="Times New Roman" w:cs="Times New Roman"/>
        </w:rPr>
        <w:lastRenderedPageBreak/>
        <w:t xml:space="preserve">hamper females from gaining full achievement in education. Finally, I define accomplishment as the possibilities females can realize once education is completed. </w:t>
      </w:r>
      <w:r w:rsidRPr="005A6293">
        <w:rPr>
          <w:rFonts w:eastAsia="Times New Roman" w:cs="Times New Roman"/>
        </w:rPr>
        <w:t>The four markers together represent a continuum. The first marker, access, is the easiest in many ways both to measure and to obtain. As you progress down the continuum, measurement and equality become harder to obtain, with achievement and accomplishment both presenting persistent inequality</w:t>
      </w:r>
      <w:r w:rsidR="00723F0B" w:rsidRPr="005A6293">
        <w:rPr>
          <w:rFonts w:eastAsia="Times New Roman" w:cs="Times New Roman"/>
        </w:rPr>
        <w:t xml:space="preserve"> </w:t>
      </w:r>
    </w:p>
    <w:p w14:paraId="7FF8E43F" w14:textId="49025F73" w:rsidR="00151778" w:rsidRPr="005A6293" w:rsidRDefault="00EC222A" w:rsidP="0068257B">
      <w:pPr>
        <w:spacing w:line="480" w:lineRule="auto"/>
        <w:ind w:firstLine="720"/>
        <w:rPr>
          <w:rFonts w:eastAsia="Times New Roman" w:cs="Times New Roman"/>
        </w:rPr>
      </w:pPr>
      <w:r w:rsidRPr="005A6293">
        <w:rPr>
          <w:rFonts w:eastAsia="Times New Roman" w:cs="Times New Roman"/>
        </w:rPr>
        <w:t xml:space="preserve">In this paper, I only focus on the relationship between gender and education. While I acknowledge that sex and gender are separate analytical tools, creating enough separation between the two categories is outside the ability of the information I employ in this thesis. Sex is often employed as a biological label that differentiates between males and females biologically. Gender, however, is a </w:t>
      </w:r>
      <w:r w:rsidR="00C15E83" w:rsidRPr="005A6293">
        <w:rPr>
          <w:rFonts w:eastAsia="Times New Roman" w:cs="Times New Roman"/>
        </w:rPr>
        <w:t>“</w:t>
      </w:r>
      <w:r w:rsidR="00082233" w:rsidRPr="005A6293">
        <w:rPr>
          <w:rFonts w:eastAsia="Times New Roman" w:cs="Times New Roman"/>
        </w:rPr>
        <w:t>social construction of biological sexual differences and the attribution of particular traits, abilities, and responsibilities to women and men, with the end result that asymmetrical power relations are built to the disadvant</w:t>
      </w:r>
      <w:r w:rsidR="00C15E83" w:rsidRPr="005A6293">
        <w:rPr>
          <w:rFonts w:eastAsia="Times New Roman" w:cs="Times New Roman"/>
        </w:rPr>
        <w:t>age of women”</w:t>
      </w:r>
      <w:r w:rsidR="00082233" w:rsidRPr="005A6293">
        <w:rPr>
          <w:rFonts w:eastAsia="Times New Roman" w:cs="Times New Roman"/>
        </w:rPr>
        <w:t>.</w:t>
      </w:r>
      <w:r w:rsidR="001D464C" w:rsidRPr="005A6293">
        <w:rPr>
          <w:rStyle w:val="FootnoteReference"/>
          <w:rFonts w:eastAsia="Times New Roman" w:cs="Times New Roman"/>
        </w:rPr>
        <w:footnoteReference w:id="29"/>
      </w:r>
      <w:r w:rsidR="00082233" w:rsidRPr="005A6293">
        <w:rPr>
          <w:rFonts w:eastAsia="Times New Roman" w:cs="Times New Roman"/>
        </w:rPr>
        <w:t xml:space="preserve"> Therefore, sex is categorically a biological label, while gender is a socially constructed identity that is often based on biology. Gender inherently creates differences between individuals and is pervasive</w:t>
      </w:r>
      <w:r w:rsidR="00E00A21" w:rsidRPr="005A6293">
        <w:rPr>
          <w:rFonts w:eastAsia="Times New Roman" w:cs="Times New Roman"/>
        </w:rPr>
        <w:t xml:space="preserve"> throughout society, and</w:t>
      </w:r>
      <w:r w:rsidR="00082233" w:rsidRPr="005A6293">
        <w:rPr>
          <w:rFonts w:eastAsia="Times New Roman" w:cs="Times New Roman"/>
        </w:rPr>
        <w:t xml:space="preserve"> is formalized in gender structures, which are “culturally constructed, historically changing, and often an unstable sys</w:t>
      </w:r>
      <w:r w:rsidR="00C96A0D" w:rsidRPr="005A6293">
        <w:rPr>
          <w:rFonts w:eastAsia="Times New Roman" w:cs="Times New Roman"/>
        </w:rPr>
        <w:t>tem of difference”</w:t>
      </w:r>
      <w:r w:rsidR="00082233" w:rsidRPr="005A6293">
        <w:rPr>
          <w:rFonts w:eastAsia="Times New Roman" w:cs="Times New Roman"/>
        </w:rPr>
        <w:t>.</w:t>
      </w:r>
      <w:r w:rsidR="001D464C" w:rsidRPr="005A6293">
        <w:rPr>
          <w:rStyle w:val="FootnoteReference"/>
          <w:rFonts w:eastAsia="Times New Roman" w:cs="Times New Roman"/>
        </w:rPr>
        <w:footnoteReference w:id="30"/>
      </w:r>
      <w:r w:rsidR="00082233" w:rsidRPr="005A6293">
        <w:rPr>
          <w:rFonts w:eastAsia="Times New Roman" w:cs="Times New Roman"/>
        </w:rPr>
        <w:t xml:space="preserve"> These structures are hierarchical and skewed to favor men. </w:t>
      </w:r>
      <w:r w:rsidR="00E00A21" w:rsidRPr="005A6293">
        <w:rPr>
          <w:rFonts w:eastAsia="Times New Roman" w:cs="Times New Roman"/>
        </w:rPr>
        <w:t xml:space="preserve">Unfortunately, historically sex and gender have overlapped in manners that make separating the two terms difficult. Therefore, due to </w:t>
      </w:r>
      <w:r w:rsidR="00E00A21" w:rsidRPr="005A6293">
        <w:rPr>
          <w:rFonts w:eastAsia="Times New Roman" w:cs="Times New Roman"/>
        </w:rPr>
        <w:lastRenderedPageBreak/>
        <w:t>limitations in</w:t>
      </w:r>
      <w:r w:rsidR="002367BC" w:rsidRPr="005A6293">
        <w:rPr>
          <w:rFonts w:eastAsia="Times New Roman" w:cs="Times New Roman"/>
        </w:rPr>
        <w:t xml:space="preserve"> the data that I employ, I utilize</w:t>
      </w:r>
      <w:r w:rsidR="00E00A21" w:rsidRPr="005A6293">
        <w:rPr>
          <w:rFonts w:eastAsia="Times New Roman" w:cs="Times New Roman"/>
        </w:rPr>
        <w:t xml:space="preserve"> the term gender and not sex in full understanding that gender is a complex term that does not perfectly align with sex, but does overlap with sex in almost all of the data that I employ in this thesis. </w:t>
      </w:r>
      <w:r w:rsidR="00082233" w:rsidRPr="005A6293">
        <w:rPr>
          <w:rFonts w:cs="Times New Roman"/>
        </w:rPr>
        <w:t xml:space="preserve">Therefore, </w:t>
      </w:r>
      <w:r w:rsidR="001D2CEB" w:rsidRPr="005A6293">
        <w:rPr>
          <w:rFonts w:cs="Times New Roman"/>
        </w:rPr>
        <w:t>I</w:t>
      </w:r>
      <w:r w:rsidR="00A22929" w:rsidRPr="005A6293">
        <w:rPr>
          <w:rFonts w:cs="Times New Roman"/>
        </w:rPr>
        <w:t xml:space="preserve"> map</w:t>
      </w:r>
      <w:r w:rsidR="00082233" w:rsidRPr="005A6293">
        <w:rPr>
          <w:rFonts w:cs="Times New Roman"/>
        </w:rPr>
        <w:t xml:space="preserve"> the shifting nature of gender structures in Kenya through the process of colonial</w:t>
      </w:r>
      <w:r w:rsidR="00646128" w:rsidRPr="005A6293">
        <w:rPr>
          <w:rFonts w:cs="Times New Roman"/>
        </w:rPr>
        <w:t>ism and independence and signify</w:t>
      </w:r>
      <w:r w:rsidR="00082233" w:rsidRPr="005A6293">
        <w:rPr>
          <w:rFonts w:cs="Times New Roman"/>
        </w:rPr>
        <w:t xml:space="preserve"> channels through which changes in gender structures impacted education.</w:t>
      </w:r>
    </w:p>
    <w:p w14:paraId="31E9E19E" w14:textId="77777777" w:rsidR="00082233" w:rsidRPr="005A6293" w:rsidRDefault="00082233" w:rsidP="0068257B">
      <w:pPr>
        <w:spacing w:line="480" w:lineRule="auto"/>
        <w:outlineLvl w:val="0"/>
        <w:rPr>
          <w:rFonts w:cs="Times New Roman"/>
        </w:rPr>
      </w:pPr>
      <w:r w:rsidRPr="005A6293">
        <w:rPr>
          <w:rFonts w:cs="Times New Roman"/>
          <w:b/>
          <w:bCs/>
        </w:rPr>
        <w:t>Literature</w:t>
      </w:r>
    </w:p>
    <w:p w14:paraId="74814A9A" w14:textId="55C64713" w:rsidR="00082233" w:rsidRPr="005A6293" w:rsidRDefault="00A567CD" w:rsidP="0068257B">
      <w:pPr>
        <w:spacing w:line="480" w:lineRule="auto"/>
        <w:ind w:firstLine="720"/>
        <w:rPr>
          <w:rFonts w:cs="Times New Roman"/>
        </w:rPr>
      </w:pPr>
      <w:r w:rsidRPr="005A6293">
        <w:rPr>
          <w:rFonts w:cs="Times New Roman"/>
        </w:rPr>
        <w:t>Education is a chief</w:t>
      </w:r>
      <w:r w:rsidR="00082233" w:rsidRPr="005A6293">
        <w:rPr>
          <w:rFonts w:cs="Times New Roman"/>
        </w:rPr>
        <w:t xml:space="preserve"> pillar of development. Whether the roots of development are traced back to the internationalist era after World War II with President Truman's Four Point Speech or to further roots of colonialism, education has always been at the forefront of deve</w:t>
      </w:r>
      <w:r w:rsidR="00FD4894" w:rsidRPr="005A6293">
        <w:rPr>
          <w:rFonts w:cs="Times New Roman"/>
        </w:rPr>
        <w:t>lopment initiatives</w:t>
      </w:r>
      <w:r w:rsidR="00082233" w:rsidRPr="005A6293">
        <w:rPr>
          <w:rFonts w:cs="Times New Roman"/>
        </w:rPr>
        <w:t>.</w:t>
      </w:r>
      <w:r w:rsidR="00FD4894" w:rsidRPr="005A6293">
        <w:rPr>
          <w:rStyle w:val="FootnoteReference"/>
          <w:rFonts w:cs="Times New Roman"/>
        </w:rPr>
        <w:footnoteReference w:id="31"/>
      </w:r>
      <w:r w:rsidR="00082233" w:rsidRPr="005A6293">
        <w:rPr>
          <w:rFonts w:cs="Times New Roman"/>
        </w:rPr>
        <w:t xml:space="preserve"> Currently, education is championed by organizations ranging from huge transnational giants to small non-profit grassroots organizations. The most well-known initiative is arguably the Millennium Development Goals, which later transformed into the Sustainable Development Goals that are part of the United Nations program for development. These goals, along with goals put forth by many organizations, champion education as a necessary part of development. </w:t>
      </w:r>
    </w:p>
    <w:p w14:paraId="1F17FED7" w14:textId="38C83BC3" w:rsidR="00082233" w:rsidRPr="005A6293" w:rsidRDefault="006610E9" w:rsidP="0068257B">
      <w:pPr>
        <w:spacing w:line="480" w:lineRule="auto"/>
        <w:ind w:firstLine="720"/>
        <w:rPr>
          <w:rFonts w:cs="Times New Roman"/>
        </w:rPr>
      </w:pPr>
      <w:r w:rsidRPr="005A6293">
        <w:rPr>
          <w:rFonts w:cs="Times New Roman"/>
        </w:rPr>
        <w:t>The way development utilizes</w:t>
      </w:r>
      <w:r w:rsidR="00342DEB" w:rsidRPr="005A6293">
        <w:rPr>
          <w:rFonts w:cs="Times New Roman"/>
        </w:rPr>
        <w:t xml:space="preserve"> education</w:t>
      </w:r>
      <w:r w:rsidR="008901BA" w:rsidRPr="005A6293">
        <w:rPr>
          <w:rFonts w:cs="Times New Roman"/>
        </w:rPr>
        <w:t xml:space="preserve"> changes throughout time</w:t>
      </w:r>
      <w:r w:rsidR="00082233" w:rsidRPr="005A6293">
        <w:rPr>
          <w:rFonts w:cs="Times New Roman"/>
        </w:rPr>
        <w:t xml:space="preserve">. During colonialism, education was more clearly used as a tool to develop people; racist ideology justified as scientific </w:t>
      </w:r>
      <w:r w:rsidR="00C15E83" w:rsidRPr="005A6293">
        <w:rPr>
          <w:rFonts w:cs="Times New Roman"/>
        </w:rPr>
        <w:t>ideology viewed some humans as “more developed”</w:t>
      </w:r>
      <w:r w:rsidR="00082233" w:rsidRPr="005A6293">
        <w:rPr>
          <w:rFonts w:cs="Times New Roman"/>
        </w:rPr>
        <w:t xml:space="preserve"> than</w:t>
      </w:r>
      <w:r w:rsidR="00DF072E" w:rsidRPr="005A6293">
        <w:rPr>
          <w:rFonts w:cs="Times New Roman"/>
        </w:rPr>
        <w:t xml:space="preserve"> </w:t>
      </w:r>
      <w:r w:rsidR="00DF072E" w:rsidRPr="005A6293">
        <w:rPr>
          <w:rFonts w:cs="Times New Roman"/>
        </w:rPr>
        <w:lastRenderedPageBreak/>
        <w:t>others</w:t>
      </w:r>
      <w:r w:rsidR="00082233" w:rsidRPr="005A6293">
        <w:rPr>
          <w:rFonts w:cs="Times New Roman"/>
        </w:rPr>
        <w:t>.</w:t>
      </w:r>
      <w:r w:rsidR="00FD4894" w:rsidRPr="005A6293">
        <w:rPr>
          <w:rStyle w:val="FootnoteReference"/>
          <w:rFonts w:cs="Times New Roman"/>
        </w:rPr>
        <w:footnoteReference w:id="32"/>
      </w:r>
      <w:r w:rsidR="00900C26" w:rsidRPr="005A6293">
        <w:rPr>
          <w:rFonts w:cs="Times New Roman"/>
        </w:rPr>
        <w:t xml:space="preserve"> Thus, during colonialism, whether one was an</w:t>
      </w:r>
      <w:r w:rsidR="00082233" w:rsidRPr="005A6293">
        <w:rPr>
          <w:rFonts w:cs="Times New Roman"/>
        </w:rPr>
        <w:t xml:space="preserve"> administrator or a missionary, education was often used as a to</w:t>
      </w:r>
      <w:r w:rsidR="00C15E83" w:rsidRPr="005A6293">
        <w:rPr>
          <w:rFonts w:cs="Times New Roman"/>
        </w:rPr>
        <w:t>ol to “enhance”</w:t>
      </w:r>
      <w:r w:rsidR="00082233" w:rsidRPr="005A6293">
        <w:rPr>
          <w:rFonts w:cs="Times New Roman"/>
        </w:rPr>
        <w:t xml:space="preserve"> people more so than a path to develop a</w:t>
      </w:r>
      <w:r w:rsidR="00F971CF" w:rsidRPr="005A6293">
        <w:rPr>
          <w:rFonts w:cs="Times New Roman"/>
        </w:rPr>
        <w:t xml:space="preserve"> nation</w:t>
      </w:r>
      <w:r w:rsidR="00082233" w:rsidRPr="005A6293">
        <w:rPr>
          <w:rFonts w:cs="Times New Roman"/>
        </w:rPr>
        <w:t>.</w:t>
      </w:r>
      <w:r w:rsidR="00FD4894" w:rsidRPr="005A6293">
        <w:rPr>
          <w:rStyle w:val="FootnoteReference"/>
          <w:rFonts w:cs="Times New Roman"/>
        </w:rPr>
        <w:footnoteReference w:id="33"/>
      </w:r>
      <w:r w:rsidR="00082233" w:rsidRPr="005A6293">
        <w:rPr>
          <w:rFonts w:cs="Times New Roman"/>
        </w:rPr>
        <w:t xml:space="preserve"> Humanitarianism during the internationalist era after World War II took on less overtly racist tones, and championed education as a tool to develop nations and countries. However, the switch from overt racism to paternalism still denies full humanity to </w:t>
      </w:r>
      <w:r w:rsidR="00854D12" w:rsidRPr="005A6293">
        <w:rPr>
          <w:rFonts w:cs="Times New Roman"/>
        </w:rPr>
        <w:t>individuals within Kenya</w:t>
      </w:r>
      <w:r w:rsidR="00082233" w:rsidRPr="005A6293">
        <w:rPr>
          <w:rFonts w:cs="Times New Roman"/>
        </w:rPr>
        <w:t xml:space="preserve">. </w:t>
      </w:r>
      <w:r w:rsidR="00CB1A18" w:rsidRPr="005A6293">
        <w:rPr>
          <w:rFonts w:cs="Times New Roman"/>
        </w:rPr>
        <w:t>I break</w:t>
      </w:r>
      <w:r w:rsidR="00082233" w:rsidRPr="005A6293">
        <w:rPr>
          <w:rFonts w:cs="Times New Roman"/>
        </w:rPr>
        <w:t xml:space="preserve"> w</w:t>
      </w:r>
      <w:r w:rsidR="001C3F60" w:rsidRPr="005A6293">
        <w:rPr>
          <w:rFonts w:cs="Times New Roman"/>
        </w:rPr>
        <w:t>ith current uses of education in</w:t>
      </w:r>
      <w:r w:rsidR="00082233" w:rsidRPr="005A6293">
        <w:rPr>
          <w:rFonts w:cs="Times New Roman"/>
        </w:rPr>
        <w:t xml:space="preserve"> the idea of justice embedded in a human capabilities approach modeled after Amartya Sen and Martha Nussbaum. Education is not needed as a tool to develop people, nor is it needed to develop a society that cannot develop itself, but rather education is an opportunity that any individual should have the freedom to enjoy so that they may realize more freedoms such as political involvement, social equality, and economi</w:t>
      </w:r>
      <w:r w:rsidR="003527CC" w:rsidRPr="005A6293">
        <w:rPr>
          <w:rFonts w:cs="Times New Roman"/>
        </w:rPr>
        <w:t>c opportunities</w:t>
      </w:r>
      <w:r w:rsidR="00082233" w:rsidRPr="005A6293">
        <w:rPr>
          <w:rFonts w:cs="Times New Roman"/>
        </w:rPr>
        <w:t>.</w:t>
      </w:r>
      <w:r w:rsidR="00FD4894" w:rsidRPr="005A6293">
        <w:rPr>
          <w:rStyle w:val="FootnoteReference"/>
          <w:rFonts w:cs="Times New Roman"/>
        </w:rPr>
        <w:footnoteReference w:id="34"/>
      </w:r>
      <w:r w:rsidR="00082233" w:rsidRPr="005A6293">
        <w:rPr>
          <w:rFonts w:cs="Times New Roman"/>
        </w:rPr>
        <w:t xml:space="preserve"> </w:t>
      </w:r>
    </w:p>
    <w:p w14:paraId="7698528C" w14:textId="04A33566" w:rsidR="00082233" w:rsidRPr="005A6293" w:rsidRDefault="00082233" w:rsidP="0068257B">
      <w:pPr>
        <w:spacing w:line="480" w:lineRule="auto"/>
        <w:ind w:firstLine="720"/>
        <w:rPr>
          <w:rFonts w:cs="Times New Roman"/>
        </w:rPr>
      </w:pPr>
      <w:r w:rsidRPr="005A6293">
        <w:rPr>
          <w:rFonts w:cs="Times New Roman"/>
        </w:rPr>
        <w:t xml:space="preserve">Literature concerning education as a tool of development not only covers the ideology behind why education is utilized, but also the mechanisms for how education has been utilized. Overall, there has been a shift from the focus on the short-run goals of education to a focus on the long-run goals of education. Previously, policy prioritized access to education and high attendance, or </w:t>
      </w:r>
      <w:r w:rsidR="00DC0547" w:rsidRPr="005A6293">
        <w:rPr>
          <w:rFonts w:cs="Times New Roman"/>
        </w:rPr>
        <w:t>a push for quantity</w:t>
      </w:r>
      <w:r w:rsidRPr="005A6293">
        <w:rPr>
          <w:rFonts w:cs="Times New Roman"/>
        </w:rPr>
        <w:t>.</w:t>
      </w:r>
      <w:r w:rsidR="00FD4894" w:rsidRPr="005A6293">
        <w:rPr>
          <w:rStyle w:val="FootnoteReference"/>
          <w:rFonts w:cs="Times New Roman"/>
        </w:rPr>
        <w:footnoteReference w:id="35"/>
      </w:r>
      <w:r w:rsidRPr="005A6293">
        <w:rPr>
          <w:rFonts w:cs="Times New Roman"/>
        </w:rPr>
        <w:t xml:space="preserve"> Once quantity rose, the issue moved on to the quality of education. Now more work reviews the quality of education, achievements in education, and accomplishments available after </w:t>
      </w:r>
      <w:r w:rsidR="00DC0547" w:rsidRPr="005A6293">
        <w:rPr>
          <w:rFonts w:cs="Times New Roman"/>
        </w:rPr>
        <w:t xml:space="preserve">education </w:t>
      </w:r>
      <w:r w:rsidR="00DC0547" w:rsidRPr="005A6293">
        <w:rPr>
          <w:rFonts w:cs="Times New Roman"/>
        </w:rPr>
        <w:lastRenderedPageBreak/>
        <w:t>has ended</w:t>
      </w:r>
      <w:r w:rsidRPr="005A6293">
        <w:rPr>
          <w:rFonts w:cs="Times New Roman"/>
        </w:rPr>
        <w:t>.</w:t>
      </w:r>
      <w:r w:rsidR="00FD4894" w:rsidRPr="005A6293">
        <w:rPr>
          <w:rStyle w:val="FootnoteReference"/>
          <w:rFonts w:cs="Times New Roman"/>
        </w:rPr>
        <w:footnoteReference w:id="36"/>
      </w:r>
      <w:r w:rsidRPr="005A6293">
        <w:rPr>
          <w:rFonts w:cs="Times New Roman"/>
        </w:rPr>
        <w:t xml:space="preserve"> For example, Warrington and Kiragu denote several different theoretical frameworks in economics that have focused on education quality, including: human capital approaches, human rights approaches, and social justice approach</w:t>
      </w:r>
      <w:r w:rsidR="00DC0547" w:rsidRPr="005A6293">
        <w:rPr>
          <w:rFonts w:cs="Times New Roman"/>
        </w:rPr>
        <w:t>es</w:t>
      </w:r>
      <w:r w:rsidRPr="005A6293">
        <w:rPr>
          <w:rFonts w:cs="Times New Roman"/>
        </w:rPr>
        <w:t>.</w:t>
      </w:r>
      <w:r w:rsidR="00FD4894" w:rsidRPr="005A6293">
        <w:rPr>
          <w:rStyle w:val="FootnoteReference"/>
          <w:rFonts w:cs="Times New Roman"/>
        </w:rPr>
        <w:footnoteReference w:id="37"/>
      </w:r>
      <w:r w:rsidRPr="005A6293">
        <w:rPr>
          <w:rFonts w:cs="Times New Roman"/>
        </w:rPr>
        <w:t xml:space="preserve"> </w:t>
      </w:r>
    </w:p>
    <w:p w14:paraId="4CA3B9E6" w14:textId="6CDC4DFD" w:rsidR="00082233" w:rsidRPr="005A6293" w:rsidRDefault="00082233" w:rsidP="0068257B">
      <w:pPr>
        <w:spacing w:line="480" w:lineRule="auto"/>
        <w:ind w:firstLine="720"/>
        <w:rPr>
          <w:rFonts w:cs="Times New Roman"/>
        </w:rPr>
      </w:pPr>
      <w:r w:rsidRPr="005A6293">
        <w:rPr>
          <w:rFonts w:cs="Times New Roman"/>
        </w:rPr>
        <w:t xml:space="preserve">Another trend in development </w:t>
      </w:r>
      <w:r w:rsidR="00F40F50" w:rsidRPr="005A6293">
        <w:rPr>
          <w:rFonts w:cs="Times New Roman"/>
        </w:rPr>
        <w:t xml:space="preserve">literature </w:t>
      </w:r>
      <w:r w:rsidR="00E8413F" w:rsidRPr="005A6293">
        <w:rPr>
          <w:rFonts w:cs="Times New Roman"/>
        </w:rPr>
        <w:t>I follow</w:t>
      </w:r>
      <w:r w:rsidRPr="005A6293">
        <w:rPr>
          <w:rFonts w:cs="Times New Roman"/>
        </w:rPr>
        <w:t xml:space="preserve"> is the greater inclusion of how other social structures such as culture impact education. The type of education has historically been heavily influenced by culture, whether it be </w:t>
      </w:r>
      <w:r w:rsidR="00487521" w:rsidRPr="005A6293">
        <w:rPr>
          <w:rFonts w:cs="Times New Roman"/>
        </w:rPr>
        <w:t>indigenous</w:t>
      </w:r>
      <w:r w:rsidRPr="005A6293">
        <w:rPr>
          <w:rFonts w:cs="Times New Roman"/>
        </w:rPr>
        <w:t xml:space="preserve"> education in pre-colonial Kenya or the education system imposed by colonialist that was heavily influenced by Western culture. Academics have been looking at different avenues through which culture still impacts education today, such as teacher behaviors and curriculum.</w:t>
      </w:r>
      <w:r w:rsidR="00E6050F" w:rsidRPr="005A6293">
        <w:rPr>
          <w:rStyle w:val="FootnoteReference"/>
          <w:rFonts w:cs="Times New Roman"/>
        </w:rPr>
        <w:footnoteReference w:id="38"/>
      </w:r>
      <w:r w:rsidRPr="005A6293">
        <w:rPr>
          <w:rFonts w:cs="Times New Roman"/>
        </w:rPr>
        <w:t xml:space="preserve"> </w:t>
      </w:r>
    </w:p>
    <w:p w14:paraId="1E3B085D" w14:textId="1DA783EA" w:rsidR="003F5E1B" w:rsidRPr="005A6293" w:rsidRDefault="003F5E1B" w:rsidP="003F5E1B">
      <w:pPr>
        <w:spacing w:line="480" w:lineRule="auto"/>
        <w:rPr>
          <w:rFonts w:cs="Times New Roman"/>
        </w:rPr>
      </w:pPr>
      <w:r w:rsidRPr="005A6293">
        <w:rPr>
          <w:rFonts w:cs="Times New Roman"/>
          <w:i/>
        </w:rPr>
        <w:t>Gender and Education</w:t>
      </w:r>
    </w:p>
    <w:p w14:paraId="1098F8E2" w14:textId="228884E0" w:rsidR="00E3393D" w:rsidRPr="005A6293" w:rsidRDefault="00D22DA2" w:rsidP="00E3393D">
      <w:pPr>
        <w:pStyle w:val="NoSpacing"/>
        <w:spacing w:line="480" w:lineRule="auto"/>
        <w:ind w:firstLine="720"/>
        <w:rPr>
          <w:rFonts w:eastAsia="Times New Roman" w:cs="Times New Roman"/>
          <w:color w:val="000000" w:themeColor="text1"/>
        </w:rPr>
      </w:pPr>
      <w:r w:rsidRPr="005A6293">
        <w:rPr>
          <w:rFonts w:cs="Times New Roman"/>
        </w:rPr>
        <w:t xml:space="preserve">In addition to culture, education is impacted by gender specifically. </w:t>
      </w:r>
      <w:r w:rsidR="00E3393D" w:rsidRPr="005A6293">
        <w:rPr>
          <w:rFonts w:eastAsia="Times New Roman" w:cs="Times New Roman"/>
          <w:color w:val="000000" w:themeColor="text1"/>
        </w:rPr>
        <w:t>To unpack how gender is constructed and reinforced through school, it is critical to first understand how school is a gendered institution</w:t>
      </w:r>
      <w:r w:rsidR="00E55D2F" w:rsidRPr="005A6293">
        <w:rPr>
          <w:rFonts w:eastAsia="Times New Roman" w:cs="Times New Roman"/>
          <w:color w:val="000000" w:themeColor="text1"/>
        </w:rPr>
        <w:t xml:space="preserve">. </w:t>
      </w:r>
      <w:r w:rsidR="00E3393D" w:rsidRPr="005A6293">
        <w:rPr>
          <w:rFonts w:eastAsia="Times New Roman" w:cs="Times New Roman"/>
          <w:color w:val="000000" w:themeColor="text1"/>
        </w:rPr>
        <w:t>Dunne, Humphreys, and Leach demonstrate the importance of schools as sites of gender identity construction when they state, “schools are key sites where the global and local converge and through which global and local social relations are reproduced and transformed”.</w:t>
      </w:r>
      <w:r w:rsidR="00E3393D" w:rsidRPr="005A6293">
        <w:rPr>
          <w:rStyle w:val="FootnoteReference"/>
          <w:rFonts w:eastAsia="Times New Roman" w:cs="Times New Roman"/>
          <w:color w:val="000000" w:themeColor="text1"/>
        </w:rPr>
        <w:footnoteReference w:id="39"/>
      </w:r>
      <w:r w:rsidR="00E3393D" w:rsidRPr="005A6293">
        <w:rPr>
          <w:rFonts w:eastAsia="Times New Roman" w:cs="Times New Roman"/>
          <w:color w:val="000000" w:themeColor="text1"/>
        </w:rPr>
        <w:t xml:space="preserve"> Construction and reproduction of gender identities, both male and female, implies active participation in understanding </w:t>
      </w:r>
      <w:r w:rsidR="00E3393D" w:rsidRPr="005A6293">
        <w:rPr>
          <w:rFonts w:eastAsia="Times New Roman" w:cs="Times New Roman"/>
          <w:color w:val="000000" w:themeColor="text1"/>
        </w:rPr>
        <w:lastRenderedPageBreak/>
        <w:t>and reproducing gender values and norms by students. As Dunne, Humphreys, and Leach state, “gender identities are performed over time through individual and collective acts of accommodation and resistance, rather than given or passively accomplished”.</w:t>
      </w:r>
      <w:r w:rsidR="00E3393D" w:rsidRPr="005A6293">
        <w:rPr>
          <w:rStyle w:val="FootnoteReference"/>
          <w:rFonts w:eastAsia="Times New Roman" w:cs="Times New Roman"/>
          <w:color w:val="000000" w:themeColor="text1"/>
        </w:rPr>
        <w:footnoteReference w:id="40"/>
      </w:r>
      <w:r w:rsidR="00E3393D" w:rsidRPr="005A6293">
        <w:rPr>
          <w:rFonts w:eastAsia="Times New Roman" w:cs="Times New Roman"/>
          <w:color w:val="000000" w:themeColor="text1"/>
        </w:rPr>
        <w:t xml:space="preserve"> Although, it is unclear how much power pupils have over resistance to gender identities; Bence-Wilkins, who performed a case study of primary education in Kenya, posits that “pupils lacked opportunities to question concepts of gender that they are confronted with in class and therefore may have been more inclined to internalize them”.</w:t>
      </w:r>
      <w:r w:rsidR="00E3393D" w:rsidRPr="005A6293">
        <w:rPr>
          <w:rStyle w:val="FootnoteReference"/>
          <w:rFonts w:eastAsia="Times New Roman" w:cs="Times New Roman"/>
          <w:color w:val="000000" w:themeColor="text1"/>
        </w:rPr>
        <w:footnoteReference w:id="41"/>
      </w:r>
      <w:r w:rsidR="00E3393D" w:rsidRPr="005A6293">
        <w:rPr>
          <w:rFonts w:eastAsia="Times New Roman" w:cs="Times New Roman"/>
          <w:color w:val="000000" w:themeColor="text1"/>
        </w:rPr>
        <w:t xml:space="preserve"> Regardless of how must students choose resistance versus accommodation, both genders still grapple with gender identities and values in school. </w:t>
      </w:r>
    </w:p>
    <w:p w14:paraId="0357742D" w14:textId="77777777" w:rsidR="00513FB0" w:rsidRPr="005A6293" w:rsidRDefault="00E3393D" w:rsidP="00E3393D">
      <w:pPr>
        <w:pStyle w:val="NoSpacing"/>
        <w:spacing w:line="480" w:lineRule="auto"/>
        <w:rPr>
          <w:rFonts w:eastAsia="Times New Roman" w:cs="Times New Roman"/>
          <w:color w:val="000000" w:themeColor="text1"/>
        </w:rPr>
      </w:pPr>
      <w:r w:rsidRPr="005A6293">
        <w:rPr>
          <w:rFonts w:eastAsia="Times New Roman" w:cs="Times New Roman"/>
          <w:color w:val="000000" w:themeColor="text1"/>
        </w:rPr>
        <w:tab/>
        <w:t xml:space="preserve">I utilize three categories to demonstrate the broad range of studies on the gendered experience of education; although this is by no means a comprehensive list of all the scholarship available, it provides a good understanding of how </w:t>
      </w:r>
      <w:r w:rsidR="007A6144" w:rsidRPr="005A6293">
        <w:rPr>
          <w:rFonts w:eastAsia="Times New Roman" w:cs="Times New Roman"/>
          <w:color w:val="000000" w:themeColor="text1"/>
        </w:rPr>
        <w:t>to</w:t>
      </w:r>
      <w:r w:rsidRPr="005A6293">
        <w:rPr>
          <w:rFonts w:eastAsia="Times New Roman" w:cs="Times New Roman"/>
          <w:color w:val="000000" w:themeColor="text1"/>
        </w:rPr>
        <w:t xml:space="preserve"> unpack the gendered experien</w:t>
      </w:r>
      <w:r w:rsidR="0065175F" w:rsidRPr="005A6293">
        <w:rPr>
          <w:rFonts w:eastAsia="Times New Roman" w:cs="Times New Roman"/>
          <w:color w:val="000000" w:themeColor="text1"/>
        </w:rPr>
        <w:t>ce of education. The</w:t>
      </w:r>
      <w:r w:rsidRPr="005A6293">
        <w:rPr>
          <w:rFonts w:eastAsia="Times New Roman" w:cs="Times New Roman"/>
          <w:color w:val="000000" w:themeColor="text1"/>
        </w:rPr>
        <w:t xml:space="preserve"> work can be categorized as following: socio-cultural and social-economic factors, formal mechanisms in the education system, and informal mechanisms in the education system. The first category includes mechanisms that impact the gendered experience of school that come from outside of the education system. The second and third category are both concerned with mechanisms that impact the gendered school experience from inside the education system. </w:t>
      </w:r>
    </w:p>
    <w:p w14:paraId="664A4777" w14:textId="4345313B" w:rsidR="00E3393D" w:rsidRPr="005A6293" w:rsidRDefault="00E3393D" w:rsidP="00513FB0">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The first category</w:t>
      </w:r>
      <w:r w:rsidR="00513FB0" w:rsidRPr="005A6293">
        <w:rPr>
          <w:rFonts w:eastAsia="Times New Roman" w:cs="Times New Roman"/>
          <w:color w:val="000000" w:themeColor="text1"/>
        </w:rPr>
        <w:t>, socio-economic status,</w:t>
      </w:r>
      <w:r w:rsidRPr="005A6293">
        <w:rPr>
          <w:rFonts w:eastAsia="Times New Roman" w:cs="Times New Roman"/>
          <w:color w:val="000000" w:themeColor="text1"/>
        </w:rPr>
        <w:t xml:space="preserve"> is impacted by realities such as: household economic status, household social status, gendered labor demands, direct and </w:t>
      </w:r>
      <w:r w:rsidRPr="005A6293">
        <w:rPr>
          <w:rFonts w:eastAsia="Times New Roman" w:cs="Times New Roman"/>
          <w:color w:val="000000" w:themeColor="text1"/>
        </w:rPr>
        <w:lastRenderedPageBreak/>
        <w:t>indirect costs of education, norms such as early marriage, norms about women’s roles as wives and mothers, employment opportunities, distance to school, gender violence, and health products.</w:t>
      </w:r>
      <w:r w:rsidRPr="005A6293">
        <w:rPr>
          <w:rStyle w:val="FootnoteReference"/>
          <w:rFonts w:eastAsia="Times New Roman" w:cs="Times New Roman"/>
          <w:color w:val="000000" w:themeColor="text1"/>
        </w:rPr>
        <w:footnoteReference w:id="42"/>
      </w:r>
      <w:r w:rsidR="00513FB0" w:rsidRPr="005A6293">
        <w:rPr>
          <w:rFonts w:eastAsia="Times New Roman" w:cs="Times New Roman"/>
          <w:color w:val="000000" w:themeColor="text1"/>
        </w:rPr>
        <w:t xml:space="preserve"> </w:t>
      </w:r>
      <w:r w:rsidRPr="005A6293">
        <w:rPr>
          <w:rFonts w:eastAsia="Times New Roman" w:cs="Times New Roman"/>
          <w:color w:val="000000" w:themeColor="text1"/>
        </w:rPr>
        <w:t>Socio-economic status often impacts girls in different manners than boys, as male education is preferred; therefore, if the family cannot avoid the direct costs such as fees, uniforms, and books or the indirect costs such as loss of labor in household chores, for multiple children, often girls are held back from obtaining more education.</w:t>
      </w:r>
      <w:r w:rsidRPr="005A6293">
        <w:rPr>
          <w:rStyle w:val="FootnoteReference"/>
          <w:rFonts w:eastAsia="Times New Roman" w:cs="Times New Roman"/>
          <w:color w:val="000000" w:themeColor="text1"/>
        </w:rPr>
        <w:footnoteReference w:id="43"/>
      </w:r>
      <w:r w:rsidRPr="005A6293">
        <w:rPr>
          <w:rFonts w:eastAsia="Times New Roman" w:cs="Times New Roman"/>
          <w:color w:val="000000" w:themeColor="text1"/>
        </w:rPr>
        <w:t xml:space="preserve"> Norms also dictate gender inequality in education in Kenya through high value placed by some families on the role of women as wives and mothers. When reproductive rather than productive roles are preferred and advanced for girls and women, education becomes a tool to create suitable wives not productive laborers.</w:t>
      </w:r>
      <w:r w:rsidRPr="005A6293">
        <w:rPr>
          <w:rStyle w:val="FootnoteReference"/>
          <w:rFonts w:eastAsia="Times New Roman" w:cs="Times New Roman"/>
          <w:color w:val="000000" w:themeColor="text1"/>
        </w:rPr>
        <w:footnoteReference w:id="44"/>
      </w:r>
      <w:r w:rsidRPr="005A6293">
        <w:rPr>
          <w:rFonts w:eastAsia="Times New Roman" w:cs="Times New Roman"/>
          <w:color w:val="000000" w:themeColor="text1"/>
        </w:rPr>
        <w:t xml:space="preserve"> This disadvantages higher education through the preference for earlier marriage as well as through the idea that mothers do not need higher levels of education, which creates different opportunities costs of education for boys and girls.</w:t>
      </w:r>
      <w:r w:rsidRPr="005A6293">
        <w:rPr>
          <w:rStyle w:val="FootnoteReference"/>
          <w:rFonts w:eastAsia="Times New Roman" w:cs="Times New Roman"/>
          <w:color w:val="000000" w:themeColor="text1"/>
        </w:rPr>
        <w:footnoteReference w:id="45"/>
      </w:r>
      <w:r w:rsidRPr="005A6293">
        <w:rPr>
          <w:rFonts w:eastAsia="Times New Roman" w:cs="Times New Roman"/>
          <w:color w:val="000000" w:themeColor="text1"/>
        </w:rPr>
        <w:t xml:space="preserve"> Finally, some factors such </w:t>
      </w:r>
      <w:r w:rsidRPr="005A6293">
        <w:rPr>
          <w:rFonts w:eastAsia="Times New Roman" w:cs="Times New Roman"/>
          <w:color w:val="000000" w:themeColor="text1"/>
        </w:rPr>
        <w:lastRenderedPageBreak/>
        <w:t>as distance to school and gender violence also create gender inequality in education. If schools are too great of a distance from the household, both genders might not be able to walk the distance, but girls especially must be wary of gender violence when forced to walk long distances away from home.</w:t>
      </w:r>
      <w:r w:rsidRPr="005A6293">
        <w:rPr>
          <w:rStyle w:val="FootnoteReference"/>
          <w:rFonts w:eastAsia="Times New Roman" w:cs="Times New Roman"/>
          <w:color w:val="000000" w:themeColor="text1"/>
        </w:rPr>
        <w:footnoteReference w:id="46"/>
      </w:r>
      <w:r w:rsidRPr="005A6293">
        <w:rPr>
          <w:rFonts w:eastAsia="Times New Roman" w:cs="Times New Roman"/>
          <w:color w:val="000000" w:themeColor="text1"/>
        </w:rPr>
        <w:t xml:space="preserve"> Also, lack of access to necessary sanitary products such as pads exclude girls from going to school monthly once they reach maturity.</w:t>
      </w:r>
      <w:r w:rsidRPr="005A6293">
        <w:rPr>
          <w:rStyle w:val="FootnoteReference"/>
          <w:rFonts w:eastAsia="Times New Roman" w:cs="Times New Roman"/>
          <w:color w:val="000000" w:themeColor="text1"/>
        </w:rPr>
        <w:footnoteReference w:id="47"/>
      </w:r>
      <w:r w:rsidRPr="005A6293">
        <w:rPr>
          <w:rFonts w:eastAsia="Times New Roman" w:cs="Times New Roman"/>
          <w:color w:val="000000" w:themeColor="text1"/>
        </w:rPr>
        <w:t xml:space="preserve"> All of these realities erect barriers to education that are specifically tied to gender; the combination of any of these barriers disadvantage girls when compared to boys from fully accessing education and obtaining high achievement in education. </w:t>
      </w:r>
    </w:p>
    <w:p w14:paraId="4AA49D96" w14:textId="136B20E3" w:rsidR="00E3393D" w:rsidRPr="005A6293" w:rsidRDefault="00E3393D" w:rsidP="00E3393D">
      <w:pPr>
        <w:pStyle w:val="NoSpacing"/>
        <w:spacing w:line="480" w:lineRule="auto"/>
        <w:rPr>
          <w:rFonts w:eastAsia="Times New Roman" w:cs="Times New Roman"/>
          <w:color w:val="000000" w:themeColor="text1"/>
        </w:rPr>
      </w:pPr>
      <w:r w:rsidRPr="005A6293">
        <w:rPr>
          <w:rFonts w:eastAsia="Times New Roman" w:cs="Times New Roman"/>
          <w:color w:val="000000" w:themeColor="text1"/>
        </w:rPr>
        <w:tab/>
        <w:t>The second category is the formal mechanisms present in the education system. By formal mechanisms, I am referring to some of the attributes of the education structure including: curriculum, textbooks, course recommendations, and other aspects of education that gender ideology can be advanced through. Both visual and “hidden curriculum” often are male-dominated or male-oriented, and “persistently signal to the girls that they have little or no business in school”.</w:t>
      </w:r>
      <w:r w:rsidRPr="005A6293">
        <w:rPr>
          <w:rStyle w:val="FootnoteReference"/>
          <w:rFonts w:eastAsia="Times New Roman" w:cs="Times New Roman"/>
          <w:color w:val="000000" w:themeColor="text1"/>
        </w:rPr>
        <w:footnoteReference w:id="48"/>
      </w:r>
      <w:r w:rsidRPr="005A6293">
        <w:rPr>
          <w:rFonts w:eastAsia="Times New Roman" w:cs="Times New Roman"/>
          <w:color w:val="000000" w:themeColor="text1"/>
        </w:rPr>
        <w:t xml:space="preserve"> The term “hidden curriculum” usually </w:t>
      </w:r>
      <w:r w:rsidR="005B7D74" w:rsidRPr="005A6293">
        <w:rPr>
          <w:rFonts w:eastAsia="Times New Roman" w:cs="Times New Roman"/>
          <w:color w:val="000000" w:themeColor="text1"/>
        </w:rPr>
        <w:t xml:space="preserve">also </w:t>
      </w:r>
      <w:r w:rsidRPr="005A6293">
        <w:rPr>
          <w:rFonts w:eastAsia="Times New Roman" w:cs="Times New Roman"/>
          <w:color w:val="000000" w:themeColor="text1"/>
        </w:rPr>
        <w:t>covers some of the informal mechanisms of education, such as teacher’s attitudes, teacher and student interactions, peer to peer interactions, teacher’s values, and assignment of school duties.</w:t>
      </w:r>
      <w:r w:rsidRPr="005A6293">
        <w:rPr>
          <w:rStyle w:val="FootnoteReference"/>
          <w:rFonts w:eastAsia="Times New Roman" w:cs="Times New Roman"/>
          <w:color w:val="000000" w:themeColor="text1"/>
        </w:rPr>
        <w:footnoteReference w:id="49"/>
      </w:r>
      <w:r w:rsidRPr="005A6293">
        <w:rPr>
          <w:rFonts w:eastAsia="Times New Roman" w:cs="Times New Roman"/>
          <w:color w:val="000000" w:themeColor="text1"/>
        </w:rPr>
        <w:t xml:space="preserve"> Imbalanced gender ideals in curriculum and textbooks include issues such as negative gender stereotypes, reinforcing gender </w:t>
      </w:r>
      <w:r w:rsidRPr="005A6293">
        <w:rPr>
          <w:rFonts w:eastAsia="Times New Roman" w:cs="Times New Roman"/>
          <w:color w:val="000000" w:themeColor="text1"/>
        </w:rPr>
        <w:lastRenderedPageBreak/>
        <w:t>divisions such as the sexual division of labor, and gender differences based on subject.</w:t>
      </w:r>
      <w:r w:rsidRPr="005A6293">
        <w:rPr>
          <w:rStyle w:val="FootnoteReference"/>
          <w:rFonts w:eastAsia="Times New Roman" w:cs="Times New Roman"/>
          <w:color w:val="000000" w:themeColor="text1"/>
        </w:rPr>
        <w:footnoteReference w:id="50"/>
      </w:r>
      <w:r w:rsidRPr="005A6293">
        <w:rPr>
          <w:rFonts w:eastAsia="Times New Roman" w:cs="Times New Roman"/>
          <w:color w:val="000000" w:themeColor="text1"/>
        </w:rPr>
        <w:t xml:space="preserve"> Gender stereotyping promotes certain imaginings of girls as passive and timid, which is often reinforced by classroom dynamics.</w:t>
      </w:r>
      <w:r w:rsidRPr="005A6293">
        <w:rPr>
          <w:rStyle w:val="FootnoteReference"/>
          <w:rFonts w:eastAsia="Times New Roman" w:cs="Times New Roman"/>
          <w:color w:val="000000" w:themeColor="text1"/>
        </w:rPr>
        <w:footnoteReference w:id="51"/>
      </w:r>
      <w:r w:rsidRPr="005A6293">
        <w:rPr>
          <w:rFonts w:eastAsia="Times New Roman" w:cs="Times New Roman"/>
          <w:color w:val="000000" w:themeColor="text1"/>
        </w:rPr>
        <w:t xml:space="preserve"> </w:t>
      </w:r>
    </w:p>
    <w:p w14:paraId="3C016B05" w14:textId="56BE4094" w:rsidR="007007C9" w:rsidRPr="005A6293" w:rsidRDefault="007007C9" w:rsidP="007007C9">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 xml:space="preserve">Gender stereotypes </w:t>
      </w:r>
      <w:r w:rsidR="005B7D74" w:rsidRPr="005A6293">
        <w:rPr>
          <w:rFonts w:eastAsia="Times New Roman" w:cs="Times New Roman"/>
          <w:color w:val="000000" w:themeColor="text1"/>
        </w:rPr>
        <w:t xml:space="preserve">that are </w:t>
      </w:r>
      <w:r w:rsidRPr="005A6293">
        <w:rPr>
          <w:rFonts w:eastAsia="Times New Roman" w:cs="Times New Roman"/>
          <w:color w:val="000000" w:themeColor="text1"/>
        </w:rPr>
        <w:t xml:space="preserve">found in curriculum are also present in what courses are recommended and accessible based off gender. </w:t>
      </w:r>
      <w:r w:rsidR="005B7D74" w:rsidRPr="005A6293">
        <w:rPr>
          <w:rFonts w:eastAsia="Times New Roman" w:cs="Times New Roman"/>
          <w:color w:val="000000" w:themeColor="text1"/>
        </w:rPr>
        <w:t xml:space="preserve">There are </w:t>
      </w:r>
      <w:r w:rsidRPr="005A6293">
        <w:rPr>
          <w:rFonts w:eastAsia="Times New Roman" w:cs="Times New Roman"/>
          <w:color w:val="000000" w:themeColor="text1"/>
        </w:rPr>
        <w:t>career paths that are deemed more appropriate for women due to the connection with motherhood and feminine values; for example, more ‘caring’ professions such as nursing or teaching are feminized due to women’s connection with reproductive activities above productive activities.</w:t>
      </w:r>
      <w:r w:rsidRPr="005A6293">
        <w:rPr>
          <w:rStyle w:val="FootnoteReference"/>
          <w:rFonts w:eastAsia="Times New Roman" w:cs="Times New Roman"/>
          <w:color w:val="000000" w:themeColor="text1"/>
        </w:rPr>
        <w:footnoteReference w:id="52"/>
      </w:r>
      <w:r w:rsidRPr="005A6293">
        <w:rPr>
          <w:rFonts w:eastAsia="Times New Roman" w:cs="Times New Roman"/>
          <w:color w:val="000000" w:themeColor="text1"/>
        </w:rPr>
        <w:t xml:space="preserve"> In Kenya specifically, girls</w:t>
      </w:r>
      <w:r w:rsidR="0053086E">
        <w:rPr>
          <w:rFonts w:eastAsia="Times New Roman" w:cs="Times New Roman"/>
          <w:color w:val="000000" w:themeColor="text1"/>
        </w:rPr>
        <w:t>’</w:t>
      </w:r>
      <w:r w:rsidRPr="005A6293">
        <w:rPr>
          <w:rFonts w:eastAsia="Times New Roman" w:cs="Times New Roman"/>
          <w:color w:val="000000" w:themeColor="text1"/>
        </w:rPr>
        <w:t xml:space="preserve"> own perceptions as well as guidance by teachers often steers girls away from science and mathematics due to gender biases.</w:t>
      </w:r>
      <w:r w:rsidRPr="005A6293">
        <w:rPr>
          <w:rStyle w:val="FootnoteReference"/>
          <w:rFonts w:eastAsia="Times New Roman" w:cs="Times New Roman"/>
          <w:color w:val="000000" w:themeColor="text1"/>
        </w:rPr>
        <w:footnoteReference w:id="53"/>
      </w:r>
      <w:r w:rsidRPr="005A6293">
        <w:rPr>
          <w:rFonts w:eastAsia="Times New Roman" w:cs="Times New Roman"/>
          <w:color w:val="000000" w:themeColor="text1"/>
        </w:rPr>
        <w:t xml:space="preserve"> As Chege and Sifuna argue, “studies have shown that teachers tend to carry the societal expectations of girls into the school, and therefore, treat boys differently from girls”, which is another example of how socio-cultural expectations and formal mechanisms in education intersect with gender stereotypes.</w:t>
      </w:r>
      <w:r w:rsidRPr="005A6293">
        <w:rPr>
          <w:rStyle w:val="FootnoteReference"/>
          <w:rFonts w:eastAsia="Times New Roman" w:cs="Times New Roman"/>
          <w:color w:val="000000" w:themeColor="text1"/>
        </w:rPr>
        <w:footnoteReference w:id="54"/>
      </w:r>
    </w:p>
    <w:p w14:paraId="1B651CFD" w14:textId="42C83558" w:rsidR="00DE3BE2" w:rsidRPr="005A6293" w:rsidRDefault="00DE3BE2" w:rsidP="00DE3BE2">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 xml:space="preserve">The final category of study for gender in education is the informal mechanisms of the education system. This category relates closely to norms and values, and demonstrates how they work through mechanisms in the education system such as </w:t>
      </w:r>
      <w:r w:rsidRPr="005A6293">
        <w:rPr>
          <w:rFonts w:eastAsia="Times New Roman" w:cs="Times New Roman"/>
          <w:color w:val="000000" w:themeColor="text1"/>
        </w:rPr>
        <w:lastRenderedPageBreak/>
        <w:t>teacher expectations and relations, the gendering of physical and verbal space in the classroom, and gender and sexual violence at school. As mentioned above, teacher expectations impact the implementation of curriculum, course recommendations, and generally the figurative space each gender has to realize their own potential in education. As Kabeer notes, generally teachers “tend to be dismissive and discouraging towards girls and to give more classroom time to boys, who are usually more demanding”.</w:t>
      </w:r>
      <w:r w:rsidRPr="005A6293">
        <w:rPr>
          <w:rStyle w:val="FootnoteReference"/>
          <w:rFonts w:eastAsia="Times New Roman" w:cs="Times New Roman"/>
          <w:color w:val="000000" w:themeColor="text1"/>
        </w:rPr>
        <w:footnoteReference w:id="55"/>
      </w:r>
      <w:r w:rsidRPr="005A6293">
        <w:rPr>
          <w:rFonts w:eastAsia="Times New Roman" w:cs="Times New Roman"/>
          <w:color w:val="000000" w:themeColor="text1"/>
        </w:rPr>
        <w:t xml:space="preserve"> Teachers’ expectations and values are constructed through their social environment and, therefore, </w:t>
      </w:r>
      <w:r w:rsidR="005B7D74" w:rsidRPr="005A6293">
        <w:rPr>
          <w:rFonts w:eastAsia="Times New Roman" w:cs="Times New Roman"/>
          <w:color w:val="000000" w:themeColor="text1"/>
        </w:rPr>
        <w:t xml:space="preserve">are </w:t>
      </w:r>
      <w:r w:rsidRPr="005A6293">
        <w:rPr>
          <w:rFonts w:eastAsia="Times New Roman" w:cs="Times New Roman"/>
          <w:color w:val="000000" w:themeColor="text1"/>
        </w:rPr>
        <w:t xml:space="preserve">heavily influenced by their social reality, personal experience, and personal characteristics. Teachers are not monolithic and, therefore, each classroom presents a unique space where gender biases or lack thereof interact with other social constructions. </w:t>
      </w:r>
    </w:p>
    <w:p w14:paraId="65642C23" w14:textId="77777777" w:rsidR="009B23BD" w:rsidRPr="005A6293" w:rsidRDefault="009B23BD" w:rsidP="009B23BD">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One of the more insightful themes of study of informal mechanisms in education is a critical analysis on physical and verbal space within the classroom. In an in-depth study on gendered experiences in school in Botswana and Ghana, Dunne et. al. poignantly introduce the idea of gendered space in the classroom. The authors posit that for the schools under their study, “the implicit and explicit organising principle of the school day was one of gender”.</w:t>
      </w:r>
      <w:r w:rsidRPr="005A6293">
        <w:rPr>
          <w:rStyle w:val="FootnoteReference"/>
          <w:rFonts w:eastAsia="Times New Roman" w:cs="Times New Roman"/>
          <w:color w:val="000000" w:themeColor="text1"/>
        </w:rPr>
        <w:footnoteReference w:id="56"/>
      </w:r>
      <w:r w:rsidRPr="005A6293">
        <w:rPr>
          <w:rFonts w:eastAsia="Times New Roman" w:cs="Times New Roman"/>
          <w:color w:val="000000" w:themeColor="text1"/>
        </w:rPr>
        <w:t xml:space="preserve"> The authors demonstrate that physical space was often divided, and that males commanded more of the space; girls instead took up small amounts of space in groups along the periphery. The authors further their argument by examining verbal space, which was conducted similarly to physical space with boys dominating the space. The authors indicate that “by demanding attention aggressively, </w:t>
      </w:r>
      <w:r w:rsidRPr="005A6293">
        <w:rPr>
          <w:rFonts w:eastAsia="Times New Roman" w:cs="Times New Roman"/>
          <w:color w:val="000000" w:themeColor="text1"/>
        </w:rPr>
        <w:lastRenderedPageBreak/>
        <w:t>the boys discouraged girls from participating in lessons”, which led to the “predominant response by the girls … to avoid participation or engagement in the public space of the classroom”.</w:t>
      </w:r>
      <w:r w:rsidRPr="005A6293">
        <w:rPr>
          <w:rStyle w:val="FootnoteReference"/>
          <w:rFonts w:eastAsia="Times New Roman" w:cs="Times New Roman"/>
          <w:color w:val="000000" w:themeColor="text1"/>
        </w:rPr>
        <w:footnoteReference w:id="57"/>
      </w:r>
      <w:r w:rsidRPr="005A6293">
        <w:rPr>
          <w:rFonts w:eastAsia="Times New Roman" w:cs="Times New Roman"/>
          <w:color w:val="000000" w:themeColor="text1"/>
        </w:rPr>
        <w:t xml:space="preserve"> Just as gender biases in curriculum imagined girls as passive and timid, those ideas were reinforced by the use and of space in the classroom. </w:t>
      </w:r>
    </w:p>
    <w:p w14:paraId="1E2A3908" w14:textId="201928D0" w:rsidR="009B23BD" w:rsidRPr="005A6293" w:rsidRDefault="009B23BD" w:rsidP="009B23BD">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Lastly, gender violence constitutes a large portion of studies on the informal mechanisms that influence gender in education. Attention is focused on both gen</w:t>
      </w:r>
      <w:r w:rsidR="005B7D74" w:rsidRPr="005A6293">
        <w:rPr>
          <w:rFonts w:eastAsia="Times New Roman" w:cs="Times New Roman"/>
          <w:color w:val="000000" w:themeColor="text1"/>
        </w:rPr>
        <w:t xml:space="preserve">der violence outside of school </w:t>
      </w:r>
      <w:r w:rsidRPr="005A6293">
        <w:rPr>
          <w:rFonts w:eastAsia="Times New Roman" w:cs="Times New Roman"/>
          <w:color w:val="000000" w:themeColor="text1"/>
        </w:rPr>
        <w:t>as well a</w:t>
      </w:r>
      <w:r w:rsidR="005B7D74" w:rsidRPr="005A6293">
        <w:rPr>
          <w:rFonts w:eastAsia="Times New Roman" w:cs="Times New Roman"/>
          <w:color w:val="000000" w:themeColor="text1"/>
        </w:rPr>
        <w:t>s gender violence within school</w:t>
      </w:r>
      <w:r w:rsidRPr="005A6293">
        <w:rPr>
          <w:rFonts w:eastAsia="Times New Roman" w:cs="Times New Roman"/>
          <w:color w:val="000000" w:themeColor="text1"/>
        </w:rPr>
        <w:t xml:space="preserve">. </w:t>
      </w:r>
      <w:r w:rsidR="005B7D74" w:rsidRPr="005A6293">
        <w:rPr>
          <w:rFonts w:eastAsia="Times New Roman" w:cs="Times New Roman"/>
          <w:color w:val="000000" w:themeColor="text1"/>
        </w:rPr>
        <w:t>T</w:t>
      </w:r>
      <w:r w:rsidRPr="005A6293">
        <w:rPr>
          <w:rFonts w:eastAsia="Times New Roman" w:cs="Times New Roman"/>
          <w:color w:val="000000" w:themeColor="text1"/>
        </w:rPr>
        <w:t>he Commonwealth Secretariat’s definition of gen</w:t>
      </w:r>
      <w:r w:rsidR="005B7D74" w:rsidRPr="005A6293">
        <w:rPr>
          <w:rFonts w:eastAsia="Times New Roman" w:cs="Times New Roman"/>
          <w:color w:val="000000" w:themeColor="text1"/>
        </w:rPr>
        <w:t xml:space="preserve">der-based violence (GBV) </w:t>
      </w:r>
      <w:r w:rsidRPr="005A6293">
        <w:rPr>
          <w:rFonts w:eastAsia="Times New Roman" w:cs="Times New Roman"/>
          <w:color w:val="000000" w:themeColor="text1"/>
        </w:rPr>
        <w:t>states that “GBV involves a violation of human rights that results in all forms of violence based on gender relations”.</w:t>
      </w:r>
      <w:r w:rsidRPr="005A6293">
        <w:rPr>
          <w:rStyle w:val="FootnoteReference"/>
          <w:rFonts w:eastAsia="Times New Roman" w:cs="Times New Roman"/>
          <w:color w:val="000000" w:themeColor="text1"/>
        </w:rPr>
        <w:footnoteReference w:id="58"/>
      </w:r>
      <w:r w:rsidR="005B7D74" w:rsidRPr="005A6293">
        <w:rPr>
          <w:rFonts w:eastAsia="Times New Roman" w:cs="Times New Roman"/>
          <w:color w:val="000000" w:themeColor="text1"/>
        </w:rPr>
        <w:t xml:space="preserve"> Dunne, Humphreys and Leach employ this definition to</w:t>
      </w:r>
      <w:r w:rsidRPr="005A6293">
        <w:rPr>
          <w:rFonts w:eastAsia="Times New Roman" w:cs="Times New Roman"/>
          <w:color w:val="000000" w:themeColor="text1"/>
        </w:rPr>
        <w:t xml:space="preserve"> highlight cases of what they categorize as implicit gender violence, practices in school that promote a gender hierarchy </w:t>
      </w:r>
      <w:r w:rsidR="005B7D74" w:rsidRPr="005A6293">
        <w:rPr>
          <w:rFonts w:eastAsia="Times New Roman" w:cs="Times New Roman"/>
          <w:color w:val="000000" w:themeColor="text1"/>
        </w:rPr>
        <w:t xml:space="preserve">and </w:t>
      </w:r>
      <w:r w:rsidRPr="005A6293">
        <w:rPr>
          <w:rFonts w:eastAsia="Times New Roman" w:cs="Times New Roman"/>
          <w:color w:val="000000" w:themeColor="text1"/>
        </w:rPr>
        <w:t xml:space="preserve">separation, as well as explicit gender violence, which is more sexual in nature. Under </w:t>
      </w:r>
      <w:r w:rsidR="005B7D74" w:rsidRPr="005A6293">
        <w:rPr>
          <w:rFonts w:eastAsia="Times New Roman" w:cs="Times New Roman"/>
          <w:color w:val="000000" w:themeColor="text1"/>
        </w:rPr>
        <w:t>gender violence, the authors</w:t>
      </w:r>
      <w:r w:rsidRPr="005A6293">
        <w:rPr>
          <w:rFonts w:eastAsia="Times New Roman" w:cs="Times New Roman"/>
          <w:color w:val="000000" w:themeColor="text1"/>
        </w:rPr>
        <w:t xml:space="preserve"> include corporal punishment, physical violence, and verbal and psychological abuse enacted by both students and teachers against both boys and girls; boys are not exempt from gender violence, rather that they received different forms of it based off their perceived maleness. Their category of explicit gender violence includes: sexual abuse, sexual harassment, sexual assault, sexual aggression, sexual coercion, and generally sexual violence. </w:t>
      </w:r>
    </w:p>
    <w:p w14:paraId="73A348CA" w14:textId="59C59AD1" w:rsidR="00530530" w:rsidRPr="005A6293" w:rsidRDefault="00530530" w:rsidP="00530530">
      <w:pPr>
        <w:pStyle w:val="NoSpacing"/>
        <w:spacing w:line="480" w:lineRule="auto"/>
        <w:rPr>
          <w:rFonts w:eastAsia="Times New Roman" w:cs="Times New Roman"/>
          <w:i/>
          <w:color w:val="000000" w:themeColor="text1"/>
        </w:rPr>
      </w:pPr>
      <w:r w:rsidRPr="005A6293">
        <w:rPr>
          <w:rFonts w:eastAsia="Times New Roman" w:cs="Times New Roman"/>
          <w:i/>
          <w:color w:val="000000" w:themeColor="text1"/>
        </w:rPr>
        <w:t>Gender and the Economy</w:t>
      </w:r>
    </w:p>
    <w:p w14:paraId="0A577F91" w14:textId="7E65CDCB" w:rsidR="00530530" w:rsidRPr="005A6293" w:rsidRDefault="00CD4746" w:rsidP="00530530">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 xml:space="preserve">The last avenue of research that is important to this thesis is the relationship between gender inequality in education and economic outcomes; the assumption that </w:t>
      </w:r>
      <w:r w:rsidRPr="005A6293">
        <w:rPr>
          <w:rFonts w:eastAsia="Times New Roman" w:cs="Times New Roman"/>
          <w:color w:val="000000" w:themeColor="text1"/>
        </w:rPr>
        <w:lastRenderedPageBreak/>
        <w:t xml:space="preserve">greater gender inequality in education causes worse economic outcomes for both the country and for individual women will be referenced in each time-period chapter. </w:t>
      </w:r>
      <w:r w:rsidR="00530530" w:rsidRPr="005A6293">
        <w:rPr>
          <w:rFonts w:eastAsia="Times New Roman" w:cs="Times New Roman"/>
          <w:color w:val="000000" w:themeColor="text1"/>
        </w:rPr>
        <w:t>There are several reasons why researchers believe that the unique experience of female education is important for the economy. As surmised by Stephan Klasen and Francesca Lamanna, the three main avenues that female education impacts the economy are human capital, positive externalities, and international competitiveness.</w:t>
      </w:r>
      <w:r w:rsidR="00530530" w:rsidRPr="005A6293">
        <w:rPr>
          <w:rStyle w:val="FootnoteReference"/>
          <w:rFonts w:eastAsia="Times New Roman" w:cs="Times New Roman"/>
          <w:color w:val="000000" w:themeColor="text1"/>
        </w:rPr>
        <w:footnoteReference w:id="59"/>
      </w:r>
      <w:r w:rsidR="00530530" w:rsidRPr="005A6293">
        <w:rPr>
          <w:rFonts w:eastAsia="Times New Roman" w:cs="Times New Roman"/>
          <w:color w:val="000000" w:themeColor="text1"/>
        </w:rPr>
        <w:t xml:space="preserve"> The argument for human capital states that greater and equal education increases human capital available in a society, which increases economic growth through greater employment of workers with higher human capital. However, inequality in education, such as those based off gender, hampers human capital growth and, therefore, negatively impacts economic growth. This argument analyzes the direct impact of education on economic growth, whereas the second avenue, positive externalities, demonstrates the indirect impact of education on economy growth. Greater education of females has been proven to create multiple positive externalities that increase economic growth, including: greater education for subsequent generations as well as greater health outcomes such as reduced child mortality rates and reduced fertilities rates.</w:t>
      </w:r>
      <w:r w:rsidR="00530530" w:rsidRPr="005A6293">
        <w:rPr>
          <w:rStyle w:val="FootnoteReference"/>
          <w:rFonts w:eastAsia="Times New Roman" w:cs="Times New Roman"/>
          <w:color w:val="000000" w:themeColor="text1"/>
        </w:rPr>
        <w:footnoteReference w:id="60"/>
      </w:r>
      <w:r w:rsidR="00530530" w:rsidRPr="005A6293">
        <w:rPr>
          <w:rFonts w:eastAsia="Times New Roman" w:cs="Times New Roman"/>
          <w:color w:val="000000" w:themeColor="text1"/>
        </w:rPr>
        <w:t xml:space="preserve"> Finally, greater education for women increases international competitiveness by widening the pool of skilled workers. The example proposed in Klasen and Lamanna is of exponential economic growth in East Asian countries due to the women-intensive export-driven manufacturing industries.</w:t>
      </w:r>
      <w:r w:rsidR="00530530" w:rsidRPr="005A6293">
        <w:rPr>
          <w:rStyle w:val="FootnoteReference"/>
          <w:rFonts w:eastAsia="Times New Roman" w:cs="Times New Roman"/>
          <w:color w:val="000000" w:themeColor="text1"/>
        </w:rPr>
        <w:footnoteReference w:id="61"/>
      </w:r>
      <w:r w:rsidR="00530530" w:rsidRPr="005A6293">
        <w:rPr>
          <w:rFonts w:eastAsia="Times New Roman" w:cs="Times New Roman"/>
          <w:color w:val="000000" w:themeColor="text1"/>
        </w:rPr>
        <w:t xml:space="preserve"> The overview by Klasen and Lamanna on the impact of </w:t>
      </w:r>
      <w:r w:rsidR="00530530" w:rsidRPr="005A6293">
        <w:rPr>
          <w:rFonts w:eastAsia="Times New Roman" w:cs="Times New Roman"/>
          <w:color w:val="000000" w:themeColor="text1"/>
        </w:rPr>
        <w:lastRenderedPageBreak/>
        <w:t>female education on the economy is brief, but provides a good basis to conceptualize how female education has both direct and indirect impacts on the economy.</w:t>
      </w:r>
    </w:p>
    <w:p w14:paraId="0B3C025C" w14:textId="0A6EE5A2" w:rsidR="00082233" w:rsidRPr="005A6293" w:rsidRDefault="00082233" w:rsidP="0068257B">
      <w:pPr>
        <w:spacing w:line="480" w:lineRule="auto"/>
        <w:rPr>
          <w:rFonts w:cs="Times New Roman"/>
          <w:i/>
          <w:iCs/>
        </w:rPr>
      </w:pPr>
      <w:r w:rsidRPr="005A6293">
        <w:rPr>
          <w:rFonts w:cs="Times New Roman"/>
          <w:b/>
          <w:bCs/>
        </w:rPr>
        <w:t>Conclusion</w:t>
      </w:r>
    </w:p>
    <w:p w14:paraId="183345BC" w14:textId="398F2595" w:rsidR="00082233" w:rsidRPr="005A6293" w:rsidRDefault="00082233" w:rsidP="0068257B">
      <w:pPr>
        <w:spacing w:line="480" w:lineRule="auto"/>
        <w:ind w:firstLine="720"/>
        <w:outlineLvl w:val="0"/>
        <w:rPr>
          <w:rFonts w:cs="Times New Roman"/>
          <w:b/>
          <w:bCs/>
        </w:rPr>
      </w:pPr>
      <w:r w:rsidRPr="005A6293">
        <w:rPr>
          <w:rFonts w:cs="Times New Roman"/>
        </w:rPr>
        <w:t xml:space="preserve">In this chapter, I discussed the theoretical frameworks </w:t>
      </w:r>
      <w:r w:rsidR="00BC6D67" w:rsidRPr="005A6293">
        <w:rPr>
          <w:rFonts w:cs="Times New Roman"/>
        </w:rPr>
        <w:t>I utilize</w:t>
      </w:r>
      <w:r w:rsidRPr="005A6293">
        <w:rPr>
          <w:rFonts w:cs="Times New Roman"/>
        </w:rPr>
        <w:t xml:space="preserve">, the relationship between education and females at the heart of my </w:t>
      </w:r>
      <w:r w:rsidR="00BC6D67" w:rsidRPr="005A6293">
        <w:rPr>
          <w:rFonts w:cs="Times New Roman"/>
        </w:rPr>
        <w:t>argument</w:t>
      </w:r>
      <w:r w:rsidRPr="005A6293">
        <w:rPr>
          <w:rFonts w:cs="Times New Roman"/>
        </w:rPr>
        <w:t>, and the literature that contri</w:t>
      </w:r>
      <w:r w:rsidR="001B06A6" w:rsidRPr="005A6293">
        <w:rPr>
          <w:rFonts w:cs="Times New Roman"/>
        </w:rPr>
        <w:t xml:space="preserve">butes to this thesis. The two </w:t>
      </w:r>
      <w:r w:rsidRPr="005A6293">
        <w:rPr>
          <w:rFonts w:cs="Times New Roman"/>
        </w:rPr>
        <w:t>theories I emplo</w:t>
      </w:r>
      <w:r w:rsidR="001B06A6" w:rsidRPr="005A6293">
        <w:rPr>
          <w:rFonts w:cs="Times New Roman"/>
        </w:rPr>
        <w:t xml:space="preserve">y in this paper – capabilities </w:t>
      </w:r>
      <w:r w:rsidRPr="005A6293">
        <w:rPr>
          <w:rFonts w:cs="Times New Roman"/>
        </w:rPr>
        <w:t>and norms – cr</w:t>
      </w:r>
      <w:r w:rsidR="00BC6D67" w:rsidRPr="005A6293">
        <w:rPr>
          <w:rFonts w:cs="Times New Roman"/>
        </w:rPr>
        <w:t>eate a structure for this paper</w:t>
      </w:r>
      <w:r w:rsidRPr="005A6293">
        <w:rPr>
          <w:rFonts w:cs="Times New Roman"/>
        </w:rPr>
        <w:t xml:space="preserve"> that provides certain assumptions and goals that drives the direction </w:t>
      </w:r>
      <w:r w:rsidR="00BC6D67" w:rsidRPr="005A6293">
        <w:rPr>
          <w:rFonts w:cs="Times New Roman"/>
        </w:rPr>
        <w:t>of my argument</w:t>
      </w:r>
      <w:r w:rsidRPr="005A6293">
        <w:rPr>
          <w:rFonts w:cs="Times New Roman"/>
        </w:rPr>
        <w:t>. I focus on education because I believe it is a critical freedom that is essential to development, both as an individual right and as a goal and tool of social development. I argue from a feminist vein that norms subordinate females to males, and that these create educational inequalities</w:t>
      </w:r>
      <w:r w:rsidR="001B06A6" w:rsidRPr="005A6293">
        <w:rPr>
          <w:rFonts w:cs="Times New Roman"/>
        </w:rPr>
        <w:t xml:space="preserve">. </w:t>
      </w:r>
      <w:r w:rsidRPr="005A6293">
        <w:rPr>
          <w:rFonts w:cs="Times New Roman"/>
        </w:rPr>
        <w:t xml:space="preserve">Finally, I recognize the constructed nature of norms, and analyze the forces of change behind norms and denote how those changes impact societal structures. </w:t>
      </w:r>
    </w:p>
    <w:p w14:paraId="63A25BCF" w14:textId="2294E2C7" w:rsidR="00082233" w:rsidRPr="005A6293" w:rsidRDefault="00082233" w:rsidP="0068257B">
      <w:pPr>
        <w:spacing w:line="480" w:lineRule="auto"/>
        <w:ind w:firstLine="720"/>
        <w:outlineLvl w:val="0"/>
        <w:rPr>
          <w:rFonts w:cs="Times New Roman"/>
        </w:rPr>
      </w:pPr>
      <w:r w:rsidRPr="005A6293">
        <w:rPr>
          <w:rFonts w:cs="Times New Roman"/>
        </w:rPr>
        <w:t xml:space="preserve">Additionally, I situate this thesis within the literature on </w:t>
      </w:r>
      <w:r w:rsidR="00802AF4" w:rsidRPr="005A6293">
        <w:rPr>
          <w:rFonts w:cs="Times New Roman"/>
        </w:rPr>
        <w:t>education</w:t>
      </w:r>
      <w:r w:rsidRPr="005A6293">
        <w:rPr>
          <w:rFonts w:cs="Times New Roman"/>
        </w:rPr>
        <w:t xml:space="preserve">. I believe </w:t>
      </w:r>
      <w:r w:rsidR="00BC6D67" w:rsidRPr="005A6293">
        <w:rPr>
          <w:rFonts w:cs="Times New Roman"/>
        </w:rPr>
        <w:t>I provide</w:t>
      </w:r>
      <w:r w:rsidRPr="005A6293">
        <w:rPr>
          <w:rFonts w:cs="Times New Roman"/>
        </w:rPr>
        <w:t xml:space="preserve"> a fresh look at some of the complex issues within the literature. The next three chapters follow the same structure. Within each chapter, I reflect on the societal structures of that time-period, including: education, economics, and politics. Additionally, within each chapter I redefine the relat</w:t>
      </w:r>
      <w:r w:rsidR="00C028FB" w:rsidRPr="005A6293">
        <w:rPr>
          <w:rFonts w:cs="Times New Roman"/>
        </w:rPr>
        <w:t xml:space="preserve">ionship between education </w:t>
      </w:r>
      <w:r w:rsidRPr="005A6293">
        <w:rPr>
          <w:rFonts w:cs="Times New Roman"/>
        </w:rPr>
        <w:t>and gender to reflect changes to the relationship, which ultimately impact the other three societal structures. I only focus on how norms impact economics and politics through education and vice versa; although I recognize that norms impact economics and politics outside of the</w:t>
      </w:r>
      <w:r w:rsidR="00F40F50" w:rsidRPr="005A6293">
        <w:rPr>
          <w:rFonts w:cs="Times New Roman"/>
        </w:rPr>
        <w:t xml:space="preserve"> connections I define, that is</w:t>
      </w:r>
      <w:r w:rsidRPr="005A6293">
        <w:rPr>
          <w:rFonts w:cs="Times New Roman"/>
        </w:rPr>
        <w:t xml:space="preserve"> not be the focus of this thesis.</w:t>
      </w:r>
    </w:p>
    <w:p w14:paraId="66A9063E" w14:textId="77777777" w:rsidR="00082233" w:rsidRPr="005A6293" w:rsidRDefault="00082233" w:rsidP="0068257B">
      <w:pPr>
        <w:spacing w:line="480" w:lineRule="auto"/>
        <w:rPr>
          <w:rFonts w:cs="Times New Roman"/>
        </w:rPr>
      </w:pPr>
      <w:r w:rsidRPr="005A6293">
        <w:rPr>
          <w:rFonts w:cs="Times New Roman"/>
        </w:rPr>
        <w:br w:type="page"/>
      </w:r>
    </w:p>
    <w:p w14:paraId="7D615488" w14:textId="00F6DB8A" w:rsidR="00082233" w:rsidRPr="005A6293" w:rsidRDefault="00082233" w:rsidP="0068257B">
      <w:pPr>
        <w:spacing w:line="480" w:lineRule="auto"/>
        <w:jc w:val="center"/>
        <w:rPr>
          <w:rFonts w:cs="Times New Roman"/>
          <w:b/>
        </w:rPr>
      </w:pPr>
      <w:r w:rsidRPr="005A6293">
        <w:rPr>
          <w:rFonts w:cs="Times New Roman"/>
          <w:b/>
        </w:rPr>
        <w:lastRenderedPageBreak/>
        <w:t>Chapter 2</w:t>
      </w:r>
      <w:r w:rsidR="000C75B9" w:rsidRPr="005A6293">
        <w:rPr>
          <w:rFonts w:cs="Times New Roman"/>
          <w:b/>
        </w:rPr>
        <w:t>: The Pre-Colonial Period</w:t>
      </w:r>
    </w:p>
    <w:p w14:paraId="19F4E7B6" w14:textId="77777777" w:rsidR="00082233" w:rsidRPr="005A6293" w:rsidRDefault="00082233" w:rsidP="0068257B">
      <w:pPr>
        <w:spacing w:line="480" w:lineRule="auto"/>
        <w:rPr>
          <w:rFonts w:cs="Times New Roman"/>
          <w:b/>
        </w:rPr>
      </w:pPr>
      <w:r w:rsidRPr="005A6293">
        <w:rPr>
          <w:rFonts w:cs="Times New Roman"/>
          <w:b/>
        </w:rPr>
        <w:t>Introduction</w:t>
      </w:r>
    </w:p>
    <w:p w14:paraId="6369DFCC" w14:textId="02280EC0" w:rsidR="00082233" w:rsidRPr="005A6293" w:rsidRDefault="00082233" w:rsidP="0068257B">
      <w:pPr>
        <w:spacing w:line="480" w:lineRule="auto"/>
        <w:rPr>
          <w:rFonts w:cs="Times New Roman"/>
        </w:rPr>
      </w:pPr>
      <w:r w:rsidRPr="005A6293">
        <w:rPr>
          <w:rFonts w:cs="Times New Roman"/>
        </w:rPr>
        <w:tab/>
        <w:t xml:space="preserve">The history of Africa is a history of African people. Therefore, to understand the history of modern Kenya, we must </w:t>
      </w:r>
      <w:r w:rsidR="000B7A78" w:rsidRPr="005A6293">
        <w:rPr>
          <w:rFonts w:cs="Times New Roman"/>
        </w:rPr>
        <w:t>understand how Kenyans have</w:t>
      </w:r>
      <w:r w:rsidRPr="005A6293">
        <w:rPr>
          <w:rFonts w:cs="Times New Roman"/>
        </w:rPr>
        <w:t xml:space="preserve"> shaped and influenced </w:t>
      </w:r>
      <w:r w:rsidR="008E6044" w:rsidRPr="005A6293">
        <w:rPr>
          <w:rFonts w:cs="Times New Roman"/>
        </w:rPr>
        <w:t>their own</w:t>
      </w:r>
      <w:r w:rsidRPr="005A6293">
        <w:rPr>
          <w:rFonts w:cs="Times New Roman"/>
        </w:rPr>
        <w:t xml:space="preserve"> history. One of the primary avenues through which people are shaped is education. </w:t>
      </w:r>
      <w:r w:rsidR="0087704F" w:rsidRPr="005A6293">
        <w:rPr>
          <w:rFonts w:cs="Times New Roman"/>
        </w:rPr>
        <w:t xml:space="preserve">Kenyan education has been influenced by multiple actors throughout history, although </w:t>
      </w:r>
      <w:r w:rsidR="002856D7" w:rsidRPr="005A6293">
        <w:rPr>
          <w:rFonts w:cs="Times New Roman"/>
        </w:rPr>
        <w:t>the scope of this thesis</w:t>
      </w:r>
      <w:r w:rsidR="00A00D62" w:rsidRPr="005A6293">
        <w:rPr>
          <w:rFonts w:cs="Times New Roman"/>
        </w:rPr>
        <w:t xml:space="preserve"> only focus</w:t>
      </w:r>
      <w:r w:rsidR="002856D7" w:rsidRPr="005A6293">
        <w:rPr>
          <w:rFonts w:cs="Times New Roman"/>
        </w:rPr>
        <w:t>es</w:t>
      </w:r>
      <w:r w:rsidR="00A00D62" w:rsidRPr="005A6293">
        <w:rPr>
          <w:rFonts w:cs="Times New Roman"/>
        </w:rPr>
        <w:t xml:space="preserve"> on the impacts on education from Kenyan influence</w:t>
      </w:r>
      <w:r w:rsidR="00723447" w:rsidRPr="005A6293">
        <w:rPr>
          <w:rFonts w:cs="Times New Roman"/>
        </w:rPr>
        <w:t>s</w:t>
      </w:r>
      <w:r w:rsidR="00A00D62" w:rsidRPr="005A6293">
        <w:rPr>
          <w:rFonts w:cs="Times New Roman"/>
        </w:rPr>
        <w:t xml:space="preserve"> and European influence</w:t>
      </w:r>
      <w:r w:rsidR="00723447" w:rsidRPr="005A6293">
        <w:rPr>
          <w:rFonts w:cs="Times New Roman"/>
        </w:rPr>
        <w:t>s</w:t>
      </w:r>
      <w:r w:rsidR="00A00D62" w:rsidRPr="005A6293">
        <w:rPr>
          <w:rFonts w:cs="Times New Roman"/>
        </w:rPr>
        <w:t>.</w:t>
      </w:r>
      <w:r w:rsidR="00A00D62" w:rsidRPr="005A6293">
        <w:rPr>
          <w:rStyle w:val="FootnoteReference"/>
          <w:rFonts w:cs="Times New Roman"/>
        </w:rPr>
        <w:footnoteReference w:id="62"/>
      </w:r>
      <w:r w:rsidR="00A00D62" w:rsidRPr="005A6293">
        <w:rPr>
          <w:rFonts w:cs="Times New Roman"/>
        </w:rPr>
        <w:t xml:space="preserve"> </w:t>
      </w:r>
      <w:r w:rsidR="00B9088A" w:rsidRPr="005A6293">
        <w:rPr>
          <w:rFonts w:cs="Times New Roman"/>
        </w:rPr>
        <w:t>While Europeans</w:t>
      </w:r>
      <w:r w:rsidRPr="005A6293">
        <w:rPr>
          <w:rFonts w:cs="Times New Roman"/>
        </w:rPr>
        <w:t xml:space="preserve"> brought a multitude of formal education institutions to Kenya, Kenyans were partaking in formal and informal education long before Europeans came to their shores. </w:t>
      </w:r>
      <w:r w:rsidR="00C65DD7" w:rsidRPr="005A6293">
        <w:rPr>
          <w:rFonts w:cs="Times New Roman"/>
        </w:rPr>
        <w:t>In order to fulfill my research question and argument for this thesis, it is necessary to describe the foundation of gender norms, education, economics and politics in pre-colonial Kenya so that we can assess changes to these norms and structures in the following periods.</w:t>
      </w:r>
    </w:p>
    <w:p w14:paraId="6FBB752A" w14:textId="7A5E6BA1" w:rsidR="00082233" w:rsidRPr="005A6293" w:rsidRDefault="002856D7" w:rsidP="0068257B">
      <w:pPr>
        <w:spacing w:line="480" w:lineRule="auto"/>
        <w:rPr>
          <w:rFonts w:cs="Times New Roman"/>
        </w:rPr>
      </w:pPr>
      <w:r w:rsidRPr="005A6293">
        <w:rPr>
          <w:rFonts w:cs="Times New Roman"/>
        </w:rPr>
        <w:tab/>
      </w:r>
      <w:r w:rsidR="00082233" w:rsidRPr="005A6293">
        <w:rPr>
          <w:rFonts w:cs="Times New Roman"/>
        </w:rPr>
        <w:t>The first missionary school was built in 1844 in Kenya by the Church Missionary Society, which marks the introduction of t</w:t>
      </w:r>
      <w:r w:rsidR="00A5498E" w:rsidRPr="005A6293">
        <w:rPr>
          <w:rFonts w:cs="Times New Roman"/>
        </w:rPr>
        <w:t>he European model of schooling</w:t>
      </w:r>
      <w:r w:rsidR="00082233" w:rsidRPr="005A6293">
        <w:rPr>
          <w:rFonts w:cs="Times New Roman"/>
        </w:rPr>
        <w:t>.</w:t>
      </w:r>
      <w:r w:rsidR="00D51866" w:rsidRPr="005A6293">
        <w:rPr>
          <w:rStyle w:val="FootnoteReference"/>
          <w:rFonts w:cs="Times New Roman"/>
        </w:rPr>
        <w:footnoteReference w:id="63"/>
      </w:r>
      <w:r w:rsidR="00082233" w:rsidRPr="005A6293">
        <w:rPr>
          <w:rFonts w:cs="Times New Roman"/>
        </w:rPr>
        <w:t xml:space="preserve"> Although there were other formal educational institutes present before the CMS school in 1844, the sc</w:t>
      </w:r>
      <w:r w:rsidR="008371EA" w:rsidRPr="005A6293">
        <w:rPr>
          <w:rFonts w:cs="Times New Roman"/>
        </w:rPr>
        <w:t xml:space="preserve">hools, </w:t>
      </w:r>
      <w:r w:rsidR="006756AA" w:rsidRPr="005A6293">
        <w:rPr>
          <w:rFonts w:cs="Times New Roman"/>
        </w:rPr>
        <w:t>such as the Islamic education schools</w:t>
      </w:r>
      <w:r w:rsidR="003C4842" w:rsidRPr="005A6293">
        <w:rPr>
          <w:rFonts w:cs="Times New Roman"/>
        </w:rPr>
        <w:t xml:space="preserve">, </w:t>
      </w:r>
      <w:r w:rsidR="008371EA" w:rsidRPr="005A6293">
        <w:rPr>
          <w:rFonts w:cs="Times New Roman"/>
        </w:rPr>
        <w:t xml:space="preserve">only had a large impact </w:t>
      </w:r>
      <w:r w:rsidR="00082233" w:rsidRPr="005A6293">
        <w:rPr>
          <w:rFonts w:cs="Times New Roman"/>
        </w:rPr>
        <w:t xml:space="preserve">on </w:t>
      </w:r>
      <w:r w:rsidR="008371EA" w:rsidRPr="005A6293">
        <w:rPr>
          <w:rFonts w:cs="Times New Roman"/>
        </w:rPr>
        <w:t xml:space="preserve">the coastal region of </w:t>
      </w:r>
      <w:r w:rsidR="00082233" w:rsidRPr="005A6293">
        <w:rPr>
          <w:rFonts w:cs="Times New Roman"/>
        </w:rPr>
        <w:t xml:space="preserve">Kenya. </w:t>
      </w:r>
      <w:r w:rsidR="005E3CFA" w:rsidRPr="005A6293">
        <w:rPr>
          <w:rFonts w:cs="Times New Roman"/>
        </w:rPr>
        <w:t>Additionally, although</w:t>
      </w:r>
      <w:r w:rsidR="00AD18E9" w:rsidRPr="005A6293">
        <w:rPr>
          <w:rFonts w:cs="Times New Roman"/>
        </w:rPr>
        <w:t xml:space="preserve"> missionary education was introduced in the pre-colonial era, mission schools were contained mostly to the Kenyan coast until colonialism and, therefore, the shift in gender </w:t>
      </w:r>
      <w:r w:rsidR="00AD18E9" w:rsidRPr="005A6293">
        <w:rPr>
          <w:rFonts w:cs="Times New Roman"/>
        </w:rPr>
        <w:lastRenderedPageBreak/>
        <w:t>dynamics did not impact the relationship between education and gender</w:t>
      </w:r>
      <w:r w:rsidR="000223A5" w:rsidRPr="005A6293">
        <w:rPr>
          <w:rFonts w:cs="Times New Roman"/>
        </w:rPr>
        <w:t xml:space="preserve"> until the colonial era. </w:t>
      </w:r>
      <w:r w:rsidR="00805D45" w:rsidRPr="005A6293">
        <w:rPr>
          <w:rFonts w:cs="Times New Roman"/>
        </w:rPr>
        <w:t xml:space="preserve">Therefore, </w:t>
      </w:r>
      <w:r w:rsidR="006722B3" w:rsidRPr="005A6293">
        <w:rPr>
          <w:rFonts w:cs="Times New Roman"/>
        </w:rPr>
        <w:t xml:space="preserve">while </w:t>
      </w:r>
      <w:r w:rsidR="006A68A0" w:rsidRPr="005A6293">
        <w:rPr>
          <w:rFonts w:cs="Times New Roman"/>
        </w:rPr>
        <w:t>missionary schools were present in Kenya since</w:t>
      </w:r>
      <w:r w:rsidR="006722B3" w:rsidRPr="005A6293">
        <w:rPr>
          <w:rFonts w:cs="Times New Roman"/>
        </w:rPr>
        <w:t xml:space="preserve">1844, </w:t>
      </w:r>
      <w:r w:rsidR="006A68A0" w:rsidRPr="005A6293">
        <w:rPr>
          <w:rFonts w:cs="Times New Roman"/>
        </w:rPr>
        <w:t xml:space="preserve">I will not review the impact of missionary education until the next chapter as </w:t>
      </w:r>
      <w:r w:rsidR="006722B3" w:rsidRPr="005A6293">
        <w:rPr>
          <w:rFonts w:cs="Times New Roman"/>
        </w:rPr>
        <w:t>the relationship between education and gender did not fully shift until the c</w:t>
      </w:r>
      <w:r w:rsidR="006A68A0" w:rsidRPr="005A6293">
        <w:rPr>
          <w:rFonts w:cs="Times New Roman"/>
        </w:rPr>
        <w:t>olonial era.</w:t>
      </w:r>
      <w:r w:rsidR="006722B3" w:rsidRPr="005A6293">
        <w:rPr>
          <w:rFonts w:cs="Times New Roman"/>
        </w:rPr>
        <w:t xml:space="preserve"> </w:t>
      </w:r>
    </w:p>
    <w:p w14:paraId="5C4A3C1F" w14:textId="6ABD88EE" w:rsidR="00AF5A92" w:rsidRPr="005A6293" w:rsidRDefault="00AF5A92" w:rsidP="0068257B">
      <w:pPr>
        <w:spacing w:line="480" w:lineRule="auto"/>
        <w:rPr>
          <w:rFonts w:cs="Times New Roman"/>
        </w:rPr>
      </w:pPr>
      <w:r w:rsidRPr="005A6293">
        <w:rPr>
          <w:rFonts w:cs="Times New Roman"/>
        </w:rPr>
        <w:tab/>
        <w:t xml:space="preserve">Before I dive into the pre-colonial era in Kenya, there are two important ideas that must be highlighted. First, this chapter is primarily important because it lays a foundation for the </w:t>
      </w:r>
      <w:r w:rsidR="00940D68" w:rsidRPr="005A6293">
        <w:rPr>
          <w:rFonts w:cs="Times New Roman"/>
        </w:rPr>
        <w:t>rest of this thesis. As I indicate</w:t>
      </w:r>
      <w:r w:rsidRPr="005A6293">
        <w:rPr>
          <w:rFonts w:cs="Times New Roman"/>
        </w:rPr>
        <w:t xml:space="preserve">d prior, </w:t>
      </w:r>
      <w:r w:rsidR="00CB3664" w:rsidRPr="005A6293">
        <w:rPr>
          <w:rFonts w:cs="Times New Roman"/>
        </w:rPr>
        <w:t>I trace</w:t>
      </w:r>
      <w:r w:rsidRPr="005A6293">
        <w:rPr>
          <w:rFonts w:cs="Times New Roman"/>
        </w:rPr>
        <w:t xml:space="preserve"> the changes to education, gender norms, economics, and politics throughout time in Kenya. Therefore, it is important to start off with a strong foundation. </w:t>
      </w:r>
      <w:r w:rsidR="00863E13" w:rsidRPr="005A6293">
        <w:rPr>
          <w:rFonts w:cs="Times New Roman"/>
        </w:rPr>
        <w:t xml:space="preserve">This chapter creates the strong foundation from where the rest of </w:t>
      </w:r>
      <w:r w:rsidR="00CB3664" w:rsidRPr="005A6293">
        <w:rPr>
          <w:rFonts w:cs="Times New Roman"/>
        </w:rPr>
        <w:t>my argument</w:t>
      </w:r>
      <w:r w:rsidR="00863E13" w:rsidRPr="005A6293">
        <w:rPr>
          <w:rFonts w:cs="Times New Roman"/>
        </w:rPr>
        <w:t xml:space="preserve"> grows; therefore, while this chapter can only provide broad ge</w:t>
      </w:r>
      <w:r w:rsidR="002637F9" w:rsidRPr="005A6293">
        <w:rPr>
          <w:rFonts w:cs="Times New Roman"/>
        </w:rPr>
        <w:t>neralizations, I believe it is necessary</w:t>
      </w:r>
      <w:r w:rsidR="00863E13" w:rsidRPr="005A6293">
        <w:rPr>
          <w:rFonts w:cs="Times New Roman"/>
        </w:rPr>
        <w:t xml:space="preserve"> to start in the pre-colonial period so I can create a fuller picture of how education, gender, economics, and politics change. </w:t>
      </w:r>
      <w:r w:rsidR="002F26CF" w:rsidRPr="005A6293">
        <w:rPr>
          <w:rFonts w:cs="Times New Roman"/>
        </w:rPr>
        <w:t xml:space="preserve">Additionally, </w:t>
      </w:r>
      <w:r w:rsidR="00457E98" w:rsidRPr="005A6293">
        <w:rPr>
          <w:rFonts w:cs="Times New Roman"/>
        </w:rPr>
        <w:t>I should</w:t>
      </w:r>
      <w:r w:rsidR="002F26CF" w:rsidRPr="005A6293">
        <w:rPr>
          <w:rFonts w:cs="Times New Roman"/>
        </w:rPr>
        <w:t xml:space="preserve"> note that based off complexities and data limitations, this chapter can only posit broad generalizations. </w:t>
      </w:r>
      <w:r w:rsidR="00AE009D" w:rsidRPr="005A6293">
        <w:rPr>
          <w:rFonts w:cs="Times New Roman"/>
        </w:rPr>
        <w:t xml:space="preserve">Each ethnic community </w:t>
      </w:r>
      <w:r w:rsidR="00817D72" w:rsidRPr="005A6293">
        <w:rPr>
          <w:rFonts w:cs="Times New Roman"/>
        </w:rPr>
        <w:t>had a different education system, gender norms, and economic and political institution</w:t>
      </w:r>
      <w:r w:rsidR="002856D7" w:rsidRPr="005A6293">
        <w:rPr>
          <w:rFonts w:cs="Times New Roman"/>
        </w:rPr>
        <w:t xml:space="preserve">s. Therefore, this chapter is only </w:t>
      </w:r>
      <w:r w:rsidR="00817D72" w:rsidRPr="005A6293">
        <w:rPr>
          <w:rFonts w:cs="Times New Roman"/>
        </w:rPr>
        <w:t xml:space="preserve">able to draw broad </w:t>
      </w:r>
      <w:r w:rsidR="00C65DD7" w:rsidRPr="005A6293">
        <w:rPr>
          <w:rFonts w:cs="Times New Roman"/>
        </w:rPr>
        <w:t>themes</w:t>
      </w:r>
      <w:r w:rsidR="00817D72" w:rsidRPr="005A6293">
        <w:rPr>
          <w:rFonts w:cs="Times New Roman"/>
        </w:rPr>
        <w:t xml:space="preserve"> about the area</w:t>
      </w:r>
      <w:r w:rsidR="002856D7" w:rsidRPr="005A6293">
        <w:rPr>
          <w:rFonts w:cs="Times New Roman"/>
        </w:rPr>
        <w:t xml:space="preserve"> that will become Kenya. I </w:t>
      </w:r>
      <w:r w:rsidR="00C65DD7" w:rsidRPr="005A6293">
        <w:rPr>
          <w:rFonts w:cs="Times New Roman"/>
        </w:rPr>
        <w:t>highlight specific examples of</w:t>
      </w:r>
      <w:r w:rsidR="00817D72" w:rsidRPr="005A6293">
        <w:rPr>
          <w:rFonts w:cs="Times New Roman"/>
        </w:rPr>
        <w:t xml:space="preserve"> differences between communities throughout the chapter</w:t>
      </w:r>
      <w:r w:rsidR="00511F37" w:rsidRPr="005A6293">
        <w:rPr>
          <w:rFonts w:cs="Times New Roman"/>
        </w:rPr>
        <w:t>, but the sections on economic</w:t>
      </w:r>
      <w:r w:rsidR="0072233B" w:rsidRPr="005A6293">
        <w:rPr>
          <w:rFonts w:cs="Times New Roman"/>
        </w:rPr>
        <w:t>s and politics</w:t>
      </w:r>
      <w:r w:rsidR="002856D7" w:rsidRPr="005A6293">
        <w:rPr>
          <w:rFonts w:cs="Times New Roman"/>
        </w:rPr>
        <w:t xml:space="preserve"> are</w:t>
      </w:r>
      <w:r w:rsidR="00817D72" w:rsidRPr="005A6293">
        <w:rPr>
          <w:rFonts w:cs="Times New Roman"/>
        </w:rPr>
        <w:t xml:space="preserve"> confined to broad generalizations. </w:t>
      </w:r>
    </w:p>
    <w:p w14:paraId="058AC738" w14:textId="77777777" w:rsidR="00082233" w:rsidRPr="005A6293" w:rsidRDefault="00082233" w:rsidP="0068257B">
      <w:pPr>
        <w:spacing w:line="480" w:lineRule="auto"/>
        <w:rPr>
          <w:rFonts w:cs="Times New Roman"/>
          <w:b/>
        </w:rPr>
      </w:pPr>
      <w:r w:rsidRPr="005A6293">
        <w:rPr>
          <w:rFonts w:cs="Times New Roman"/>
          <w:b/>
        </w:rPr>
        <w:t>Education</w:t>
      </w:r>
    </w:p>
    <w:p w14:paraId="5B8E1F0C" w14:textId="6398FC35" w:rsidR="00082233" w:rsidRPr="005A6293" w:rsidRDefault="00082233" w:rsidP="0068257B">
      <w:pPr>
        <w:spacing w:line="480" w:lineRule="auto"/>
        <w:rPr>
          <w:rFonts w:cs="Times New Roman"/>
        </w:rPr>
      </w:pPr>
      <w:r w:rsidRPr="005A6293">
        <w:rPr>
          <w:rFonts w:cs="Times New Roman"/>
        </w:rPr>
        <w:tab/>
        <w:t xml:space="preserve">Education is foundational to human culture. Knowledge is passed from mother to daughter, father to son, and generation to generation. Communities throughout time have cultivated and preserved knowledge for the growth and prosperity of the community and community members. Education at a base level is receiving knowledge. </w:t>
      </w:r>
      <w:r w:rsidRPr="005A6293">
        <w:rPr>
          <w:rFonts w:cs="Times New Roman"/>
        </w:rPr>
        <w:lastRenderedPageBreak/>
        <w:t xml:space="preserve">Therefore, the story of people is also a story of education. In this </w:t>
      </w:r>
      <w:r w:rsidR="00977C5B" w:rsidRPr="005A6293">
        <w:rPr>
          <w:rFonts w:cs="Times New Roman"/>
        </w:rPr>
        <w:t xml:space="preserve">broad </w:t>
      </w:r>
      <w:r w:rsidRPr="005A6293">
        <w:rPr>
          <w:rFonts w:cs="Times New Roman"/>
        </w:rPr>
        <w:t xml:space="preserve">sense, communities in Kenya oversaw education of their members long before Westerners introduced a more formalized education system. </w:t>
      </w:r>
    </w:p>
    <w:p w14:paraId="49C739A6" w14:textId="25209F28" w:rsidR="00064752" w:rsidRPr="005A6293" w:rsidRDefault="00064752" w:rsidP="0068257B">
      <w:pPr>
        <w:spacing w:line="480" w:lineRule="auto"/>
        <w:rPr>
          <w:rFonts w:cs="Times New Roman"/>
        </w:rPr>
      </w:pPr>
      <w:r w:rsidRPr="005A6293">
        <w:rPr>
          <w:rFonts w:cs="Times New Roman"/>
        </w:rPr>
        <w:tab/>
      </w:r>
      <w:r w:rsidR="00A50DC7" w:rsidRPr="005A6293">
        <w:rPr>
          <w:rFonts w:cs="Times New Roman"/>
        </w:rPr>
        <w:t>First, however, it is beneficial to describe what I mean by</w:t>
      </w:r>
      <w:r w:rsidR="00487521" w:rsidRPr="005A6293">
        <w:rPr>
          <w:rFonts w:cs="Times New Roman"/>
        </w:rPr>
        <w:t xml:space="preserve"> indigenous </w:t>
      </w:r>
      <w:r w:rsidR="00A50DC7" w:rsidRPr="005A6293">
        <w:rPr>
          <w:rFonts w:cs="Times New Roman"/>
        </w:rPr>
        <w:t>education. As stated by Furley and Watson</w:t>
      </w:r>
      <w:r w:rsidR="00665BDB" w:rsidRPr="005A6293">
        <w:rPr>
          <w:rFonts w:cs="Times New Roman"/>
        </w:rPr>
        <w:t xml:space="preserve"> in</w:t>
      </w:r>
      <w:r w:rsidR="00214CDD" w:rsidRPr="005A6293">
        <w:rPr>
          <w:rFonts w:cs="Times New Roman"/>
        </w:rPr>
        <w:t xml:space="preserve"> the opening line of their book</w:t>
      </w:r>
      <w:r w:rsidR="00665BDB" w:rsidRPr="005A6293">
        <w:rPr>
          <w:rFonts w:cs="Times New Roman"/>
        </w:rPr>
        <w:t xml:space="preserve"> on historical education in East Africa</w:t>
      </w:r>
      <w:r w:rsidR="00A50DC7" w:rsidRPr="005A6293">
        <w:rPr>
          <w:rFonts w:cs="Times New Roman"/>
        </w:rPr>
        <w:t xml:space="preserve">, “long before the coming of Arabs and Europeans to East Africa the African peoples had developed their own systems of </w:t>
      </w:r>
      <w:r w:rsidR="00A50DC7" w:rsidRPr="005A6293">
        <w:rPr>
          <w:rFonts w:cs="Times New Roman"/>
          <w:i/>
        </w:rPr>
        <w:t>education</w:t>
      </w:r>
      <w:r w:rsidR="009E597D" w:rsidRPr="005A6293">
        <w:rPr>
          <w:rFonts w:cs="Times New Roman"/>
          <w:i/>
        </w:rPr>
        <w:t xml:space="preserve"> </w:t>
      </w:r>
      <w:r w:rsidR="009E597D" w:rsidRPr="005A6293">
        <w:rPr>
          <w:rFonts w:cs="Times New Roman"/>
        </w:rPr>
        <w:t>[emphasis added]</w:t>
      </w:r>
      <w:r w:rsidR="00A50DC7" w:rsidRPr="005A6293">
        <w:rPr>
          <w:rFonts w:cs="Times New Roman"/>
        </w:rPr>
        <w:t>”.</w:t>
      </w:r>
      <w:r w:rsidR="00A50DC7" w:rsidRPr="005A6293">
        <w:rPr>
          <w:rStyle w:val="FootnoteReference"/>
          <w:rFonts w:cs="Times New Roman"/>
        </w:rPr>
        <w:footnoteReference w:id="64"/>
      </w:r>
      <w:r w:rsidR="00665BDB" w:rsidRPr="005A6293">
        <w:rPr>
          <w:rFonts w:cs="Times New Roman"/>
        </w:rPr>
        <w:t xml:space="preserve"> </w:t>
      </w:r>
      <w:r w:rsidR="006F5923" w:rsidRPr="005A6293">
        <w:rPr>
          <w:rFonts w:cs="Times New Roman"/>
        </w:rPr>
        <w:t>While this education is very different than formal educational institutions that covered East Africa in later years, I argue that this system of informal education is s</w:t>
      </w:r>
      <w:r w:rsidR="00D123B0" w:rsidRPr="005A6293">
        <w:rPr>
          <w:rFonts w:cs="Times New Roman"/>
        </w:rPr>
        <w:t>till best defined as education</w:t>
      </w:r>
      <w:r w:rsidR="004A2C71" w:rsidRPr="005A6293">
        <w:rPr>
          <w:rFonts w:cs="Times New Roman"/>
        </w:rPr>
        <w:t>, in line with other scholars of</w:t>
      </w:r>
      <w:r w:rsidR="00D123B0" w:rsidRPr="005A6293">
        <w:rPr>
          <w:rFonts w:cs="Times New Roman"/>
        </w:rPr>
        <w:t xml:space="preserve"> historical education. Primarily, this categorization is important becaus</w:t>
      </w:r>
      <w:r w:rsidR="00AD7767">
        <w:rPr>
          <w:rFonts w:cs="Times New Roman"/>
        </w:rPr>
        <w:t>e it recognizes that there were</w:t>
      </w:r>
      <w:r w:rsidR="00C918A5" w:rsidRPr="005A6293">
        <w:rPr>
          <w:rFonts w:cs="Times New Roman"/>
        </w:rPr>
        <w:t xml:space="preserve"> many</w:t>
      </w:r>
      <w:r w:rsidR="00D123B0" w:rsidRPr="005A6293">
        <w:rPr>
          <w:rFonts w:cs="Times New Roman"/>
        </w:rPr>
        <w:t xml:space="preserve"> system</w:t>
      </w:r>
      <w:r w:rsidR="00C918A5" w:rsidRPr="005A6293">
        <w:rPr>
          <w:rFonts w:cs="Times New Roman"/>
        </w:rPr>
        <w:t>s</w:t>
      </w:r>
      <w:r w:rsidR="00D123B0" w:rsidRPr="005A6293">
        <w:rPr>
          <w:rFonts w:cs="Times New Roman"/>
        </w:rPr>
        <w:t xml:space="preserve"> </w:t>
      </w:r>
      <w:r w:rsidR="001D65D8" w:rsidRPr="005A6293">
        <w:rPr>
          <w:rFonts w:cs="Times New Roman"/>
        </w:rPr>
        <w:t>or institution</w:t>
      </w:r>
      <w:r w:rsidR="00C918A5" w:rsidRPr="005A6293">
        <w:rPr>
          <w:rFonts w:cs="Times New Roman"/>
        </w:rPr>
        <w:t>s</w:t>
      </w:r>
      <w:r w:rsidR="001D65D8" w:rsidRPr="005A6293">
        <w:rPr>
          <w:rFonts w:cs="Times New Roman"/>
        </w:rPr>
        <w:t xml:space="preserve"> </w:t>
      </w:r>
      <w:r w:rsidR="00D123B0" w:rsidRPr="005A6293">
        <w:rPr>
          <w:rFonts w:cs="Times New Roman"/>
        </w:rPr>
        <w:t xml:space="preserve">in place for informal education; </w:t>
      </w:r>
      <w:r w:rsidR="001D65D8" w:rsidRPr="005A6293">
        <w:rPr>
          <w:rFonts w:cs="Times New Roman"/>
        </w:rPr>
        <w:t xml:space="preserve">by recognizing the formal structures that underlined informal education, </w:t>
      </w:r>
      <w:r w:rsidR="0079760D" w:rsidRPr="005A6293">
        <w:rPr>
          <w:rFonts w:cs="Times New Roman"/>
        </w:rPr>
        <w:t>I</w:t>
      </w:r>
      <w:r w:rsidR="00055E92" w:rsidRPr="005A6293">
        <w:rPr>
          <w:rFonts w:cs="Times New Roman"/>
        </w:rPr>
        <w:t xml:space="preserve"> can argue that Africans engaged in a type of education, not just socialization of their family and community.</w:t>
      </w:r>
      <w:r w:rsidR="00A83608" w:rsidRPr="005A6293">
        <w:rPr>
          <w:rStyle w:val="FootnoteReference"/>
          <w:rFonts w:cs="Times New Roman"/>
        </w:rPr>
        <w:footnoteReference w:id="65"/>
      </w:r>
      <w:r w:rsidR="00055E92" w:rsidRPr="005A6293">
        <w:rPr>
          <w:rFonts w:cs="Times New Roman"/>
        </w:rPr>
        <w:t xml:space="preserve"> </w:t>
      </w:r>
      <w:r w:rsidR="001E6BCA" w:rsidRPr="005A6293">
        <w:rPr>
          <w:rFonts w:cs="Times New Roman"/>
        </w:rPr>
        <w:t xml:space="preserve">Socialization, however, is one of the most important aspects of indigenous education, and socialization as </w:t>
      </w:r>
      <w:r w:rsidR="00937F59">
        <w:rPr>
          <w:rFonts w:cs="Times New Roman"/>
        </w:rPr>
        <w:t xml:space="preserve">a </w:t>
      </w:r>
      <w:r w:rsidR="001E6BCA" w:rsidRPr="005A6293">
        <w:rPr>
          <w:rFonts w:cs="Times New Roman"/>
        </w:rPr>
        <w:t xml:space="preserve">part of education continues within families and communities today alongside formal education. </w:t>
      </w:r>
      <w:r w:rsidR="00CD44C9" w:rsidRPr="005A6293">
        <w:rPr>
          <w:rFonts w:cs="Times New Roman"/>
        </w:rPr>
        <w:t xml:space="preserve">Although indigenous </w:t>
      </w:r>
      <w:r w:rsidR="00043A2B" w:rsidRPr="005A6293">
        <w:rPr>
          <w:rFonts w:cs="Times New Roman"/>
        </w:rPr>
        <w:t xml:space="preserve">education does not cleanly fit into a Western definition of education, </w:t>
      </w:r>
      <w:r w:rsidR="002C61BF" w:rsidRPr="005A6293">
        <w:rPr>
          <w:rFonts w:cs="Times New Roman"/>
        </w:rPr>
        <w:t xml:space="preserve">I posit that it is important to </w:t>
      </w:r>
      <w:r w:rsidR="00043A2B" w:rsidRPr="005A6293">
        <w:rPr>
          <w:rFonts w:cs="Times New Roman"/>
        </w:rPr>
        <w:t xml:space="preserve">broaden our definitions beyond Western ideals and </w:t>
      </w:r>
      <w:r w:rsidR="002C61BF" w:rsidRPr="005A6293">
        <w:rPr>
          <w:rFonts w:cs="Times New Roman"/>
        </w:rPr>
        <w:t xml:space="preserve">recognize </w:t>
      </w:r>
      <w:r w:rsidR="00CD44C9" w:rsidRPr="005A6293">
        <w:rPr>
          <w:rFonts w:cs="Times New Roman"/>
        </w:rPr>
        <w:t>indigenous</w:t>
      </w:r>
      <w:r w:rsidR="002C61BF" w:rsidRPr="005A6293">
        <w:rPr>
          <w:rFonts w:cs="Times New Roman"/>
        </w:rPr>
        <w:t xml:space="preserve"> e</w:t>
      </w:r>
      <w:r w:rsidR="00043A2B" w:rsidRPr="005A6293">
        <w:rPr>
          <w:rFonts w:cs="Times New Roman"/>
        </w:rPr>
        <w:t xml:space="preserve">ducation as a type of education. </w:t>
      </w:r>
      <w:r w:rsidR="00B422C1" w:rsidRPr="005A6293">
        <w:rPr>
          <w:rFonts w:cs="Times New Roman"/>
        </w:rPr>
        <w:t xml:space="preserve">In line with broadening our conceptualization of education, </w:t>
      </w:r>
      <w:r w:rsidR="00BC741F">
        <w:rPr>
          <w:rFonts w:cs="Times New Roman"/>
        </w:rPr>
        <w:t xml:space="preserve">I argue that </w:t>
      </w:r>
      <w:r w:rsidR="00CD44C9" w:rsidRPr="005A6293">
        <w:rPr>
          <w:rFonts w:cs="Times New Roman"/>
        </w:rPr>
        <w:t>indigenous</w:t>
      </w:r>
      <w:r w:rsidR="00B422C1" w:rsidRPr="005A6293">
        <w:rPr>
          <w:rFonts w:cs="Times New Roman"/>
        </w:rPr>
        <w:t xml:space="preserve"> education is informal edu</w:t>
      </w:r>
      <w:r w:rsidR="005C05FC">
        <w:rPr>
          <w:rFonts w:cs="Times New Roman"/>
        </w:rPr>
        <w:t>cation and not formal education,</w:t>
      </w:r>
      <w:r w:rsidR="00B422C1" w:rsidRPr="005A6293">
        <w:rPr>
          <w:rFonts w:cs="Times New Roman"/>
        </w:rPr>
        <w:t xml:space="preserve"> </w:t>
      </w:r>
      <w:r w:rsidR="005C05FC">
        <w:rPr>
          <w:rFonts w:cs="Times New Roman"/>
        </w:rPr>
        <w:t>as</w:t>
      </w:r>
      <w:r w:rsidR="00B422C1" w:rsidRPr="005A6293">
        <w:rPr>
          <w:rFonts w:cs="Times New Roman"/>
        </w:rPr>
        <w:t xml:space="preserve"> it inhabits a different educational structure than later </w:t>
      </w:r>
      <w:r w:rsidR="00B422C1" w:rsidRPr="005A6293">
        <w:rPr>
          <w:rFonts w:cs="Times New Roman"/>
        </w:rPr>
        <w:lastRenderedPageBreak/>
        <w:t xml:space="preserve">models of education inhabit. </w:t>
      </w:r>
      <w:r w:rsidR="0064078E" w:rsidRPr="005A6293">
        <w:rPr>
          <w:rFonts w:cs="Times New Roman"/>
        </w:rPr>
        <w:t>Additionally, as Bogonko indicates, there were forms of formal education in Kenya, but overall</w:t>
      </w:r>
      <w:r w:rsidR="003369D1" w:rsidRPr="005A6293">
        <w:rPr>
          <w:rFonts w:cs="Times New Roman"/>
        </w:rPr>
        <w:t>,</w:t>
      </w:r>
      <w:r w:rsidR="0064078E" w:rsidRPr="005A6293">
        <w:rPr>
          <w:rFonts w:cs="Times New Roman"/>
        </w:rPr>
        <w:t xml:space="preserve"> they were not as important as the informal education system.</w:t>
      </w:r>
      <w:r w:rsidR="003369D1" w:rsidRPr="005A6293">
        <w:rPr>
          <w:rStyle w:val="FootnoteReference"/>
          <w:rFonts w:cs="Times New Roman"/>
        </w:rPr>
        <w:footnoteReference w:id="66"/>
      </w:r>
      <w:r w:rsidR="0064078E" w:rsidRPr="005A6293">
        <w:rPr>
          <w:rFonts w:cs="Times New Roman"/>
        </w:rPr>
        <w:t xml:space="preserve"> </w:t>
      </w:r>
      <w:r w:rsidR="00060129" w:rsidRPr="005A6293">
        <w:rPr>
          <w:rFonts w:cs="Times New Roman"/>
        </w:rPr>
        <w:t xml:space="preserve">Indigenous education has not stopped since the pre-colonial period, but rather continues alongside modern systems of formal education today. </w:t>
      </w:r>
      <w:r w:rsidR="007D5C35">
        <w:rPr>
          <w:rFonts w:cs="Times New Roman"/>
        </w:rPr>
        <w:t>Although I analyze</w:t>
      </w:r>
      <w:r w:rsidR="00EE2EB4" w:rsidRPr="005A6293">
        <w:rPr>
          <w:rFonts w:cs="Times New Roman"/>
        </w:rPr>
        <w:t xml:space="preserve"> changes to education overtime in Kenya, </w:t>
      </w:r>
      <w:r w:rsidR="003C25DE" w:rsidRPr="005A6293">
        <w:rPr>
          <w:rFonts w:cs="Times New Roman"/>
        </w:rPr>
        <w:t xml:space="preserve">there is a clear distinction between indigenous education and Western formal education introduced later. </w:t>
      </w:r>
      <w:r w:rsidR="00006718">
        <w:rPr>
          <w:rFonts w:cs="Times New Roman"/>
        </w:rPr>
        <w:t>Despite</w:t>
      </w:r>
      <w:r w:rsidR="000B182D">
        <w:rPr>
          <w:rFonts w:cs="Times New Roman"/>
        </w:rPr>
        <w:t xml:space="preserve"> indigenous education continuing</w:t>
      </w:r>
      <w:r w:rsidR="003C25DE" w:rsidRPr="005A6293">
        <w:rPr>
          <w:rFonts w:cs="Times New Roman"/>
        </w:rPr>
        <w:t xml:space="preserve"> after the introduction of Western formal education, I will only analyze the latter as it becomes the dominant system of education. </w:t>
      </w:r>
    </w:p>
    <w:p w14:paraId="7649E599" w14:textId="4BE91D40" w:rsidR="00082233" w:rsidRPr="005A6293" w:rsidRDefault="00082233" w:rsidP="0068257B">
      <w:pPr>
        <w:spacing w:line="480" w:lineRule="auto"/>
        <w:rPr>
          <w:rFonts w:cs="Times New Roman"/>
        </w:rPr>
      </w:pPr>
      <w:r w:rsidRPr="005A6293">
        <w:rPr>
          <w:rFonts w:cs="Times New Roman"/>
        </w:rPr>
        <w:tab/>
        <w:t xml:space="preserve">At its most basic, </w:t>
      </w:r>
      <w:r w:rsidR="00CD44C9" w:rsidRPr="005A6293">
        <w:rPr>
          <w:rFonts w:cs="Times New Roman"/>
        </w:rPr>
        <w:t>indigenous</w:t>
      </w:r>
      <w:r w:rsidRPr="005A6293">
        <w:rPr>
          <w:rFonts w:cs="Times New Roman"/>
        </w:rPr>
        <w:t xml:space="preserve"> education in Kenya is the passing on of knowledge from one generation to the other for the specific purpose of preparing individuals for roles within the community. Education was the responsibility of first and foremost the family, and then of the community at large. Unlike formalized education, each individual was instructed to fulfill a unique role in the community and the family. Education was considered a life-long process, with the explicit intent to create socially-centered, responsible members of the community. Babs Fafunwa indicates that </w:t>
      </w:r>
      <w:r w:rsidR="00CD44C9" w:rsidRPr="005A6293">
        <w:rPr>
          <w:rFonts w:cs="Times New Roman"/>
        </w:rPr>
        <w:t>indigenous</w:t>
      </w:r>
      <w:r w:rsidRPr="005A6293">
        <w:rPr>
          <w:rFonts w:cs="Times New Roman"/>
        </w:rPr>
        <w:t xml:space="preserve"> education taught “social responsibility, political participation, work orientation, morality and spiritual </w:t>
      </w:r>
      <w:r w:rsidR="009E39EB" w:rsidRPr="005A6293">
        <w:rPr>
          <w:rFonts w:cs="Times New Roman"/>
        </w:rPr>
        <w:t>values”</w:t>
      </w:r>
      <w:r w:rsidRPr="005A6293">
        <w:rPr>
          <w:rFonts w:cs="Times New Roman"/>
        </w:rPr>
        <w:t>.</w:t>
      </w:r>
      <w:r w:rsidR="00C8187C" w:rsidRPr="005A6293">
        <w:rPr>
          <w:rStyle w:val="FootnoteReference"/>
          <w:rFonts w:cs="Times New Roman"/>
        </w:rPr>
        <w:footnoteReference w:id="67"/>
      </w:r>
      <w:r w:rsidRPr="005A6293">
        <w:rPr>
          <w:rFonts w:cs="Times New Roman"/>
        </w:rPr>
        <w:t xml:space="preserve"> </w:t>
      </w:r>
      <w:r w:rsidR="00CD44C9" w:rsidRPr="005A6293">
        <w:rPr>
          <w:rFonts w:cs="Times New Roman"/>
        </w:rPr>
        <w:t>Indigenous</w:t>
      </w:r>
      <w:r w:rsidRPr="005A6293">
        <w:rPr>
          <w:rFonts w:cs="Times New Roman"/>
        </w:rPr>
        <w:t xml:space="preserve"> education focused on cultural reproduction.  </w:t>
      </w:r>
    </w:p>
    <w:p w14:paraId="0BFA2169" w14:textId="06DC59E4" w:rsidR="00082233" w:rsidRPr="005A6293" w:rsidRDefault="00082233" w:rsidP="0068257B">
      <w:pPr>
        <w:spacing w:line="480" w:lineRule="auto"/>
        <w:rPr>
          <w:rFonts w:cs="Times New Roman"/>
        </w:rPr>
      </w:pPr>
      <w:r w:rsidRPr="005A6293">
        <w:rPr>
          <w:rFonts w:cs="Times New Roman"/>
        </w:rPr>
        <w:lastRenderedPageBreak/>
        <w:tab/>
      </w:r>
      <w:r w:rsidR="005073AF" w:rsidRPr="005A6293">
        <w:rPr>
          <w:rFonts w:cs="Times New Roman"/>
        </w:rPr>
        <w:t>In order to conceptualize important themes from the multitude of indigenous education systems present in Kenya in the pre-colonial era, I utilize</w:t>
      </w:r>
      <w:r w:rsidRPr="005A6293">
        <w:rPr>
          <w:rFonts w:cs="Times New Roman"/>
        </w:rPr>
        <w:t xml:space="preserve"> five principles</w:t>
      </w:r>
      <w:r w:rsidR="005073AF" w:rsidRPr="005A6293">
        <w:rPr>
          <w:rFonts w:cs="Times New Roman"/>
        </w:rPr>
        <w:t xml:space="preserve"> to highlight some commonality in the ethnic, indigenous education systems</w:t>
      </w:r>
      <w:r w:rsidRPr="005A6293">
        <w:rPr>
          <w:rFonts w:cs="Times New Roman"/>
        </w:rPr>
        <w:t>: preparationism, functionalism, communalism, perennialism and wholist</w:t>
      </w:r>
      <w:r w:rsidR="009E39EB" w:rsidRPr="005A6293">
        <w:rPr>
          <w:rFonts w:cs="Times New Roman"/>
        </w:rPr>
        <w:t>icism</w:t>
      </w:r>
      <w:r w:rsidRPr="005A6293">
        <w:rPr>
          <w:rFonts w:cs="Times New Roman"/>
        </w:rPr>
        <w:t>.</w:t>
      </w:r>
      <w:r w:rsidR="00C8187C" w:rsidRPr="005A6293">
        <w:rPr>
          <w:rStyle w:val="FootnoteReference"/>
          <w:rFonts w:cs="Times New Roman"/>
        </w:rPr>
        <w:footnoteReference w:id="68"/>
      </w:r>
      <w:r w:rsidRPr="005A6293">
        <w:rPr>
          <w:rFonts w:cs="Times New Roman"/>
        </w:rPr>
        <w:t xml:space="preserve"> Each principle was driven by community-based needs and philosophies, that resulted in a comprehensive and lasting form of education. Preparationism prioritized preparation of individuals for their specific roles within their family, community, and ethnic group. </w:t>
      </w:r>
      <w:r w:rsidR="0067533F" w:rsidRPr="005A6293">
        <w:rPr>
          <w:rFonts w:cs="Times New Roman"/>
        </w:rPr>
        <w:t>Therefore,</w:t>
      </w:r>
      <w:r w:rsidRPr="005A6293">
        <w:rPr>
          <w:rFonts w:cs="Times New Roman"/>
        </w:rPr>
        <w:t xml:space="preserve"> education driven by preparationism molds individuals for a specific purpose, rather than expanding their abilities to broaden the roles they choose from later in life. Each </w:t>
      </w:r>
      <w:r w:rsidR="005A7625" w:rsidRPr="005A6293">
        <w:rPr>
          <w:rFonts w:cs="Times New Roman"/>
        </w:rPr>
        <w:t>family</w:t>
      </w:r>
      <w:r w:rsidRPr="005A6293">
        <w:rPr>
          <w:rFonts w:cs="Times New Roman"/>
        </w:rPr>
        <w:t xml:space="preserve"> molded their children for roles within their own communities, based on the pre-existing physical environment, community n</w:t>
      </w:r>
      <w:r w:rsidR="001A4B66" w:rsidRPr="005A6293">
        <w:rPr>
          <w:rFonts w:cs="Times New Roman"/>
        </w:rPr>
        <w:t>eeds, and spiritual setting.</w:t>
      </w:r>
      <w:r w:rsidR="00254AEA" w:rsidRPr="005A6293">
        <w:rPr>
          <w:rStyle w:val="FootnoteReference"/>
          <w:rFonts w:cs="Times New Roman"/>
        </w:rPr>
        <w:footnoteReference w:id="69"/>
      </w:r>
      <w:r w:rsidRPr="005A6293">
        <w:rPr>
          <w:rFonts w:cs="Times New Roman"/>
        </w:rPr>
        <w:t xml:space="preserve"> Furthermore, education that prioritizes preparationism necessitates </w:t>
      </w:r>
      <w:r w:rsidR="004C1276" w:rsidRPr="005A6293">
        <w:rPr>
          <w:rFonts w:cs="Times New Roman"/>
        </w:rPr>
        <w:t xml:space="preserve">different </w:t>
      </w:r>
      <w:r w:rsidRPr="005A6293">
        <w:rPr>
          <w:rFonts w:cs="Times New Roman"/>
        </w:rPr>
        <w:t>education</w:t>
      </w:r>
      <w:r w:rsidR="004C1276" w:rsidRPr="005A6293">
        <w:rPr>
          <w:rFonts w:cs="Times New Roman"/>
        </w:rPr>
        <w:t xml:space="preserve"> for males and females</w:t>
      </w:r>
      <w:r w:rsidRPr="005A6293">
        <w:rPr>
          <w:rFonts w:cs="Times New Roman"/>
        </w:rPr>
        <w:t xml:space="preserve">. Males and females had different roles in their community and, therefore, girls and boys had different educations to fulfill those roles. </w:t>
      </w:r>
    </w:p>
    <w:p w14:paraId="15C3A868" w14:textId="53BF3A65" w:rsidR="00082233" w:rsidRPr="005A6293" w:rsidRDefault="00082233" w:rsidP="00664FDA">
      <w:pPr>
        <w:spacing w:line="480" w:lineRule="auto"/>
        <w:rPr>
          <w:rFonts w:cs="Times New Roman"/>
        </w:rPr>
      </w:pPr>
      <w:r w:rsidRPr="005A6293">
        <w:rPr>
          <w:rFonts w:cs="Times New Roman"/>
        </w:rPr>
        <w:tab/>
        <w:t xml:space="preserve">Examples of preparationism can be found in Luo education. </w:t>
      </w:r>
      <w:r w:rsidR="00833785" w:rsidRPr="005A6293">
        <w:rPr>
          <w:rFonts w:cs="Times New Roman"/>
        </w:rPr>
        <w:t>M</w:t>
      </w:r>
      <w:r w:rsidRPr="005A6293">
        <w:rPr>
          <w:rFonts w:cs="Times New Roman"/>
        </w:rPr>
        <w:t xml:space="preserve">any children learned the roles they must take up in the future through play, </w:t>
      </w:r>
      <w:r w:rsidR="004238E5" w:rsidRPr="005A6293">
        <w:rPr>
          <w:rFonts w:cs="Times New Roman"/>
        </w:rPr>
        <w:t>which was seen as a valuable for</w:t>
      </w:r>
      <w:r w:rsidRPr="005A6293">
        <w:rPr>
          <w:rFonts w:cs="Times New Roman"/>
        </w:rPr>
        <w:t>m of experience. Furley and Watson provide an example from the Luo, in which girls learn future roles through play:</w:t>
      </w:r>
    </w:p>
    <w:p w14:paraId="0E20621F" w14:textId="76724495" w:rsidR="00082233" w:rsidRPr="005A6293" w:rsidRDefault="00082233" w:rsidP="00E871D1">
      <w:pPr>
        <w:spacing w:after="280"/>
        <w:ind w:left="720"/>
        <w:rPr>
          <w:rFonts w:cs="Times New Roman"/>
        </w:rPr>
      </w:pPr>
      <w:r w:rsidRPr="005A6293">
        <w:rPr>
          <w:rFonts w:cs="Times New Roman"/>
        </w:rPr>
        <w:t xml:space="preserve">On being introduce to play activities, a girl-child might begin with the grinding of the soil, which is done over a small flat area of cleared ground. Later, the grinding is done on a flattish stone, a leaf being placed to receive the supposed </w:t>
      </w:r>
      <w:r w:rsidRPr="005A6293">
        <w:rPr>
          <w:rFonts w:cs="Times New Roman"/>
        </w:rPr>
        <w:lastRenderedPageBreak/>
        <w:t>flour. There is an imitation of the mothers or sisters when they are grindi</w:t>
      </w:r>
      <w:r w:rsidR="00A67759" w:rsidRPr="005A6293">
        <w:rPr>
          <w:rFonts w:cs="Times New Roman"/>
        </w:rPr>
        <w:t>ng corn</w:t>
      </w:r>
      <w:r w:rsidR="00254AEA" w:rsidRPr="005A6293">
        <w:rPr>
          <w:rFonts w:cs="Times New Roman"/>
        </w:rPr>
        <w:t>.</w:t>
      </w:r>
      <w:r w:rsidR="00254AEA" w:rsidRPr="005A6293">
        <w:rPr>
          <w:rStyle w:val="FootnoteReference"/>
          <w:rFonts w:cs="Times New Roman"/>
        </w:rPr>
        <w:footnoteReference w:id="70"/>
      </w:r>
    </w:p>
    <w:p w14:paraId="4D0C1DD0" w14:textId="3B8071DA" w:rsidR="00414FE9" w:rsidRPr="005A6293" w:rsidRDefault="00082233" w:rsidP="0068257B">
      <w:pPr>
        <w:spacing w:line="480" w:lineRule="auto"/>
        <w:rPr>
          <w:rFonts w:cs="Times New Roman"/>
        </w:rPr>
      </w:pPr>
      <w:r w:rsidRPr="005A6293">
        <w:rPr>
          <w:rFonts w:cs="Times New Roman"/>
        </w:rPr>
        <w:t>Th</w:t>
      </w:r>
      <w:r w:rsidR="00FD7521" w:rsidRPr="005A6293">
        <w:rPr>
          <w:rFonts w:cs="Times New Roman"/>
        </w:rPr>
        <w:t>rough work and play, children w</w:t>
      </w:r>
      <w:r w:rsidRPr="005A6293">
        <w:rPr>
          <w:rFonts w:cs="Times New Roman"/>
        </w:rPr>
        <w:t xml:space="preserve">ere shaped by their family and community to fulfill specific roles. A striking example of how children move through roles </w:t>
      </w:r>
      <w:r w:rsidR="00B84167" w:rsidRPr="005A6293">
        <w:rPr>
          <w:rFonts w:cs="Times New Roman"/>
        </w:rPr>
        <w:t>in their community based off their gender</w:t>
      </w:r>
      <w:r w:rsidRPr="005A6293">
        <w:rPr>
          <w:rFonts w:cs="Times New Roman"/>
        </w:rPr>
        <w:t xml:space="preserve"> comes from the Kikuyu. Furley and Watson provide a chart of the different levels all boys must pass through in their education, as well as provide some of the classification names for girls. </w:t>
      </w:r>
    </w:p>
    <w:p w14:paraId="6807A59D" w14:textId="4E8BBA20" w:rsidR="00414FE9" w:rsidRPr="005A6293" w:rsidRDefault="00414FE9" w:rsidP="0068257B">
      <w:pPr>
        <w:spacing w:line="480" w:lineRule="auto"/>
        <w:rPr>
          <w:rFonts w:cs="Times New Roman"/>
        </w:rPr>
      </w:pPr>
      <w:r w:rsidRPr="005A6293">
        <w:rPr>
          <w:rFonts w:cs="Times New Roman"/>
        </w:rPr>
        <w:t>Table</w:t>
      </w:r>
      <w:r w:rsidR="00517FF4" w:rsidRPr="005A6293">
        <w:rPr>
          <w:rFonts w:cs="Times New Roman"/>
        </w:rPr>
        <w:t xml:space="preserve"> 2</w:t>
      </w:r>
      <w:r w:rsidR="00237BDA" w:rsidRPr="005A6293">
        <w:rPr>
          <w:rFonts w:cs="Times New Roman"/>
        </w:rPr>
        <w:t>. Kikuyu Levels</w:t>
      </w:r>
      <w:r w:rsidRPr="005A6293">
        <w:rPr>
          <w:rFonts w:cs="Times New Roman"/>
        </w:rPr>
        <w:t xml:space="preserve"> of Education</w:t>
      </w:r>
    </w:p>
    <w:tbl>
      <w:tblPr>
        <w:tblStyle w:val="ListTable6Colorful-Accent31"/>
        <w:tblW w:w="0" w:type="auto"/>
        <w:jc w:val="center"/>
        <w:tblLook w:val="04A0" w:firstRow="1" w:lastRow="0" w:firstColumn="1" w:lastColumn="0" w:noHBand="0" w:noVBand="1"/>
      </w:tblPr>
      <w:tblGrid>
        <w:gridCol w:w="1539"/>
        <w:gridCol w:w="2421"/>
        <w:gridCol w:w="2250"/>
        <w:gridCol w:w="2070"/>
      </w:tblGrid>
      <w:tr w:rsidR="00082233" w:rsidRPr="005A6293" w14:paraId="53C2DF83" w14:textId="77777777" w:rsidTr="000D6FB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280" w:type="dxa"/>
            <w:gridSpan w:val="4"/>
          </w:tcPr>
          <w:p w14:paraId="1F532518" w14:textId="77777777" w:rsidR="00082233" w:rsidRPr="005A6293" w:rsidRDefault="00082233" w:rsidP="00E11DF9">
            <w:pPr>
              <w:jc w:val="center"/>
              <w:rPr>
                <w:rFonts w:cs="Times New Roman"/>
                <w:color w:val="000000" w:themeColor="text1"/>
              </w:rPr>
            </w:pPr>
            <w:r w:rsidRPr="005A6293">
              <w:rPr>
                <w:rFonts w:cs="Times New Roman"/>
                <w:color w:val="000000" w:themeColor="text1"/>
              </w:rPr>
              <w:t>Kikuyu System of Education (Boys)</w:t>
            </w:r>
          </w:p>
        </w:tc>
      </w:tr>
      <w:tr w:rsidR="00082233" w:rsidRPr="005A6293" w14:paraId="2ACBF156" w14:textId="77777777" w:rsidTr="000D6F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9" w:type="dxa"/>
          </w:tcPr>
          <w:p w14:paraId="76057D9A" w14:textId="77777777" w:rsidR="00082233" w:rsidRPr="005A6293" w:rsidRDefault="00082233" w:rsidP="00E11DF9">
            <w:pPr>
              <w:rPr>
                <w:rFonts w:cs="Times New Roman"/>
                <w:b w:val="0"/>
                <w:i/>
                <w:color w:val="000000" w:themeColor="text1"/>
              </w:rPr>
            </w:pPr>
            <w:r w:rsidRPr="005A6293">
              <w:rPr>
                <w:rFonts w:cs="Times New Roman"/>
                <w:b w:val="0"/>
                <w:i/>
                <w:color w:val="000000" w:themeColor="text1"/>
              </w:rPr>
              <w:t>Age in Years</w:t>
            </w:r>
          </w:p>
        </w:tc>
        <w:tc>
          <w:tcPr>
            <w:tcW w:w="2421" w:type="dxa"/>
          </w:tcPr>
          <w:p w14:paraId="4BB0750E"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i/>
                <w:color w:val="000000" w:themeColor="text1"/>
              </w:rPr>
            </w:pPr>
            <w:r w:rsidRPr="005A6293">
              <w:rPr>
                <w:rFonts w:cs="Times New Roman"/>
                <w:i/>
                <w:color w:val="000000" w:themeColor="text1"/>
              </w:rPr>
              <w:t>Status Group</w:t>
            </w:r>
          </w:p>
        </w:tc>
        <w:tc>
          <w:tcPr>
            <w:tcW w:w="2250" w:type="dxa"/>
          </w:tcPr>
          <w:p w14:paraId="4B877A85"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i/>
                <w:color w:val="000000" w:themeColor="text1"/>
              </w:rPr>
            </w:pPr>
            <w:r w:rsidRPr="005A6293">
              <w:rPr>
                <w:rFonts w:cs="Times New Roman"/>
                <w:i/>
                <w:color w:val="000000" w:themeColor="text1"/>
              </w:rPr>
              <w:t>Kikuyu Name</w:t>
            </w:r>
          </w:p>
        </w:tc>
        <w:tc>
          <w:tcPr>
            <w:tcW w:w="2070" w:type="dxa"/>
          </w:tcPr>
          <w:p w14:paraId="27741164"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i/>
                <w:color w:val="000000" w:themeColor="text1"/>
              </w:rPr>
            </w:pPr>
            <w:r w:rsidRPr="005A6293">
              <w:rPr>
                <w:rFonts w:cs="Times New Roman"/>
                <w:i/>
                <w:color w:val="000000" w:themeColor="text1"/>
              </w:rPr>
              <w:t>Sign</w:t>
            </w:r>
          </w:p>
        </w:tc>
      </w:tr>
      <w:tr w:rsidR="00082233" w:rsidRPr="005A6293" w14:paraId="7FFCADF8" w14:textId="77777777" w:rsidTr="000D6FB4">
        <w:trPr>
          <w:jc w:val="center"/>
        </w:trPr>
        <w:tc>
          <w:tcPr>
            <w:cnfStyle w:val="001000000000" w:firstRow="0" w:lastRow="0" w:firstColumn="1" w:lastColumn="0" w:oddVBand="0" w:evenVBand="0" w:oddHBand="0" w:evenHBand="0" w:firstRowFirstColumn="0" w:firstRowLastColumn="0" w:lastRowFirstColumn="0" w:lastRowLastColumn="0"/>
            <w:tcW w:w="1539" w:type="dxa"/>
          </w:tcPr>
          <w:p w14:paraId="6CF63912" w14:textId="77777777" w:rsidR="00082233" w:rsidRPr="005A6293" w:rsidRDefault="00082233" w:rsidP="00E11DF9">
            <w:pPr>
              <w:rPr>
                <w:rFonts w:cs="Times New Roman"/>
                <w:b w:val="0"/>
                <w:color w:val="000000" w:themeColor="text1"/>
              </w:rPr>
            </w:pPr>
            <w:r w:rsidRPr="005A6293">
              <w:rPr>
                <w:rFonts w:cs="Times New Roman"/>
                <w:b w:val="0"/>
                <w:color w:val="000000" w:themeColor="text1"/>
              </w:rPr>
              <w:t>1-3</w:t>
            </w:r>
          </w:p>
        </w:tc>
        <w:tc>
          <w:tcPr>
            <w:tcW w:w="2421" w:type="dxa"/>
          </w:tcPr>
          <w:p w14:paraId="3CF856A9" w14:textId="77777777" w:rsidR="00082233" w:rsidRPr="005A6293" w:rsidRDefault="00082233" w:rsidP="00E11DF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5A6293">
              <w:rPr>
                <w:rFonts w:cs="Times New Roman"/>
                <w:color w:val="000000" w:themeColor="text1"/>
              </w:rPr>
              <w:t>Infant</w:t>
            </w:r>
          </w:p>
        </w:tc>
        <w:tc>
          <w:tcPr>
            <w:tcW w:w="2250" w:type="dxa"/>
          </w:tcPr>
          <w:p w14:paraId="1E215342" w14:textId="77777777" w:rsidR="00082233" w:rsidRPr="005A6293" w:rsidRDefault="00082233" w:rsidP="00E11DF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5A6293">
              <w:rPr>
                <w:rFonts w:cs="Times New Roman"/>
                <w:color w:val="000000" w:themeColor="text1"/>
              </w:rPr>
              <w:t>Rukenge</w:t>
            </w:r>
          </w:p>
        </w:tc>
        <w:tc>
          <w:tcPr>
            <w:tcW w:w="2070" w:type="dxa"/>
          </w:tcPr>
          <w:p w14:paraId="7F83D7D9" w14:textId="77777777" w:rsidR="00082233" w:rsidRPr="005A6293" w:rsidRDefault="00082233" w:rsidP="00E11DF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r>
      <w:tr w:rsidR="00082233" w:rsidRPr="005A6293" w14:paraId="131A7D82" w14:textId="77777777" w:rsidTr="000D6F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9" w:type="dxa"/>
          </w:tcPr>
          <w:p w14:paraId="1BAAF2F7" w14:textId="77777777" w:rsidR="00082233" w:rsidRPr="005A6293" w:rsidRDefault="00082233" w:rsidP="00E11DF9">
            <w:pPr>
              <w:rPr>
                <w:rFonts w:cs="Times New Roman"/>
                <w:b w:val="0"/>
                <w:color w:val="000000" w:themeColor="text1"/>
              </w:rPr>
            </w:pPr>
            <w:r w:rsidRPr="005A6293">
              <w:rPr>
                <w:rFonts w:cs="Times New Roman"/>
                <w:b w:val="0"/>
                <w:color w:val="000000" w:themeColor="text1"/>
              </w:rPr>
              <w:t>4-5</w:t>
            </w:r>
          </w:p>
        </w:tc>
        <w:tc>
          <w:tcPr>
            <w:tcW w:w="2421" w:type="dxa"/>
          </w:tcPr>
          <w:p w14:paraId="0837A88E"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5A6293">
              <w:rPr>
                <w:rFonts w:cs="Times New Roman"/>
                <w:color w:val="000000" w:themeColor="text1"/>
              </w:rPr>
              <w:t>Child</w:t>
            </w:r>
          </w:p>
        </w:tc>
        <w:tc>
          <w:tcPr>
            <w:tcW w:w="2250" w:type="dxa"/>
          </w:tcPr>
          <w:p w14:paraId="5A49F340"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5A6293">
              <w:rPr>
                <w:rFonts w:cs="Times New Roman"/>
                <w:color w:val="000000" w:themeColor="text1"/>
              </w:rPr>
              <w:t>Mwana</w:t>
            </w:r>
          </w:p>
        </w:tc>
        <w:tc>
          <w:tcPr>
            <w:tcW w:w="2070" w:type="dxa"/>
          </w:tcPr>
          <w:p w14:paraId="6205C9C5"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p>
        </w:tc>
      </w:tr>
      <w:tr w:rsidR="00082233" w:rsidRPr="005A6293" w14:paraId="5308D6F1" w14:textId="77777777" w:rsidTr="000D6FB4">
        <w:trPr>
          <w:jc w:val="center"/>
        </w:trPr>
        <w:tc>
          <w:tcPr>
            <w:cnfStyle w:val="001000000000" w:firstRow="0" w:lastRow="0" w:firstColumn="1" w:lastColumn="0" w:oddVBand="0" w:evenVBand="0" w:oddHBand="0" w:evenHBand="0" w:firstRowFirstColumn="0" w:firstRowLastColumn="0" w:lastRowFirstColumn="0" w:lastRowLastColumn="0"/>
            <w:tcW w:w="1539" w:type="dxa"/>
          </w:tcPr>
          <w:p w14:paraId="7A4DB020" w14:textId="77777777" w:rsidR="00082233" w:rsidRPr="005A6293" w:rsidRDefault="00082233" w:rsidP="00E11DF9">
            <w:pPr>
              <w:rPr>
                <w:rFonts w:cs="Times New Roman"/>
                <w:b w:val="0"/>
                <w:color w:val="000000" w:themeColor="text1"/>
              </w:rPr>
            </w:pPr>
            <w:r w:rsidRPr="005A6293">
              <w:rPr>
                <w:rFonts w:cs="Times New Roman"/>
                <w:b w:val="0"/>
                <w:color w:val="000000" w:themeColor="text1"/>
              </w:rPr>
              <w:t>6-12</w:t>
            </w:r>
          </w:p>
        </w:tc>
        <w:tc>
          <w:tcPr>
            <w:tcW w:w="2421" w:type="dxa"/>
          </w:tcPr>
          <w:p w14:paraId="116ABBE8" w14:textId="77777777" w:rsidR="00082233" w:rsidRPr="005A6293" w:rsidRDefault="00082233" w:rsidP="00E11DF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5A6293">
              <w:rPr>
                <w:rFonts w:cs="Times New Roman"/>
                <w:color w:val="000000" w:themeColor="text1"/>
              </w:rPr>
              <w:t>Boy</w:t>
            </w:r>
          </w:p>
        </w:tc>
        <w:tc>
          <w:tcPr>
            <w:tcW w:w="2250" w:type="dxa"/>
          </w:tcPr>
          <w:p w14:paraId="46B7658F" w14:textId="77777777" w:rsidR="00082233" w:rsidRPr="005A6293" w:rsidRDefault="00082233" w:rsidP="00E11DF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5A6293">
              <w:rPr>
                <w:rFonts w:cs="Times New Roman"/>
                <w:color w:val="000000" w:themeColor="text1"/>
              </w:rPr>
              <w:t>Kahii</w:t>
            </w:r>
          </w:p>
        </w:tc>
        <w:tc>
          <w:tcPr>
            <w:tcW w:w="2070" w:type="dxa"/>
          </w:tcPr>
          <w:p w14:paraId="04BFF439" w14:textId="77777777" w:rsidR="00082233" w:rsidRPr="005A6293" w:rsidRDefault="00082233" w:rsidP="00E11DF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5A6293">
              <w:rPr>
                <w:rFonts w:cs="Times New Roman"/>
                <w:color w:val="000000" w:themeColor="text1"/>
              </w:rPr>
              <w:t>Piercing the lobe of the ears</w:t>
            </w:r>
          </w:p>
        </w:tc>
      </w:tr>
      <w:tr w:rsidR="00082233" w:rsidRPr="005A6293" w14:paraId="01B6AA8E" w14:textId="77777777" w:rsidTr="000D6F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9" w:type="dxa"/>
          </w:tcPr>
          <w:p w14:paraId="152ACA26" w14:textId="77777777" w:rsidR="00082233" w:rsidRPr="005A6293" w:rsidRDefault="00082233" w:rsidP="00E11DF9">
            <w:pPr>
              <w:rPr>
                <w:rFonts w:cs="Times New Roman"/>
                <w:b w:val="0"/>
                <w:color w:val="000000" w:themeColor="text1"/>
              </w:rPr>
            </w:pPr>
            <w:r w:rsidRPr="005A6293">
              <w:rPr>
                <w:rFonts w:cs="Times New Roman"/>
                <w:b w:val="0"/>
                <w:color w:val="000000" w:themeColor="text1"/>
              </w:rPr>
              <w:t>13-17</w:t>
            </w:r>
          </w:p>
        </w:tc>
        <w:tc>
          <w:tcPr>
            <w:tcW w:w="2421" w:type="dxa"/>
          </w:tcPr>
          <w:p w14:paraId="2599CB2E"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5A6293">
              <w:rPr>
                <w:rFonts w:cs="Times New Roman"/>
                <w:color w:val="000000" w:themeColor="text1"/>
              </w:rPr>
              <w:t>Uncircumcised (Adolescents)</w:t>
            </w:r>
          </w:p>
        </w:tc>
        <w:tc>
          <w:tcPr>
            <w:tcW w:w="2250" w:type="dxa"/>
          </w:tcPr>
          <w:p w14:paraId="1814601B"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5A6293">
              <w:rPr>
                <w:rFonts w:cs="Times New Roman"/>
                <w:color w:val="000000" w:themeColor="text1"/>
              </w:rPr>
              <w:t>Kihii</w:t>
            </w:r>
          </w:p>
        </w:tc>
        <w:tc>
          <w:tcPr>
            <w:tcW w:w="2070" w:type="dxa"/>
          </w:tcPr>
          <w:p w14:paraId="60B7AEB8"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5A6293">
              <w:rPr>
                <w:rFonts w:cs="Times New Roman"/>
                <w:color w:val="000000" w:themeColor="text1"/>
              </w:rPr>
              <w:t>Piercing the outer edge of the ears</w:t>
            </w:r>
          </w:p>
        </w:tc>
      </w:tr>
      <w:tr w:rsidR="00082233" w:rsidRPr="005A6293" w14:paraId="053D82A1" w14:textId="77777777" w:rsidTr="000D6FB4">
        <w:trPr>
          <w:jc w:val="center"/>
        </w:trPr>
        <w:tc>
          <w:tcPr>
            <w:cnfStyle w:val="001000000000" w:firstRow="0" w:lastRow="0" w:firstColumn="1" w:lastColumn="0" w:oddVBand="0" w:evenVBand="0" w:oddHBand="0" w:evenHBand="0" w:firstRowFirstColumn="0" w:firstRowLastColumn="0" w:lastRowFirstColumn="0" w:lastRowLastColumn="0"/>
            <w:tcW w:w="1539" w:type="dxa"/>
          </w:tcPr>
          <w:p w14:paraId="57B9B7AA" w14:textId="77777777" w:rsidR="00082233" w:rsidRPr="005A6293" w:rsidRDefault="00082233" w:rsidP="00E11DF9">
            <w:pPr>
              <w:rPr>
                <w:rFonts w:cs="Times New Roman"/>
                <w:b w:val="0"/>
                <w:color w:val="000000" w:themeColor="text1"/>
              </w:rPr>
            </w:pPr>
            <w:r w:rsidRPr="005A6293">
              <w:rPr>
                <w:rFonts w:cs="Times New Roman"/>
                <w:b w:val="0"/>
                <w:color w:val="000000" w:themeColor="text1"/>
              </w:rPr>
              <w:t>18-20</w:t>
            </w:r>
          </w:p>
        </w:tc>
        <w:tc>
          <w:tcPr>
            <w:tcW w:w="2421" w:type="dxa"/>
          </w:tcPr>
          <w:p w14:paraId="0AC7E9CD" w14:textId="77777777" w:rsidR="00082233" w:rsidRPr="005A6293" w:rsidRDefault="00082233" w:rsidP="00E11DF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5A6293">
              <w:rPr>
                <w:rFonts w:cs="Times New Roman"/>
                <w:color w:val="000000" w:themeColor="text1"/>
              </w:rPr>
              <w:t>Newly circumcised warrior</w:t>
            </w:r>
          </w:p>
        </w:tc>
        <w:tc>
          <w:tcPr>
            <w:tcW w:w="2250" w:type="dxa"/>
          </w:tcPr>
          <w:p w14:paraId="32611D50" w14:textId="77777777" w:rsidR="00082233" w:rsidRPr="005A6293" w:rsidRDefault="00082233" w:rsidP="00E11DF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5A6293">
              <w:rPr>
                <w:rFonts w:cs="Times New Roman"/>
                <w:color w:val="000000" w:themeColor="text1"/>
              </w:rPr>
              <w:t>Muume</w:t>
            </w:r>
          </w:p>
        </w:tc>
        <w:tc>
          <w:tcPr>
            <w:tcW w:w="2070" w:type="dxa"/>
          </w:tcPr>
          <w:p w14:paraId="52AE569C" w14:textId="77777777" w:rsidR="00082233" w:rsidRPr="005A6293" w:rsidRDefault="00082233" w:rsidP="00E11DF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5A6293">
              <w:rPr>
                <w:rFonts w:cs="Times New Roman"/>
                <w:color w:val="000000" w:themeColor="text1"/>
              </w:rPr>
              <w:t>Circumcision</w:t>
            </w:r>
          </w:p>
        </w:tc>
      </w:tr>
      <w:tr w:rsidR="00082233" w:rsidRPr="005A6293" w14:paraId="35BEE286" w14:textId="77777777" w:rsidTr="000D6F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9" w:type="dxa"/>
          </w:tcPr>
          <w:p w14:paraId="23C919CE" w14:textId="77777777" w:rsidR="00082233" w:rsidRPr="005A6293" w:rsidRDefault="00082233" w:rsidP="00E11DF9">
            <w:pPr>
              <w:rPr>
                <w:rFonts w:cs="Times New Roman"/>
                <w:color w:val="000000" w:themeColor="text1"/>
              </w:rPr>
            </w:pPr>
          </w:p>
        </w:tc>
        <w:tc>
          <w:tcPr>
            <w:tcW w:w="2421" w:type="dxa"/>
          </w:tcPr>
          <w:p w14:paraId="74EFB9F7"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5A6293">
              <w:rPr>
                <w:rFonts w:cs="Times New Roman"/>
                <w:color w:val="000000" w:themeColor="text1"/>
              </w:rPr>
              <w:t>Warrior married with child</w:t>
            </w:r>
          </w:p>
        </w:tc>
        <w:tc>
          <w:tcPr>
            <w:tcW w:w="2250" w:type="dxa"/>
          </w:tcPr>
          <w:p w14:paraId="2BBE3989"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5A6293">
              <w:rPr>
                <w:rFonts w:cs="Times New Roman"/>
                <w:color w:val="000000" w:themeColor="text1"/>
              </w:rPr>
              <w:t>Mwanake Muthuri wa mucii</w:t>
            </w:r>
          </w:p>
        </w:tc>
        <w:tc>
          <w:tcPr>
            <w:tcW w:w="2070" w:type="dxa"/>
          </w:tcPr>
          <w:p w14:paraId="3BB1F989"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p>
        </w:tc>
      </w:tr>
      <w:tr w:rsidR="00082233" w:rsidRPr="005A6293" w14:paraId="362EC18D" w14:textId="77777777" w:rsidTr="000D6FB4">
        <w:trPr>
          <w:jc w:val="center"/>
        </w:trPr>
        <w:tc>
          <w:tcPr>
            <w:cnfStyle w:val="001000000000" w:firstRow="0" w:lastRow="0" w:firstColumn="1" w:lastColumn="0" w:oddVBand="0" w:evenVBand="0" w:oddHBand="0" w:evenHBand="0" w:firstRowFirstColumn="0" w:firstRowLastColumn="0" w:lastRowFirstColumn="0" w:lastRowLastColumn="0"/>
            <w:tcW w:w="1539" w:type="dxa"/>
          </w:tcPr>
          <w:p w14:paraId="7704FBC7" w14:textId="77777777" w:rsidR="00082233" w:rsidRPr="005A6293" w:rsidRDefault="00082233" w:rsidP="00E11DF9">
            <w:pPr>
              <w:rPr>
                <w:rFonts w:cs="Times New Roman"/>
                <w:color w:val="000000" w:themeColor="text1"/>
              </w:rPr>
            </w:pPr>
          </w:p>
        </w:tc>
        <w:tc>
          <w:tcPr>
            <w:tcW w:w="2421" w:type="dxa"/>
          </w:tcPr>
          <w:p w14:paraId="153BFDFA" w14:textId="77777777" w:rsidR="00082233" w:rsidRPr="005A6293" w:rsidRDefault="00082233" w:rsidP="00E11DF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5A6293">
              <w:rPr>
                <w:rFonts w:cs="Times New Roman"/>
                <w:color w:val="000000" w:themeColor="text1"/>
              </w:rPr>
              <w:t>Elders (junior)</w:t>
            </w:r>
          </w:p>
        </w:tc>
        <w:tc>
          <w:tcPr>
            <w:tcW w:w="2250" w:type="dxa"/>
          </w:tcPr>
          <w:p w14:paraId="398B1CE3" w14:textId="77777777" w:rsidR="00082233" w:rsidRPr="005A6293" w:rsidRDefault="00082233" w:rsidP="00E11DF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5A6293">
              <w:rPr>
                <w:rFonts w:cs="Times New Roman"/>
                <w:color w:val="000000" w:themeColor="text1"/>
              </w:rPr>
              <w:t>Kamatimu</w:t>
            </w:r>
          </w:p>
        </w:tc>
        <w:tc>
          <w:tcPr>
            <w:tcW w:w="2070" w:type="dxa"/>
          </w:tcPr>
          <w:p w14:paraId="28E00BBB" w14:textId="77777777" w:rsidR="00082233" w:rsidRPr="005A6293" w:rsidRDefault="00082233" w:rsidP="00E11DF9">
            <w:pPr>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r>
      <w:tr w:rsidR="00082233" w:rsidRPr="005A6293" w14:paraId="5723ACCC" w14:textId="77777777" w:rsidTr="000D6F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9" w:type="dxa"/>
          </w:tcPr>
          <w:p w14:paraId="3AC4160A" w14:textId="77777777" w:rsidR="00082233" w:rsidRPr="005A6293" w:rsidRDefault="00082233" w:rsidP="00E11DF9">
            <w:pPr>
              <w:rPr>
                <w:rFonts w:cs="Times New Roman"/>
                <w:color w:val="000000" w:themeColor="text1"/>
              </w:rPr>
            </w:pPr>
          </w:p>
        </w:tc>
        <w:tc>
          <w:tcPr>
            <w:tcW w:w="2421" w:type="dxa"/>
          </w:tcPr>
          <w:p w14:paraId="0F8E52FB"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5A6293">
              <w:rPr>
                <w:rFonts w:cs="Times New Roman"/>
                <w:color w:val="000000" w:themeColor="text1"/>
              </w:rPr>
              <w:t>Elders (senior)</w:t>
            </w:r>
          </w:p>
        </w:tc>
        <w:tc>
          <w:tcPr>
            <w:tcW w:w="2250" w:type="dxa"/>
          </w:tcPr>
          <w:p w14:paraId="62121663"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r w:rsidRPr="005A6293">
              <w:rPr>
                <w:rFonts w:cs="Times New Roman"/>
                <w:color w:val="000000" w:themeColor="text1"/>
              </w:rPr>
              <w:t>Kiama kia maturanguru</w:t>
            </w:r>
          </w:p>
        </w:tc>
        <w:tc>
          <w:tcPr>
            <w:tcW w:w="2070" w:type="dxa"/>
          </w:tcPr>
          <w:p w14:paraId="6AF1BE70" w14:textId="77777777" w:rsidR="00082233" w:rsidRPr="005A6293" w:rsidRDefault="00082233" w:rsidP="00E11DF9">
            <w:pPr>
              <w:cnfStyle w:val="000000100000" w:firstRow="0" w:lastRow="0" w:firstColumn="0" w:lastColumn="0" w:oddVBand="0" w:evenVBand="0" w:oddHBand="1" w:evenHBand="0" w:firstRowFirstColumn="0" w:firstRowLastColumn="0" w:lastRowFirstColumn="0" w:lastRowLastColumn="0"/>
              <w:rPr>
                <w:rFonts w:cs="Times New Roman"/>
                <w:color w:val="000000" w:themeColor="text1"/>
              </w:rPr>
            </w:pPr>
          </w:p>
        </w:tc>
      </w:tr>
    </w:tbl>
    <w:p w14:paraId="0EA8ED59" w14:textId="15F19C93" w:rsidR="00082233" w:rsidRPr="005A6293" w:rsidRDefault="00AD02AC" w:rsidP="0068257B">
      <w:pPr>
        <w:spacing w:line="480" w:lineRule="auto"/>
        <w:rPr>
          <w:rFonts w:cs="Times New Roman"/>
          <w:sz w:val="16"/>
          <w:szCs w:val="16"/>
        </w:rPr>
      </w:pPr>
      <w:r w:rsidRPr="005A6293">
        <w:rPr>
          <w:rFonts w:cs="Times New Roman"/>
        </w:rPr>
        <w:t xml:space="preserve"> </w:t>
      </w:r>
      <w:r w:rsidR="00082233" w:rsidRPr="005A6293">
        <w:rPr>
          <w:rFonts w:cs="Times New Roman"/>
        </w:rPr>
        <w:t xml:space="preserve"> </w:t>
      </w:r>
      <w:r w:rsidR="00723748" w:rsidRPr="005A6293">
        <w:rPr>
          <w:rFonts w:cs="Times New Roman"/>
          <w:sz w:val="16"/>
          <w:szCs w:val="16"/>
        </w:rPr>
        <w:t xml:space="preserve">Source: Furley and Watson, </w:t>
      </w:r>
      <w:r w:rsidR="00723748" w:rsidRPr="005A6293">
        <w:rPr>
          <w:rFonts w:cs="Times New Roman"/>
          <w:i/>
          <w:sz w:val="16"/>
          <w:szCs w:val="16"/>
        </w:rPr>
        <w:t>A History of Education in East Africa</w:t>
      </w:r>
      <w:r w:rsidR="00723748" w:rsidRPr="005A6293">
        <w:rPr>
          <w:rFonts w:cs="Times New Roman"/>
          <w:sz w:val="16"/>
          <w:szCs w:val="16"/>
        </w:rPr>
        <w:t>, 10</w:t>
      </w:r>
    </w:p>
    <w:p w14:paraId="01A61DA4" w14:textId="7B1329A0" w:rsidR="00082233" w:rsidRPr="005A6293" w:rsidRDefault="00082233" w:rsidP="0068257B">
      <w:pPr>
        <w:spacing w:line="480" w:lineRule="auto"/>
        <w:rPr>
          <w:rFonts w:cs="Times New Roman"/>
        </w:rPr>
      </w:pPr>
      <w:r w:rsidRPr="005A6293">
        <w:rPr>
          <w:rFonts w:cs="Times New Roman"/>
        </w:rPr>
        <w:t>For the girls, the Kikuyu name they received for each level were: Rukenge, Mwana, Karigu, Muumo, a</w:t>
      </w:r>
      <w:r w:rsidR="003A3794" w:rsidRPr="005A6293">
        <w:rPr>
          <w:rFonts w:cs="Times New Roman"/>
        </w:rPr>
        <w:t>nd Muhiki</w:t>
      </w:r>
      <w:r w:rsidRPr="005A6293">
        <w:rPr>
          <w:rFonts w:cs="Times New Roman"/>
        </w:rPr>
        <w:t>.</w:t>
      </w:r>
      <w:r w:rsidR="00254AEA" w:rsidRPr="005A6293">
        <w:rPr>
          <w:rStyle w:val="FootnoteReference"/>
          <w:rFonts w:cs="Times New Roman"/>
        </w:rPr>
        <w:footnoteReference w:id="71"/>
      </w:r>
      <w:r w:rsidRPr="005A6293">
        <w:rPr>
          <w:rFonts w:cs="Times New Roman"/>
        </w:rPr>
        <w:t xml:space="preserve"> Within Kenya, many ethnic groups had traits of prepara</w:t>
      </w:r>
      <w:r w:rsidR="00AD2AB7" w:rsidRPr="005A6293">
        <w:rPr>
          <w:rFonts w:cs="Times New Roman"/>
        </w:rPr>
        <w:t>tionism within their education, meaning</w:t>
      </w:r>
      <w:r w:rsidRPr="005A6293">
        <w:rPr>
          <w:rFonts w:cs="Times New Roman"/>
        </w:rPr>
        <w:t xml:space="preserve"> that each child had a specific role within their family and community even at a very young age. As the children grew, they continued to learn both through the roles they had as well as of the roles that they were expected to take in the future. </w:t>
      </w:r>
    </w:p>
    <w:p w14:paraId="5CCBD9CB" w14:textId="4E95ED55" w:rsidR="00082233" w:rsidRPr="005A6293" w:rsidRDefault="00082233" w:rsidP="0068257B">
      <w:pPr>
        <w:spacing w:line="480" w:lineRule="auto"/>
        <w:rPr>
          <w:rFonts w:cs="Times New Roman"/>
        </w:rPr>
      </w:pPr>
      <w:r w:rsidRPr="005A6293">
        <w:rPr>
          <w:rFonts w:cs="Times New Roman"/>
        </w:rPr>
        <w:lastRenderedPageBreak/>
        <w:tab/>
        <w:t xml:space="preserve">The next major principle that drove </w:t>
      </w:r>
      <w:r w:rsidR="00CD44C9" w:rsidRPr="005A6293">
        <w:rPr>
          <w:rFonts w:cs="Times New Roman"/>
        </w:rPr>
        <w:t>indigenous</w:t>
      </w:r>
      <w:r w:rsidRPr="005A6293">
        <w:rPr>
          <w:rFonts w:cs="Times New Roman"/>
        </w:rPr>
        <w:t xml:space="preserve"> education throughout Africa is functionalism. Functionalism necessitated that </w:t>
      </w:r>
      <w:r w:rsidR="00CD44C9" w:rsidRPr="005A6293">
        <w:rPr>
          <w:rFonts w:cs="Times New Roman"/>
        </w:rPr>
        <w:t>indigenous</w:t>
      </w:r>
      <w:r w:rsidRPr="005A6293">
        <w:rPr>
          <w:rFonts w:cs="Times New Roman"/>
        </w:rPr>
        <w:t xml:space="preserve"> education should be useful and practical. Consequently, </w:t>
      </w:r>
      <w:r w:rsidR="00CD44C9" w:rsidRPr="005A6293">
        <w:rPr>
          <w:rFonts w:cs="Times New Roman"/>
        </w:rPr>
        <w:t>indigenous</w:t>
      </w:r>
      <w:r w:rsidRPr="005A6293">
        <w:rPr>
          <w:rFonts w:cs="Times New Roman"/>
        </w:rPr>
        <w:t xml:space="preserve"> education involved a plethora of participatory lessons ranging from community involvement, important ceremonies and initiations, to working within the family. Learning was considered a life-long process meant to create indiv</w:t>
      </w:r>
      <w:r w:rsidR="00FC69F9" w:rsidRPr="005A6293">
        <w:rPr>
          <w:rFonts w:cs="Times New Roman"/>
        </w:rPr>
        <w:t>iduals that were</w:t>
      </w:r>
      <w:r w:rsidRPr="005A6293">
        <w:rPr>
          <w:rFonts w:cs="Times New Roman"/>
        </w:rPr>
        <w:t xml:space="preserve"> both involved within the communit</w:t>
      </w:r>
      <w:r w:rsidR="004079C1" w:rsidRPr="005A6293">
        <w:rPr>
          <w:rFonts w:cs="Times New Roman"/>
        </w:rPr>
        <w:t>y as well as individuals that ga</w:t>
      </w:r>
      <w:r w:rsidRPr="005A6293">
        <w:rPr>
          <w:rFonts w:cs="Times New Roman"/>
        </w:rPr>
        <w:t xml:space="preserve">ve back to the community. </w:t>
      </w:r>
    </w:p>
    <w:p w14:paraId="32B5C273" w14:textId="19D087D6" w:rsidR="00082233" w:rsidRPr="005A6293" w:rsidRDefault="00082233" w:rsidP="00E06095">
      <w:pPr>
        <w:spacing w:line="480" w:lineRule="auto"/>
        <w:rPr>
          <w:rFonts w:cs="Times New Roman"/>
        </w:rPr>
      </w:pPr>
      <w:r w:rsidRPr="005A6293">
        <w:rPr>
          <w:rFonts w:cs="Times New Roman"/>
        </w:rPr>
        <w:tab/>
        <w:t>Kenya has multiple examples of functionalism in education. First, the depiction of the Luo girls given above, who use play to engage in participato</w:t>
      </w:r>
      <w:r w:rsidR="006A05AB" w:rsidRPr="005A6293">
        <w:rPr>
          <w:rFonts w:cs="Times New Roman"/>
        </w:rPr>
        <w:t xml:space="preserve">ry lessons from a young age </w:t>
      </w:r>
      <w:r w:rsidRPr="005A6293">
        <w:rPr>
          <w:rFonts w:cs="Times New Roman"/>
        </w:rPr>
        <w:t>provides a good example of functionalism</w:t>
      </w:r>
      <w:r w:rsidR="00374B00" w:rsidRPr="005A6293">
        <w:rPr>
          <w:rFonts w:cs="Times New Roman"/>
        </w:rPr>
        <w:t xml:space="preserve"> because it indicates that play, a form of informal education, was a practical representation of future occupations</w:t>
      </w:r>
      <w:r w:rsidRPr="005A6293">
        <w:rPr>
          <w:rFonts w:cs="Times New Roman"/>
        </w:rPr>
        <w:t xml:space="preserve">. </w:t>
      </w:r>
      <w:r w:rsidR="008B01A1" w:rsidRPr="005A6293">
        <w:rPr>
          <w:rFonts w:cs="Times New Roman"/>
        </w:rPr>
        <w:t>Additionally, many lessons in indigenous education centered on the natural environment of each specific community and how best to survive off the land where they lived. For example, Sifuna states that “education grew out of the immediate environment, real or imaginary. From the physical environment children had to learn about weather, landscape and animal and insect life.”</w:t>
      </w:r>
      <w:r w:rsidR="008B01A1" w:rsidRPr="005A6293">
        <w:rPr>
          <w:rStyle w:val="FootnoteReference"/>
          <w:rFonts w:cs="Times New Roman"/>
        </w:rPr>
        <w:footnoteReference w:id="72"/>
      </w:r>
      <w:r w:rsidR="008B01A1" w:rsidRPr="005A6293">
        <w:rPr>
          <w:rFonts w:cs="Times New Roman"/>
        </w:rPr>
        <w:t xml:space="preserve"> </w:t>
      </w:r>
      <w:r w:rsidRPr="005A6293">
        <w:rPr>
          <w:rFonts w:cs="Times New Roman"/>
        </w:rPr>
        <w:t>These lessons were vita</w:t>
      </w:r>
      <w:r w:rsidR="00032887">
        <w:rPr>
          <w:rFonts w:cs="Times New Roman"/>
        </w:rPr>
        <w:t xml:space="preserve">l to life within the community, and taught young children the practical lessons for how to survive and thrive within their communities. </w:t>
      </w:r>
    </w:p>
    <w:p w14:paraId="01F1735F" w14:textId="1296F1A6" w:rsidR="00082233" w:rsidRPr="005A6293" w:rsidRDefault="00082233" w:rsidP="0068257B">
      <w:pPr>
        <w:spacing w:line="480" w:lineRule="auto"/>
        <w:rPr>
          <w:rFonts w:cs="Times New Roman"/>
        </w:rPr>
      </w:pPr>
      <w:r w:rsidRPr="005A6293">
        <w:rPr>
          <w:rFonts w:cs="Times New Roman"/>
        </w:rPr>
        <w:tab/>
        <w:t xml:space="preserve">Similarly, another major principle that guided African </w:t>
      </w:r>
      <w:r w:rsidR="00CD44C9" w:rsidRPr="005A6293">
        <w:rPr>
          <w:rFonts w:cs="Times New Roman"/>
        </w:rPr>
        <w:t>indigenous</w:t>
      </w:r>
      <w:r w:rsidRPr="005A6293">
        <w:rPr>
          <w:rFonts w:cs="Times New Roman"/>
        </w:rPr>
        <w:t xml:space="preserve"> education was communalism. Instead of individual competition that drives Western formal education, </w:t>
      </w:r>
      <w:r w:rsidR="00CD44C9" w:rsidRPr="005A6293">
        <w:rPr>
          <w:rFonts w:cs="Times New Roman"/>
        </w:rPr>
        <w:lastRenderedPageBreak/>
        <w:t>indigenous</w:t>
      </w:r>
      <w:r w:rsidRPr="005A6293">
        <w:rPr>
          <w:rFonts w:cs="Times New Roman"/>
        </w:rPr>
        <w:t xml:space="preserve"> education espoused the idea of “cooperat</w:t>
      </w:r>
      <w:r w:rsidR="009F46E8" w:rsidRPr="005A6293">
        <w:rPr>
          <w:rFonts w:cs="Times New Roman"/>
        </w:rPr>
        <w:t>ive communalism”</w:t>
      </w:r>
      <w:r w:rsidRPr="005A6293">
        <w:rPr>
          <w:rFonts w:cs="Times New Roman"/>
        </w:rPr>
        <w:t>.</w:t>
      </w:r>
      <w:r w:rsidR="00254AEA" w:rsidRPr="005A6293">
        <w:rPr>
          <w:rStyle w:val="FootnoteReference"/>
          <w:rFonts w:cs="Times New Roman"/>
        </w:rPr>
        <w:footnoteReference w:id="73"/>
      </w:r>
      <w:r w:rsidRPr="005A6293">
        <w:rPr>
          <w:rFonts w:cs="Times New Roman"/>
        </w:rPr>
        <w:t xml:space="preserve"> This principle mandated that the education of each individual was ultimately the responsibility of the community. Similarly, many participatory lessons involved community-wide activities. Just as the principle of communalism ties closely with functionalism, the principle is also closely related to preparationism. Individuals were molded to fulfill a specific role within the community, which helped maintain a vibrant, functioning community. </w:t>
      </w:r>
    </w:p>
    <w:p w14:paraId="03F07440" w14:textId="0D199BDB" w:rsidR="00082233" w:rsidRPr="005A6293" w:rsidRDefault="00082233" w:rsidP="0068257B">
      <w:pPr>
        <w:spacing w:line="480" w:lineRule="auto"/>
        <w:rPr>
          <w:rFonts w:cs="Times New Roman"/>
        </w:rPr>
      </w:pPr>
      <w:r w:rsidRPr="005A6293">
        <w:rPr>
          <w:rFonts w:cs="Times New Roman"/>
        </w:rPr>
        <w:tab/>
        <w:t>The community was more important than the individual in many ethnic groups in Kenya. For example, Mbiti, an anthropologist in Kenya, denoted the importance of commun</w:t>
      </w:r>
      <w:r w:rsidR="006672FA" w:rsidRPr="005A6293">
        <w:rPr>
          <w:rFonts w:cs="Times New Roman"/>
        </w:rPr>
        <w:t xml:space="preserve">alism for the Kamba, </w:t>
      </w:r>
      <w:r w:rsidRPr="005A6293">
        <w:rPr>
          <w:rFonts w:cs="Times New Roman"/>
        </w:rPr>
        <w:t>“He is not conceived as an individual but primarily as a corporate member of the community. This community stretches out to embrace the whole of humanity. Kinship also extends vertically to link up the living and the departe</w:t>
      </w:r>
      <w:r w:rsidR="009F46E8" w:rsidRPr="005A6293">
        <w:rPr>
          <w:rFonts w:cs="Times New Roman"/>
        </w:rPr>
        <w:t>d into one community”</w:t>
      </w:r>
      <w:r w:rsidRPr="005A6293">
        <w:rPr>
          <w:rFonts w:cs="Times New Roman"/>
        </w:rPr>
        <w:t>.</w:t>
      </w:r>
      <w:r w:rsidR="00254AEA" w:rsidRPr="005A6293">
        <w:rPr>
          <w:rStyle w:val="FootnoteReference"/>
          <w:rFonts w:cs="Times New Roman"/>
        </w:rPr>
        <w:footnoteReference w:id="74"/>
      </w:r>
      <w:r w:rsidR="006672FA" w:rsidRPr="005A6293">
        <w:rPr>
          <w:rFonts w:cs="Times New Roman"/>
        </w:rPr>
        <w:t xml:space="preserve"> </w:t>
      </w:r>
      <w:r w:rsidRPr="005A6293">
        <w:rPr>
          <w:rFonts w:cs="Times New Roman"/>
        </w:rPr>
        <w:t xml:space="preserve">Unlike Western education, which elevates the role of the individual, many forms of </w:t>
      </w:r>
      <w:r w:rsidR="00CD44C9" w:rsidRPr="005A6293">
        <w:rPr>
          <w:rFonts w:cs="Times New Roman"/>
        </w:rPr>
        <w:t>indigenous</w:t>
      </w:r>
      <w:r w:rsidRPr="005A6293">
        <w:rPr>
          <w:rFonts w:cs="Times New Roman"/>
        </w:rPr>
        <w:t xml:space="preserve"> education around Kenya highlighted the importance of the community and the role that the individual played within a community. </w:t>
      </w:r>
    </w:p>
    <w:p w14:paraId="3AA86EE0" w14:textId="49FA59CA" w:rsidR="00082233" w:rsidRPr="005A6293" w:rsidRDefault="00082233" w:rsidP="0068257B">
      <w:pPr>
        <w:spacing w:line="480" w:lineRule="auto"/>
        <w:rPr>
          <w:rFonts w:cs="Times New Roman"/>
        </w:rPr>
      </w:pPr>
      <w:r w:rsidRPr="005A6293">
        <w:rPr>
          <w:rFonts w:cs="Times New Roman"/>
        </w:rPr>
        <w:tab/>
        <w:t xml:space="preserve">The fourth principle that guided </w:t>
      </w:r>
      <w:r w:rsidR="00CD44C9" w:rsidRPr="005A6293">
        <w:rPr>
          <w:rFonts w:cs="Times New Roman"/>
        </w:rPr>
        <w:t>indigenous</w:t>
      </w:r>
      <w:r w:rsidRPr="005A6293">
        <w:rPr>
          <w:rFonts w:cs="Times New Roman"/>
        </w:rPr>
        <w:t xml:space="preserve"> education was perennialism, which worked to maintain the culture, traditions, and teachings of each community. Perennialism was the main avenue for preserving and </w:t>
      </w:r>
      <w:r w:rsidR="00674B21" w:rsidRPr="005A6293">
        <w:rPr>
          <w:rFonts w:cs="Times New Roman"/>
        </w:rPr>
        <w:t>reproducing each community’s and</w:t>
      </w:r>
      <w:r w:rsidRPr="005A6293">
        <w:rPr>
          <w:rFonts w:cs="Times New Roman"/>
        </w:rPr>
        <w:t xml:space="preserve"> ethnic group’s culture. This does not imply stagnation, as communities throughout Africa grew and flourished over time, but instead implies preservation above all. </w:t>
      </w:r>
      <w:r w:rsidR="00CD44C9" w:rsidRPr="005A6293">
        <w:rPr>
          <w:rFonts w:cs="Times New Roman"/>
        </w:rPr>
        <w:lastRenderedPageBreak/>
        <w:t>Indigenous</w:t>
      </w:r>
      <w:r w:rsidRPr="005A6293">
        <w:rPr>
          <w:rFonts w:cs="Times New Roman"/>
        </w:rPr>
        <w:t xml:space="preserve"> education worked to enshrine culture in ea</w:t>
      </w:r>
      <w:r w:rsidR="00674B21" w:rsidRPr="005A6293">
        <w:rPr>
          <w:rFonts w:cs="Times New Roman"/>
        </w:rPr>
        <w:t>ch member of the community, which</w:t>
      </w:r>
      <w:r w:rsidRPr="005A6293">
        <w:rPr>
          <w:rFonts w:cs="Times New Roman"/>
        </w:rPr>
        <w:t xml:space="preserve"> preserve</w:t>
      </w:r>
      <w:r w:rsidR="00674B21" w:rsidRPr="005A6293">
        <w:rPr>
          <w:rFonts w:cs="Times New Roman"/>
        </w:rPr>
        <w:t>d</w:t>
      </w:r>
      <w:r w:rsidRPr="005A6293">
        <w:rPr>
          <w:rFonts w:cs="Times New Roman"/>
        </w:rPr>
        <w:t xml:space="preserve"> oral histories, traditions, ceremonies, and other cultural productions. </w:t>
      </w:r>
    </w:p>
    <w:p w14:paraId="6AB266FB" w14:textId="3A615105" w:rsidR="00082233" w:rsidRPr="005A6293" w:rsidRDefault="00082233" w:rsidP="0068257B">
      <w:pPr>
        <w:spacing w:line="480" w:lineRule="auto"/>
        <w:rPr>
          <w:rFonts w:cs="Times New Roman"/>
        </w:rPr>
      </w:pPr>
      <w:r w:rsidRPr="005A6293">
        <w:rPr>
          <w:rFonts w:cs="Times New Roman"/>
        </w:rPr>
        <w:tab/>
        <w:t xml:space="preserve">For many ethnic </w:t>
      </w:r>
      <w:r w:rsidR="000660A0" w:rsidRPr="005A6293">
        <w:rPr>
          <w:rFonts w:cs="Times New Roman"/>
        </w:rPr>
        <w:t>groups in Kenya, the main</w:t>
      </w:r>
      <w:r w:rsidRPr="005A6293">
        <w:rPr>
          <w:rFonts w:cs="Times New Roman"/>
        </w:rPr>
        <w:t xml:space="preserve"> form of perennialism came through storytelling. Stories could be educational, such as the Kikuyu story of the Moon and the Sun, which told children why the moon shines at night and the sun </w:t>
      </w:r>
      <w:r w:rsidR="00E97FA5" w:rsidRPr="005A6293">
        <w:rPr>
          <w:rFonts w:cs="Times New Roman"/>
        </w:rPr>
        <w:t>by day</w:t>
      </w:r>
      <w:r w:rsidRPr="005A6293">
        <w:rPr>
          <w:rFonts w:cs="Times New Roman"/>
        </w:rPr>
        <w:t>.</w:t>
      </w:r>
      <w:r w:rsidR="00254AEA" w:rsidRPr="005A6293">
        <w:rPr>
          <w:rStyle w:val="FootnoteReference"/>
          <w:rFonts w:cs="Times New Roman"/>
        </w:rPr>
        <w:footnoteReference w:id="75"/>
      </w:r>
      <w:r w:rsidRPr="005A6293">
        <w:rPr>
          <w:rFonts w:cs="Times New Roman"/>
        </w:rPr>
        <w:t xml:space="preserve"> The Embu had an educational story that told why moles feared the sun, to explain why moles lived under</w:t>
      </w:r>
      <w:r w:rsidR="00E97FA5" w:rsidRPr="005A6293">
        <w:rPr>
          <w:rFonts w:cs="Times New Roman"/>
        </w:rPr>
        <w:t>ground</w:t>
      </w:r>
      <w:r w:rsidRPr="005A6293">
        <w:rPr>
          <w:rFonts w:cs="Times New Roman"/>
        </w:rPr>
        <w:t>.</w:t>
      </w:r>
      <w:r w:rsidR="00254AEA" w:rsidRPr="005A6293">
        <w:rPr>
          <w:rStyle w:val="FootnoteReference"/>
          <w:rFonts w:cs="Times New Roman"/>
        </w:rPr>
        <w:footnoteReference w:id="76"/>
      </w:r>
      <w:r w:rsidRPr="005A6293">
        <w:rPr>
          <w:rFonts w:cs="Times New Roman"/>
        </w:rPr>
        <w:t xml:space="preserve"> Other stories were used to pass on heritage and enshrine culture. One such story comes from the Nandi, who told stories of how the Maasai were first repulsed by the Nandi, which helped to boost morale and pass on his</w:t>
      </w:r>
      <w:r w:rsidR="00E97FA5" w:rsidRPr="005A6293">
        <w:rPr>
          <w:rFonts w:cs="Times New Roman"/>
        </w:rPr>
        <w:t>tories</w:t>
      </w:r>
      <w:r w:rsidRPr="005A6293">
        <w:rPr>
          <w:rFonts w:cs="Times New Roman"/>
        </w:rPr>
        <w:t>.</w:t>
      </w:r>
      <w:r w:rsidR="00254AEA" w:rsidRPr="005A6293">
        <w:rPr>
          <w:rStyle w:val="FootnoteReference"/>
          <w:rFonts w:cs="Times New Roman"/>
        </w:rPr>
        <w:footnoteReference w:id="77"/>
      </w:r>
      <w:r w:rsidRPr="005A6293">
        <w:rPr>
          <w:rFonts w:cs="Times New Roman"/>
        </w:rPr>
        <w:t xml:space="preserve"> The Luo also had stories of military victories and conquests, which passed on history and heritage f</w:t>
      </w:r>
      <w:r w:rsidR="00FF6CAA" w:rsidRPr="005A6293">
        <w:rPr>
          <w:rFonts w:cs="Times New Roman"/>
        </w:rPr>
        <w:t>rom generation to generation. On</w:t>
      </w:r>
      <w:r w:rsidRPr="005A6293">
        <w:rPr>
          <w:rFonts w:cs="Times New Roman"/>
        </w:rPr>
        <w:t>e story states:</w:t>
      </w:r>
    </w:p>
    <w:p w14:paraId="5925A2B1" w14:textId="44A8BFE1" w:rsidR="00082233" w:rsidRPr="005A6293" w:rsidRDefault="00082233" w:rsidP="00A12197">
      <w:pPr>
        <w:ind w:left="720"/>
        <w:rPr>
          <w:rFonts w:cs="Times New Roman"/>
        </w:rPr>
      </w:pPr>
      <w:r w:rsidRPr="005A6293">
        <w:rPr>
          <w:rFonts w:cs="Times New Roman"/>
        </w:rPr>
        <w:t xml:space="preserve">Eee, the Omwa Walangal underestimated the strength of the Padhola, </w:t>
      </w:r>
    </w:p>
    <w:p w14:paraId="13DF55A4" w14:textId="77777777" w:rsidR="00082233" w:rsidRPr="005A6293" w:rsidRDefault="00082233" w:rsidP="00A12197">
      <w:pPr>
        <w:ind w:left="720"/>
        <w:rPr>
          <w:rFonts w:cs="Times New Roman"/>
        </w:rPr>
      </w:pPr>
      <w:r w:rsidRPr="005A6293">
        <w:rPr>
          <w:rFonts w:cs="Times New Roman"/>
        </w:rPr>
        <w:t>They had annihilated the people of Kiyiyi.</w:t>
      </w:r>
    </w:p>
    <w:p w14:paraId="79E53949" w14:textId="77777777" w:rsidR="00082233" w:rsidRPr="005A6293" w:rsidRDefault="00082233" w:rsidP="00A12197">
      <w:pPr>
        <w:ind w:left="720"/>
        <w:rPr>
          <w:rFonts w:cs="Times New Roman"/>
        </w:rPr>
      </w:pPr>
      <w:r w:rsidRPr="005A6293">
        <w:rPr>
          <w:rFonts w:cs="Times New Roman"/>
        </w:rPr>
        <w:t>The Omwa also underestimated the size of the Oruwa clan,</w:t>
      </w:r>
    </w:p>
    <w:p w14:paraId="69D39503" w14:textId="77777777" w:rsidR="00082233" w:rsidRPr="005A6293" w:rsidRDefault="00082233" w:rsidP="00A12197">
      <w:pPr>
        <w:ind w:left="720"/>
        <w:rPr>
          <w:rFonts w:cs="Times New Roman"/>
        </w:rPr>
      </w:pPr>
      <w:r w:rsidRPr="005A6293">
        <w:rPr>
          <w:rFonts w:cs="Times New Roman"/>
        </w:rPr>
        <w:t>Mistaking the first arrivals for the whole clan;</w:t>
      </w:r>
    </w:p>
    <w:p w14:paraId="750878B7" w14:textId="65C3A487" w:rsidR="00082233" w:rsidRPr="005A6293" w:rsidRDefault="00082233" w:rsidP="00B160F2">
      <w:pPr>
        <w:spacing w:after="280"/>
        <w:ind w:left="720"/>
        <w:rPr>
          <w:rFonts w:cs="Times New Roman"/>
        </w:rPr>
      </w:pPr>
      <w:r w:rsidRPr="005A6293">
        <w:rPr>
          <w:rFonts w:cs="Times New Roman"/>
        </w:rPr>
        <w:t>But when we all arrived we defeated the</w:t>
      </w:r>
      <w:r w:rsidR="00A12197" w:rsidRPr="005A6293">
        <w:rPr>
          <w:rFonts w:cs="Times New Roman"/>
        </w:rPr>
        <w:t>m and drove them away</w:t>
      </w:r>
      <w:r w:rsidRPr="005A6293">
        <w:rPr>
          <w:rFonts w:cs="Times New Roman"/>
        </w:rPr>
        <w:t>.</w:t>
      </w:r>
      <w:r w:rsidR="00254AEA" w:rsidRPr="005A6293">
        <w:rPr>
          <w:rStyle w:val="FootnoteReference"/>
          <w:rFonts w:cs="Times New Roman"/>
        </w:rPr>
        <w:footnoteReference w:id="78"/>
      </w:r>
      <w:r w:rsidRPr="005A6293">
        <w:rPr>
          <w:rFonts w:cs="Times New Roman"/>
        </w:rPr>
        <w:t xml:space="preserve"> </w:t>
      </w:r>
    </w:p>
    <w:p w14:paraId="610C0282" w14:textId="72EC4FB7" w:rsidR="00082233" w:rsidRPr="005A6293" w:rsidRDefault="00082233" w:rsidP="0068257B">
      <w:pPr>
        <w:spacing w:line="480" w:lineRule="auto"/>
        <w:rPr>
          <w:rFonts w:cs="Times New Roman"/>
        </w:rPr>
      </w:pPr>
      <w:r w:rsidRPr="005A6293">
        <w:rPr>
          <w:rFonts w:cs="Times New Roman"/>
        </w:rPr>
        <w:t xml:space="preserve">These stories are important to </w:t>
      </w:r>
      <w:r w:rsidR="00CD44C9" w:rsidRPr="005A6293">
        <w:rPr>
          <w:rFonts w:cs="Times New Roman"/>
        </w:rPr>
        <w:t>indigenous</w:t>
      </w:r>
      <w:r w:rsidRPr="005A6293">
        <w:rPr>
          <w:rFonts w:cs="Times New Roman"/>
        </w:rPr>
        <w:t xml:space="preserve"> education as many of the stories were both educational and also worked to preserve the histories, traditions, and culture of each ethnic group. The stories, and even dances, built up African literacy, which was present before Europeans. </w:t>
      </w:r>
    </w:p>
    <w:p w14:paraId="24C92326" w14:textId="5EF9A823" w:rsidR="00082233" w:rsidRPr="005A6293" w:rsidRDefault="00082233" w:rsidP="0068257B">
      <w:pPr>
        <w:spacing w:line="480" w:lineRule="auto"/>
        <w:rPr>
          <w:rFonts w:cs="Times New Roman"/>
        </w:rPr>
      </w:pPr>
      <w:r w:rsidRPr="005A6293">
        <w:rPr>
          <w:rFonts w:cs="Times New Roman"/>
        </w:rPr>
        <w:tab/>
        <w:t xml:space="preserve">Finally, the last principle that guided </w:t>
      </w:r>
      <w:r w:rsidR="00CD44C9" w:rsidRPr="005A6293">
        <w:rPr>
          <w:rFonts w:cs="Times New Roman"/>
        </w:rPr>
        <w:t>indigenous</w:t>
      </w:r>
      <w:r w:rsidRPr="005A6293">
        <w:rPr>
          <w:rFonts w:cs="Times New Roman"/>
        </w:rPr>
        <w:t xml:space="preserve"> education is wholisticism. This principle prioritizes learning multiple skills rather than placing an emphasize on specialization. This gave individuals the ability to work multiple, related occupations to </w:t>
      </w:r>
      <w:r w:rsidRPr="005A6293">
        <w:rPr>
          <w:rFonts w:cs="Times New Roman"/>
        </w:rPr>
        <w:lastRenderedPageBreak/>
        <w:t>fulfill their role in the community. The example Adeyemi and Adeyinka give is of a fisherman who is trained in fishing, as well as in making nets, making boats, and selling f</w:t>
      </w:r>
      <w:r w:rsidR="00E97FA5" w:rsidRPr="005A6293">
        <w:rPr>
          <w:rFonts w:cs="Times New Roman"/>
        </w:rPr>
        <w:t>ish</w:t>
      </w:r>
      <w:r w:rsidRPr="005A6293">
        <w:rPr>
          <w:rFonts w:cs="Times New Roman"/>
        </w:rPr>
        <w:t>.</w:t>
      </w:r>
      <w:r w:rsidR="00254AEA" w:rsidRPr="005A6293">
        <w:rPr>
          <w:rStyle w:val="FootnoteReference"/>
          <w:rFonts w:cs="Times New Roman"/>
        </w:rPr>
        <w:footnoteReference w:id="79"/>
      </w:r>
      <w:r w:rsidRPr="005A6293">
        <w:rPr>
          <w:rFonts w:cs="Times New Roman"/>
        </w:rPr>
        <w:t xml:space="preserve"> Instead of divvying out each specific job to multiple members of the community, each member received a holistic education suited to their own role within the community. </w:t>
      </w:r>
    </w:p>
    <w:p w14:paraId="2C36C8EC" w14:textId="02FEE877" w:rsidR="00082233" w:rsidRPr="005A6293" w:rsidRDefault="00082233" w:rsidP="0068257B">
      <w:pPr>
        <w:spacing w:line="480" w:lineRule="auto"/>
        <w:rPr>
          <w:rFonts w:cs="Times New Roman"/>
        </w:rPr>
      </w:pPr>
      <w:r w:rsidRPr="005A6293">
        <w:rPr>
          <w:rFonts w:cs="Times New Roman"/>
        </w:rPr>
        <w:tab/>
        <w:t xml:space="preserve">The five guiding principles created one overarching purpose for education: transmitting the culture of the community from one generation to another to uphold the societal structures that organized community life. This is where </w:t>
      </w:r>
      <w:r w:rsidR="00300E4A" w:rsidRPr="005A6293">
        <w:rPr>
          <w:rFonts w:cs="Times New Roman"/>
        </w:rPr>
        <w:t>indigenous</w:t>
      </w:r>
      <w:r w:rsidRPr="005A6293">
        <w:rPr>
          <w:rFonts w:cs="Times New Roman"/>
        </w:rPr>
        <w:t xml:space="preserve"> education differs starkly from a more formal, Western education that was introduced later in Kenya. Education under colonialism worked to subvert Africans and African culture. With </w:t>
      </w:r>
      <w:r w:rsidR="00300E4A" w:rsidRPr="005A6293">
        <w:rPr>
          <w:rFonts w:cs="Times New Roman"/>
        </w:rPr>
        <w:t>indigenous</w:t>
      </w:r>
      <w:r w:rsidRPr="005A6293">
        <w:rPr>
          <w:rFonts w:cs="Times New Roman"/>
        </w:rPr>
        <w:t xml:space="preserve"> education, the community can be likened to a puzzle. Each individual, or puzzle piece, was molded f</w:t>
      </w:r>
      <w:r w:rsidR="00FC33EA" w:rsidRPr="005A6293">
        <w:rPr>
          <w:rFonts w:cs="Times New Roman"/>
        </w:rPr>
        <w:t>or a specific purpose</w:t>
      </w:r>
      <w:r w:rsidRPr="005A6293">
        <w:rPr>
          <w:rFonts w:cs="Times New Roman"/>
        </w:rPr>
        <w:t xml:space="preserve">, but also to complete the puzzle and make it whole. </w:t>
      </w:r>
      <w:r w:rsidR="00326EFE" w:rsidRPr="005A6293">
        <w:rPr>
          <w:rFonts w:cs="Times New Roman"/>
        </w:rPr>
        <w:t xml:space="preserve"> </w:t>
      </w:r>
    </w:p>
    <w:p w14:paraId="43AB7C02" w14:textId="1822536C" w:rsidR="00082233" w:rsidRPr="005A6293" w:rsidRDefault="00082233" w:rsidP="0068257B">
      <w:pPr>
        <w:spacing w:line="480" w:lineRule="auto"/>
        <w:rPr>
          <w:rFonts w:cs="Times New Roman"/>
          <w:b/>
          <w:bCs/>
        </w:rPr>
      </w:pPr>
      <w:r w:rsidRPr="005A6293">
        <w:rPr>
          <w:rFonts w:cs="Times New Roman"/>
          <w:b/>
          <w:bCs/>
        </w:rPr>
        <w:t>E</w:t>
      </w:r>
      <w:r w:rsidR="00C028FB" w:rsidRPr="005A6293">
        <w:rPr>
          <w:rFonts w:cs="Times New Roman"/>
          <w:b/>
          <w:bCs/>
        </w:rPr>
        <w:t>ducation</w:t>
      </w:r>
      <w:r w:rsidRPr="005A6293">
        <w:rPr>
          <w:rFonts w:cs="Times New Roman"/>
          <w:b/>
          <w:bCs/>
        </w:rPr>
        <w:t xml:space="preserve"> and Gender </w:t>
      </w:r>
    </w:p>
    <w:p w14:paraId="6E8AFC4B" w14:textId="0F5AC4EE" w:rsidR="00A84DB4" w:rsidRPr="005A6293" w:rsidRDefault="00082233" w:rsidP="0068257B">
      <w:pPr>
        <w:spacing w:line="480" w:lineRule="auto"/>
        <w:rPr>
          <w:rFonts w:cs="Times New Roman"/>
        </w:rPr>
      </w:pPr>
      <w:r w:rsidRPr="005A6293">
        <w:rPr>
          <w:rFonts w:cs="Times New Roman"/>
        </w:rPr>
        <w:tab/>
        <w:t xml:space="preserve">Under </w:t>
      </w:r>
      <w:r w:rsidR="00300E4A" w:rsidRPr="005A6293">
        <w:rPr>
          <w:rFonts w:cs="Times New Roman"/>
        </w:rPr>
        <w:t>indigenous</w:t>
      </w:r>
      <w:r w:rsidRPr="005A6293">
        <w:rPr>
          <w:rFonts w:cs="Times New Roman"/>
        </w:rPr>
        <w:t xml:space="preserve"> education, the relatio</w:t>
      </w:r>
      <w:r w:rsidR="00C028FB" w:rsidRPr="005A6293">
        <w:rPr>
          <w:rFonts w:cs="Times New Roman"/>
        </w:rPr>
        <w:t xml:space="preserve">nship between education </w:t>
      </w:r>
      <w:r w:rsidRPr="005A6293">
        <w:rPr>
          <w:rFonts w:cs="Times New Roman"/>
        </w:rPr>
        <w:t xml:space="preserve">and gender was defined </w:t>
      </w:r>
      <w:r w:rsidR="0008750B" w:rsidRPr="005A6293">
        <w:rPr>
          <w:rFonts w:cs="Times New Roman"/>
        </w:rPr>
        <w:t xml:space="preserve">mostly </w:t>
      </w:r>
      <w:r w:rsidRPr="005A6293">
        <w:rPr>
          <w:rFonts w:cs="Times New Roman"/>
        </w:rPr>
        <w:t xml:space="preserve">by separation. </w:t>
      </w:r>
      <w:r w:rsidR="00E4332C" w:rsidRPr="005A6293">
        <w:rPr>
          <w:rFonts w:cs="Times New Roman"/>
        </w:rPr>
        <w:t xml:space="preserve">As in each chapter, I come to this conclusion through analyzing access, attainment, achievement, and accomplishment. </w:t>
      </w:r>
      <w:r w:rsidR="00D00A2C" w:rsidRPr="005A6293">
        <w:rPr>
          <w:rFonts w:cs="Times New Roman"/>
        </w:rPr>
        <w:t>As explaine</w:t>
      </w:r>
      <w:r w:rsidR="00A84DB4" w:rsidRPr="005A6293">
        <w:rPr>
          <w:rFonts w:cs="Times New Roman"/>
        </w:rPr>
        <w:t xml:space="preserve">d earlier, </w:t>
      </w:r>
      <w:r w:rsidR="00300E4A" w:rsidRPr="005A6293">
        <w:rPr>
          <w:rFonts w:cs="Times New Roman"/>
        </w:rPr>
        <w:t>indigenous</w:t>
      </w:r>
      <w:r w:rsidR="00A84DB4" w:rsidRPr="005A6293">
        <w:rPr>
          <w:rFonts w:cs="Times New Roman"/>
        </w:rPr>
        <w:t xml:space="preserve"> education was different for males and females because of preparationism, functionalism, and perennialism, which led to separation in education. Preparationism necessitated that each individual be educated on a specific role in the community. Males and females had different roles both within the household and the community and, therefore, were educated on how to fulfill those roles. Similarly, functionalism required </w:t>
      </w:r>
      <w:r w:rsidR="00A84DB4" w:rsidRPr="005A6293">
        <w:rPr>
          <w:rFonts w:cs="Times New Roman"/>
        </w:rPr>
        <w:lastRenderedPageBreak/>
        <w:t xml:space="preserve">that individuals were taught useful and practical skills, which tied closely with the roles that there were to take on in the future. Finally, the principle of perennialism also compelled education to be gender-based. Males and females had different cultural rituals and obligations, like coming of age rituals that differed for boys and girls. Since cultural preservation was important to </w:t>
      </w:r>
      <w:r w:rsidR="00300E4A" w:rsidRPr="005A6293">
        <w:rPr>
          <w:rFonts w:cs="Times New Roman"/>
        </w:rPr>
        <w:t>indigenous</w:t>
      </w:r>
      <w:r w:rsidR="00A84DB4" w:rsidRPr="005A6293">
        <w:rPr>
          <w:rFonts w:cs="Times New Roman"/>
        </w:rPr>
        <w:t xml:space="preserve"> education, girls and boys learned different avenues and aspects of culture and how they could uphold culture in the future.  </w:t>
      </w:r>
    </w:p>
    <w:p w14:paraId="3CE8E5D7" w14:textId="1E68E93A" w:rsidR="005C62C0" w:rsidRPr="005A6293" w:rsidRDefault="00E4332C" w:rsidP="00C94EFA">
      <w:pPr>
        <w:spacing w:line="480" w:lineRule="auto"/>
        <w:ind w:firstLine="720"/>
        <w:rPr>
          <w:rFonts w:cs="Times New Roman"/>
        </w:rPr>
      </w:pPr>
      <w:r w:rsidRPr="005A6293">
        <w:rPr>
          <w:rFonts w:cs="Times New Roman"/>
        </w:rPr>
        <w:t xml:space="preserve">Within </w:t>
      </w:r>
      <w:r w:rsidR="00300E4A" w:rsidRPr="005A6293">
        <w:rPr>
          <w:rFonts w:cs="Times New Roman"/>
        </w:rPr>
        <w:t>indigenous</w:t>
      </w:r>
      <w:r w:rsidRPr="005A6293">
        <w:rPr>
          <w:rFonts w:cs="Times New Roman"/>
        </w:rPr>
        <w:t xml:space="preserve"> education, males and females had equal access to education, as education was required for individuals to be part of their community. Additionally, males and females received attainment at similar levels. For example, the Kikuyu had different levels that both males and females completed to transition into adulthood. Therefore, while males and females had different levels based off their gender, they received the same amount of education</w:t>
      </w:r>
      <w:r w:rsidR="00B4425F" w:rsidRPr="005A6293">
        <w:rPr>
          <w:rFonts w:cs="Times New Roman"/>
        </w:rPr>
        <w:t>,</w:t>
      </w:r>
      <w:r w:rsidRPr="005A6293">
        <w:rPr>
          <w:rFonts w:cs="Times New Roman"/>
        </w:rPr>
        <w:t xml:space="preserve"> which is how I define attainment. Achievement and accomplishment</w:t>
      </w:r>
      <w:r w:rsidR="00A624CE" w:rsidRPr="005A6293">
        <w:rPr>
          <w:rFonts w:cs="Times New Roman"/>
        </w:rPr>
        <w:t xml:space="preserve"> can be measured </w:t>
      </w:r>
      <w:r w:rsidR="0060405C" w:rsidRPr="005A6293">
        <w:rPr>
          <w:rFonts w:cs="Times New Roman"/>
        </w:rPr>
        <w:t>similarly</w:t>
      </w:r>
      <w:r w:rsidR="00A624CE" w:rsidRPr="005A6293">
        <w:rPr>
          <w:rFonts w:cs="Times New Roman"/>
        </w:rPr>
        <w:t xml:space="preserve"> to attainment;</w:t>
      </w:r>
      <w:r w:rsidRPr="005A6293">
        <w:rPr>
          <w:rFonts w:cs="Times New Roman"/>
        </w:rPr>
        <w:t xml:space="preserve"> males and females received separate educations, but largely gained the same amount of attainment, achievement, and accomplishment. This is why the defining characteristic of the relationship between education and gender for </w:t>
      </w:r>
      <w:r w:rsidR="00300E4A" w:rsidRPr="005A6293">
        <w:rPr>
          <w:rFonts w:cs="Times New Roman"/>
        </w:rPr>
        <w:t>indigenous</w:t>
      </w:r>
      <w:r w:rsidRPr="005A6293">
        <w:rPr>
          <w:rFonts w:cs="Times New Roman"/>
        </w:rPr>
        <w:t xml:space="preserve"> education is separation; </w:t>
      </w:r>
      <w:r w:rsidR="00300E4A" w:rsidRPr="005A6293">
        <w:rPr>
          <w:rFonts w:cs="Times New Roman"/>
        </w:rPr>
        <w:t>indigenous</w:t>
      </w:r>
      <w:r w:rsidRPr="005A6293">
        <w:rPr>
          <w:rFonts w:cs="Times New Roman"/>
        </w:rPr>
        <w:t xml:space="preserve"> education was separate for males and females in a way that is not present in later models of education. However, gender no</w:t>
      </w:r>
      <w:r w:rsidR="00A84DB4" w:rsidRPr="005A6293">
        <w:rPr>
          <w:rFonts w:cs="Times New Roman"/>
        </w:rPr>
        <w:t xml:space="preserve">rms also impacted </w:t>
      </w:r>
      <w:r w:rsidR="00300E4A" w:rsidRPr="005A6293">
        <w:rPr>
          <w:rFonts w:cs="Times New Roman"/>
        </w:rPr>
        <w:t>indigenous</w:t>
      </w:r>
      <w:r w:rsidR="00A84DB4" w:rsidRPr="005A6293">
        <w:rPr>
          <w:rFonts w:cs="Times New Roman"/>
        </w:rPr>
        <w:t xml:space="preserve"> education by creating forms of gender inequality in ways other than education separation</w:t>
      </w:r>
      <w:r w:rsidRPr="005A6293">
        <w:rPr>
          <w:rFonts w:cs="Times New Roman"/>
        </w:rPr>
        <w:t xml:space="preserve">. </w:t>
      </w:r>
      <w:r w:rsidR="000C5868" w:rsidRPr="005A6293">
        <w:rPr>
          <w:rFonts w:cs="Times New Roman"/>
        </w:rPr>
        <w:t xml:space="preserve">Unfortunately, since gender norms varied from community to community, it is difficult to fully measure how gender impacted </w:t>
      </w:r>
      <w:r w:rsidR="00300E4A" w:rsidRPr="005A6293">
        <w:rPr>
          <w:rFonts w:cs="Times New Roman"/>
        </w:rPr>
        <w:t>indigenous</w:t>
      </w:r>
      <w:r w:rsidR="00A84DB4" w:rsidRPr="005A6293">
        <w:rPr>
          <w:rFonts w:cs="Times New Roman"/>
        </w:rPr>
        <w:t xml:space="preserve"> education outside of educational separation.</w:t>
      </w:r>
      <w:r w:rsidR="00082233" w:rsidRPr="005A6293">
        <w:rPr>
          <w:rFonts w:cs="Times New Roman"/>
        </w:rPr>
        <w:t xml:space="preserve"> </w:t>
      </w:r>
    </w:p>
    <w:p w14:paraId="41051E12" w14:textId="77777777" w:rsidR="00082233" w:rsidRPr="005A6293" w:rsidRDefault="00082233" w:rsidP="0068257B">
      <w:pPr>
        <w:spacing w:line="480" w:lineRule="auto"/>
        <w:rPr>
          <w:rFonts w:cs="Times New Roman"/>
          <w:b/>
        </w:rPr>
      </w:pPr>
      <w:r w:rsidRPr="005A6293">
        <w:rPr>
          <w:rFonts w:cs="Times New Roman"/>
          <w:b/>
        </w:rPr>
        <w:lastRenderedPageBreak/>
        <w:t>Economic Interaction</w:t>
      </w:r>
    </w:p>
    <w:p w14:paraId="7C5F6796" w14:textId="77777777" w:rsidR="00082233" w:rsidRPr="005A6293" w:rsidRDefault="00082233" w:rsidP="0068257B">
      <w:pPr>
        <w:spacing w:line="480" w:lineRule="auto"/>
        <w:rPr>
          <w:rFonts w:cs="Times New Roman"/>
          <w:i/>
        </w:rPr>
      </w:pPr>
      <w:r w:rsidRPr="005A6293">
        <w:rPr>
          <w:rFonts w:cs="Times New Roman"/>
          <w:i/>
        </w:rPr>
        <w:t>The Economy</w:t>
      </w:r>
    </w:p>
    <w:p w14:paraId="27FA67EE" w14:textId="564B4791" w:rsidR="00082233" w:rsidRPr="005A6293" w:rsidRDefault="00082233" w:rsidP="0068257B">
      <w:pPr>
        <w:spacing w:line="480" w:lineRule="auto"/>
        <w:rPr>
          <w:rFonts w:cs="Times New Roman"/>
        </w:rPr>
      </w:pPr>
      <w:r w:rsidRPr="005A6293">
        <w:rPr>
          <w:rFonts w:cs="Times New Roman"/>
        </w:rPr>
        <w:tab/>
        <w:t xml:space="preserve">The relationship between education and gender shaped the economy profoundly </w:t>
      </w:r>
      <w:r w:rsidR="00D00A2C" w:rsidRPr="005A6293">
        <w:rPr>
          <w:rFonts w:cs="Times New Roman"/>
        </w:rPr>
        <w:t>in pre-colonial Kenya. First, it is important to explain</w:t>
      </w:r>
      <w:r w:rsidRPr="005A6293">
        <w:rPr>
          <w:rFonts w:cs="Times New Roman"/>
        </w:rPr>
        <w:t xml:space="preserve"> what I am referring to when I review the economy. Each ethnic group operated in their own economy, which was often linked to other ethnic economies through trade. Before Kenya was colonized and turned into a modern state, the multiple economies within the borders of modern Kenya can be best described as </w:t>
      </w:r>
      <w:r w:rsidRPr="005A6293">
        <w:t>a “web of subsistence econom</w:t>
      </w:r>
      <w:r w:rsidR="0070073F" w:rsidRPr="005A6293">
        <w:t>ies”</w:t>
      </w:r>
      <w:r w:rsidRPr="005A6293">
        <w:t>.</w:t>
      </w:r>
      <w:r w:rsidR="00254AEA" w:rsidRPr="005A6293">
        <w:rPr>
          <w:rStyle w:val="FootnoteReference"/>
        </w:rPr>
        <w:footnoteReference w:id="80"/>
      </w:r>
      <w:r w:rsidRPr="005A6293">
        <w:t xml:space="preserve"> </w:t>
      </w:r>
      <w:r w:rsidRPr="005A6293">
        <w:rPr>
          <w:rFonts w:cs="Times New Roman"/>
        </w:rPr>
        <w:t>Each ethnic group had their own specific economic structure and func</w:t>
      </w:r>
      <w:r w:rsidR="00D00A2C" w:rsidRPr="005A6293">
        <w:rPr>
          <w:rFonts w:cs="Times New Roman"/>
        </w:rPr>
        <w:t xml:space="preserve">tionings. </w:t>
      </w:r>
      <w:r w:rsidR="00E654BC" w:rsidRPr="005A6293">
        <w:rPr>
          <w:rFonts w:cs="Times New Roman"/>
        </w:rPr>
        <w:t xml:space="preserve">The </w:t>
      </w:r>
      <w:r w:rsidRPr="005A6293">
        <w:rPr>
          <w:rFonts w:cs="Times New Roman"/>
        </w:rPr>
        <w:t>Kikuyu mainly participated in agriculture and liv</w:t>
      </w:r>
      <w:r w:rsidR="0070073F" w:rsidRPr="005A6293">
        <w:rPr>
          <w:rFonts w:cs="Times New Roman"/>
        </w:rPr>
        <w:t>estock</w:t>
      </w:r>
      <w:r w:rsidRPr="005A6293">
        <w:rPr>
          <w:rFonts w:cs="Times New Roman"/>
        </w:rPr>
        <w:t>.</w:t>
      </w:r>
      <w:r w:rsidR="00254AEA" w:rsidRPr="005A6293">
        <w:rPr>
          <w:rStyle w:val="FootnoteReference"/>
          <w:rFonts w:cs="Times New Roman"/>
        </w:rPr>
        <w:footnoteReference w:id="81"/>
      </w:r>
      <w:r w:rsidRPr="005A6293">
        <w:rPr>
          <w:rFonts w:cs="Times New Roman"/>
        </w:rPr>
        <w:t xml:space="preserve"> The Kamba were ivory hunters and often the intermediaries between </w:t>
      </w:r>
      <w:r w:rsidR="0070073F" w:rsidRPr="005A6293">
        <w:rPr>
          <w:rFonts w:cs="Times New Roman"/>
        </w:rPr>
        <w:t>different trades</w:t>
      </w:r>
      <w:r w:rsidRPr="005A6293">
        <w:rPr>
          <w:rFonts w:cs="Times New Roman"/>
        </w:rPr>
        <w:t>.</w:t>
      </w:r>
      <w:r w:rsidR="00254AEA" w:rsidRPr="005A6293">
        <w:rPr>
          <w:rStyle w:val="FootnoteReference"/>
          <w:rFonts w:cs="Times New Roman"/>
        </w:rPr>
        <w:footnoteReference w:id="82"/>
      </w:r>
      <w:r w:rsidRPr="005A6293">
        <w:rPr>
          <w:rFonts w:cs="Times New Roman"/>
        </w:rPr>
        <w:t xml:space="preserve"> Other ethnic groups had multiple sub-communities that were involved in different things, such as the Kalenjin who had groups that were farmers, such as the Kipsigis and the Nandi, as well as groups that were pastoralists, such as the Tag</w:t>
      </w:r>
      <w:r w:rsidR="00031080" w:rsidRPr="005A6293">
        <w:rPr>
          <w:rFonts w:cs="Times New Roman"/>
        </w:rPr>
        <w:t>en and the Pokot</w:t>
      </w:r>
      <w:r w:rsidRPr="005A6293">
        <w:rPr>
          <w:rFonts w:cs="Times New Roman"/>
        </w:rPr>
        <w:t>.</w:t>
      </w:r>
      <w:r w:rsidR="00254AEA" w:rsidRPr="005A6293">
        <w:rPr>
          <w:rStyle w:val="FootnoteReference"/>
          <w:rFonts w:cs="Times New Roman"/>
        </w:rPr>
        <w:footnoteReference w:id="83"/>
      </w:r>
      <w:r w:rsidRPr="005A6293">
        <w:rPr>
          <w:rFonts w:cs="Times New Roman"/>
        </w:rPr>
        <w:t xml:space="preserve"> Finally, other ethnic communities were known for their orientation towards military</w:t>
      </w:r>
      <w:r w:rsidR="00817592" w:rsidRPr="005A6293">
        <w:rPr>
          <w:rFonts w:cs="Times New Roman"/>
        </w:rPr>
        <w:t xml:space="preserve"> endeavors</w:t>
      </w:r>
      <w:r w:rsidRPr="005A6293">
        <w:rPr>
          <w:rFonts w:cs="Times New Roman"/>
        </w:rPr>
        <w:t>, such as the Maasai, who also engaged i</w:t>
      </w:r>
      <w:r w:rsidR="00031080" w:rsidRPr="005A6293">
        <w:rPr>
          <w:rFonts w:cs="Times New Roman"/>
        </w:rPr>
        <w:t>n cattle herding</w:t>
      </w:r>
      <w:r w:rsidRPr="005A6293">
        <w:rPr>
          <w:rFonts w:cs="Times New Roman"/>
        </w:rPr>
        <w:t>.</w:t>
      </w:r>
      <w:r w:rsidR="00254AEA" w:rsidRPr="005A6293">
        <w:rPr>
          <w:rStyle w:val="FootnoteReference"/>
          <w:rFonts w:cs="Times New Roman"/>
        </w:rPr>
        <w:footnoteReference w:id="84"/>
      </w:r>
      <w:r w:rsidRPr="005A6293">
        <w:rPr>
          <w:rFonts w:cs="Times New Roman"/>
        </w:rPr>
        <w:t xml:space="preserve"> Therefore, while there was no dominant economy in Kenya, many economies had similar traits, such as being predominately agriculture based or pastoralists, were connected through trade and marriage, and were all subsistence economies. </w:t>
      </w:r>
    </w:p>
    <w:p w14:paraId="4C71E21D" w14:textId="74225A87" w:rsidR="00082233" w:rsidRPr="005A6293" w:rsidRDefault="00082233" w:rsidP="0068257B">
      <w:pPr>
        <w:spacing w:line="480" w:lineRule="auto"/>
        <w:rPr>
          <w:rFonts w:cs="Times New Roman"/>
        </w:rPr>
      </w:pPr>
      <w:r w:rsidRPr="005A6293">
        <w:rPr>
          <w:rFonts w:cs="Times New Roman"/>
        </w:rPr>
        <w:lastRenderedPageBreak/>
        <w:tab/>
        <w:t xml:space="preserve">Even before </w:t>
      </w:r>
      <w:r w:rsidR="003F2160" w:rsidRPr="005A6293">
        <w:rPr>
          <w:rFonts w:cs="Times New Roman"/>
        </w:rPr>
        <w:t xml:space="preserve">formal </w:t>
      </w:r>
      <w:r w:rsidRPr="005A6293">
        <w:rPr>
          <w:rFonts w:cs="Times New Roman"/>
        </w:rPr>
        <w:t>colonization, Europeans dominated trade in commodities as well as people. For example, in the 19</w:t>
      </w:r>
      <w:r w:rsidRPr="005A6293">
        <w:rPr>
          <w:rFonts w:cs="Times New Roman"/>
          <w:vertAlign w:val="superscript"/>
        </w:rPr>
        <w:t>th</w:t>
      </w:r>
      <w:r w:rsidRPr="005A6293">
        <w:rPr>
          <w:rFonts w:cs="Times New Roman"/>
        </w:rPr>
        <w:t xml:space="preserve"> century the main commodity traded with Europeans that impacted East Africa was ivory. In fact, for many years that ivory trade </w:t>
      </w:r>
      <w:r w:rsidR="00E4665B" w:rsidRPr="005A6293">
        <w:rPr>
          <w:rFonts w:cs="Times New Roman"/>
        </w:rPr>
        <w:t>with Europe le</w:t>
      </w:r>
      <w:r w:rsidRPr="005A6293">
        <w:rPr>
          <w:rFonts w:cs="Times New Roman"/>
        </w:rPr>
        <w:t xml:space="preserve">d to a mass of profits for those involved. However, ivory is a natural resource that can be depleted. </w:t>
      </w:r>
      <w:r w:rsidR="002A5650" w:rsidRPr="005A6293">
        <w:rPr>
          <w:rFonts w:cs="Times New Roman"/>
        </w:rPr>
        <w:t>Ironically even though the</w:t>
      </w:r>
      <w:r w:rsidRPr="005A6293">
        <w:rPr>
          <w:rFonts w:cs="Times New Roman"/>
        </w:rPr>
        <w:t xml:space="preserve"> trade resulted in positive economic outcomes throughout most of the 19</w:t>
      </w:r>
      <w:r w:rsidRPr="005A6293">
        <w:rPr>
          <w:rFonts w:cs="Times New Roman"/>
          <w:vertAlign w:val="superscript"/>
        </w:rPr>
        <w:t>th</w:t>
      </w:r>
      <w:r w:rsidRPr="005A6293">
        <w:rPr>
          <w:rFonts w:cs="Times New Roman"/>
        </w:rPr>
        <w:t xml:space="preserve"> century, by the end of the century ivory was vastly depleted and the economy </w:t>
      </w:r>
      <w:r w:rsidR="00031080" w:rsidRPr="005A6293">
        <w:rPr>
          <w:rFonts w:cs="Times New Roman"/>
        </w:rPr>
        <w:t>was in shambles</w:t>
      </w:r>
      <w:r w:rsidRPr="005A6293">
        <w:rPr>
          <w:rFonts w:cs="Times New Roman"/>
        </w:rPr>
        <w:t>.</w:t>
      </w:r>
      <w:r w:rsidR="00254AEA" w:rsidRPr="005A6293">
        <w:rPr>
          <w:rStyle w:val="FootnoteReference"/>
          <w:rFonts w:cs="Times New Roman"/>
        </w:rPr>
        <w:footnoteReference w:id="85"/>
      </w:r>
      <w:r w:rsidRPr="005A6293">
        <w:rPr>
          <w:rFonts w:cs="Times New Roman"/>
        </w:rPr>
        <w:t xml:space="preserve"> The economic outcomes varied greatly depending on the ethnic group, community, and area of Kenya. Additionally, East Africa was heavily impacted by the slave trade, both through the Atlantic as well as the Arab slave trade. In an economic sense, this both disrupted economies as well as provided greater economic opportunities and wealth for other economies. Communities that engaged in the slave trade by providing traders with humans, gained economic opportunities and wealth. Conversely, the loss of individuals to communities resulted in negative economic outcomes. Either through commodities or people, outside forces exerted pressure on the subsistent economies within Kenya long before colonization. </w:t>
      </w:r>
    </w:p>
    <w:p w14:paraId="42C22F08" w14:textId="3C742BF4" w:rsidR="007E7F45" w:rsidRPr="005A6293" w:rsidRDefault="007E7F45" w:rsidP="0068257B">
      <w:pPr>
        <w:spacing w:line="480" w:lineRule="auto"/>
        <w:rPr>
          <w:rFonts w:cs="Times New Roman"/>
        </w:rPr>
      </w:pPr>
      <w:r w:rsidRPr="005A6293">
        <w:rPr>
          <w:rFonts w:cs="Times New Roman"/>
        </w:rPr>
        <w:tab/>
      </w:r>
      <w:r w:rsidR="00CA47FB" w:rsidRPr="005A6293">
        <w:rPr>
          <w:rFonts w:cs="Times New Roman"/>
        </w:rPr>
        <w:t>While there was no single economy in Kenya in the pre-colonial period, there</w:t>
      </w:r>
      <w:r w:rsidR="00B831C1" w:rsidRPr="005A6293">
        <w:rPr>
          <w:rFonts w:cs="Times New Roman"/>
        </w:rPr>
        <w:t xml:space="preserve"> are a few common themes that</w:t>
      </w:r>
      <w:r w:rsidR="00945D5B" w:rsidRPr="005A6293">
        <w:rPr>
          <w:rFonts w:cs="Times New Roman"/>
        </w:rPr>
        <w:t xml:space="preserve"> are generalizable</w:t>
      </w:r>
      <w:r w:rsidR="00CA47FB" w:rsidRPr="005A6293">
        <w:rPr>
          <w:rFonts w:cs="Times New Roman"/>
        </w:rPr>
        <w:t xml:space="preserve"> about the economies present in pre-colonial Kenya. First, there was a system of economies, more specifically a web of economies that were generally subsistence economies. </w:t>
      </w:r>
      <w:r w:rsidR="007A4F4B" w:rsidRPr="005A6293">
        <w:rPr>
          <w:rFonts w:cs="Times New Roman"/>
        </w:rPr>
        <w:t xml:space="preserve">Additionally, many economies could be classified as either pastoral economies, agriculture economies, or some </w:t>
      </w:r>
      <w:r w:rsidR="007A4F4B" w:rsidRPr="005A6293">
        <w:rPr>
          <w:rFonts w:cs="Times New Roman"/>
        </w:rPr>
        <w:lastRenderedPageBreak/>
        <w:t xml:space="preserve">mixture of those economies. </w:t>
      </w:r>
      <w:r w:rsidR="00751A45" w:rsidRPr="005A6293">
        <w:rPr>
          <w:rFonts w:cs="Times New Roman"/>
        </w:rPr>
        <w:t xml:space="preserve">Finally, many Kenyan economies were connected to other areas of the world through trade, whether it was coastal trade with Arab traders, the ivory trade with European powers, or the slave trade with both Arab and Western powers. </w:t>
      </w:r>
    </w:p>
    <w:p w14:paraId="47FC4568" w14:textId="21056908" w:rsidR="00082233" w:rsidRPr="005A6293" w:rsidRDefault="00082233" w:rsidP="0068257B">
      <w:pPr>
        <w:spacing w:line="480" w:lineRule="auto"/>
        <w:rPr>
          <w:rFonts w:cs="Times New Roman"/>
          <w:i/>
        </w:rPr>
      </w:pPr>
      <w:r w:rsidRPr="005A6293">
        <w:rPr>
          <w:rFonts w:cs="Times New Roman"/>
          <w:i/>
        </w:rPr>
        <w:t>Economic Measure</w:t>
      </w:r>
    </w:p>
    <w:p w14:paraId="4621BB74" w14:textId="0447297E" w:rsidR="00082233" w:rsidRPr="005A6293" w:rsidRDefault="00082233" w:rsidP="0068257B">
      <w:pPr>
        <w:spacing w:line="480" w:lineRule="auto"/>
        <w:ind w:firstLine="720"/>
        <w:rPr>
          <w:rFonts w:cs="Times New Roman"/>
        </w:rPr>
      </w:pPr>
      <w:r w:rsidRPr="005A6293">
        <w:rPr>
          <w:rFonts w:cs="Times New Roman"/>
        </w:rPr>
        <w:t>The measure</w:t>
      </w:r>
      <w:r w:rsidR="009853D4" w:rsidRPr="005A6293">
        <w:rPr>
          <w:rFonts w:cs="Times New Roman"/>
        </w:rPr>
        <w:t>ment</w:t>
      </w:r>
      <w:r w:rsidRPr="005A6293">
        <w:rPr>
          <w:rFonts w:cs="Times New Roman"/>
        </w:rPr>
        <w:t xml:space="preserve"> for how education and gender impact the economy is the sexual division of labor. </w:t>
      </w:r>
      <w:r w:rsidR="00C028FB" w:rsidRPr="005A6293">
        <w:rPr>
          <w:rFonts w:cs="Times New Roman"/>
        </w:rPr>
        <w:t>Differences based off gender</w:t>
      </w:r>
      <w:r w:rsidRPr="005A6293">
        <w:rPr>
          <w:rFonts w:cs="Times New Roman"/>
        </w:rPr>
        <w:t xml:space="preserve"> colored education for children as young as three years old, when children begin developing ideas of their futur</w:t>
      </w:r>
      <w:r w:rsidR="00031080" w:rsidRPr="005A6293">
        <w:rPr>
          <w:rFonts w:cs="Times New Roman"/>
        </w:rPr>
        <w:t>e through play</w:t>
      </w:r>
      <w:r w:rsidRPr="005A6293">
        <w:rPr>
          <w:rFonts w:cs="Times New Roman"/>
        </w:rPr>
        <w:t>.</w:t>
      </w:r>
      <w:r w:rsidR="00254AEA" w:rsidRPr="005A6293">
        <w:rPr>
          <w:rStyle w:val="FootnoteReference"/>
          <w:rFonts w:cs="Times New Roman"/>
        </w:rPr>
        <w:footnoteReference w:id="86"/>
      </w:r>
      <w:r w:rsidRPr="005A6293">
        <w:rPr>
          <w:rFonts w:cs="Times New Roman"/>
        </w:rPr>
        <w:t xml:space="preserve"> These forms of education that are shaped by </w:t>
      </w:r>
      <w:r w:rsidR="00C028FB" w:rsidRPr="005A6293">
        <w:rPr>
          <w:rFonts w:cs="Times New Roman"/>
        </w:rPr>
        <w:t>gender</w:t>
      </w:r>
      <w:r w:rsidRPr="005A6293">
        <w:rPr>
          <w:rFonts w:cs="Times New Roman"/>
        </w:rPr>
        <w:t xml:space="preserve"> ultimately guide all knowledge of the economy as well as future economic undertakings. As Bogonko indicates, each child must learn about their own future occupation at a young age, boys </w:t>
      </w:r>
      <w:r w:rsidR="00131990">
        <w:rPr>
          <w:rFonts w:cs="Times New Roman"/>
        </w:rPr>
        <w:t xml:space="preserve">for example </w:t>
      </w:r>
      <w:r w:rsidRPr="005A6293">
        <w:rPr>
          <w:rFonts w:cs="Times New Roman"/>
        </w:rPr>
        <w:t xml:space="preserve">have “to learn about the weather and climate of his habitat as all this governed the nature of economic undertakings, for instance, agriculture, hunting, gathering, pastoralism, and fishing which was the mainstay </w:t>
      </w:r>
      <w:r w:rsidR="001B0E84" w:rsidRPr="005A6293">
        <w:rPr>
          <w:rFonts w:cs="Times New Roman"/>
        </w:rPr>
        <w:t>of his locality”</w:t>
      </w:r>
      <w:r w:rsidRPr="005A6293">
        <w:rPr>
          <w:rFonts w:cs="Times New Roman"/>
        </w:rPr>
        <w:t>.</w:t>
      </w:r>
      <w:r w:rsidR="00254AEA" w:rsidRPr="005A6293">
        <w:rPr>
          <w:rStyle w:val="FootnoteReference"/>
          <w:rFonts w:cs="Times New Roman"/>
        </w:rPr>
        <w:footnoteReference w:id="87"/>
      </w:r>
      <w:r w:rsidRPr="005A6293">
        <w:rPr>
          <w:rFonts w:cs="Times New Roman"/>
        </w:rPr>
        <w:t xml:space="preserve"> The same was true of women. The economy shaped how </w:t>
      </w:r>
      <w:r w:rsidR="00C028FB" w:rsidRPr="005A6293">
        <w:rPr>
          <w:rFonts w:cs="Times New Roman"/>
        </w:rPr>
        <w:t>education differed based off gender</w:t>
      </w:r>
      <w:r w:rsidRPr="005A6293">
        <w:rPr>
          <w:rFonts w:cs="Times New Roman"/>
        </w:rPr>
        <w:t xml:space="preserve">, but </w:t>
      </w:r>
      <w:r w:rsidR="00C028FB" w:rsidRPr="005A6293">
        <w:rPr>
          <w:rFonts w:cs="Times New Roman"/>
        </w:rPr>
        <w:t>gender</w:t>
      </w:r>
      <w:r w:rsidRPr="005A6293">
        <w:rPr>
          <w:rFonts w:cs="Times New Roman"/>
        </w:rPr>
        <w:t xml:space="preserve">-based education also fed back into the economy by producing men and women with distinct skills and occupational aspirations. </w:t>
      </w:r>
    </w:p>
    <w:p w14:paraId="17211926" w14:textId="4E9F9E96" w:rsidR="00082233" w:rsidRPr="005A6293" w:rsidRDefault="00082233" w:rsidP="00E06095">
      <w:pPr>
        <w:spacing w:line="480" w:lineRule="auto"/>
        <w:ind w:firstLine="720"/>
        <w:rPr>
          <w:rFonts w:cs="Times New Roman"/>
        </w:rPr>
      </w:pPr>
      <w:r w:rsidRPr="005A6293">
        <w:rPr>
          <w:rFonts w:cs="Times New Roman"/>
        </w:rPr>
        <w:t xml:space="preserve">Taking </w:t>
      </w:r>
      <w:r w:rsidR="000C7AFF" w:rsidRPr="005A6293">
        <w:rPr>
          <w:rFonts w:cs="Times New Roman"/>
        </w:rPr>
        <w:t>the sexual division of labor</w:t>
      </w:r>
      <w:r w:rsidRPr="005A6293">
        <w:rPr>
          <w:rFonts w:cs="Times New Roman"/>
        </w:rPr>
        <w:t xml:space="preserve"> into consideration sets a good baseline for how the rela</w:t>
      </w:r>
      <w:r w:rsidR="00C028FB" w:rsidRPr="005A6293">
        <w:rPr>
          <w:rFonts w:cs="Times New Roman"/>
        </w:rPr>
        <w:t>tionship between education</w:t>
      </w:r>
      <w:r w:rsidRPr="005A6293">
        <w:rPr>
          <w:rFonts w:cs="Times New Roman"/>
        </w:rPr>
        <w:t xml:space="preserve"> and gender interacted with the economy in Kenya before colonization. However, th</w:t>
      </w:r>
      <w:r w:rsidR="00693688" w:rsidRPr="005A6293">
        <w:rPr>
          <w:rFonts w:cs="Times New Roman"/>
        </w:rPr>
        <w:t>i</w:t>
      </w:r>
      <w:r w:rsidRPr="005A6293">
        <w:rPr>
          <w:rFonts w:cs="Times New Roman"/>
        </w:rPr>
        <w:t>s measure</w:t>
      </w:r>
      <w:r w:rsidR="00693688" w:rsidRPr="005A6293">
        <w:rPr>
          <w:rFonts w:cs="Times New Roman"/>
        </w:rPr>
        <w:t>ment</w:t>
      </w:r>
      <w:r w:rsidRPr="005A6293">
        <w:rPr>
          <w:rFonts w:cs="Times New Roman"/>
        </w:rPr>
        <w:t xml:space="preserve"> can only give an overarching generalization about the Kenyan economy, as it was not governed as a whole economy pre-colonialization, but rather consisted of small and vastly different economies of each </w:t>
      </w:r>
      <w:r w:rsidRPr="005A6293">
        <w:rPr>
          <w:rFonts w:cs="Times New Roman"/>
        </w:rPr>
        <w:lastRenderedPageBreak/>
        <w:t>community and ethnic groups. Despite the measure</w:t>
      </w:r>
      <w:r w:rsidR="00693688" w:rsidRPr="005A6293">
        <w:rPr>
          <w:rFonts w:cs="Times New Roman"/>
        </w:rPr>
        <w:t>ment</w:t>
      </w:r>
      <w:r w:rsidRPr="005A6293">
        <w:rPr>
          <w:rFonts w:cs="Times New Roman"/>
        </w:rPr>
        <w:t xml:space="preserve"> only leading to generalizations, </w:t>
      </w:r>
      <w:r w:rsidR="00423E73" w:rsidRPr="005A6293">
        <w:rPr>
          <w:rFonts w:cs="Times New Roman"/>
        </w:rPr>
        <w:t>it is</w:t>
      </w:r>
      <w:r w:rsidRPr="005A6293">
        <w:rPr>
          <w:rFonts w:cs="Times New Roman"/>
        </w:rPr>
        <w:t xml:space="preserve"> still informative. The measure</w:t>
      </w:r>
      <w:r w:rsidR="005D000D" w:rsidRPr="005A6293">
        <w:rPr>
          <w:rFonts w:cs="Times New Roman"/>
        </w:rPr>
        <w:t>ment</w:t>
      </w:r>
      <w:r w:rsidR="00B81B2D">
        <w:rPr>
          <w:rFonts w:cs="Times New Roman"/>
        </w:rPr>
        <w:t>s</w:t>
      </w:r>
      <w:r w:rsidRPr="005A6293">
        <w:rPr>
          <w:rFonts w:cs="Times New Roman"/>
        </w:rPr>
        <w:t xml:space="preserve"> paint a picture of an economy where the relationship between </w:t>
      </w:r>
      <w:r w:rsidR="006247C6" w:rsidRPr="005A6293">
        <w:rPr>
          <w:rFonts w:cs="Times New Roman"/>
        </w:rPr>
        <w:t>education and gender</w:t>
      </w:r>
      <w:r w:rsidRPr="005A6293">
        <w:rPr>
          <w:rFonts w:cs="Times New Roman"/>
        </w:rPr>
        <w:t xml:space="preserve"> directly influences the occupations of women in the workforce. </w:t>
      </w:r>
    </w:p>
    <w:p w14:paraId="6BCE8FA2" w14:textId="77777777" w:rsidR="00082233" w:rsidRPr="005A6293" w:rsidRDefault="00082233" w:rsidP="0068257B">
      <w:pPr>
        <w:spacing w:line="480" w:lineRule="auto"/>
        <w:rPr>
          <w:rFonts w:cs="Times New Roman"/>
          <w:b/>
        </w:rPr>
      </w:pPr>
      <w:r w:rsidRPr="005A6293">
        <w:rPr>
          <w:rFonts w:cs="Times New Roman"/>
          <w:b/>
        </w:rPr>
        <w:t>Political Interaction</w:t>
      </w:r>
    </w:p>
    <w:p w14:paraId="575B4D5F" w14:textId="00B4B407" w:rsidR="00C12270" w:rsidRPr="005A6293" w:rsidRDefault="00C12270" w:rsidP="0068257B">
      <w:pPr>
        <w:spacing w:line="480" w:lineRule="auto"/>
        <w:rPr>
          <w:rFonts w:cs="Times New Roman"/>
          <w:i/>
        </w:rPr>
      </w:pPr>
      <w:r w:rsidRPr="005A6293">
        <w:rPr>
          <w:rFonts w:cs="Times New Roman"/>
          <w:i/>
        </w:rPr>
        <w:t>Political Structure</w:t>
      </w:r>
    </w:p>
    <w:p w14:paraId="15803829" w14:textId="0401A36A" w:rsidR="003B680D" w:rsidRPr="005A6293" w:rsidRDefault="003B680D" w:rsidP="0068257B">
      <w:pPr>
        <w:spacing w:line="480" w:lineRule="auto"/>
        <w:rPr>
          <w:rFonts w:cs="Times New Roman"/>
        </w:rPr>
      </w:pPr>
      <w:r w:rsidRPr="005A6293">
        <w:rPr>
          <w:rFonts w:cs="Times New Roman"/>
        </w:rPr>
        <w:tab/>
      </w:r>
      <w:r w:rsidR="00851ACB" w:rsidRPr="005A6293">
        <w:rPr>
          <w:rFonts w:cs="Times New Roman"/>
        </w:rPr>
        <w:t>Just as there was no overarching economic institutions in Kenya in the pre-colonial era, there was not one political structure in Kenya before colonization but rather mul</w:t>
      </w:r>
      <w:r w:rsidR="00C52432" w:rsidRPr="005A6293">
        <w:rPr>
          <w:rFonts w:cs="Times New Roman"/>
        </w:rPr>
        <w:t xml:space="preserve">tiple, various political institutions. </w:t>
      </w:r>
      <w:r w:rsidR="00A74ABD" w:rsidRPr="005A6293">
        <w:rPr>
          <w:rFonts w:cs="Times New Roman"/>
        </w:rPr>
        <w:t>For example, Robert Tignor defines the political system of the Kikuyu, Kamba, and Maasai as “politically acephalous” meaning that these communities did not have heads of their political institutions.</w:t>
      </w:r>
      <w:r w:rsidR="00A74ABD" w:rsidRPr="005A6293">
        <w:rPr>
          <w:rStyle w:val="FootnoteReference"/>
          <w:rFonts w:cs="Times New Roman"/>
        </w:rPr>
        <w:footnoteReference w:id="88"/>
      </w:r>
      <w:r w:rsidR="00A74ABD" w:rsidRPr="005A6293">
        <w:rPr>
          <w:rFonts w:cs="Times New Roman"/>
        </w:rPr>
        <w:t xml:space="preserve"> Other communities were led by chiefs or elders as the head of their political system.</w:t>
      </w:r>
      <w:r w:rsidR="00A74ABD" w:rsidRPr="005A6293">
        <w:rPr>
          <w:rStyle w:val="FootnoteReference"/>
          <w:rFonts w:cs="Times New Roman"/>
        </w:rPr>
        <w:footnoteReference w:id="89"/>
      </w:r>
      <w:r w:rsidR="00401578" w:rsidRPr="005A6293">
        <w:rPr>
          <w:rFonts w:cs="Times New Roman"/>
        </w:rPr>
        <w:t xml:space="preserve"> Additionally, c</w:t>
      </w:r>
      <w:r w:rsidR="00F45792" w:rsidRPr="005A6293">
        <w:rPr>
          <w:rFonts w:cs="Times New Roman"/>
        </w:rPr>
        <w:t>ommunities differed based off</w:t>
      </w:r>
      <w:r w:rsidR="00401578" w:rsidRPr="005A6293">
        <w:rPr>
          <w:rFonts w:cs="Times New Roman"/>
        </w:rPr>
        <w:t xml:space="preserve"> other factors, such as lineage. </w:t>
      </w:r>
      <w:r w:rsidR="006753E4" w:rsidRPr="005A6293">
        <w:rPr>
          <w:rFonts w:cs="Times New Roman"/>
        </w:rPr>
        <w:t xml:space="preserve">Some societies in Kenya were better categorized as </w:t>
      </w:r>
      <w:r w:rsidR="00F45792" w:rsidRPr="005A6293">
        <w:rPr>
          <w:rFonts w:cs="Times New Roman"/>
        </w:rPr>
        <w:t xml:space="preserve">patrilineal societies, while other were </w:t>
      </w:r>
      <w:r w:rsidR="006753E4" w:rsidRPr="005A6293">
        <w:rPr>
          <w:rFonts w:cs="Times New Roman"/>
        </w:rPr>
        <w:t xml:space="preserve">more </w:t>
      </w:r>
      <w:r w:rsidR="00F45792" w:rsidRPr="005A6293">
        <w:rPr>
          <w:rFonts w:cs="Times New Roman"/>
        </w:rPr>
        <w:t>matrilineal.</w:t>
      </w:r>
      <w:r w:rsidR="00FB63E0" w:rsidRPr="005A6293">
        <w:rPr>
          <w:rFonts w:cs="Times New Roman"/>
        </w:rPr>
        <w:t xml:space="preserve"> Therefore, just as the economic section could only draw generalizations about the impact of the relationship between education and gender on</w:t>
      </w:r>
      <w:r w:rsidR="0000007A" w:rsidRPr="005A6293">
        <w:rPr>
          <w:rFonts w:cs="Times New Roman"/>
        </w:rPr>
        <w:t xml:space="preserve"> the economy, this section is </w:t>
      </w:r>
      <w:r w:rsidR="002426F1" w:rsidRPr="005A6293">
        <w:rPr>
          <w:rFonts w:cs="Times New Roman"/>
        </w:rPr>
        <w:t>also only</w:t>
      </w:r>
      <w:r w:rsidR="00FB63E0" w:rsidRPr="005A6293">
        <w:rPr>
          <w:rFonts w:cs="Times New Roman"/>
        </w:rPr>
        <w:t xml:space="preserve"> able to confirm generalizations because the political systems for each community in Kenya varied. </w:t>
      </w:r>
    </w:p>
    <w:p w14:paraId="530BE9F3" w14:textId="3F02ED67" w:rsidR="00C12270" w:rsidRPr="005A6293" w:rsidRDefault="00C12270" w:rsidP="0068257B">
      <w:pPr>
        <w:spacing w:line="480" w:lineRule="auto"/>
        <w:rPr>
          <w:rFonts w:cs="Times New Roman"/>
          <w:i/>
        </w:rPr>
      </w:pPr>
      <w:r w:rsidRPr="005A6293">
        <w:rPr>
          <w:rFonts w:cs="Times New Roman"/>
          <w:i/>
        </w:rPr>
        <w:t>Political Measure</w:t>
      </w:r>
    </w:p>
    <w:p w14:paraId="160E08BE" w14:textId="65F8BD77" w:rsidR="00082233" w:rsidRPr="005A6293" w:rsidRDefault="00082233" w:rsidP="00E06095">
      <w:pPr>
        <w:spacing w:line="480" w:lineRule="auto"/>
        <w:rPr>
          <w:rFonts w:cs="Times New Roman"/>
        </w:rPr>
      </w:pPr>
      <w:r w:rsidRPr="005A6293">
        <w:rPr>
          <w:rFonts w:cs="Times New Roman"/>
        </w:rPr>
        <w:tab/>
      </w:r>
      <w:r w:rsidR="002426F1" w:rsidRPr="005A6293">
        <w:rPr>
          <w:rFonts w:cs="Times New Roman"/>
        </w:rPr>
        <w:t xml:space="preserve">I </w:t>
      </w:r>
      <w:r w:rsidRPr="005A6293">
        <w:rPr>
          <w:rFonts w:cs="Times New Roman"/>
        </w:rPr>
        <w:t xml:space="preserve">examine </w:t>
      </w:r>
      <w:r w:rsidR="00091765" w:rsidRPr="005A6293">
        <w:rPr>
          <w:rFonts w:cs="Times New Roman"/>
        </w:rPr>
        <w:t>one</w:t>
      </w:r>
      <w:r w:rsidRPr="005A6293">
        <w:rPr>
          <w:rFonts w:cs="Times New Roman"/>
        </w:rPr>
        <w:t xml:space="preserve"> </w:t>
      </w:r>
      <w:r w:rsidR="00091765" w:rsidRPr="005A6293">
        <w:rPr>
          <w:rFonts w:cs="Times New Roman"/>
        </w:rPr>
        <w:t>measurement</w:t>
      </w:r>
      <w:r w:rsidRPr="005A6293">
        <w:rPr>
          <w:rFonts w:cs="Times New Roman"/>
        </w:rPr>
        <w:t xml:space="preserve"> of politics for each era </w:t>
      </w:r>
      <w:r w:rsidR="001C3644" w:rsidRPr="005A6293">
        <w:rPr>
          <w:rFonts w:cs="Times New Roman"/>
        </w:rPr>
        <w:t>to determine how education</w:t>
      </w:r>
      <w:r w:rsidRPr="005A6293">
        <w:rPr>
          <w:rFonts w:cs="Times New Roman"/>
        </w:rPr>
        <w:t xml:space="preserve"> and gender impacts, or is impacted by, politics. The measure</w:t>
      </w:r>
      <w:r w:rsidR="00091765" w:rsidRPr="005A6293">
        <w:rPr>
          <w:rFonts w:cs="Times New Roman"/>
        </w:rPr>
        <w:t>ment</w:t>
      </w:r>
      <w:r w:rsidRPr="005A6293">
        <w:rPr>
          <w:rFonts w:cs="Times New Roman"/>
        </w:rPr>
        <w:t xml:space="preserve"> </w:t>
      </w:r>
      <w:r w:rsidR="00091765" w:rsidRPr="005A6293">
        <w:rPr>
          <w:rFonts w:cs="Times New Roman"/>
        </w:rPr>
        <w:t>is</w:t>
      </w:r>
      <w:r w:rsidRPr="005A6293">
        <w:rPr>
          <w:rFonts w:cs="Times New Roman"/>
        </w:rPr>
        <w:t xml:space="preserve"> the role of </w:t>
      </w:r>
      <w:r w:rsidRPr="005A6293">
        <w:rPr>
          <w:rFonts w:cs="Times New Roman"/>
        </w:rPr>
        <w:lastRenderedPageBreak/>
        <w:t>ed</w:t>
      </w:r>
      <w:r w:rsidR="00F65006" w:rsidRPr="005A6293">
        <w:rPr>
          <w:rFonts w:cs="Times New Roman"/>
        </w:rPr>
        <w:t xml:space="preserve">ucation in political policies. </w:t>
      </w:r>
      <w:r w:rsidRPr="005A6293">
        <w:rPr>
          <w:rFonts w:cs="Times New Roman"/>
        </w:rPr>
        <w:t>While they are no clear political laws and decrees that applied to the whole of Kenya in the pre-colonial era, we can piece together an overarching political policy from the actions of leaders. The clearest manner through which community leaders endorsed education was through the</w:t>
      </w:r>
      <w:r w:rsidR="00BD3BCC" w:rsidRPr="005A6293">
        <w:rPr>
          <w:rFonts w:cs="Times New Roman"/>
        </w:rPr>
        <w:t xml:space="preserve"> formal mechanisms of education:</w:t>
      </w:r>
      <w:r w:rsidRPr="005A6293">
        <w:rPr>
          <w:rFonts w:cs="Times New Roman"/>
        </w:rPr>
        <w:t xml:space="preserve"> the ceremonies and initiation rituals. For many communities, attendan</w:t>
      </w:r>
      <w:r w:rsidR="005644AA" w:rsidRPr="005A6293">
        <w:rPr>
          <w:rFonts w:cs="Times New Roman"/>
        </w:rPr>
        <w:t>ce was mandatory</w:t>
      </w:r>
      <w:r w:rsidRPr="005A6293">
        <w:rPr>
          <w:rFonts w:cs="Times New Roman"/>
        </w:rPr>
        <w:t>.</w:t>
      </w:r>
      <w:r w:rsidR="00254AEA" w:rsidRPr="005A6293">
        <w:rPr>
          <w:rStyle w:val="FootnoteReference"/>
          <w:rFonts w:cs="Times New Roman"/>
        </w:rPr>
        <w:footnoteReference w:id="90"/>
      </w:r>
      <w:r w:rsidRPr="005A6293">
        <w:rPr>
          <w:rFonts w:cs="Times New Roman"/>
        </w:rPr>
        <w:t xml:space="preserve"> These ceremonies commemorated the passage from childhood into adulthood and, therefore, the end of </w:t>
      </w:r>
      <w:r w:rsidR="00300E4A" w:rsidRPr="005A6293">
        <w:rPr>
          <w:rFonts w:cs="Times New Roman"/>
        </w:rPr>
        <w:t>indigenous</w:t>
      </w:r>
      <w:r w:rsidR="005644AA" w:rsidRPr="005A6293">
        <w:rPr>
          <w:rFonts w:cs="Times New Roman"/>
        </w:rPr>
        <w:t xml:space="preserve"> education</w:t>
      </w:r>
      <w:r w:rsidRPr="005A6293">
        <w:rPr>
          <w:rFonts w:cs="Times New Roman"/>
        </w:rPr>
        <w:t>.</w:t>
      </w:r>
      <w:r w:rsidR="00254AEA" w:rsidRPr="005A6293">
        <w:rPr>
          <w:rStyle w:val="FootnoteReference"/>
          <w:rFonts w:cs="Times New Roman"/>
        </w:rPr>
        <w:footnoteReference w:id="91"/>
      </w:r>
      <w:r w:rsidRPr="005A6293">
        <w:rPr>
          <w:rFonts w:cs="Times New Roman"/>
        </w:rPr>
        <w:t xml:space="preserve"> Therefore, these ceremonies were the pinnacle of </w:t>
      </w:r>
      <w:r w:rsidR="00300E4A" w:rsidRPr="005A6293">
        <w:rPr>
          <w:rFonts w:cs="Times New Roman"/>
        </w:rPr>
        <w:t>indigenous</w:t>
      </w:r>
      <w:r w:rsidRPr="005A6293">
        <w:rPr>
          <w:rFonts w:cs="Times New Roman"/>
        </w:rPr>
        <w:t xml:space="preserve"> education, and were presided over and informed by the leaders of each community. </w:t>
      </w:r>
      <w:r w:rsidR="00032575" w:rsidRPr="005A6293">
        <w:rPr>
          <w:rFonts w:cs="Times New Roman"/>
        </w:rPr>
        <w:t>These e</w:t>
      </w:r>
      <w:r w:rsidR="00E811C8" w:rsidRPr="005A6293">
        <w:rPr>
          <w:rFonts w:cs="Times New Roman"/>
        </w:rPr>
        <w:t>ducational “policies”</w:t>
      </w:r>
      <w:r w:rsidR="000A535A" w:rsidRPr="005A6293">
        <w:rPr>
          <w:rFonts w:cs="Times New Roman"/>
        </w:rPr>
        <w:t xml:space="preserve"> incorporated gender differences, but the result was largely separation</w:t>
      </w:r>
      <w:r w:rsidRPr="005A6293">
        <w:rPr>
          <w:rFonts w:cs="Times New Roman"/>
        </w:rPr>
        <w:t xml:space="preserve">. </w:t>
      </w:r>
    </w:p>
    <w:p w14:paraId="47DB5C97" w14:textId="7C917FC8" w:rsidR="002F3F8C" w:rsidRPr="005A6293" w:rsidRDefault="00082233" w:rsidP="0068257B">
      <w:pPr>
        <w:spacing w:line="480" w:lineRule="auto"/>
        <w:rPr>
          <w:rFonts w:cs="Times New Roman"/>
        </w:rPr>
      </w:pPr>
      <w:r w:rsidRPr="005A6293">
        <w:rPr>
          <w:rFonts w:cs="Times New Roman"/>
        </w:rPr>
        <w:tab/>
        <w:t>Despite what European colonizers assumed when confronting Kenyan culture, Kenya had a political system in place based around community leaders, such as chiefs, as well as a system of laws. This system provided the foundation of political institutions in Kenya, but as time progresses through colonialization and post-coloni</w:t>
      </w:r>
      <w:r w:rsidR="00FC2DDC" w:rsidRPr="005A6293">
        <w:rPr>
          <w:rFonts w:cs="Times New Roman"/>
        </w:rPr>
        <w:t>zation the political system</w:t>
      </w:r>
      <w:r w:rsidRPr="005A6293">
        <w:rPr>
          <w:rFonts w:cs="Times New Roman"/>
        </w:rPr>
        <w:t xml:space="preserve"> change</w:t>
      </w:r>
      <w:r w:rsidR="00FC2DDC" w:rsidRPr="005A6293">
        <w:rPr>
          <w:rFonts w:cs="Times New Roman"/>
        </w:rPr>
        <w:t>d</w:t>
      </w:r>
      <w:r w:rsidRPr="005A6293">
        <w:rPr>
          <w:rFonts w:cs="Times New Roman"/>
        </w:rPr>
        <w:t>. The measure</w:t>
      </w:r>
      <w:r w:rsidR="003F3D46" w:rsidRPr="005A6293">
        <w:rPr>
          <w:rFonts w:cs="Times New Roman"/>
        </w:rPr>
        <w:t>ment</w:t>
      </w:r>
      <w:r w:rsidRPr="005A6293">
        <w:rPr>
          <w:rFonts w:cs="Times New Roman"/>
        </w:rPr>
        <w:t xml:space="preserve"> of politics w</w:t>
      </w:r>
      <w:r w:rsidR="003F3D46" w:rsidRPr="005A6293">
        <w:rPr>
          <w:rFonts w:cs="Times New Roman"/>
        </w:rPr>
        <w:t>as</w:t>
      </w:r>
      <w:r w:rsidRPr="005A6293">
        <w:rPr>
          <w:rFonts w:cs="Times New Roman"/>
        </w:rPr>
        <w:t xml:space="preserve"> build off this foundation, and demonstrate</w:t>
      </w:r>
      <w:r w:rsidR="003F3D46" w:rsidRPr="005A6293">
        <w:rPr>
          <w:rFonts w:cs="Times New Roman"/>
        </w:rPr>
        <w:t>s</w:t>
      </w:r>
      <w:r w:rsidRPr="005A6293">
        <w:rPr>
          <w:rFonts w:cs="Times New Roman"/>
        </w:rPr>
        <w:t xml:space="preserve"> how politics interacted with the relat</w:t>
      </w:r>
      <w:r w:rsidR="00396475" w:rsidRPr="005A6293">
        <w:rPr>
          <w:rFonts w:cs="Times New Roman"/>
        </w:rPr>
        <w:t xml:space="preserve">ionship between education </w:t>
      </w:r>
      <w:r w:rsidRPr="005A6293">
        <w:rPr>
          <w:rFonts w:cs="Times New Roman"/>
        </w:rPr>
        <w:t xml:space="preserve">and gender. </w:t>
      </w:r>
      <w:r w:rsidR="003F3D46" w:rsidRPr="005A6293">
        <w:rPr>
          <w:rFonts w:cs="Times New Roman"/>
        </w:rPr>
        <w:t>E</w:t>
      </w:r>
      <w:r w:rsidR="006B4C7C" w:rsidRPr="005A6293">
        <w:rPr>
          <w:rFonts w:cs="Times New Roman"/>
        </w:rPr>
        <w:t>ducational “policies” were separate based off gender</w:t>
      </w:r>
      <w:r w:rsidR="001C2332" w:rsidRPr="005A6293">
        <w:rPr>
          <w:rFonts w:cs="Times New Roman"/>
        </w:rPr>
        <w:t xml:space="preserve">, which </w:t>
      </w:r>
      <w:r w:rsidR="006B4C7C" w:rsidRPr="005A6293">
        <w:rPr>
          <w:rFonts w:cs="Times New Roman"/>
        </w:rPr>
        <w:t xml:space="preserve">indicate that the relationship between education and gender influenced the political institutions in pre-colonial Kenya in a way that limited female participation and separated them from males. </w:t>
      </w:r>
    </w:p>
    <w:p w14:paraId="3BFADB99" w14:textId="77777777" w:rsidR="002F3F8C" w:rsidRPr="005A6293" w:rsidRDefault="002F3F8C" w:rsidP="0068257B">
      <w:pPr>
        <w:spacing w:line="480" w:lineRule="auto"/>
        <w:rPr>
          <w:rFonts w:cs="Times New Roman"/>
        </w:rPr>
      </w:pPr>
    </w:p>
    <w:p w14:paraId="33722968" w14:textId="01E08857" w:rsidR="00082233" w:rsidRPr="005A6293" w:rsidRDefault="00082233" w:rsidP="0068257B">
      <w:pPr>
        <w:spacing w:line="480" w:lineRule="auto"/>
        <w:rPr>
          <w:rFonts w:cs="Times New Roman"/>
        </w:rPr>
      </w:pPr>
    </w:p>
    <w:p w14:paraId="3DAB4017" w14:textId="77777777" w:rsidR="00082233" w:rsidRPr="005A6293" w:rsidRDefault="00082233" w:rsidP="0068257B">
      <w:pPr>
        <w:spacing w:line="480" w:lineRule="auto"/>
        <w:rPr>
          <w:rFonts w:cs="Times New Roman"/>
          <w:b/>
        </w:rPr>
      </w:pPr>
      <w:r w:rsidRPr="005A6293">
        <w:rPr>
          <w:rFonts w:cs="Times New Roman"/>
          <w:b/>
        </w:rPr>
        <w:lastRenderedPageBreak/>
        <w:t>Conclusion</w:t>
      </w:r>
    </w:p>
    <w:p w14:paraId="6DC68CDE" w14:textId="42324DF7" w:rsidR="00082233" w:rsidRPr="005A6293" w:rsidRDefault="00082233" w:rsidP="0068257B">
      <w:pPr>
        <w:spacing w:line="480" w:lineRule="auto"/>
        <w:rPr>
          <w:rFonts w:cs="Times New Roman"/>
        </w:rPr>
      </w:pPr>
      <w:r w:rsidRPr="005A6293">
        <w:rPr>
          <w:rFonts w:cs="Times New Roman"/>
        </w:rPr>
        <w:tab/>
        <w:t>Although each ethnic community had their own unique societal structures, we can still piece together a picture of an overarching Kenyan society before British colonial conquest. One of the critical responsibilities of this paper is to demonstrate how changes to the relationship between education</w:t>
      </w:r>
      <w:r w:rsidR="00A220B2" w:rsidRPr="005A6293">
        <w:rPr>
          <w:rFonts w:cs="Times New Roman"/>
        </w:rPr>
        <w:t xml:space="preserve"> </w:t>
      </w:r>
      <w:r w:rsidRPr="005A6293">
        <w:rPr>
          <w:rFonts w:cs="Times New Roman"/>
        </w:rPr>
        <w:t>and gender influenced other societal structur</w:t>
      </w:r>
      <w:r w:rsidR="00491B7A" w:rsidRPr="005A6293">
        <w:rPr>
          <w:rFonts w:cs="Times New Roman"/>
        </w:rPr>
        <w:t>es, but to demonstrate change it</w:t>
      </w:r>
      <w:r w:rsidRPr="005A6293">
        <w:rPr>
          <w:rFonts w:cs="Times New Roman"/>
        </w:rPr>
        <w:t xml:space="preserve"> must start with a strong foundation. This chapter laid out the foundation for the societal structures under review in this pap</w:t>
      </w:r>
      <w:r w:rsidR="003519D0" w:rsidRPr="005A6293">
        <w:rPr>
          <w:rFonts w:cs="Times New Roman"/>
        </w:rPr>
        <w:t xml:space="preserve">er, and following chapters </w:t>
      </w:r>
      <w:r w:rsidRPr="005A6293">
        <w:rPr>
          <w:rFonts w:cs="Times New Roman"/>
        </w:rPr>
        <w:t xml:space="preserve">examine with more detail how changes occurred and how those changes impacted Kenyan society. </w:t>
      </w:r>
    </w:p>
    <w:p w14:paraId="1001433A" w14:textId="2FF1D07B" w:rsidR="00082233" w:rsidRPr="005A6293" w:rsidRDefault="00082233" w:rsidP="0068257B">
      <w:pPr>
        <w:spacing w:line="480" w:lineRule="auto"/>
        <w:rPr>
          <w:rFonts w:cs="Times New Roman"/>
        </w:rPr>
      </w:pPr>
      <w:r w:rsidRPr="005A6293">
        <w:rPr>
          <w:rFonts w:cs="Times New Roman"/>
        </w:rPr>
        <w:tab/>
        <w:t>In review, the relationship between education</w:t>
      </w:r>
      <w:r w:rsidR="00A220B2" w:rsidRPr="005A6293">
        <w:rPr>
          <w:rFonts w:cs="Times New Roman"/>
        </w:rPr>
        <w:t xml:space="preserve"> </w:t>
      </w:r>
      <w:r w:rsidRPr="005A6293">
        <w:rPr>
          <w:rFonts w:cs="Times New Roman"/>
        </w:rPr>
        <w:t>and gender in the pre-colonial era establishe</w:t>
      </w:r>
      <w:r w:rsidR="00000226" w:rsidRPr="005A6293">
        <w:rPr>
          <w:rFonts w:cs="Times New Roman"/>
        </w:rPr>
        <w:t>d a system that</w:t>
      </w:r>
      <w:r w:rsidR="00E536F8" w:rsidRPr="005A6293">
        <w:rPr>
          <w:rFonts w:cs="Times New Roman"/>
        </w:rPr>
        <w:t xml:space="preserve"> wove</w:t>
      </w:r>
      <w:r w:rsidRPr="005A6293">
        <w:rPr>
          <w:rFonts w:cs="Times New Roman"/>
        </w:rPr>
        <w:t xml:space="preserve"> distinctions </w:t>
      </w:r>
      <w:r w:rsidR="00E536F8" w:rsidRPr="005A6293">
        <w:rPr>
          <w:rFonts w:cs="Times New Roman"/>
        </w:rPr>
        <w:t xml:space="preserve">based on gender </w:t>
      </w:r>
      <w:r w:rsidRPr="005A6293">
        <w:rPr>
          <w:rFonts w:cs="Times New Roman"/>
        </w:rPr>
        <w:t>into education, and then furthermore into the economy and politics. Education was a pillar of traditional Kenyan society, played a prominent role in cultural reproduction, and was a huge determinant of future economic and political roles. The relationship between education and gender laid the foundation for economic and political societal structu</w:t>
      </w:r>
      <w:r w:rsidR="00C60CBF" w:rsidRPr="005A6293">
        <w:rPr>
          <w:rFonts w:cs="Times New Roman"/>
        </w:rPr>
        <w:t>res, as seen by</w:t>
      </w:r>
      <w:r w:rsidRPr="005A6293">
        <w:rPr>
          <w:rFonts w:cs="Times New Roman"/>
        </w:rPr>
        <w:t xml:space="preserve"> </w:t>
      </w:r>
      <w:r w:rsidR="00876A29" w:rsidRPr="005A6293">
        <w:rPr>
          <w:rFonts w:cs="Times New Roman"/>
        </w:rPr>
        <w:t xml:space="preserve">the </w:t>
      </w:r>
      <w:r w:rsidR="00A406A0" w:rsidRPr="005A6293">
        <w:rPr>
          <w:rFonts w:cs="Times New Roman"/>
        </w:rPr>
        <w:t>two</w:t>
      </w:r>
      <w:r w:rsidRPr="005A6293">
        <w:rPr>
          <w:rFonts w:cs="Times New Roman"/>
        </w:rPr>
        <w:t xml:space="preserve"> measures: the sexual division of labor</w:t>
      </w:r>
      <w:r w:rsidR="00A406A0" w:rsidRPr="005A6293">
        <w:rPr>
          <w:rFonts w:cs="Times New Roman"/>
        </w:rPr>
        <w:t xml:space="preserve"> </w:t>
      </w:r>
      <w:r w:rsidRPr="005A6293">
        <w:rPr>
          <w:rFonts w:cs="Times New Roman"/>
        </w:rPr>
        <w:t xml:space="preserve">and the role of education in political policies. </w:t>
      </w:r>
      <w:r w:rsidR="00D970C9" w:rsidRPr="005A6293">
        <w:rPr>
          <w:rFonts w:cs="Times New Roman"/>
        </w:rPr>
        <w:t xml:space="preserve">In summary, the relationship was primarily defined by the separation created between males and females. However, females also experienced forms of subordination. </w:t>
      </w:r>
      <w:r w:rsidRPr="005A6293">
        <w:rPr>
          <w:rFonts w:cs="Times New Roman"/>
        </w:rPr>
        <w:t xml:space="preserve">As mentioned earlier, the relationship between education and gender shifted during the introduction of missionary education in Kenya. Although missionaries were present in the pre-colonial period, the </w:t>
      </w:r>
      <w:r w:rsidR="001E3277" w:rsidRPr="005A6293">
        <w:rPr>
          <w:rFonts w:cs="Times New Roman"/>
        </w:rPr>
        <w:t xml:space="preserve">changing </w:t>
      </w:r>
      <w:r w:rsidRPr="005A6293">
        <w:rPr>
          <w:rFonts w:cs="Times New Roman"/>
        </w:rPr>
        <w:t>relationship between education and gender did not have a significant impact on other societal institutions until the colonial period.</w:t>
      </w:r>
    </w:p>
    <w:p w14:paraId="1B7CBA5A" w14:textId="77777777" w:rsidR="00082233" w:rsidRPr="005A6293" w:rsidRDefault="00082233" w:rsidP="0068257B">
      <w:pPr>
        <w:spacing w:line="480" w:lineRule="auto"/>
        <w:rPr>
          <w:rFonts w:cs="Times New Roman"/>
        </w:rPr>
      </w:pPr>
      <w:r w:rsidRPr="005A6293">
        <w:rPr>
          <w:rFonts w:cs="Times New Roman"/>
        </w:rPr>
        <w:br w:type="page"/>
      </w:r>
    </w:p>
    <w:p w14:paraId="1B05BD9A" w14:textId="1950F93A" w:rsidR="00082233" w:rsidRPr="005A6293" w:rsidRDefault="00082233" w:rsidP="0068257B">
      <w:pPr>
        <w:spacing w:line="480" w:lineRule="auto"/>
        <w:jc w:val="center"/>
        <w:rPr>
          <w:rFonts w:cs="Times New Roman"/>
          <w:b/>
        </w:rPr>
      </w:pPr>
      <w:r w:rsidRPr="005A6293">
        <w:rPr>
          <w:rFonts w:cs="Times New Roman"/>
          <w:b/>
        </w:rPr>
        <w:lastRenderedPageBreak/>
        <w:t>Chapter 3</w:t>
      </w:r>
      <w:r w:rsidR="000C75B9" w:rsidRPr="005A6293">
        <w:rPr>
          <w:rFonts w:cs="Times New Roman"/>
          <w:b/>
        </w:rPr>
        <w:t>: The Colonial Period</w:t>
      </w:r>
    </w:p>
    <w:p w14:paraId="46478B8C" w14:textId="77777777" w:rsidR="00082233" w:rsidRPr="005A6293" w:rsidRDefault="00082233" w:rsidP="0068257B">
      <w:pPr>
        <w:spacing w:line="480" w:lineRule="auto"/>
        <w:rPr>
          <w:rFonts w:cs="Times New Roman"/>
          <w:b/>
        </w:rPr>
      </w:pPr>
      <w:r w:rsidRPr="005A6293">
        <w:rPr>
          <w:rFonts w:cs="Times New Roman"/>
          <w:b/>
        </w:rPr>
        <w:t>Introduction</w:t>
      </w:r>
    </w:p>
    <w:p w14:paraId="2E114A18" w14:textId="060E8BF8" w:rsidR="00082233" w:rsidRPr="005A6293" w:rsidRDefault="003519D0" w:rsidP="0068257B">
      <w:pPr>
        <w:spacing w:line="480" w:lineRule="auto"/>
      </w:pPr>
      <w:r w:rsidRPr="005A6293">
        <w:tab/>
        <w:t xml:space="preserve">This chapter </w:t>
      </w:r>
      <w:r w:rsidR="00082233" w:rsidRPr="005A6293">
        <w:t>examine</w:t>
      </w:r>
      <w:r w:rsidRPr="005A6293">
        <w:t>s</w:t>
      </w:r>
      <w:r w:rsidR="00082233" w:rsidRPr="005A6293">
        <w:t xml:space="preserve"> the changes to societal structures during the colonial period. British rule over Kenya started in 1885 with a royal charter to the Imperial British East Africa C</w:t>
      </w:r>
      <w:r w:rsidR="00E61883" w:rsidRPr="005A6293">
        <w:t>ompany, or IBEAC</w:t>
      </w:r>
      <w:r w:rsidR="00082233" w:rsidRPr="005A6293">
        <w:t>.</w:t>
      </w:r>
      <w:r w:rsidR="00254AEA" w:rsidRPr="005A6293">
        <w:rPr>
          <w:rStyle w:val="FootnoteReference"/>
        </w:rPr>
        <w:footnoteReference w:id="92"/>
      </w:r>
      <w:r w:rsidR="00082233" w:rsidRPr="005A6293">
        <w:t xml:space="preserve"> However, the colonial period really took off when in 1895 the British took full control of Kenya as part of the East Afri</w:t>
      </w:r>
      <w:r w:rsidR="000656D7" w:rsidRPr="005A6293">
        <w:t>can Protectorate</w:t>
      </w:r>
      <w:r w:rsidR="00082233" w:rsidRPr="005A6293">
        <w:t>.</w:t>
      </w:r>
      <w:r w:rsidR="00254AEA" w:rsidRPr="005A6293">
        <w:rPr>
          <w:rStyle w:val="FootnoteReference"/>
        </w:rPr>
        <w:footnoteReference w:id="93"/>
      </w:r>
      <w:r w:rsidR="00082233" w:rsidRPr="005A6293">
        <w:t xml:space="preserve"> As discussed in the chapter before, European influence was not new in the late 1880s, but rather solidified under colonial rule. Kenyans had been interacting with Europeans since the first Portuguese explores, through the Atlantic slave trade to the ivory trade, with missionaries and missionary education, right up to the solidification of colonial rul</w:t>
      </w:r>
      <w:r w:rsidRPr="005A6293">
        <w:t xml:space="preserve">e. </w:t>
      </w:r>
    </w:p>
    <w:p w14:paraId="6854371C" w14:textId="2F4AC92D" w:rsidR="00082233" w:rsidRPr="005A6293" w:rsidRDefault="00082233" w:rsidP="0068257B">
      <w:pPr>
        <w:spacing w:line="480" w:lineRule="auto"/>
      </w:pPr>
      <w:r w:rsidRPr="005A6293">
        <w:tab/>
        <w:t>Colonialism brought massive change to Kenya. White settlers came from Europe to gain power and wealth, and took over vast amounts of land in Kenya many times b</w:t>
      </w:r>
      <w:r w:rsidR="00296E80" w:rsidRPr="005A6293">
        <w:t>y force. Demand for workers induced</w:t>
      </w:r>
      <w:r w:rsidR="00EE57DA" w:rsidRPr="005A6293">
        <w:t xml:space="preserve"> a large Asian population to migrate</w:t>
      </w:r>
      <w:r w:rsidR="00D57A9B" w:rsidRPr="005A6293">
        <w:t xml:space="preserve"> to K</w:t>
      </w:r>
      <w:r w:rsidRPr="005A6293">
        <w:t>enya, especially from India another part of the B</w:t>
      </w:r>
      <w:r w:rsidR="000656D7" w:rsidRPr="005A6293">
        <w:t>ritish Empire</w:t>
      </w:r>
      <w:r w:rsidRPr="005A6293">
        <w:t>.</w:t>
      </w:r>
      <w:r w:rsidR="00254AEA" w:rsidRPr="005A6293">
        <w:rPr>
          <w:rStyle w:val="FootnoteReference"/>
        </w:rPr>
        <w:footnoteReference w:id="94"/>
      </w:r>
      <w:r w:rsidRPr="005A6293">
        <w:t xml:space="preserve"> </w:t>
      </w:r>
      <w:r w:rsidR="00E5169D" w:rsidRPr="005A6293">
        <w:t>Additionally, Kenyans were employed for l</w:t>
      </w:r>
      <w:r w:rsidRPr="005A6293">
        <w:t>abor sometimes with f</w:t>
      </w:r>
      <w:r w:rsidR="000656D7" w:rsidRPr="005A6293">
        <w:t>orce or coercion</w:t>
      </w:r>
      <w:r w:rsidRPr="005A6293">
        <w:t>.</w:t>
      </w:r>
      <w:r w:rsidR="00254AEA" w:rsidRPr="005A6293">
        <w:rPr>
          <w:rStyle w:val="FootnoteReference"/>
        </w:rPr>
        <w:footnoteReference w:id="95"/>
      </w:r>
      <w:r w:rsidRPr="005A6293">
        <w:t xml:space="preserve"> No part of Kenya was left untouched; colonialism brought drastic change to the economy, the population, the government, and to education. </w:t>
      </w:r>
    </w:p>
    <w:p w14:paraId="1A10F520" w14:textId="321F3353" w:rsidR="00082233" w:rsidRPr="005A6293" w:rsidRDefault="00104AD9" w:rsidP="0068257B">
      <w:pPr>
        <w:spacing w:line="480" w:lineRule="auto"/>
        <w:rPr>
          <w:b/>
        </w:rPr>
      </w:pPr>
      <w:r w:rsidRPr="005A6293">
        <w:rPr>
          <w:b/>
        </w:rPr>
        <w:t>Education</w:t>
      </w:r>
      <w:r w:rsidR="00082233" w:rsidRPr="005A6293">
        <w:rPr>
          <w:b/>
        </w:rPr>
        <w:t xml:space="preserve"> </w:t>
      </w:r>
    </w:p>
    <w:p w14:paraId="10874746" w14:textId="30C60619" w:rsidR="00CB6508" w:rsidRPr="005A6293" w:rsidRDefault="00CB6508" w:rsidP="0068257B">
      <w:pPr>
        <w:spacing w:line="480" w:lineRule="auto"/>
        <w:rPr>
          <w:i/>
        </w:rPr>
      </w:pPr>
      <w:r w:rsidRPr="005A6293">
        <w:rPr>
          <w:i/>
        </w:rPr>
        <w:t>Missionary Education</w:t>
      </w:r>
    </w:p>
    <w:p w14:paraId="4DB8E6E8" w14:textId="03261C93" w:rsidR="00842D6B" w:rsidRPr="005A6293" w:rsidRDefault="00082233" w:rsidP="0068257B">
      <w:pPr>
        <w:spacing w:line="480" w:lineRule="auto"/>
      </w:pPr>
      <w:r w:rsidRPr="005A6293">
        <w:lastRenderedPageBreak/>
        <w:tab/>
        <w:t xml:space="preserve">Missionary education laid the foundation for education during the colonial period. Although mission schools were established as early as 1844, missionary education did not infiltrate the interior until Kenya was officially a colony and did not cover most of Kenya until the early 1900s. The start of the colonial period is marked by the missionaries racing against each other to build schools, or spheres of influence, in the interior of Kenya. In 1898, missionary influence started pushing inwards from the Coastal </w:t>
      </w:r>
      <w:r w:rsidR="00B80276" w:rsidRPr="005A6293">
        <w:t>region</w:t>
      </w:r>
      <w:r w:rsidRPr="005A6293">
        <w:t>.</w:t>
      </w:r>
      <w:r w:rsidR="00254AEA" w:rsidRPr="005A6293">
        <w:rPr>
          <w:rStyle w:val="FootnoteReference"/>
        </w:rPr>
        <w:footnoteReference w:id="96"/>
      </w:r>
      <w:r w:rsidRPr="005A6293">
        <w:t xml:space="preserve"> Even with extended influence, mission schools influence remained largely within the Coastal, Central, and Nyanza pro</w:t>
      </w:r>
      <w:r w:rsidR="00B80276" w:rsidRPr="005A6293">
        <w:t>vinces</w:t>
      </w:r>
      <w:r w:rsidRPr="005A6293">
        <w:t>.</w:t>
      </w:r>
      <w:r w:rsidR="00254AEA" w:rsidRPr="005A6293">
        <w:rPr>
          <w:rStyle w:val="FootnoteReference"/>
        </w:rPr>
        <w:footnoteReference w:id="97"/>
      </w:r>
      <w:r w:rsidRPr="005A6293">
        <w:t xml:space="preserve"> </w:t>
      </w:r>
    </w:p>
    <w:p w14:paraId="5AD9B808" w14:textId="0B429001" w:rsidR="00332A17" w:rsidRPr="005A6293" w:rsidRDefault="00332A17" w:rsidP="00842D6B">
      <w:pPr>
        <w:spacing w:line="480" w:lineRule="auto"/>
        <w:ind w:firstLine="720"/>
      </w:pPr>
      <w:r w:rsidRPr="005A6293">
        <w:rPr>
          <w:rFonts w:cs="Times New Roman"/>
        </w:rPr>
        <w:t>The education provided by missionaries was formatted with two goals in mind: to</w:t>
      </w:r>
      <w:r w:rsidR="004134BC" w:rsidRPr="005A6293">
        <w:rPr>
          <w:rFonts w:cs="Times New Roman"/>
        </w:rPr>
        <w:t xml:space="preserve"> convert people to Christianity</w:t>
      </w:r>
      <w:r w:rsidRPr="005A6293">
        <w:rPr>
          <w:rFonts w:cs="Times New Roman"/>
        </w:rPr>
        <w:t xml:space="preserve"> and to bring Western ideals of “civilization” to Africa. Th</w:t>
      </w:r>
      <w:r w:rsidR="00C97395" w:rsidRPr="005A6293">
        <w:rPr>
          <w:rFonts w:cs="Times New Roman"/>
        </w:rPr>
        <w:t>e primary goal was conversion; t</w:t>
      </w:r>
      <w:r w:rsidRPr="005A6293">
        <w:rPr>
          <w:rFonts w:cs="Times New Roman"/>
        </w:rPr>
        <w:t xml:space="preserve">he solution came in the form of literacy. Missionaries all over Africa were responsible for translating biblical texts into local languages. However, since many communities passed stories through oral histories rather than written histories, even if biblical texts were in local languages not all local people could read them. Therefore, one of the few things that was offered at missionary schools was literacy education. </w:t>
      </w:r>
    </w:p>
    <w:p w14:paraId="0A811AC3" w14:textId="40893C52" w:rsidR="00E21676" w:rsidRPr="005A6293" w:rsidRDefault="00E21676" w:rsidP="0068257B">
      <w:pPr>
        <w:spacing w:line="480" w:lineRule="auto"/>
        <w:rPr>
          <w:rFonts w:cs="Times New Roman"/>
        </w:rPr>
      </w:pPr>
      <w:r w:rsidRPr="005A6293">
        <w:rPr>
          <w:rFonts w:cs="Times New Roman"/>
        </w:rPr>
        <w:tab/>
        <w:t>Missionary schools and agendas were not monolithic. Protestant missionaries believed that everyone should have access to biblical texts and, therefore, everyone must be able to read not just some.</w:t>
      </w:r>
      <w:r w:rsidRPr="005A6293">
        <w:rPr>
          <w:rStyle w:val="FootnoteReference"/>
          <w:rFonts w:cs="Times New Roman"/>
        </w:rPr>
        <w:footnoteReference w:id="98"/>
      </w:r>
      <w:r w:rsidRPr="005A6293">
        <w:rPr>
          <w:rFonts w:cs="Times New Roman"/>
        </w:rPr>
        <w:t xml:space="preserve"> Once literacy was achieved, missionaries could utilize biblical texts to help convert people they reached out to in communities. The first missionary school in Kenya was built and run by Protestant missionary, Johann Krapf. </w:t>
      </w:r>
      <w:r w:rsidRPr="005A6293">
        <w:rPr>
          <w:rFonts w:cs="Times New Roman"/>
        </w:rPr>
        <w:lastRenderedPageBreak/>
        <w:t xml:space="preserve">In contrast to the guiding principles and goals of </w:t>
      </w:r>
      <w:r w:rsidR="00300E4A" w:rsidRPr="005A6293">
        <w:rPr>
          <w:rFonts w:cs="Times New Roman"/>
        </w:rPr>
        <w:t>indigenous</w:t>
      </w:r>
      <w:r w:rsidRPr="005A6293">
        <w:rPr>
          <w:rFonts w:cs="Times New Roman"/>
        </w:rPr>
        <w:t xml:space="preserve"> African education, missionary schools provided education to change people’s views rather than to inundate them into their own culture. </w:t>
      </w:r>
      <w:r w:rsidR="00EA2990" w:rsidRPr="005A6293">
        <w:rPr>
          <w:rFonts w:cs="Times New Roman"/>
        </w:rPr>
        <w:t>An example</w:t>
      </w:r>
      <w:r w:rsidRPr="005A6293">
        <w:rPr>
          <w:rFonts w:cs="Times New Roman"/>
        </w:rPr>
        <w:t xml:space="preserve"> comes from Johann Krapf himself, who stated that he decided to build a missionary school in Mombasa because “a great influence is exerted on the characters of heathens by attendance at our schools”.</w:t>
      </w:r>
      <w:r w:rsidRPr="005A6293">
        <w:rPr>
          <w:rStyle w:val="FootnoteReference"/>
          <w:rFonts w:cs="Times New Roman"/>
        </w:rPr>
        <w:footnoteReference w:id="99"/>
      </w:r>
      <w:r w:rsidRPr="005A6293">
        <w:rPr>
          <w:rFonts w:cs="Times New Roman"/>
        </w:rPr>
        <w:t xml:space="preserve"> </w:t>
      </w:r>
    </w:p>
    <w:p w14:paraId="7E6C50FF" w14:textId="40484385" w:rsidR="004A5FF2" w:rsidRPr="005A6293" w:rsidRDefault="004A5FF2" w:rsidP="004A5FF2">
      <w:pPr>
        <w:spacing w:line="480" w:lineRule="auto"/>
        <w:rPr>
          <w:rFonts w:cs="Times New Roman"/>
        </w:rPr>
      </w:pPr>
      <w:r w:rsidRPr="005A6293">
        <w:rPr>
          <w:rFonts w:cs="Times New Roman"/>
        </w:rPr>
        <w:tab/>
        <w:t>This story ties in directly to the second guiding goal of missionary schools: the drive to “civilize” Africans. As Krapf declares, “Christianity and civilization ever go hand in hand”.</w:t>
      </w:r>
      <w:r w:rsidRPr="005A6293">
        <w:rPr>
          <w:rStyle w:val="FootnoteReference"/>
          <w:rFonts w:cs="Times New Roman"/>
        </w:rPr>
        <w:footnoteReference w:id="100"/>
      </w:r>
      <w:r w:rsidRPr="005A6293">
        <w:rPr>
          <w:rFonts w:cs="Times New Roman"/>
        </w:rPr>
        <w:t xml:space="preserve"> Westerners often viewed Africans through a “paradigm of difference” that informed their belief that Africans were inherently different than themselves, civilized Westerns. This paradigm was built off racial assumptions that reduced “the sociocultural to the somatic”; it was a lens that informed Westerners that the difference in African’s culture and race was inferior to their own culture and race.</w:t>
      </w:r>
      <w:r w:rsidRPr="005A6293">
        <w:rPr>
          <w:rStyle w:val="FootnoteReference"/>
          <w:rFonts w:cs="Times New Roman"/>
        </w:rPr>
        <w:footnoteReference w:id="101"/>
      </w:r>
      <w:r w:rsidRPr="005A6293">
        <w:rPr>
          <w:rFonts w:cs="Times New Roman"/>
        </w:rPr>
        <w:t xml:space="preserve"> Missionaries and explorers where often blind to the rich culture and heritage, complex social structure, and robust civil systems in place in African communities simply because they did not resemble their own culture and society. </w:t>
      </w:r>
    </w:p>
    <w:p w14:paraId="1C6C31C9" w14:textId="77777777" w:rsidR="004A5FF2" w:rsidRPr="005A6293" w:rsidRDefault="004A5FF2" w:rsidP="004A5FF2">
      <w:pPr>
        <w:spacing w:line="480" w:lineRule="auto"/>
        <w:rPr>
          <w:rFonts w:cs="Times New Roman"/>
        </w:rPr>
      </w:pPr>
      <w:r w:rsidRPr="005A6293">
        <w:rPr>
          <w:rFonts w:cs="Times New Roman"/>
        </w:rPr>
        <w:tab/>
        <w:t>At first, missionary schools were restricted to just basic literacy and mathematics. As Waruta denotes for missionary schools in Kenya:</w:t>
      </w:r>
    </w:p>
    <w:p w14:paraId="7DBEBC44" w14:textId="77777777" w:rsidR="004A5FF2" w:rsidRPr="005A6293" w:rsidRDefault="004A5FF2" w:rsidP="004A5FF2">
      <w:pPr>
        <w:spacing w:after="280"/>
        <w:ind w:left="720"/>
        <w:rPr>
          <w:rFonts w:cs="Times New Roman"/>
        </w:rPr>
      </w:pPr>
      <w:r w:rsidRPr="005A6293">
        <w:rPr>
          <w:rFonts w:cs="Times New Roman"/>
        </w:rPr>
        <w:t xml:space="preserve">The dominant curriculum of this missionary education was reading (mainly from Western nursery rhymes to advanced European classics such as Shakespeare); writing (mainly compositions glorifying European values in contrast to the primitive African traditional values) and Arithmetic (mainly additions, </w:t>
      </w:r>
      <w:r w:rsidRPr="005A6293">
        <w:rPr>
          <w:rFonts w:cs="Times New Roman"/>
        </w:rPr>
        <w:lastRenderedPageBreak/>
        <w:t>multiplications and divisions of imaginary wealth only real in the missionary’s conspicuous material possessions.</w:t>
      </w:r>
      <w:r w:rsidRPr="005A6293">
        <w:rPr>
          <w:rStyle w:val="FootnoteReference"/>
          <w:rFonts w:cs="Times New Roman"/>
        </w:rPr>
        <w:footnoteReference w:id="102"/>
      </w:r>
      <w:r w:rsidRPr="005A6293">
        <w:rPr>
          <w:rFonts w:cs="Times New Roman"/>
        </w:rPr>
        <w:t xml:space="preserve"> </w:t>
      </w:r>
    </w:p>
    <w:p w14:paraId="62C992EE" w14:textId="366960FA" w:rsidR="004A5FF2" w:rsidRPr="005A6293" w:rsidRDefault="004A5FF2" w:rsidP="0068257B">
      <w:pPr>
        <w:spacing w:line="480" w:lineRule="auto"/>
        <w:rPr>
          <w:rFonts w:cs="Times New Roman"/>
        </w:rPr>
      </w:pPr>
      <w:r w:rsidRPr="005A6293">
        <w:rPr>
          <w:rFonts w:cs="Times New Roman"/>
        </w:rPr>
        <w:t>While clearly very critical, Waruta does on excellent job of demonstrating that the drive behind missionary education was western and out of touch with Kenyan culture. Soon after, missionary schools added other skills and subjects, including hygiene and domestic service.</w:t>
      </w:r>
      <w:r w:rsidRPr="005A6293">
        <w:rPr>
          <w:rStyle w:val="FootnoteReference"/>
          <w:rFonts w:cs="Times New Roman"/>
        </w:rPr>
        <w:footnoteReference w:id="103"/>
      </w:r>
      <w:r w:rsidRPr="005A6293">
        <w:rPr>
          <w:rFonts w:cs="Times New Roman"/>
        </w:rPr>
        <w:t xml:space="preserve"> These additional subjects helped missionaries work towards their second goal of education, the goal to “civilize”.</w:t>
      </w:r>
      <w:r w:rsidR="0012298D" w:rsidRPr="005A6293">
        <w:rPr>
          <w:rFonts w:cs="Times New Roman"/>
        </w:rPr>
        <w:t xml:space="preserve"> </w:t>
      </w:r>
    </w:p>
    <w:p w14:paraId="4B5E7983" w14:textId="77777777" w:rsidR="00724AC9" w:rsidRPr="005A6293" w:rsidRDefault="00082233" w:rsidP="00332A17">
      <w:pPr>
        <w:spacing w:line="480" w:lineRule="auto"/>
        <w:ind w:firstLine="720"/>
      </w:pPr>
      <w:r w:rsidRPr="005A6293">
        <w:t>Although many mission organizations differed in respect to the education they offered, there were some themes common to most missionary education</w:t>
      </w:r>
      <w:r w:rsidR="00550D00" w:rsidRPr="005A6293">
        <w:t xml:space="preserve"> outside of their drive to </w:t>
      </w:r>
      <w:r w:rsidR="00550D00" w:rsidRPr="005A6293">
        <w:rPr>
          <w:rFonts w:cs="Times New Roman"/>
        </w:rPr>
        <w:t>convert people to Christianity</w:t>
      </w:r>
      <w:r w:rsidR="00824758" w:rsidRPr="005A6293">
        <w:rPr>
          <w:rFonts w:cs="Times New Roman"/>
        </w:rPr>
        <w:t xml:space="preserve"> and to introduce</w:t>
      </w:r>
      <w:r w:rsidR="00550D00" w:rsidRPr="005A6293">
        <w:rPr>
          <w:rFonts w:cs="Times New Roman"/>
        </w:rPr>
        <w:t xml:space="preserve"> Western ideals of “civilization”</w:t>
      </w:r>
      <w:r w:rsidRPr="005A6293">
        <w:t>. The most common theme was agricultural edu</w:t>
      </w:r>
      <w:r w:rsidR="00B80276" w:rsidRPr="005A6293">
        <w:t>cation</w:t>
      </w:r>
      <w:r w:rsidRPr="005A6293">
        <w:t>.</w:t>
      </w:r>
      <w:r w:rsidR="00254AEA" w:rsidRPr="005A6293">
        <w:rPr>
          <w:rStyle w:val="FootnoteReference"/>
        </w:rPr>
        <w:footnoteReference w:id="104"/>
      </w:r>
      <w:r w:rsidRPr="005A6293">
        <w:t xml:space="preserve"> Education provided to Africans under the Bri</w:t>
      </w:r>
      <w:r w:rsidR="008B11AF" w:rsidRPr="005A6293">
        <w:t>tish colonial administration often shifted</w:t>
      </w:r>
      <w:r w:rsidRPr="005A6293">
        <w:t xml:space="preserve"> between more academic education versus more technical, industrial, and environmental edu</w:t>
      </w:r>
      <w:r w:rsidR="00B80276" w:rsidRPr="005A6293">
        <w:t>cation</w:t>
      </w:r>
      <w:r w:rsidRPr="005A6293">
        <w:t>.</w:t>
      </w:r>
      <w:r w:rsidR="00254AEA" w:rsidRPr="005A6293">
        <w:rPr>
          <w:rStyle w:val="FootnoteReference"/>
        </w:rPr>
        <w:footnoteReference w:id="105"/>
      </w:r>
      <w:r w:rsidRPr="005A6293">
        <w:t xml:space="preserve"> White settlers advocated for more technical driven education, while African voices grew more loud and insistent thr</w:t>
      </w:r>
      <w:r w:rsidR="003B04F2" w:rsidRPr="005A6293">
        <w:t xml:space="preserve">oughout the colonial period in their demand for </w:t>
      </w:r>
      <w:r w:rsidRPr="005A6293">
        <w:t>more academic based education, especially after Africans saw the economic and political value of western edu</w:t>
      </w:r>
      <w:r w:rsidR="00B80276" w:rsidRPr="005A6293">
        <w:t>cation</w:t>
      </w:r>
      <w:r w:rsidRPr="005A6293">
        <w:t>.</w:t>
      </w:r>
      <w:r w:rsidR="00254AEA" w:rsidRPr="005A6293">
        <w:rPr>
          <w:rStyle w:val="FootnoteReference"/>
        </w:rPr>
        <w:footnoteReference w:id="106"/>
      </w:r>
      <w:r w:rsidRPr="005A6293">
        <w:t xml:space="preserve"> A good example of this tension came from a missionary to the Kikuyu, who warned his fellow missionaries “wanora mukuha na miena yeri niwe </w:t>
      </w:r>
      <w:r w:rsidRPr="005A6293">
        <w:lastRenderedPageBreak/>
        <w:t>urithecwo niguo (if you sharpen the sewing needle on both ends – theologically and academically – it</w:t>
      </w:r>
      <w:r w:rsidR="000D5DC8" w:rsidRPr="005A6293">
        <w:t xml:space="preserve"> will prick you)”</w:t>
      </w:r>
      <w:r w:rsidRPr="005A6293">
        <w:t>.</w:t>
      </w:r>
      <w:r w:rsidR="00254AEA" w:rsidRPr="005A6293">
        <w:rPr>
          <w:rStyle w:val="FootnoteReference"/>
        </w:rPr>
        <w:footnoteReference w:id="107"/>
      </w:r>
      <w:r w:rsidRPr="005A6293">
        <w:t xml:space="preserve"> </w:t>
      </w:r>
    </w:p>
    <w:p w14:paraId="4FA8576E" w14:textId="053C2E65" w:rsidR="00082233" w:rsidRPr="005A6293" w:rsidRDefault="00082233" w:rsidP="00332A17">
      <w:pPr>
        <w:spacing w:line="480" w:lineRule="auto"/>
        <w:ind w:firstLine="720"/>
      </w:pPr>
      <w:r w:rsidRPr="005A6293">
        <w:t xml:space="preserve">Another common theme was the lack of education for the English language largely pre-1918, although </w:t>
      </w:r>
      <w:r w:rsidR="004F217D" w:rsidRPr="005A6293">
        <w:t xml:space="preserve">eventually </w:t>
      </w:r>
      <w:r w:rsidRPr="005A6293">
        <w:t xml:space="preserve">English language education grew due to the need for a unified language </w:t>
      </w:r>
      <w:r w:rsidR="00977A34" w:rsidRPr="005A6293">
        <w:t xml:space="preserve">in schools </w:t>
      </w:r>
      <w:r w:rsidR="00120B5A" w:rsidRPr="005A6293">
        <w:t>and the recognition by Africans of</w:t>
      </w:r>
      <w:r w:rsidRPr="005A6293">
        <w:t xml:space="preserve"> the utility of E</w:t>
      </w:r>
      <w:r w:rsidR="000D5DC8" w:rsidRPr="005A6293">
        <w:t>nglish</w:t>
      </w:r>
      <w:r w:rsidRPr="005A6293">
        <w:t>.</w:t>
      </w:r>
      <w:r w:rsidR="00254AEA" w:rsidRPr="005A6293">
        <w:rPr>
          <w:rStyle w:val="FootnoteReference"/>
        </w:rPr>
        <w:footnoteReference w:id="108"/>
      </w:r>
      <w:r w:rsidR="00924B70" w:rsidRPr="005A6293">
        <w:t xml:space="preserve"> </w:t>
      </w:r>
      <w:r w:rsidRPr="005A6293">
        <w:t xml:space="preserve">With the expansion of education, mission schools began to mostly focus on young children from the communities where the missions planted themselves. The two largest missionary groups were the CMS and the Roman Catholic missionaries. By 1917, the two groups had the largest amount of stations, village schools, and </w:t>
      </w:r>
      <w:r w:rsidR="000D5DC8" w:rsidRPr="005A6293">
        <w:t>pupils</w:t>
      </w:r>
      <w:r w:rsidRPr="005A6293">
        <w:t>.</w:t>
      </w:r>
      <w:r w:rsidR="00254AEA" w:rsidRPr="005A6293">
        <w:rPr>
          <w:rStyle w:val="FootnoteReference"/>
        </w:rPr>
        <w:footnoteReference w:id="109"/>
      </w:r>
      <w:r w:rsidRPr="005A6293">
        <w:t xml:space="preserve"> </w:t>
      </w:r>
    </w:p>
    <w:p w14:paraId="7A4A540C" w14:textId="4B6F5316" w:rsidR="00CB6508" w:rsidRPr="005A6293" w:rsidRDefault="003618AE" w:rsidP="00CB6508">
      <w:pPr>
        <w:spacing w:line="480" w:lineRule="auto"/>
        <w:rPr>
          <w:i/>
        </w:rPr>
      </w:pPr>
      <w:r w:rsidRPr="005A6293">
        <w:rPr>
          <w:i/>
        </w:rPr>
        <w:t>Beyond Missionary Education</w:t>
      </w:r>
    </w:p>
    <w:p w14:paraId="6085341F" w14:textId="098078A1" w:rsidR="00CB6508" w:rsidRPr="005A6293" w:rsidRDefault="00082233" w:rsidP="0068257B">
      <w:pPr>
        <w:spacing w:line="480" w:lineRule="auto"/>
      </w:pPr>
      <w:r w:rsidRPr="005A6293">
        <w:tab/>
      </w:r>
      <w:r w:rsidR="00F856E4" w:rsidRPr="005A6293">
        <w:t xml:space="preserve">The colonial government did not show interest in African education until the 1920s, and even then, their direct work with African education was limited. Although by the 1940s schools spread throughout Africa, the education system was overall lacking due to poor quality education, poor quality teachers, minimum higher schooling available, and heavy religious overtones. </w:t>
      </w:r>
      <w:r w:rsidR="00CB6508" w:rsidRPr="005A6293">
        <w:t>E</w:t>
      </w:r>
      <w:r w:rsidRPr="005A6293">
        <w:t>ducation i</w:t>
      </w:r>
      <w:r w:rsidR="00255297" w:rsidRPr="005A6293">
        <w:t>n the colonial era had</w:t>
      </w:r>
      <w:r w:rsidRPr="005A6293">
        <w:t xml:space="preserve"> some common themes. These themes include: differences in mission organization and schools, ethnic community differences, the importance of chiefs’ cooperation to early mission schools, the balance between technical and academic schooling, and the tiered an</w:t>
      </w:r>
      <w:r w:rsidR="00F53D60" w:rsidRPr="005A6293">
        <w:t>d segregated education system. The d</w:t>
      </w:r>
      <w:r w:rsidRPr="005A6293">
        <w:t>ifference b</w:t>
      </w:r>
      <w:r w:rsidR="005768EA" w:rsidRPr="005A6293">
        <w:t>etween churches discussed above</w:t>
      </w:r>
      <w:r w:rsidRPr="005A6293">
        <w:t xml:space="preserve"> highlight</w:t>
      </w:r>
      <w:r w:rsidR="005768EA" w:rsidRPr="005A6293">
        <w:t>s</w:t>
      </w:r>
      <w:r w:rsidRPr="005A6293">
        <w:t xml:space="preserve"> the discontinuity of education due to the lack of coherence between schools because of a disjointed education system. This began to change after 1920, when the </w:t>
      </w:r>
      <w:r w:rsidRPr="005A6293">
        <w:lastRenderedPageBreak/>
        <w:t>British administration took more direct interest in the education s</w:t>
      </w:r>
      <w:r w:rsidR="000174EC" w:rsidRPr="005A6293">
        <w:t>ystem. The second theme that le</w:t>
      </w:r>
      <w:r w:rsidRPr="005A6293">
        <w:t>d to an unequal education was ethnic differences. As stated earlier, education was con</w:t>
      </w:r>
      <w:r w:rsidR="00DE7EB7" w:rsidRPr="005A6293">
        <w:t>centrated among three provinces and</w:t>
      </w:r>
      <w:r w:rsidRPr="005A6293">
        <w:t xml:space="preserve"> was highly correlates to ethnic groups. The most notable are the Luo in the Nyanza province, the Kikuyu in the Central province, and the Swahili speaking groups and Arab groups in the Coastal regio</w:t>
      </w:r>
      <w:r w:rsidR="004047EA" w:rsidRPr="005A6293">
        <w:t>n. Considerable</w:t>
      </w:r>
      <w:r w:rsidRPr="005A6293">
        <w:t xml:space="preserve"> discussion focuses on the Kikuyu, who drove educational and political change throughout the colonial period; this </w:t>
      </w:r>
      <w:r w:rsidR="003519D0" w:rsidRPr="005A6293">
        <w:t>is</w:t>
      </w:r>
      <w:r w:rsidRPr="005A6293">
        <w:t xml:space="preserve"> discussed in more detail later. </w:t>
      </w:r>
    </w:p>
    <w:p w14:paraId="082F0376" w14:textId="195FE423" w:rsidR="00082233" w:rsidRPr="005A6293" w:rsidRDefault="00082233" w:rsidP="00CB6508">
      <w:pPr>
        <w:spacing w:line="480" w:lineRule="auto"/>
        <w:ind w:firstLine="720"/>
      </w:pPr>
      <w:r w:rsidRPr="005A6293">
        <w:t>The next theme, the importance of</w:t>
      </w:r>
      <w:r w:rsidR="00F204EC" w:rsidRPr="005A6293">
        <w:t xml:space="preserve"> the cooperation of chiefs</w:t>
      </w:r>
      <w:r w:rsidRPr="005A6293">
        <w:t>, highlights the initial response to missionary education. Early responses were often unsupportive of missionary education. Parents were reluctant to release children from the important economic activities they participated in a</w:t>
      </w:r>
      <w:r w:rsidR="00B21FF5" w:rsidRPr="005A6293">
        <w:t>t home</w:t>
      </w:r>
      <w:r w:rsidRPr="005A6293">
        <w:t>.</w:t>
      </w:r>
      <w:r w:rsidR="00A730FD" w:rsidRPr="005A6293">
        <w:rPr>
          <w:rStyle w:val="FootnoteReference"/>
        </w:rPr>
        <w:footnoteReference w:id="110"/>
      </w:r>
      <w:r w:rsidRPr="005A6293">
        <w:t xml:space="preserve"> Often, parents could see no linkage between missionary education and economic gains. Additionally, parents throughout the period were reluctant to send their children to missionary schools because it contradicted and belittled their c</w:t>
      </w:r>
      <w:r w:rsidR="00B21FF5" w:rsidRPr="005A6293">
        <w:t>ulture</w:t>
      </w:r>
      <w:r w:rsidRPr="005A6293">
        <w:t>.</w:t>
      </w:r>
      <w:r w:rsidR="00A730FD" w:rsidRPr="005A6293">
        <w:rPr>
          <w:rStyle w:val="FootnoteReference"/>
        </w:rPr>
        <w:footnoteReference w:id="111"/>
      </w:r>
      <w:r w:rsidRPr="005A6293">
        <w:t xml:space="preserve"> This created a sort of “religious education” which “propelled missionaries to impose their own culture on Africans” in the</w:t>
      </w:r>
      <w:r w:rsidR="00B21FF5" w:rsidRPr="005A6293">
        <w:t xml:space="preserve"> mission schools</w:t>
      </w:r>
      <w:r w:rsidRPr="005A6293">
        <w:t>.</w:t>
      </w:r>
      <w:r w:rsidR="00A730FD" w:rsidRPr="005A6293">
        <w:rPr>
          <w:rStyle w:val="FootnoteReference"/>
        </w:rPr>
        <w:footnoteReference w:id="112"/>
      </w:r>
      <w:r w:rsidRPr="005A6293">
        <w:t xml:space="preserve"> This remains a hot topic throughout the colonial period, and contributed to the rise of independent schools later in the period. </w:t>
      </w:r>
      <w:r w:rsidR="00B01E48" w:rsidRPr="005A6293">
        <w:t xml:space="preserve">Originally, missionary education was aimed at more influential Africans, typically the sons of chiefs, in order to influence the future elite, ruling class. </w:t>
      </w:r>
      <w:r w:rsidRPr="005A6293">
        <w:t xml:space="preserve">Therefore, missionary education </w:t>
      </w:r>
      <w:r w:rsidR="009606E5" w:rsidRPr="005A6293">
        <w:t xml:space="preserve">often </w:t>
      </w:r>
      <w:r w:rsidR="006A7C31" w:rsidRPr="005A6293">
        <w:t>aimed to include</w:t>
      </w:r>
      <w:r w:rsidRPr="005A6293">
        <w:t xml:space="preserve"> chiefs’ and elders’ sons due to their sway within their communities, as well as due to the future political power afforded to their sons.</w:t>
      </w:r>
      <w:r w:rsidR="0060467F" w:rsidRPr="005A6293">
        <w:t xml:space="preserve"> A</w:t>
      </w:r>
      <w:r w:rsidRPr="005A6293">
        <w:t xml:space="preserve">lthough throughout the colonial period </w:t>
      </w:r>
      <w:r w:rsidRPr="005A6293">
        <w:lastRenderedPageBreak/>
        <w:t>education was expanded, those in power typically had greater access to education and utilized it to maintain</w:t>
      </w:r>
      <w:r w:rsidR="00B21FF5" w:rsidRPr="005A6293">
        <w:t xml:space="preserve"> power</w:t>
      </w:r>
      <w:r w:rsidRPr="005A6293">
        <w:t>.</w:t>
      </w:r>
      <w:r w:rsidR="00A730FD" w:rsidRPr="005A6293">
        <w:rPr>
          <w:rStyle w:val="FootnoteReference"/>
        </w:rPr>
        <w:footnoteReference w:id="113"/>
      </w:r>
      <w:r w:rsidRPr="005A6293">
        <w:t xml:space="preserve"> </w:t>
      </w:r>
    </w:p>
    <w:p w14:paraId="0EA479F2" w14:textId="5EC10B98" w:rsidR="00082233" w:rsidRPr="005A6293" w:rsidRDefault="00082233" w:rsidP="0068257B">
      <w:pPr>
        <w:spacing w:line="480" w:lineRule="auto"/>
        <w:ind w:firstLine="720"/>
      </w:pPr>
      <w:r w:rsidRPr="005A6293">
        <w:t xml:space="preserve">The balance between technical and academic schooling mirrors the tension between settler demand and African demand; white settlers desired cheap labor and no political rivals to power while Africans often linked western education with greater economic and political aspirations and </w:t>
      </w:r>
      <w:r w:rsidR="00BD0E84" w:rsidRPr="005A6293">
        <w:t xml:space="preserve">demanded </w:t>
      </w:r>
      <w:r w:rsidRPr="005A6293">
        <w:t>more academic-based education to achieve these</w:t>
      </w:r>
      <w:r w:rsidR="00B21FF5" w:rsidRPr="005A6293">
        <w:t xml:space="preserve"> goals</w:t>
      </w:r>
      <w:r w:rsidRPr="005A6293">
        <w:t>.</w:t>
      </w:r>
      <w:r w:rsidR="00A730FD" w:rsidRPr="005A6293">
        <w:rPr>
          <w:rStyle w:val="FootnoteReference"/>
        </w:rPr>
        <w:footnoteReference w:id="114"/>
      </w:r>
      <w:r w:rsidRPr="005A6293">
        <w:t xml:space="preserve"> At the start of the colonial pe</w:t>
      </w:r>
      <w:r w:rsidR="00106288" w:rsidRPr="005A6293">
        <w:t>riod, European settlers mandated</w:t>
      </w:r>
      <w:r w:rsidRPr="005A6293">
        <w:t xml:space="preserve"> that Africans received some sort of technical and industrial training so that they could be used </w:t>
      </w:r>
      <w:r w:rsidR="00B21FF5" w:rsidRPr="005A6293">
        <w:t>as cheaper labor</w:t>
      </w:r>
      <w:r w:rsidRPr="005A6293">
        <w:t>.</w:t>
      </w:r>
      <w:r w:rsidR="00A730FD" w:rsidRPr="005A6293">
        <w:rPr>
          <w:rStyle w:val="FootnoteReference"/>
        </w:rPr>
        <w:footnoteReference w:id="115"/>
      </w:r>
      <w:r w:rsidRPr="005A6293">
        <w:t xml:space="preserve"> Curriculum soon shifted so that “even in primary schools the curriculum was everywhere in the country heavily industrial in which brick-making, carpentry, tailoring, agriculture and road building took precedence over lit</w:t>
      </w:r>
      <w:r w:rsidR="00B21FF5" w:rsidRPr="005A6293">
        <w:t>erary education”</w:t>
      </w:r>
      <w:r w:rsidRPr="005A6293">
        <w:t>.</w:t>
      </w:r>
      <w:r w:rsidR="00A730FD" w:rsidRPr="005A6293">
        <w:rPr>
          <w:rStyle w:val="FootnoteReference"/>
        </w:rPr>
        <w:footnoteReference w:id="116"/>
      </w:r>
      <w:r w:rsidR="00725DFE" w:rsidRPr="005A6293">
        <w:t xml:space="preserve"> Literary education was primarily</w:t>
      </w:r>
      <w:r w:rsidRPr="005A6293">
        <w:t xml:space="preserve"> employed in mission schools to produce Christians. Therefore, it is not surprising that the demand for cheap labor usurped the demand for literate Kenyans. However, the rise in the demand for academic-driven education eventually overtook settler demand. Combined with the prowess of the Kikuyu educational gains and the tension between Christian values and community values, the demand for more academic schools soon created the movement for more secular, and independent schools in the late 1920s and early 1930s. Although missionary schools covered most of Kenya by 1920, the education children received in school, both technical and literary, wa</w:t>
      </w:r>
      <w:r w:rsidR="00454DF5" w:rsidRPr="005A6293">
        <w:t>s of very poor quality. This le</w:t>
      </w:r>
      <w:r w:rsidRPr="005A6293">
        <w:t xml:space="preserve">d to a demand for </w:t>
      </w:r>
      <w:r w:rsidRPr="005A6293">
        <w:lastRenderedPageBreak/>
        <w:t xml:space="preserve">better education by Africans, as well as a greater interest in African education by the colonial government. </w:t>
      </w:r>
    </w:p>
    <w:p w14:paraId="5C1ADBF1" w14:textId="50D6499C" w:rsidR="00082233" w:rsidRPr="005A6293" w:rsidRDefault="00082233" w:rsidP="001432CE">
      <w:pPr>
        <w:spacing w:line="480" w:lineRule="auto"/>
        <w:ind w:firstLine="720"/>
      </w:pPr>
      <w:r w:rsidRPr="005A6293">
        <w:t>Finally, the last major theme of the colonial period was a tiered, segregated education system; often referred to as a “caste” system. The educational system was structured so that each race had a separate education system. Together, the educational system was tiered, with Europeans receiving the best education, Asian immigrants receiving the second best, and Africans receiving the worst education. This system was formalized unde</w:t>
      </w:r>
      <w:r w:rsidR="003349DD" w:rsidRPr="005A6293">
        <w:t>r the Fraser Report of 1909, which</w:t>
      </w:r>
      <w:r w:rsidRPr="005A6293">
        <w:t xml:space="preserve"> suggested separating students by bot</w:t>
      </w:r>
      <w:r w:rsidR="00B21FF5" w:rsidRPr="005A6293">
        <w:t>h race and religion</w:t>
      </w:r>
      <w:r w:rsidRPr="005A6293">
        <w:t>.</w:t>
      </w:r>
      <w:r w:rsidR="00A730FD" w:rsidRPr="005A6293">
        <w:rPr>
          <w:rStyle w:val="FootnoteReference"/>
        </w:rPr>
        <w:footnoteReference w:id="117"/>
      </w:r>
      <w:r w:rsidRPr="005A6293">
        <w:t xml:space="preserve"> Separated educations helped enforce a distinction between races that the colonial government sought to create and reinforce</w:t>
      </w:r>
      <w:r w:rsidR="00454DF5" w:rsidRPr="005A6293">
        <w:t xml:space="preserve"> as a strategy for maintaining power among a small number of British settlers</w:t>
      </w:r>
      <w:r w:rsidRPr="005A6293">
        <w:t>. A telling quote comes from a Commission of Inquiry, set up to examine the education system in Kenya in 1919. The quote states:</w:t>
      </w:r>
      <w:r w:rsidR="001432CE" w:rsidRPr="005A6293">
        <w:t xml:space="preserve"> </w:t>
      </w:r>
      <w:r w:rsidRPr="005A6293">
        <w:t>“It must never be forgotten that the European community is a handful in the midst of a large African population and that if Europeans would retain the leadership of Kenya a high standard of education must be demanded. Many parents will never be able to send their children to England or South Afr</w:t>
      </w:r>
      <w:r w:rsidR="00B21FF5" w:rsidRPr="005A6293">
        <w:t>ica”</w:t>
      </w:r>
      <w:r w:rsidRPr="005A6293">
        <w:t>.</w:t>
      </w:r>
      <w:r w:rsidR="00A730FD" w:rsidRPr="005A6293">
        <w:rPr>
          <w:rStyle w:val="FootnoteReference"/>
        </w:rPr>
        <w:footnoteReference w:id="118"/>
      </w:r>
      <w:r w:rsidRPr="005A6293">
        <w:t xml:space="preserve"> The separation of education was a social tool utilized to reinforce social standings by increasing human capabilities of select races above that of others. The colonial government funneled different amounts of funds to each school system, with Europeans receiving the most government funds and Africans receiving the least despite the fact that Africans </w:t>
      </w:r>
      <w:r w:rsidRPr="005A6293">
        <w:lastRenderedPageBreak/>
        <w:t>provid</w:t>
      </w:r>
      <w:r w:rsidR="00B21FF5" w:rsidRPr="005A6293">
        <w:t>ed more tax revenue</w:t>
      </w:r>
      <w:r w:rsidRPr="005A6293">
        <w:t>.</w:t>
      </w:r>
      <w:r w:rsidR="00A730FD" w:rsidRPr="005A6293">
        <w:rPr>
          <w:rStyle w:val="FootnoteReference"/>
        </w:rPr>
        <w:footnoteReference w:id="119"/>
      </w:r>
      <w:r w:rsidRPr="005A6293">
        <w:t xml:space="preserve"> While the separate educational system neither went unquestioned or unchallenged, the separate system remained </w:t>
      </w:r>
      <w:r w:rsidR="0083708E" w:rsidRPr="005A6293">
        <w:t xml:space="preserve">in place in Kenya </w:t>
      </w:r>
      <w:r w:rsidRPr="005A6293">
        <w:t xml:space="preserve">until independence in 1963. </w:t>
      </w:r>
    </w:p>
    <w:p w14:paraId="0D74827F" w14:textId="32E2E402" w:rsidR="00082233" w:rsidRPr="005A6293" w:rsidRDefault="00082233" w:rsidP="0068257B">
      <w:pPr>
        <w:spacing w:line="480" w:lineRule="auto"/>
      </w:pPr>
      <w:r w:rsidRPr="005A6293">
        <w:tab/>
        <w:t>A few educational reports provided the framework for government intervention in Africa education lar</w:t>
      </w:r>
      <w:r w:rsidR="004D2304" w:rsidRPr="005A6293">
        <w:t>gely until</w:t>
      </w:r>
      <w:r w:rsidRPr="005A6293">
        <w:t xml:space="preserve"> 1940. The reports included: the Fraser Report of 1909, the East African Protectorate Education Commission Report of 1919, and the Phelps-Stoke Education Commission Report of 1924. These reports detailed the reality of African education, and provided some suggestions for how to improve the education in a way that would produce quality laborers but not educated</w:t>
      </w:r>
      <w:r w:rsidR="00770C62" w:rsidRPr="005A6293">
        <w:t xml:space="preserve"> citizens of the same caliber as</w:t>
      </w:r>
      <w:r w:rsidRPr="005A6293">
        <w:t xml:space="preserve"> the settlers’ children or even the Asian immigrants. These reports called for: government investment in African education with grants-in-aid, government assistance in training teachers, coordination between the government and mission schools, and government influen</w:t>
      </w:r>
      <w:r w:rsidR="00B21FF5" w:rsidRPr="005A6293">
        <w:t>ce in curriculum</w:t>
      </w:r>
      <w:r w:rsidRPr="005A6293">
        <w:t>.</w:t>
      </w:r>
      <w:r w:rsidR="00A730FD" w:rsidRPr="005A6293">
        <w:rPr>
          <w:rStyle w:val="FootnoteReference"/>
        </w:rPr>
        <w:footnoteReference w:id="120"/>
      </w:r>
      <w:r w:rsidRPr="005A6293">
        <w:t xml:space="preserve"> These guidelines created a system where the colonial government did not have a large amount of direct involvement in African education, but rather assisted mission schools that were already in</w:t>
      </w:r>
      <w:r w:rsidR="00D96202" w:rsidRPr="005A6293">
        <w:t xml:space="preserve"> place. The main initiative was</w:t>
      </w:r>
      <w:r w:rsidRPr="005A6293">
        <w:t xml:space="preserve"> the grants-in-aid, which were given to schools based off the quality of technical training. Secular government schools and government teacher training remained minimum throughout the period, although these schools and teac</w:t>
      </w:r>
      <w:r w:rsidR="006B5B9C" w:rsidRPr="005A6293">
        <w:t>hers were of better quality than</w:t>
      </w:r>
      <w:r w:rsidRPr="005A6293">
        <w:t xml:space="preserve"> mission schools and mission trained teachers. </w:t>
      </w:r>
    </w:p>
    <w:p w14:paraId="49BF02BA" w14:textId="39C729B8" w:rsidR="00082233" w:rsidRPr="005A6293" w:rsidRDefault="00082233" w:rsidP="0068257B">
      <w:pPr>
        <w:spacing w:line="480" w:lineRule="auto"/>
      </w:pPr>
      <w:r w:rsidRPr="005A6293">
        <w:tab/>
        <w:t xml:space="preserve">Although there were schools throughout most of Kenya, the education system lacked depth. Mission schools tended to only include three to four years of schooling at the village level; the majority of mission schools were village schools. The first </w:t>
      </w:r>
      <w:r w:rsidRPr="005A6293">
        <w:lastRenderedPageBreak/>
        <w:t>secondary school for Africans was only opened in 1926. Additionally, there were only two main secondary schools available until almost 1940, and those two schools were only junior secondary schools; if students wanted to finish their secondary education they would have to travel outside of Kenya into</w:t>
      </w:r>
      <w:r w:rsidR="00EE2A49" w:rsidRPr="005A6293">
        <w:t xml:space="preserve"> Uganda</w:t>
      </w:r>
      <w:r w:rsidRPr="005A6293">
        <w:t>.</w:t>
      </w:r>
      <w:r w:rsidR="00272E9F" w:rsidRPr="005A6293">
        <w:rPr>
          <w:rStyle w:val="FootnoteReference"/>
        </w:rPr>
        <w:footnoteReference w:id="121"/>
      </w:r>
      <w:r w:rsidRPr="005A6293">
        <w:t xml:space="preserve"> Therefore, while there were vast amounts of children enrolled in formal education institutions, they often received only a few years of poor quality education. For example, in 1936 of the </w:t>
      </w:r>
      <w:r w:rsidR="00F962DB" w:rsidRPr="005A6293">
        <w:t xml:space="preserve">African </w:t>
      </w:r>
      <w:r w:rsidRPr="005A6293">
        <w:t xml:space="preserve">children enrolled in school: 96.77% were in elementary school, 3.05% were in primary school, and only 0.18% were in some form of </w:t>
      </w:r>
      <w:r w:rsidR="00EE2A49" w:rsidRPr="005A6293">
        <w:t>secondary school</w:t>
      </w:r>
      <w:r w:rsidRPr="005A6293">
        <w:t>.</w:t>
      </w:r>
      <w:r w:rsidR="00272E9F" w:rsidRPr="005A6293">
        <w:rPr>
          <w:rStyle w:val="FootnoteReference"/>
        </w:rPr>
        <w:footnoteReference w:id="122"/>
      </w:r>
      <w:r w:rsidRPr="005A6293">
        <w:t xml:space="preserve"> Although formal education was increasing in Kenya, Kenyans recognized the inferiority of the education system and demanded changes. </w:t>
      </w:r>
    </w:p>
    <w:p w14:paraId="3FD86313" w14:textId="77777777" w:rsidR="00082233" w:rsidRPr="005A6293" w:rsidRDefault="00082233" w:rsidP="0068257B">
      <w:pPr>
        <w:spacing w:line="480" w:lineRule="auto"/>
      </w:pPr>
      <w:r w:rsidRPr="005A6293">
        <w:tab/>
        <w:t>Kenyans took education into their own hands through two avenues: local native councils (LNCs) and independent schools. Kenyans were dissatisfied with the poor quality of education at mission schools, especially the lack of emphasis on literary education. As demonstrated in this below quote from Sorobea Bogonko, education was seen as both part of and necessary to emancipation:</w:t>
      </w:r>
    </w:p>
    <w:p w14:paraId="6B5DB102" w14:textId="58B84901" w:rsidR="00082233" w:rsidRPr="005A6293" w:rsidRDefault="00082233" w:rsidP="00053358">
      <w:pPr>
        <w:spacing w:after="280"/>
        <w:ind w:left="720"/>
      </w:pPr>
      <w:r w:rsidRPr="005A6293">
        <w:t>But subjection of only one race to industrial and religious training makes such education appear an act of oppression. It stifled the ability of the Africans to develop in all areas of human talent. This tendency made Africans take up arms against the prescribed education, as it did not meet the most important of their aspirations.</w:t>
      </w:r>
      <w:r w:rsidR="00272E9F" w:rsidRPr="005A6293">
        <w:rPr>
          <w:rStyle w:val="FootnoteReference"/>
        </w:rPr>
        <w:footnoteReference w:id="123"/>
      </w:r>
    </w:p>
    <w:p w14:paraId="045C8328" w14:textId="3647D11A" w:rsidR="00082233" w:rsidRPr="005A6293" w:rsidRDefault="00082233" w:rsidP="0068257B">
      <w:pPr>
        <w:spacing w:line="480" w:lineRule="auto"/>
      </w:pPr>
      <w:r w:rsidRPr="005A6293">
        <w:t xml:space="preserve">Secular schools run by the government were preferred to mission schools, but there were too few government schools to fill the need for secular education. The LNCs were </w:t>
      </w:r>
      <w:r w:rsidRPr="005A6293">
        <w:lastRenderedPageBreak/>
        <w:t>created in 1925 as a way to manage Kenyans’ requests to the gove</w:t>
      </w:r>
      <w:r w:rsidR="00EE2A49" w:rsidRPr="005A6293">
        <w:t>rnment</w:t>
      </w:r>
      <w:r w:rsidRPr="005A6293">
        <w:t>.</w:t>
      </w:r>
      <w:r w:rsidR="00272E9F" w:rsidRPr="005A6293">
        <w:rPr>
          <w:rStyle w:val="FootnoteReference"/>
        </w:rPr>
        <w:footnoteReference w:id="124"/>
      </w:r>
      <w:r w:rsidRPr="005A6293">
        <w:t xml:space="preserve"> Growing educational ambitions among many ethnic groups, especially the Kikuyu and Luo, were not satisfied by the pace of educational expansion by the missionaries and government and, therefore, new secular schooling became a high priority of man</w:t>
      </w:r>
      <w:r w:rsidR="00EE2A49" w:rsidRPr="005A6293">
        <w:t>y LNCs</w:t>
      </w:r>
      <w:r w:rsidRPr="005A6293">
        <w:t>.</w:t>
      </w:r>
      <w:r w:rsidR="00272E9F" w:rsidRPr="005A6293">
        <w:rPr>
          <w:rStyle w:val="FootnoteReference"/>
        </w:rPr>
        <w:footnoteReference w:id="125"/>
      </w:r>
      <w:r w:rsidRPr="005A6293">
        <w:t xml:space="preserve"> For example, by 1927 a governor in Nyanza had already recognized the remarkable pace and determination of a LNC to gain educational funding, in what he called “the most remarkable feature of the</w:t>
      </w:r>
      <w:r w:rsidR="00EE2A49" w:rsidRPr="005A6293">
        <w:t xml:space="preserve"> year”</w:t>
      </w:r>
      <w:r w:rsidRPr="005A6293">
        <w:t>.</w:t>
      </w:r>
      <w:r w:rsidR="00272E9F" w:rsidRPr="005A6293">
        <w:rPr>
          <w:rStyle w:val="FootnoteReference"/>
        </w:rPr>
        <w:footnoteReference w:id="126"/>
      </w:r>
      <w:r w:rsidRPr="005A6293">
        <w:t xml:space="preserve"> LNCs often worked to petition the government for funds for new schools, and in some cases, were involved in raising funds directly from their own communities. The first few LNCs to receive government funds started building schools in 1929, and had pup</w:t>
      </w:r>
      <w:r w:rsidR="00EE2A49" w:rsidRPr="005A6293">
        <w:t>ils in the early 1930s</w:t>
      </w:r>
      <w:r w:rsidRPr="005A6293">
        <w:t>.</w:t>
      </w:r>
      <w:r w:rsidR="00272E9F" w:rsidRPr="005A6293">
        <w:rPr>
          <w:rStyle w:val="FootnoteReference"/>
        </w:rPr>
        <w:footnoteReference w:id="127"/>
      </w:r>
      <w:r w:rsidR="00AE5AD3" w:rsidRPr="005A6293">
        <w:t xml:space="preserve"> T</w:t>
      </w:r>
      <w:r w:rsidRPr="005A6293">
        <w:t xml:space="preserve">he LNC schools </w:t>
      </w:r>
      <w:r w:rsidR="006966B0" w:rsidRPr="005A6293">
        <w:t>started performing</w:t>
      </w:r>
      <w:r w:rsidRPr="005A6293">
        <w:t xml:space="preserve"> better than mission schools as early as the 1940s. Although these schools started in the early 1930s, they were not fully developed through secondary education until the mid-1950s, almost 60 years into colonialism.</w:t>
      </w:r>
    </w:p>
    <w:p w14:paraId="6C203885" w14:textId="14D44CC8" w:rsidR="00082233" w:rsidRPr="005A6293" w:rsidRDefault="00082233" w:rsidP="0068257B">
      <w:pPr>
        <w:spacing w:line="480" w:lineRule="auto"/>
      </w:pPr>
      <w:r w:rsidRPr="005A6293">
        <w:tab/>
        <w:t>Unfortunately, not all LNCs were granted funding for government supported schooling. However, this did not deter Kenyans from gaining secular education. Even without the assistance of LNCs, independent sch</w:t>
      </w:r>
      <w:r w:rsidR="00F2385B" w:rsidRPr="005A6293">
        <w:t>ools started forming as early in</w:t>
      </w:r>
      <w:r w:rsidRPr="005A6293">
        <w:t xml:space="preserve"> the early 1920s and came into force at the same time of the LNC fund</w:t>
      </w:r>
      <w:r w:rsidR="00EE2A49" w:rsidRPr="005A6293">
        <w:t>ed schools, 1929</w:t>
      </w:r>
      <w:r w:rsidRPr="005A6293">
        <w:t>.</w:t>
      </w:r>
      <w:r w:rsidR="00272E9F" w:rsidRPr="005A6293">
        <w:rPr>
          <w:rStyle w:val="FootnoteReference"/>
        </w:rPr>
        <w:footnoteReference w:id="128"/>
      </w:r>
      <w:r w:rsidRPr="005A6293">
        <w:t xml:space="preserve"> Unlike the LNC funded schools, which were not government run but still had some government involvement, the independent schools were wholly ignored by the </w:t>
      </w:r>
      <w:r w:rsidRPr="005A6293">
        <w:lastRenderedPageBreak/>
        <w:t>government unt</w:t>
      </w:r>
      <w:r w:rsidR="00BB5A45" w:rsidRPr="005A6293">
        <w:t>il the mid-1930s</w:t>
      </w:r>
      <w:r w:rsidRPr="005A6293">
        <w:t>.</w:t>
      </w:r>
      <w:r w:rsidR="00272E9F" w:rsidRPr="005A6293">
        <w:rPr>
          <w:rStyle w:val="FootnoteReference"/>
        </w:rPr>
        <w:footnoteReference w:id="129"/>
      </w:r>
      <w:r w:rsidRPr="005A6293">
        <w:t xml:space="preserve"> Therefore, independent schools experienced a rough start due to minimal funding and poor teacher training. Despite these problems pupils still flocked to independent schools, which were still seen as a better alternative to mission schools. By 1936, independent schools had become so ingrained in Kenya, that the government eventually recognized them and provided help through curriculum, oversight, and </w:t>
      </w:r>
      <w:r w:rsidR="00BB5A45" w:rsidRPr="005A6293">
        <w:t>teacher training</w:t>
      </w:r>
      <w:r w:rsidRPr="005A6293">
        <w:t>.</w:t>
      </w:r>
      <w:r w:rsidR="00272E9F" w:rsidRPr="005A6293">
        <w:rPr>
          <w:rStyle w:val="FootnoteReference"/>
        </w:rPr>
        <w:footnoteReference w:id="130"/>
      </w:r>
      <w:r w:rsidRPr="005A6293">
        <w:t xml:space="preserve"> Therefore, by the 1930s the reign of the mission schools had started to end, as students flocked to government schools, LNC schools, and independent schools. </w:t>
      </w:r>
    </w:p>
    <w:p w14:paraId="2B253FDA" w14:textId="15F9817F" w:rsidR="00082233" w:rsidRPr="005A6293" w:rsidRDefault="00082233" w:rsidP="0068257B">
      <w:pPr>
        <w:spacing w:line="480" w:lineRule="auto"/>
      </w:pPr>
      <w:r w:rsidRPr="005A6293">
        <w:tab/>
        <w:t xml:space="preserve">Independent schools and schools funded through the work of LNCs were important </w:t>
      </w:r>
      <w:r w:rsidR="00FF5B12" w:rsidRPr="005A6293">
        <w:t xml:space="preserve">for more </w:t>
      </w:r>
      <w:r w:rsidRPr="005A6293">
        <w:t>than just for educational reasons. Although secular education was preferred instead of non-secular education, these schools came to both embody and represent change driven by Africans. These schools became a place for Africans to express their own culture, own religion, and own nationalism. For example, independent schools became increasingly popular after the increased attacks against female circumcision for the Kikuyu in 1929. Independent schools became a sort of “educational revolt”, where Kikuyu sought schools where their traditions were not at</w:t>
      </w:r>
      <w:r w:rsidR="00BB5A45" w:rsidRPr="005A6293">
        <w:t>tacked</w:t>
      </w:r>
      <w:r w:rsidRPr="005A6293">
        <w:t>.</w:t>
      </w:r>
      <w:r w:rsidR="00272E9F" w:rsidRPr="005A6293">
        <w:rPr>
          <w:rStyle w:val="FootnoteReference"/>
        </w:rPr>
        <w:footnoteReference w:id="131"/>
      </w:r>
      <w:r w:rsidRPr="005A6293">
        <w:t xml:space="preserve"> Additionally, these schools correlated with the rising number of African churches, that we</w:t>
      </w:r>
      <w:r w:rsidR="00E77112" w:rsidRPr="005A6293">
        <w:t>re</w:t>
      </w:r>
      <w:r w:rsidRPr="005A6293">
        <w:t xml:space="preserve"> separated from the European mission churches; both churches and schools sought to assert their own beliefs and values. Along with separate churches, these schools also were linked with African nationalism. Dr. Arthur, one of the CSM missionaries stated:</w:t>
      </w:r>
    </w:p>
    <w:p w14:paraId="4F0F59A6" w14:textId="0D828F91" w:rsidR="00082233" w:rsidRPr="005A6293" w:rsidRDefault="00082233" w:rsidP="009033C6">
      <w:pPr>
        <w:spacing w:after="280"/>
        <w:ind w:left="720"/>
      </w:pPr>
      <w:r w:rsidRPr="005A6293">
        <w:lastRenderedPageBreak/>
        <w:t xml:space="preserve">Such an organisation, run by the Kikuyu themselves for their own people, is potentially a most valuable educational agency… Unfortunately the Association seems to regard their schools as political levers rather than as a medium for sound education of the people; they value most the numbers in a school, for they consider strength of numbers gives them added </w:t>
      </w:r>
      <w:r w:rsidR="009033C6" w:rsidRPr="005A6293">
        <w:t>political power</w:t>
      </w:r>
      <w:r w:rsidRPr="005A6293">
        <w:t>.</w:t>
      </w:r>
      <w:r w:rsidR="00272E9F" w:rsidRPr="005A6293">
        <w:rPr>
          <w:rStyle w:val="FootnoteReference"/>
        </w:rPr>
        <w:footnoteReference w:id="132"/>
      </w:r>
      <w:r w:rsidRPr="005A6293">
        <w:t xml:space="preserve"> </w:t>
      </w:r>
    </w:p>
    <w:p w14:paraId="1AEF0BC6" w14:textId="644D48E8" w:rsidR="00082233" w:rsidRPr="005A6293" w:rsidRDefault="00082233" w:rsidP="0068257B">
      <w:pPr>
        <w:spacing w:line="480" w:lineRule="auto"/>
      </w:pPr>
      <w:r w:rsidRPr="005A6293">
        <w:t>The independent school movement was intertwined with the independence movement from t</w:t>
      </w:r>
      <w:r w:rsidR="00F408DC" w:rsidRPr="005A6293">
        <w:t>he beginning. Later, these</w:t>
      </w:r>
      <w:r w:rsidRPr="005A6293">
        <w:t xml:space="preserve"> schools were shut down with the Mau Mau Upr</w:t>
      </w:r>
      <w:r w:rsidR="00E93036" w:rsidRPr="005A6293">
        <w:t>ising, which was a rebellion le</w:t>
      </w:r>
      <w:r w:rsidRPr="005A6293">
        <w:t xml:space="preserve">d by the Kikuyu and other ethnic groups such as the Meru, Kamba, Embu, and Maasai against the British colonial government. The government shut down the schools because they suspected that these schools were “training schools for subversion” as well as “centers of Mau Mau activities after </w:t>
      </w:r>
      <w:r w:rsidR="00BB5A45" w:rsidRPr="005A6293">
        <w:t>hours”</w:t>
      </w:r>
      <w:r w:rsidRPr="005A6293">
        <w:t>.</w:t>
      </w:r>
      <w:r w:rsidR="00272E9F" w:rsidRPr="005A6293">
        <w:rPr>
          <w:rStyle w:val="FootnoteReference"/>
        </w:rPr>
        <w:footnoteReference w:id="133"/>
      </w:r>
      <w:r w:rsidRPr="005A6293">
        <w:t xml:space="preserve"> </w:t>
      </w:r>
    </w:p>
    <w:p w14:paraId="5FA375EE" w14:textId="5381343E" w:rsidR="00082233" w:rsidRPr="005A6293" w:rsidRDefault="00082233" w:rsidP="0068257B">
      <w:pPr>
        <w:spacing w:line="480" w:lineRule="auto"/>
      </w:pPr>
      <w:r w:rsidRPr="005A6293">
        <w:tab/>
        <w:t xml:space="preserve">The early period of colonialism brought many changes to the education system in Kenya. Although missionary education started before Kenya became a colonial state, it flourished and spread under the early colonial administration. Although the dominance of missionary education was felt throughout most of the colonial period, government schools, independent schools and schools funded by LNCs began to grow due to the shortcomings of missionary education. First, </w:t>
      </w:r>
      <w:r w:rsidR="003916EE" w:rsidRPr="005A6293">
        <w:t xml:space="preserve">the </w:t>
      </w:r>
      <w:r w:rsidRPr="005A6293">
        <w:t xml:space="preserve">government </w:t>
      </w:r>
      <w:r w:rsidR="003916EE" w:rsidRPr="005A6293">
        <w:t>addressed the</w:t>
      </w:r>
      <w:r w:rsidRPr="005A6293">
        <w:t xml:space="preserve"> shortcomings </w:t>
      </w:r>
      <w:r w:rsidR="003916EE" w:rsidRPr="005A6293">
        <w:t xml:space="preserve">of missionary education </w:t>
      </w:r>
      <w:r w:rsidRPr="005A6293">
        <w:t>through the creation of a few government schools as well as the grant-in-aid system for missionary schools. However, the small amount of government schools did not satisfy Kenyans’ need for higher-quality education with a greater focus on academic education. As Bogonko states, “for Africans, literacy was the beginning and the end of education</w:t>
      </w:r>
      <w:r w:rsidR="00E238FD" w:rsidRPr="005A6293">
        <w:t>”</w:t>
      </w:r>
      <w:r w:rsidRPr="005A6293">
        <w:t>.</w:t>
      </w:r>
      <w:r w:rsidR="00272E9F" w:rsidRPr="005A6293">
        <w:rPr>
          <w:rStyle w:val="FootnoteReference"/>
        </w:rPr>
        <w:footnoteReference w:id="134"/>
      </w:r>
      <w:r w:rsidRPr="005A6293">
        <w:t xml:space="preserve"> Therefore, Kenyans lobbied for their own secular schools through LNCs. LNCs that got funding built LNC run and government-</w:t>
      </w:r>
      <w:r w:rsidRPr="005A6293">
        <w:lastRenderedPageBreak/>
        <w:t>backed schools. LNCs who did not get government funding often turned to independent schools. By the late c</w:t>
      </w:r>
      <w:r w:rsidR="000D4A17" w:rsidRPr="005A6293">
        <w:t>olonial period, there were four</w:t>
      </w:r>
      <w:r w:rsidRPr="005A6293">
        <w:t xml:space="preserve"> major types of education institutions, and the supremacy of mission schools had come to an end. For most of the colonial period, education and politics went hand in hand. As Africans gained western education through mission schools, they began to become more politically a</w:t>
      </w:r>
      <w:r w:rsidR="006D53F4" w:rsidRPr="005A6293">
        <w:t>ctive</w:t>
      </w:r>
      <w:r w:rsidRPr="005A6293">
        <w:t xml:space="preserve"> as well as demand better education for the future generations. The desire for more schools of better quality was a major part of the battle for independence; education was a major political demand of Africans, as well as part of the Mau Mau Uprising. The changes to education institutions lead to a different relationship between education</w:t>
      </w:r>
      <w:r w:rsidR="00CE4833" w:rsidRPr="005A6293">
        <w:t xml:space="preserve"> </w:t>
      </w:r>
      <w:r w:rsidR="00036B7B" w:rsidRPr="005A6293">
        <w:t>and gender tha</w:t>
      </w:r>
      <w:r w:rsidRPr="005A6293">
        <w:t xml:space="preserve">n experienced in the pre-colonial era. </w:t>
      </w:r>
    </w:p>
    <w:p w14:paraId="1CF024D9" w14:textId="2F6546EE" w:rsidR="00082233" w:rsidRPr="005A6293" w:rsidRDefault="00CE4833" w:rsidP="0068257B">
      <w:pPr>
        <w:spacing w:line="480" w:lineRule="auto"/>
        <w:rPr>
          <w:rFonts w:cs="Times New Roman"/>
          <w:b/>
          <w:bCs/>
        </w:rPr>
      </w:pPr>
      <w:r w:rsidRPr="005A6293">
        <w:rPr>
          <w:rFonts w:cs="Times New Roman"/>
          <w:b/>
          <w:bCs/>
        </w:rPr>
        <w:t>Education</w:t>
      </w:r>
      <w:r w:rsidR="00B877FD" w:rsidRPr="005A6293">
        <w:rPr>
          <w:rFonts w:cs="Times New Roman"/>
          <w:b/>
          <w:bCs/>
        </w:rPr>
        <w:t xml:space="preserve"> and Gender </w:t>
      </w:r>
    </w:p>
    <w:p w14:paraId="43C25633" w14:textId="2D8612C5" w:rsidR="00082233" w:rsidRPr="005A6293" w:rsidRDefault="00082233" w:rsidP="0068257B">
      <w:pPr>
        <w:spacing w:line="480" w:lineRule="auto"/>
      </w:pPr>
      <w:r w:rsidRPr="005A6293">
        <w:tab/>
        <w:t>Under the colonial government, the rela</w:t>
      </w:r>
      <w:r w:rsidR="00E855B4" w:rsidRPr="005A6293">
        <w:t>tionship between education</w:t>
      </w:r>
      <w:r w:rsidRPr="005A6293">
        <w:t xml:space="preserve"> and gender changed in ways that did not favor African women, as exploitation of African women increased under the British colonial government. As Chege and Sifuna indicate, “while the existence of a dominant patriarchal arrangement was true for many traditional African communities, the claim that the underlying ideology translated exclusively into the exploitation of women is inaccurate</w:t>
      </w:r>
      <w:r w:rsidR="00E238FD" w:rsidRPr="005A6293">
        <w:t>”</w:t>
      </w:r>
      <w:r w:rsidRPr="005A6293">
        <w:t>.</w:t>
      </w:r>
      <w:r w:rsidR="00272E9F" w:rsidRPr="005A6293">
        <w:rPr>
          <w:rStyle w:val="FootnoteReference"/>
        </w:rPr>
        <w:footnoteReference w:id="135"/>
      </w:r>
      <w:r w:rsidRPr="005A6293">
        <w:t xml:space="preserve"> As denoted in the previous chapter, men and women had different roles, but women still wielded authority and power in certain venues, such as agriculture. British colonizers ignored existing gender structures, and cultivated a Western gender hierarchy in Kenya that utilized education to “propagate female inferiority, exploitation and oppr</w:t>
      </w:r>
      <w:r w:rsidR="00E238FD" w:rsidRPr="005A6293">
        <w:t>ession”</w:t>
      </w:r>
      <w:r w:rsidRPr="005A6293">
        <w:t>.</w:t>
      </w:r>
      <w:r w:rsidR="00272E9F" w:rsidRPr="005A6293">
        <w:rPr>
          <w:rStyle w:val="FootnoteReference"/>
        </w:rPr>
        <w:footnoteReference w:id="136"/>
      </w:r>
      <w:r w:rsidRPr="005A6293">
        <w:t xml:space="preserve"> </w:t>
      </w:r>
    </w:p>
    <w:p w14:paraId="1171B34E" w14:textId="0A534AC6" w:rsidR="00082233" w:rsidRPr="005A6293" w:rsidRDefault="00082233" w:rsidP="0068257B">
      <w:pPr>
        <w:spacing w:line="480" w:lineRule="auto"/>
      </w:pPr>
      <w:r w:rsidRPr="005A6293">
        <w:lastRenderedPageBreak/>
        <w:tab/>
        <w:t xml:space="preserve">The colonial administration reinforced and built off the gender hierarchy that missionaries started implementing in the mid-1800s. </w:t>
      </w:r>
      <w:r w:rsidR="00274015" w:rsidRPr="005A6293">
        <w:rPr>
          <w:rFonts w:cs="Times New Roman"/>
        </w:rPr>
        <w:t xml:space="preserve">As Chege and Sifuna argue, </w:t>
      </w:r>
      <w:r w:rsidR="00274015" w:rsidRPr="005A6293">
        <w:t>“it is worth mentioning that the Christian missionaries who pioneered African education were middle class educated men who were endowed with Victorian ideals of gender relations”.</w:t>
      </w:r>
      <w:r w:rsidR="00274015" w:rsidRPr="005A6293">
        <w:rPr>
          <w:rStyle w:val="FootnoteReference"/>
        </w:rPr>
        <w:footnoteReference w:id="137"/>
      </w:r>
      <w:r w:rsidR="00274015" w:rsidRPr="005A6293">
        <w:t xml:space="preserve"> </w:t>
      </w:r>
      <w:r w:rsidRPr="005A6293">
        <w:t>Missionaries created a complicated r</w:t>
      </w:r>
      <w:r w:rsidR="00E855B4" w:rsidRPr="005A6293">
        <w:t>elationship between education and</w:t>
      </w:r>
      <w:r w:rsidRPr="005A6293">
        <w:t xml:space="preserve"> gender because of their somewhat conflicting approach to education of women. </w:t>
      </w:r>
      <w:r w:rsidR="00EB56AA" w:rsidRPr="005A6293">
        <w:t>On one hand, missionaries believed “that a woman was inferior to a man by divine ordinance”, which impacted how they interacted with women.</w:t>
      </w:r>
      <w:r w:rsidR="00EB56AA" w:rsidRPr="005A6293">
        <w:rPr>
          <w:rStyle w:val="FootnoteReference"/>
        </w:rPr>
        <w:footnoteReference w:id="138"/>
      </w:r>
      <w:r w:rsidR="00EB56AA" w:rsidRPr="005A6293">
        <w:t xml:space="preserve"> </w:t>
      </w:r>
      <w:r w:rsidR="00EB56AA" w:rsidRPr="005A6293">
        <w:rPr>
          <w:rFonts w:cs="Times New Roman"/>
        </w:rPr>
        <w:t>As Chege and Sifuna conclude, the missionaries indoctrinated Kenyans “about foreign divine designs that polarized, arbitrarily, the feminine and masculine genders in favor of men”.</w:t>
      </w:r>
      <w:r w:rsidR="00EB56AA" w:rsidRPr="005A6293">
        <w:rPr>
          <w:rStyle w:val="FootnoteReference"/>
          <w:rFonts w:cs="Times New Roman"/>
        </w:rPr>
        <w:footnoteReference w:id="139"/>
      </w:r>
      <w:r w:rsidR="00EB56AA" w:rsidRPr="005A6293">
        <w:rPr>
          <w:rFonts w:cs="Times New Roman"/>
        </w:rPr>
        <w:t xml:space="preserve"> </w:t>
      </w:r>
      <w:r w:rsidRPr="005A6293">
        <w:t>Ironically, missionaries were also one of the first groups of Europeans to advocated and ensure women’s ed</w:t>
      </w:r>
      <w:r w:rsidR="00E238FD" w:rsidRPr="005A6293">
        <w:t>ucation</w:t>
      </w:r>
      <w:r w:rsidRPr="005A6293">
        <w:t>.</w:t>
      </w:r>
      <w:r w:rsidR="00272E9F" w:rsidRPr="005A6293">
        <w:rPr>
          <w:rStyle w:val="FootnoteReference"/>
        </w:rPr>
        <w:footnoteReference w:id="140"/>
      </w:r>
      <w:r w:rsidRPr="005A6293">
        <w:t xml:space="preserve"> As noted by Furley and Watson, the CMS school in Fre</w:t>
      </w:r>
      <w:r w:rsidR="00496694" w:rsidRPr="005A6293">
        <w:t>r</w:t>
      </w:r>
      <w:r w:rsidRPr="005A6293">
        <w:t xml:space="preserve">etown had girls attending all the same classes as boys, so that their education would not lag </w:t>
      </w:r>
      <w:r w:rsidR="00E238FD" w:rsidRPr="005A6293">
        <w:t>behind</w:t>
      </w:r>
      <w:r w:rsidRPr="005A6293">
        <w:t>.</w:t>
      </w:r>
      <w:r w:rsidR="00272E9F" w:rsidRPr="005A6293">
        <w:rPr>
          <w:rStyle w:val="FootnoteReference"/>
        </w:rPr>
        <w:footnoteReference w:id="141"/>
      </w:r>
      <w:r w:rsidRPr="005A6293">
        <w:t xml:space="preserve"> </w:t>
      </w:r>
      <w:r w:rsidR="00205320" w:rsidRPr="005A6293">
        <w:rPr>
          <w:rFonts w:cs="Times New Roman"/>
        </w:rPr>
        <w:t>The Western missionaries brought a hierarchical gender structure based off religious ideas of gender, which constructed women as both opposite of and less than men. Mission schools spread new ideas about gender dynamics, including gender roles, power dynamics, and gender identity.</w:t>
      </w:r>
    </w:p>
    <w:p w14:paraId="51F86378" w14:textId="03A34B50" w:rsidR="00082233" w:rsidRPr="005A6293" w:rsidRDefault="00082233" w:rsidP="0068257B">
      <w:pPr>
        <w:spacing w:line="480" w:lineRule="auto"/>
      </w:pPr>
      <w:r w:rsidRPr="005A6293">
        <w:lastRenderedPageBreak/>
        <w:tab/>
        <w:t>Women’s education in the colonial era was informed by three forms of domination</w:t>
      </w:r>
      <w:r w:rsidR="00F208AC" w:rsidRPr="005A6293">
        <w:t>: class, ethnicity, and gender</w:t>
      </w:r>
      <w:r w:rsidRPr="005A6293">
        <w:t>.</w:t>
      </w:r>
      <w:r w:rsidR="00272E9F" w:rsidRPr="005A6293">
        <w:rPr>
          <w:rStyle w:val="FootnoteReference"/>
        </w:rPr>
        <w:footnoteReference w:id="142"/>
      </w:r>
      <w:r w:rsidRPr="005A6293">
        <w:t xml:space="preserve"> These dynamics ensured that African women received the poorest quality education offered in colonial Kenya. The first dynamic to impact women’s education was class. With the introduction of formal education came the introduction of school fees</w:t>
      </w:r>
      <w:r w:rsidR="00D465D4" w:rsidRPr="005A6293">
        <w:t xml:space="preserve"> to sustain salaries, facilities, and other institutional needs</w:t>
      </w:r>
      <w:r w:rsidRPr="005A6293">
        <w:t>. This restricted education for two reasons, the first being that if famili</w:t>
      </w:r>
      <w:r w:rsidR="0045661C" w:rsidRPr="005A6293">
        <w:t>es could not afford the fees tha</w:t>
      </w:r>
      <w:r w:rsidRPr="005A6293">
        <w:t>n children could not receive formal education. The second reason this restricted education is because some families could not afford to let a source of income</w:t>
      </w:r>
      <w:r w:rsidR="00041A31" w:rsidRPr="005A6293">
        <w:t>, such as a child’s labor,</w:t>
      </w:r>
      <w:r w:rsidRPr="005A6293">
        <w:t xml:space="preserve"> go for the whole day</w:t>
      </w:r>
      <w:r w:rsidR="00983227" w:rsidRPr="005A6293">
        <w:t xml:space="preserve"> to take classes</w:t>
      </w:r>
      <w:r w:rsidRPr="005A6293">
        <w:t>. Therefore, more marginalized families had greater barriers to education, which became a reinfo</w:t>
      </w:r>
      <w:r w:rsidR="00CA45D0" w:rsidRPr="005A6293">
        <w:t>rcing mechanism as education le</w:t>
      </w:r>
      <w:r w:rsidRPr="005A6293">
        <w:t>d to greater job opportunities and begin to divide Kenyans based on wealt</w:t>
      </w:r>
      <w:r w:rsidR="00B74019" w:rsidRPr="005A6293">
        <w:t>h across generations</w:t>
      </w:r>
      <w:r w:rsidRPr="005A6293">
        <w:t>.</w:t>
      </w:r>
      <w:r w:rsidR="00272E9F" w:rsidRPr="005A6293">
        <w:rPr>
          <w:rStyle w:val="FootnoteReference"/>
        </w:rPr>
        <w:footnoteReference w:id="143"/>
      </w:r>
      <w:r w:rsidRPr="005A6293">
        <w:t xml:space="preserve"> This impacted women more than men, as men’s education was valued more than women’s education and, therefore, if a family could not send all their children to receive an education then they would send their boys to receive education more readily than their girls. Additionally, girls and women bore the main economic burdens for each household and, therefore, school became a trade-off for economic output; the difference between future economic productivity or cur</w:t>
      </w:r>
      <w:r w:rsidR="00B74019" w:rsidRPr="005A6293">
        <w:t>rent economic productivity</w:t>
      </w:r>
      <w:r w:rsidRPr="005A6293">
        <w:t>.</w:t>
      </w:r>
      <w:r w:rsidR="00272E9F" w:rsidRPr="005A6293">
        <w:rPr>
          <w:rStyle w:val="FootnoteReference"/>
        </w:rPr>
        <w:footnoteReference w:id="144"/>
      </w:r>
      <w:r w:rsidR="00A379C2" w:rsidRPr="005A6293">
        <w:t xml:space="preserve"> Therefore, females faced</w:t>
      </w:r>
      <w:r w:rsidRPr="005A6293">
        <w:t xml:space="preserve"> two barriers to education due to economic decisions: the first is that female’s education had less economic value than male’s education, and the second is that females played an </w:t>
      </w:r>
      <w:r w:rsidRPr="005A6293">
        <w:lastRenderedPageBreak/>
        <w:t xml:space="preserve">important role in household economic productivity and many families could not afford the trade-off for school. </w:t>
      </w:r>
    </w:p>
    <w:p w14:paraId="410CCBE9" w14:textId="6377C36E" w:rsidR="00082233" w:rsidRPr="005A6293" w:rsidRDefault="00082233" w:rsidP="0068257B">
      <w:pPr>
        <w:spacing w:line="480" w:lineRule="auto"/>
      </w:pPr>
      <w:r w:rsidRPr="005A6293">
        <w:tab/>
        <w:t xml:space="preserve"> The second dynamic is ethnicity or race. The colonial education system was fashioned into a strict hierarchy based off race, with different educational opportunities available. European settlers received the top tier of education, with greater funding</w:t>
      </w:r>
      <w:r w:rsidR="002A53A8">
        <w:t>, infrastructure and personnel,</w:t>
      </w:r>
      <w:r w:rsidRPr="005A6293">
        <w:t xml:space="preserve"> the second tier consisted of Asian immigrants mainly from India, and the third tier was African e</w:t>
      </w:r>
      <w:r w:rsidR="00B74019" w:rsidRPr="005A6293">
        <w:t>ducation</w:t>
      </w:r>
      <w:r w:rsidRPr="005A6293">
        <w:t>.</w:t>
      </w:r>
      <w:r w:rsidR="00272E9F" w:rsidRPr="005A6293">
        <w:rPr>
          <w:rStyle w:val="FootnoteReference"/>
        </w:rPr>
        <w:footnoteReference w:id="145"/>
      </w:r>
      <w:r w:rsidRPr="005A6293">
        <w:t xml:space="preserve"> This persisted throughout the entire colonial period, for example in 1950 “the government allowed one British Pound per annum for the education of an African child, while the Asian had 8.3 Pounds and the European had 56 Pounds spent on education per child</w:t>
      </w:r>
      <w:r w:rsidR="00B74019" w:rsidRPr="005A6293">
        <w:t>”</w:t>
      </w:r>
      <w:r w:rsidRPr="005A6293">
        <w:t>.</w:t>
      </w:r>
      <w:r w:rsidR="00272E9F" w:rsidRPr="005A6293">
        <w:rPr>
          <w:rStyle w:val="FootnoteReference"/>
        </w:rPr>
        <w:footnoteReference w:id="146"/>
      </w:r>
      <w:r w:rsidRPr="005A6293">
        <w:t xml:space="preserve"> Again, this disproportionately impacted African women even more than African men</w:t>
      </w:r>
      <w:r w:rsidR="00080281" w:rsidRPr="005A6293">
        <w:t xml:space="preserve"> due to the gender norms that influenced education</w:t>
      </w:r>
      <w:r w:rsidR="00765542" w:rsidRPr="005A6293">
        <w:t xml:space="preserve"> on top of the racial structure</w:t>
      </w:r>
      <w:r w:rsidRPr="005A6293">
        <w:t xml:space="preserve">. </w:t>
      </w:r>
    </w:p>
    <w:p w14:paraId="22F770E7" w14:textId="4854686B" w:rsidR="00082233" w:rsidRPr="005A6293" w:rsidRDefault="00082233" w:rsidP="0068257B">
      <w:pPr>
        <w:spacing w:line="480" w:lineRule="auto"/>
      </w:pPr>
      <w:r w:rsidRPr="005A6293">
        <w:tab/>
        <w:t xml:space="preserve">Finally, the last dynamic to impact female education in colonial Kenya was gender. Although missionaries employed some progressive values to educate women, they still embodied Western, Victorian ideals of gender relations and provided only a limited education to African women when compared to African men, Asians, and European settlers. Even though </w:t>
      </w:r>
      <w:r w:rsidR="00300E4A" w:rsidRPr="005A6293">
        <w:rPr>
          <w:rFonts w:cs="Times New Roman"/>
        </w:rPr>
        <w:t>indigenous</w:t>
      </w:r>
      <w:r w:rsidRPr="005A6293">
        <w:t xml:space="preserve"> education provided d</w:t>
      </w:r>
      <w:r w:rsidR="000E5F74" w:rsidRPr="005A6293">
        <w:t>ifferent education based off gender</w:t>
      </w:r>
      <w:r w:rsidRPr="005A6293">
        <w:t xml:space="preserve">, missionary education often provided the same education for both boys and girls; however, missionary education employed specific gender norms in their education that impacted female education. The greatest indication of gender impacting education in profound ways was the curriculum provided to females. The education </w:t>
      </w:r>
      <w:r w:rsidRPr="005A6293">
        <w:lastRenderedPageBreak/>
        <w:t xml:space="preserve">system revolved around instilling the Western ideal of “female domesticity” in Kenyan </w:t>
      </w:r>
      <w:r w:rsidR="004C575A" w:rsidRPr="005A6293">
        <w:t>women</w:t>
      </w:r>
      <w:r w:rsidRPr="005A6293">
        <w:t>.</w:t>
      </w:r>
      <w:r w:rsidR="00272E9F" w:rsidRPr="005A6293">
        <w:rPr>
          <w:rStyle w:val="FootnoteReference"/>
        </w:rPr>
        <w:footnoteReference w:id="147"/>
      </w:r>
      <w:r w:rsidRPr="005A6293">
        <w:t xml:space="preserve"> Western education offered poor quality curriculum for women, including: cookery, housewifery, laundry, hygiene, and childcare. As one p</w:t>
      </w:r>
      <w:r w:rsidR="00D00A2C" w:rsidRPr="005A6293">
        <w:t>rominent British official conveye</w:t>
      </w:r>
      <w:r w:rsidRPr="005A6293">
        <w:t>d, the three B’s (baby, bath, and broom) was a good substitution for the three R’s (reading, writing, and arithme</w:t>
      </w:r>
      <w:r w:rsidR="004C575A" w:rsidRPr="005A6293">
        <w:t>tic) for African women</w:t>
      </w:r>
      <w:r w:rsidRPr="005A6293">
        <w:t>.</w:t>
      </w:r>
      <w:r w:rsidR="00272E9F" w:rsidRPr="005A6293">
        <w:rPr>
          <w:rStyle w:val="FootnoteReference"/>
        </w:rPr>
        <w:footnoteReference w:id="148"/>
      </w:r>
      <w:r w:rsidRPr="005A6293">
        <w:t xml:space="preserve"> A combination of poor curriculum, poor labor market training, and gender-skewed colonial policy lead to the low involvement of girls in education. Ironically, instead of noting the obvious flaws in colonial education regarding gender, colonial officials often blamed the low attendance of Kenyan girls to their “contentment with o</w:t>
      </w:r>
      <w:r w:rsidR="004C575A" w:rsidRPr="005A6293">
        <w:t>nly the rudiments of literacy”</w:t>
      </w:r>
      <w:r w:rsidRPr="005A6293">
        <w:t>.</w:t>
      </w:r>
      <w:r w:rsidR="00272E9F" w:rsidRPr="005A6293">
        <w:rPr>
          <w:rStyle w:val="FootnoteReference"/>
        </w:rPr>
        <w:footnoteReference w:id="149"/>
      </w:r>
    </w:p>
    <w:p w14:paraId="09B31DCC" w14:textId="3EB7FE41" w:rsidR="00082233" w:rsidRPr="005A6293" w:rsidRDefault="00082233" w:rsidP="0068257B">
      <w:pPr>
        <w:spacing w:line="480" w:lineRule="auto"/>
        <w:ind w:firstLine="720"/>
      </w:pPr>
      <w:r w:rsidRPr="005A6293">
        <w:t>In addition to gender-biased curriculum, females also had gender-biased educational outcomes. Primarily, education was extended to fem</w:t>
      </w:r>
      <w:r w:rsidR="0072340A" w:rsidRPr="005A6293">
        <w:t>ales at a relatively equal rate</w:t>
      </w:r>
      <w:r w:rsidRPr="005A6293">
        <w:t xml:space="preserve"> to that of males so that there would be enough educated wives for a new class of western educat</w:t>
      </w:r>
      <w:r w:rsidR="00EC01A9" w:rsidRPr="005A6293">
        <w:t>ed men</w:t>
      </w:r>
      <w:r w:rsidRPr="005A6293">
        <w:t>.</w:t>
      </w:r>
      <w:r w:rsidR="00272E9F" w:rsidRPr="005A6293">
        <w:rPr>
          <w:rStyle w:val="FootnoteReference"/>
        </w:rPr>
        <w:footnoteReference w:id="150"/>
      </w:r>
      <w:r w:rsidRPr="005A6293">
        <w:t xml:space="preserve"> In this sense, education was based off the gender ideals that heightened the role of wives. A missionary to the Kikuyu, Dr. Philp, is quoted as saying “tragic results will follow if the education of African woman does not develop on parallel lines with that of </w:t>
      </w:r>
      <w:r w:rsidR="00EC01A9" w:rsidRPr="005A6293">
        <w:t>her husband”</w:t>
      </w:r>
      <w:r w:rsidRPr="005A6293">
        <w:t>.</w:t>
      </w:r>
      <w:r w:rsidR="00272E9F" w:rsidRPr="005A6293">
        <w:rPr>
          <w:rStyle w:val="FootnoteReference"/>
        </w:rPr>
        <w:footnoteReference w:id="151"/>
      </w:r>
      <w:r w:rsidRPr="005A6293">
        <w:t xml:space="preserve"> Missionaries did heavily pursue the education of woman, resulting in increasingly equal attendance and enrollment rates; however, gender norms hindered female education. The purpose of educating females, according to many missionaries, was so that they could make good wives for educated </w:t>
      </w:r>
      <w:r w:rsidRPr="005A6293">
        <w:lastRenderedPageBreak/>
        <w:t>men. Therefore, gender norms restricted female education to only a few outcomes, becoming good wives or entering the labor force in “feminized” occupations.</w:t>
      </w:r>
    </w:p>
    <w:p w14:paraId="378AC059" w14:textId="0912BB92" w:rsidR="00082233" w:rsidRPr="005A6293" w:rsidRDefault="00082233" w:rsidP="0068257B">
      <w:pPr>
        <w:spacing w:line="480" w:lineRule="auto"/>
        <w:ind w:firstLine="720"/>
      </w:pPr>
      <w:r w:rsidRPr="005A6293">
        <w:t xml:space="preserve">Gender norms from outside missionary education also impacted females in school. Gender impacted how parents viewed education. Parents were resistant to sending girls to school, </w:t>
      </w:r>
      <w:r w:rsidR="00B15ADC" w:rsidRPr="005A6293">
        <w:t xml:space="preserve">with missionaries who they </w:t>
      </w:r>
      <w:r w:rsidR="00097028" w:rsidRPr="005A6293">
        <w:t>did not</w:t>
      </w:r>
      <w:r w:rsidRPr="005A6293">
        <w:t xml:space="preserve"> trust. Kikuyu parents at one point used several tactics to keep their girls at home, “including burning green wood in order to drive away seekers or teachers of girls in their</w:t>
      </w:r>
      <w:r w:rsidR="00EC01A9" w:rsidRPr="005A6293">
        <w:t xml:space="preserve"> huts”</w:t>
      </w:r>
      <w:r w:rsidRPr="005A6293">
        <w:t>.</w:t>
      </w:r>
      <w:r w:rsidR="00272E9F" w:rsidRPr="005A6293">
        <w:rPr>
          <w:rStyle w:val="FootnoteReference"/>
        </w:rPr>
        <w:footnoteReference w:id="152"/>
      </w:r>
      <w:r w:rsidR="00146B05">
        <w:t xml:space="preserve"> Addition</w:t>
      </w:r>
      <w:r w:rsidRPr="005A6293">
        <w:t>ally, there was a fear that education would disrupt existing gender structures. Furley and Watson noted that some feared sending their daughters to school because of “notions which they might get of higher s</w:t>
      </w:r>
      <w:r w:rsidR="00F24F6A" w:rsidRPr="005A6293">
        <w:t>tatus”</w:t>
      </w:r>
      <w:r w:rsidRPr="005A6293">
        <w:t>.</w:t>
      </w:r>
      <w:r w:rsidR="00272E9F" w:rsidRPr="005A6293">
        <w:rPr>
          <w:rStyle w:val="FootnoteReference"/>
        </w:rPr>
        <w:footnoteReference w:id="153"/>
      </w:r>
      <w:r w:rsidRPr="005A6293">
        <w:t xml:space="preserve"> Therefore, even though girls attended the same classes and </w:t>
      </w:r>
      <w:r w:rsidR="007023B0" w:rsidRPr="005A6293">
        <w:t xml:space="preserve">had </w:t>
      </w:r>
      <w:r w:rsidRPr="005A6293">
        <w:t xml:space="preserve">increasing equalized attendance rates, girls still faced higher barriers to education on account of their gender. </w:t>
      </w:r>
    </w:p>
    <w:p w14:paraId="6101FABC" w14:textId="229209C1" w:rsidR="00082233" w:rsidRPr="005A6293" w:rsidRDefault="00082233" w:rsidP="0068257B">
      <w:pPr>
        <w:spacing w:line="480" w:lineRule="auto"/>
      </w:pPr>
      <w:r w:rsidRPr="005A6293">
        <w:tab/>
        <w:t xml:space="preserve">Institutionalized gender hierarchies, combined with racist intentions, resulted in inferior education for Kenyan women under the colonial government. These implicit gender hierarchies shaped by Western ideals, created </w:t>
      </w:r>
      <w:r w:rsidR="00272DFA" w:rsidRPr="005A6293">
        <w:t>a system of education that worked</w:t>
      </w:r>
      <w:r w:rsidRPr="005A6293">
        <w:t xml:space="preserve"> to subordinate African women. This relationship between gender and education in the colonial era had profound implications for colonial economics and politics. As Chege and Sifuna state, “since the colonial capitalist economy was designed around racial and gender ideologies of oppression and exploitation, the African women, more than their </w:t>
      </w:r>
      <w:r w:rsidRPr="005A6293">
        <w:lastRenderedPageBreak/>
        <w:t>male counterparts, were systematically and deliberately sidelined in the provision of education and in all sectors of social and economic development</w:t>
      </w:r>
      <w:r w:rsidR="00472C1F" w:rsidRPr="005A6293">
        <w:t>”</w:t>
      </w:r>
      <w:r w:rsidRPr="005A6293">
        <w:t>.</w:t>
      </w:r>
      <w:r w:rsidR="00272E9F" w:rsidRPr="005A6293">
        <w:rPr>
          <w:rStyle w:val="FootnoteReference"/>
        </w:rPr>
        <w:footnoteReference w:id="154"/>
      </w:r>
      <w:r w:rsidRPr="005A6293">
        <w:t xml:space="preserve"> </w:t>
      </w:r>
    </w:p>
    <w:p w14:paraId="4D6A0D0D" w14:textId="18BBF824" w:rsidR="003530DF" w:rsidRPr="005A6293" w:rsidRDefault="003530DF" w:rsidP="0013708C">
      <w:pPr>
        <w:spacing w:line="480" w:lineRule="auto"/>
      </w:pPr>
      <w:r w:rsidRPr="005A6293">
        <w:tab/>
        <w:t xml:space="preserve">The </w:t>
      </w:r>
      <w:r w:rsidR="00C859C6">
        <w:t>relationship between education and gender</w:t>
      </w:r>
      <w:r w:rsidRPr="005A6293">
        <w:t xml:space="preserve"> </w:t>
      </w:r>
      <w:r w:rsidR="00C859C6">
        <w:t>is best demonstrated by</w:t>
      </w:r>
      <w:r w:rsidRPr="005A6293">
        <w:t xml:space="preserve"> the four markers: access, attainment, achievement, and accomplishment. Access and attainment can be analyzed by demonstrating female enrollment, attendance, and inequality in education. While there are few statistics for enrollment and attendance before the second half of the 20</w:t>
      </w:r>
      <w:r w:rsidRPr="005A6293">
        <w:rPr>
          <w:vertAlign w:val="superscript"/>
        </w:rPr>
        <w:t>th</w:t>
      </w:r>
      <w:r w:rsidRPr="005A6293">
        <w:t xml:space="preserve"> century, Furley and Watson do provide some insight to female enrollment and attendance throughout the colonial period. Between 1935 and 1939, African enrollment in primary schools rose from 96,418 pupils to 131,353 pupils, consisting of male attendance rising from 67,074 to 88,454 and female attendance rising from 29,344 to 42,899.</w:t>
      </w:r>
      <w:r w:rsidR="00F05C81" w:rsidRPr="005A6293">
        <w:rPr>
          <w:rStyle w:val="FootnoteReference"/>
        </w:rPr>
        <w:footnoteReference w:id="155"/>
      </w:r>
      <w:r w:rsidRPr="005A6293">
        <w:t xml:space="preserve"> Female attendance was roughly half of male attendance. Even by independence, girls’ enrollment in primary school was still well below males’ attendance. Furley and Watson note that in 1963, there were 81,326 males enrolled in primary school, and only 51,862 females.</w:t>
      </w:r>
      <w:r w:rsidR="00F05C81" w:rsidRPr="005A6293">
        <w:rPr>
          <w:rStyle w:val="FootnoteReference"/>
        </w:rPr>
        <w:footnoteReference w:id="156"/>
      </w:r>
      <w:r w:rsidRPr="005A6293">
        <w:t xml:space="preserve"> Additionally, as the level of schooling increased, the gap between male and female attainment widen; females attained less years of schooling that males did. Therefore, females lagged behind males in regards to access and attainment of education throughout the colonial period. </w:t>
      </w:r>
    </w:p>
    <w:p w14:paraId="793DEE46" w14:textId="7A6BF582" w:rsidR="003530DF" w:rsidRPr="005A6293" w:rsidRDefault="003530DF" w:rsidP="0013708C">
      <w:pPr>
        <w:spacing w:line="480" w:lineRule="auto"/>
        <w:ind w:firstLine="720"/>
      </w:pPr>
      <w:r w:rsidRPr="005A6293">
        <w:t xml:space="preserve">Similarly, females lagged behind in achievement within education and accomplishment after education. The biggest hindrance to female achievement within education was the result of gender-biased curriculum and teacher attitudes. Curriculum was specifically tailored based off gender norms. Within missionary schools, “the </w:t>
      </w:r>
      <w:r w:rsidRPr="005A6293">
        <w:lastRenderedPageBreak/>
        <w:t>Christian missionaries, therefore, favoured the exclusion of women from work outside the home, a tendency that resulted in the development of a gendered curriculum for boys and girls respectively”.</w:t>
      </w:r>
      <w:r w:rsidR="00F05C81" w:rsidRPr="005A6293">
        <w:rPr>
          <w:rStyle w:val="FootnoteReference"/>
        </w:rPr>
        <w:footnoteReference w:id="157"/>
      </w:r>
      <w:r w:rsidRPr="005A6293">
        <w:t xml:space="preserve"> Additionally, government funded schools did not fare much better, as curriculum in these schools was also gendered. The main preoccupation with educating African women in colonial Kenya was so that educated men could have educated wives or so that women could take up “feminine” occupations in the formal wage sector. Therefore, African females were marginalized in education due to the curriculum imposed on them due specifically to their gender. Furthermore, accomplishment outside of education was also tailored by gender, due to the sexual division of labor. </w:t>
      </w:r>
    </w:p>
    <w:p w14:paraId="23FCE76C" w14:textId="11D7275C" w:rsidR="00082233" w:rsidRPr="005A6293" w:rsidRDefault="00B877FD" w:rsidP="0068257B">
      <w:pPr>
        <w:spacing w:line="480" w:lineRule="auto"/>
        <w:rPr>
          <w:b/>
        </w:rPr>
      </w:pPr>
      <w:r w:rsidRPr="005A6293">
        <w:rPr>
          <w:b/>
        </w:rPr>
        <w:t>Economic Interaction</w:t>
      </w:r>
    </w:p>
    <w:p w14:paraId="5DEC2518" w14:textId="4757E222" w:rsidR="00B877FD" w:rsidRPr="005A6293" w:rsidRDefault="00B877FD" w:rsidP="0068257B">
      <w:pPr>
        <w:spacing w:line="480" w:lineRule="auto"/>
        <w:rPr>
          <w:i/>
        </w:rPr>
      </w:pPr>
      <w:r w:rsidRPr="005A6293">
        <w:rPr>
          <w:i/>
        </w:rPr>
        <w:t>The Economy</w:t>
      </w:r>
    </w:p>
    <w:p w14:paraId="3846EE01" w14:textId="34CD4262" w:rsidR="00082233" w:rsidRPr="005A6293" w:rsidRDefault="00082233" w:rsidP="0068257B">
      <w:pPr>
        <w:spacing w:line="480" w:lineRule="auto"/>
      </w:pPr>
      <w:r w:rsidRPr="005A6293">
        <w:tab/>
      </w:r>
      <w:r w:rsidR="002A60B0" w:rsidRPr="005A6293">
        <w:t xml:space="preserve">When British colonist </w:t>
      </w:r>
      <w:r w:rsidR="00AC7AD1" w:rsidRPr="005A6293">
        <w:t>took over Kenya</w:t>
      </w:r>
      <w:r w:rsidRPr="005A6293">
        <w:t>, the economy in Kenya shifted dramatically. The Kenyan economy changed from a “web of subsistence economies” under the pre-colonial period, to one unified economy controlled by the colo</w:t>
      </w:r>
      <w:r w:rsidR="00472C1F" w:rsidRPr="005A6293">
        <w:t>nial government</w:t>
      </w:r>
      <w:r w:rsidRPr="005A6293">
        <w:t>.</w:t>
      </w:r>
      <w:r w:rsidR="00272E9F" w:rsidRPr="005A6293">
        <w:rPr>
          <w:rStyle w:val="FootnoteReference"/>
        </w:rPr>
        <w:footnoteReference w:id="158"/>
      </w:r>
      <w:r w:rsidRPr="005A6293">
        <w:t xml:space="preserve"> The unified economy was starkly different from the previous economy due to the demand for massive amounts of wage labor. Previously, Kenyan economies were dominated by agriculture or pastoral herding. Instead, the Colonial Office and European settlers viewed Africans “as a resource to be exploited, not as having rights equal to those of the Eu</w:t>
      </w:r>
      <w:r w:rsidR="00472C1F" w:rsidRPr="005A6293">
        <w:t>ropean settlers”</w:t>
      </w:r>
      <w:r w:rsidRPr="005A6293">
        <w:t>.</w:t>
      </w:r>
      <w:r w:rsidR="00272E9F" w:rsidRPr="005A6293">
        <w:rPr>
          <w:rStyle w:val="FootnoteReference"/>
        </w:rPr>
        <w:footnoteReference w:id="159"/>
      </w:r>
      <w:r w:rsidRPr="005A6293">
        <w:t xml:space="preserve"> Therefore, the Europeans employed multiple </w:t>
      </w:r>
      <w:r w:rsidRPr="005A6293">
        <w:lastRenderedPageBreak/>
        <w:t>tactics to induce Africans to e</w:t>
      </w:r>
      <w:r w:rsidR="004D7799" w:rsidRPr="005A6293">
        <w:t>nter into the formal wage and</w:t>
      </w:r>
      <w:r w:rsidRPr="005A6293">
        <w:t xml:space="preserve"> agriculture sector. </w:t>
      </w:r>
      <w:r w:rsidR="000C1A32" w:rsidRPr="005A6293">
        <w:t xml:space="preserve">The typical means of production based off ethnicity group was disrupted by the introduction of large-scale settler agriculture, which was the backbone of the settler community and, therefore, the Colonial Office. </w:t>
      </w:r>
      <w:r w:rsidRPr="005A6293">
        <w:t>When the Europeans settled in Kenya, they took over a large portion of highly prosperous agriculture lands, which later came to be known as the White Highlands. Due to the large</w:t>
      </w:r>
      <w:r w:rsidR="004239C0" w:rsidRPr="005A6293">
        <w:t xml:space="preserve"> amount of agriculture land </w:t>
      </w:r>
      <w:r w:rsidRPr="005A6293">
        <w:t xml:space="preserve">owned by many Europeans, settlers demanded workers to help with farming. Working on European farms or farming cash-crops became the </w:t>
      </w:r>
      <w:r w:rsidR="00223D73" w:rsidRPr="005A6293">
        <w:t>dominant</w:t>
      </w:r>
      <w:r w:rsidRPr="005A6293">
        <w:t xml:space="preserve"> form of economic participation in the center of Kenya. </w:t>
      </w:r>
    </w:p>
    <w:p w14:paraId="1425790D" w14:textId="36FB3606" w:rsidR="00082233" w:rsidRPr="005A6293" w:rsidRDefault="00082233" w:rsidP="0068257B">
      <w:pPr>
        <w:spacing w:line="480" w:lineRule="auto"/>
        <w:ind w:firstLine="720"/>
      </w:pPr>
      <w:r w:rsidRPr="005A6293">
        <w:t>Du</w:t>
      </w:r>
      <w:r w:rsidR="00545F7A" w:rsidRPr="005A6293">
        <w:t>ring the colonial period</w:t>
      </w:r>
      <w:r w:rsidRPr="005A6293">
        <w:t>, the economy was dominated by wage labor. There are three key reasons for the switch to wage labor: demands for cheap labor from white settlers, new taxation, and colonial domination. The first reason for the increased demand in wage labor was the demand for cheap labor from white settlers on farms. As a settler economy, Kenya saw an influx of white settlers during the colonial period who enacted a policy of land alienation.</w:t>
      </w:r>
      <w:r w:rsidR="003C79A3" w:rsidRPr="005A6293">
        <w:rPr>
          <w:rStyle w:val="FootnoteReference"/>
        </w:rPr>
        <w:footnoteReference w:id="160"/>
      </w:r>
      <w:r w:rsidRPr="005A6293">
        <w:t xml:space="preserve"> White settlers took highly productive agriculture land in the Kenyan Rift valley area, amounting to roughly 7% of land transferred to European farmers.</w:t>
      </w:r>
      <w:r w:rsidR="00272E9F" w:rsidRPr="005A6293">
        <w:rPr>
          <w:rStyle w:val="FootnoteReference"/>
        </w:rPr>
        <w:footnoteReference w:id="161"/>
      </w:r>
      <w:r w:rsidRPr="005A6293">
        <w:t xml:space="preserve"> Land transfers increased wage labor through two avenues. Primarily, land transfer increased demand for wage labor because European farmers desired cheap labor for their farms. Secondly, land transfers increased wage labor </w:t>
      </w:r>
      <w:r w:rsidRPr="005A6293">
        <w:lastRenderedPageBreak/>
        <w:t xml:space="preserve">because previous land owners could no longer engage in productive agriculture or herding without their land. </w:t>
      </w:r>
    </w:p>
    <w:p w14:paraId="7CA1B5A5" w14:textId="22A65E8C" w:rsidR="00082233" w:rsidRPr="005A6293" w:rsidRDefault="00082233" w:rsidP="0068257B">
      <w:pPr>
        <w:spacing w:line="480" w:lineRule="auto"/>
      </w:pPr>
      <w:r w:rsidRPr="005A6293">
        <w:tab/>
        <w:t xml:space="preserve">The second reason for the increased demand in wage labor was the colonial taxation policy. </w:t>
      </w:r>
      <w:r w:rsidR="000C1A32" w:rsidRPr="005A6293">
        <w:t xml:space="preserve">The colonial government induced Africans into wage labor and to work on European farms through different measures, such as the Hut Tax. </w:t>
      </w:r>
      <w:r w:rsidRPr="005A6293">
        <w:t>Starting in 1901, the colonial government started levying a Hut Tax on the African population to fund the colonial govern</w:t>
      </w:r>
      <w:r w:rsidR="00842415" w:rsidRPr="005A6293">
        <w:t>ment</w:t>
      </w:r>
      <w:r w:rsidRPr="005A6293">
        <w:t>.</w:t>
      </w:r>
      <w:r w:rsidR="00272E9F" w:rsidRPr="005A6293">
        <w:rPr>
          <w:rStyle w:val="FootnoteReference"/>
        </w:rPr>
        <w:footnoteReference w:id="162"/>
      </w:r>
      <w:r w:rsidRPr="005A6293">
        <w:t xml:space="preserve"> Direct taxation on Kenyans provided the largest amount of revenue to the colonial government.</w:t>
      </w:r>
      <w:r w:rsidR="00272E9F" w:rsidRPr="005A6293">
        <w:rPr>
          <w:rStyle w:val="FootnoteReference"/>
        </w:rPr>
        <w:footnoteReference w:id="163"/>
      </w:r>
      <w:r w:rsidR="000C1A32" w:rsidRPr="005A6293">
        <w:t xml:space="preserve"> </w:t>
      </w:r>
      <w:r w:rsidRPr="005A6293">
        <w:t xml:space="preserve">In order to pay the Hut Tax, many male Africans turned to wage labor to increase income for their household. Females often took over household jobs previously managed by males to compensate for the loss in household labor. Therefore, taxation increased wage labor by shifting male laborers out of the house, which often lead to a greater burden of household labor on females. </w:t>
      </w:r>
    </w:p>
    <w:p w14:paraId="62C2778C" w14:textId="6A67EADC" w:rsidR="00082233" w:rsidRPr="005A6293" w:rsidRDefault="00082233" w:rsidP="0068257B">
      <w:pPr>
        <w:spacing w:line="480" w:lineRule="auto"/>
      </w:pPr>
      <w:r w:rsidRPr="005A6293">
        <w:tab/>
        <w:t>The final reason for the increased demand in wage labor ties to the colonial government’s legitimacy and control. As Lonsdale and Berman indicate, “the legitimacy of the colonial state was hitched to the ox-cart of African accumulat</w:t>
      </w:r>
      <w:r w:rsidR="00842415" w:rsidRPr="005A6293">
        <w:t>ion”</w:t>
      </w:r>
      <w:r w:rsidRPr="005A6293">
        <w:t>.</w:t>
      </w:r>
      <w:r w:rsidR="00272E9F" w:rsidRPr="005A6293">
        <w:rPr>
          <w:rStyle w:val="FootnoteReference"/>
        </w:rPr>
        <w:footnoteReference w:id="164"/>
      </w:r>
      <w:r w:rsidRPr="005A6293">
        <w:t xml:space="preserve"> The colonial government exerted control over Kenyans</w:t>
      </w:r>
      <w:r w:rsidR="00703DD1" w:rsidRPr="005A6293">
        <w:t xml:space="preserve"> through the growth and regulation</w:t>
      </w:r>
      <w:r w:rsidRPr="005A6293">
        <w:t xml:space="preserve"> of the wage labor market. Power over the wage labor market also helped boost the legitimacy of the colonial state. Therefore, the expansion of the market fed back into British colonial power over Kenya</w:t>
      </w:r>
      <w:r w:rsidR="00C565DC" w:rsidRPr="005A6293">
        <w:t>, which is why the government cultivated it</w:t>
      </w:r>
      <w:r w:rsidRPr="005A6293">
        <w:t xml:space="preserve">. </w:t>
      </w:r>
    </w:p>
    <w:p w14:paraId="59711265" w14:textId="20EC135F" w:rsidR="00082233" w:rsidRPr="005A6293" w:rsidRDefault="00082233" w:rsidP="0068257B">
      <w:pPr>
        <w:spacing w:line="480" w:lineRule="auto"/>
      </w:pPr>
      <w:r w:rsidRPr="005A6293">
        <w:lastRenderedPageBreak/>
        <w:tab/>
        <w:t xml:space="preserve">While the shift to a market dominated by wage labor was a key difference between the pre-colonial economy and the colonial economy, two other changes to the economy must be noted. The first change is the racial distinction in labor. </w:t>
      </w:r>
      <w:r w:rsidR="00812787" w:rsidRPr="005A6293">
        <w:t>Racial segregation was a tool utilized to encourage wage labor from Africans.</w:t>
      </w:r>
      <w:r w:rsidR="00812787" w:rsidRPr="005A6293">
        <w:rPr>
          <w:rStyle w:val="FootnoteReference"/>
        </w:rPr>
        <w:footnoteReference w:id="165"/>
      </w:r>
      <w:r w:rsidR="00812787" w:rsidRPr="005A6293">
        <w:t xml:space="preserve"> </w:t>
      </w:r>
      <w:r w:rsidRPr="005A6293">
        <w:t>I have already touched on the differentiation between European farm owners and African labors, but a third dimension is introduced with Asian contracted labor. Similar to the education system, labor was hierarchical with white labor at the top, Asian labor in the middle, and African labor at the bottom. For example, “around 1908 a Swahili carpenter was reported to earn 8 to 16 pence per working day. An Indian carpenter would make circa 36 pence (3 shillings) and a European carpenter, depending on his skills and experience, 48 to 80 pence”.</w:t>
      </w:r>
      <w:r w:rsidR="00272E9F" w:rsidRPr="005A6293">
        <w:rPr>
          <w:rStyle w:val="FootnoteReference"/>
        </w:rPr>
        <w:footnoteReference w:id="166"/>
      </w:r>
      <w:r w:rsidRPr="005A6293">
        <w:t xml:space="preserve"> Therefore, while wage labor was introduced in Kenya under the colonial system, Africans were introduced to a system that relegated their labor as worth less than the non-native laborers. </w:t>
      </w:r>
    </w:p>
    <w:p w14:paraId="61DB930B" w14:textId="1ABACFD9" w:rsidR="00082233" w:rsidRPr="005A6293" w:rsidRDefault="00082233" w:rsidP="0068257B">
      <w:pPr>
        <w:spacing w:line="480" w:lineRule="auto"/>
        <w:rPr>
          <w:iCs/>
        </w:rPr>
      </w:pPr>
      <w:r w:rsidRPr="005A6293">
        <w:tab/>
        <w:t>The last major change to the economy was the alteration i</w:t>
      </w:r>
      <w:r w:rsidR="003751F5" w:rsidRPr="005A6293">
        <w:t>n the sexual division of labor</w:t>
      </w:r>
      <w:r w:rsidRPr="005A6293">
        <w:t xml:space="preserve">. As noted earlier, males tended to go into wage labor while females tended to increase household labor to compensate for lost labor. This is not to say that females were excluded completely </w:t>
      </w:r>
      <w:r w:rsidR="00420475" w:rsidRPr="005A6293">
        <w:t>from wage labor, but rather that</w:t>
      </w:r>
      <w:r w:rsidRPr="005A6293">
        <w:t xml:space="preserve"> the interaction of gender dynamics and colonial desire for cheap labor often resulting in “female participation mostly in reproductive services at the family level and the provision of casual labour for large farms and plantations</w:t>
      </w:r>
      <w:r w:rsidR="00842415" w:rsidRPr="005A6293">
        <w:t>”</w:t>
      </w:r>
      <w:r w:rsidRPr="005A6293">
        <w:t>.</w:t>
      </w:r>
      <w:r w:rsidR="00272E9F" w:rsidRPr="005A6293">
        <w:rPr>
          <w:rStyle w:val="FootnoteReference"/>
        </w:rPr>
        <w:footnoteReference w:id="167"/>
      </w:r>
      <w:r w:rsidRPr="005A6293">
        <w:t xml:space="preserve"> When females did participate in the labor market, there </w:t>
      </w:r>
      <w:r w:rsidRPr="005A6293">
        <w:lastRenderedPageBreak/>
        <w:t>were only a few jobs available to women due to the feminization of particular j</w:t>
      </w:r>
      <w:r w:rsidR="00842415" w:rsidRPr="005A6293">
        <w:t>obs</w:t>
      </w:r>
      <w:r w:rsidR="00EC2D82" w:rsidRPr="005A6293">
        <w:t>, such as nurses</w:t>
      </w:r>
      <w:r w:rsidR="006E4C46" w:rsidRPr="005A6293">
        <w:t>, schoolmistresses and secretaries</w:t>
      </w:r>
      <w:r w:rsidRPr="005A6293">
        <w:t>.</w:t>
      </w:r>
      <w:r w:rsidR="00272E9F" w:rsidRPr="005A6293">
        <w:rPr>
          <w:rStyle w:val="FootnoteReference"/>
        </w:rPr>
        <w:footnoteReference w:id="168"/>
      </w:r>
      <w:r w:rsidR="00BE6759" w:rsidRPr="005A6293">
        <w:t xml:space="preserve"> </w:t>
      </w:r>
      <w:r w:rsidR="009D0DEB" w:rsidRPr="005A6293">
        <w:t>Due to the lack of formal employment opportunities, women who needed to sustain themselves in larger cities often turned to prostitution.</w:t>
      </w:r>
      <w:r w:rsidR="009D0DEB" w:rsidRPr="005A6293">
        <w:rPr>
          <w:rStyle w:val="FootnoteReference"/>
        </w:rPr>
        <w:footnoteReference w:id="169"/>
      </w:r>
      <w:r w:rsidR="009D0DEB" w:rsidRPr="005A6293">
        <w:t xml:space="preserve"> </w:t>
      </w:r>
      <w:r w:rsidR="00375654" w:rsidRPr="005A6293">
        <w:t>Victorian gender ideals le</w:t>
      </w:r>
      <w:r w:rsidRPr="005A6293">
        <w:t>d colonizers to believe that “women’s vocation as being wives, mothers, and housekeepers</w:t>
      </w:r>
      <w:r w:rsidR="003F3051" w:rsidRPr="005A6293">
        <w:rPr>
          <w:iCs/>
        </w:rPr>
        <w:t>”</w:t>
      </w:r>
      <w:r w:rsidR="00962386" w:rsidRPr="005A6293">
        <w:rPr>
          <w:iCs/>
        </w:rPr>
        <w:t xml:space="preserve"> was the most important</w:t>
      </w:r>
      <w:r w:rsidR="00146CF8" w:rsidRPr="005A6293">
        <w:rPr>
          <w:iCs/>
        </w:rPr>
        <w:t xml:space="preserve"> aspect of </w:t>
      </w:r>
      <w:r w:rsidR="0026606E" w:rsidRPr="005A6293">
        <w:rPr>
          <w:iCs/>
        </w:rPr>
        <w:t>womanhood</w:t>
      </w:r>
      <w:r w:rsidRPr="005A6293">
        <w:rPr>
          <w:iCs/>
        </w:rPr>
        <w:t>.</w:t>
      </w:r>
      <w:r w:rsidR="00272E9F" w:rsidRPr="005A6293">
        <w:rPr>
          <w:rStyle w:val="FootnoteReference"/>
          <w:iCs/>
        </w:rPr>
        <w:footnoteReference w:id="170"/>
      </w:r>
      <w:r w:rsidRPr="005A6293">
        <w:rPr>
          <w:iCs/>
        </w:rPr>
        <w:t xml:space="preserve"> Therefore, although the colonial period increased the types of jobs Africans could occupy, women generally did not gain more opportunities through wage labor but rather more opportunities through an increase in household labor due to compensation for lost labor.  </w:t>
      </w:r>
    </w:p>
    <w:p w14:paraId="3FA4EB7B" w14:textId="6AD7D36D" w:rsidR="00082233" w:rsidRPr="005A6293" w:rsidRDefault="00B877FD" w:rsidP="0068257B">
      <w:pPr>
        <w:spacing w:line="480" w:lineRule="auto"/>
        <w:rPr>
          <w:i/>
          <w:iCs/>
        </w:rPr>
      </w:pPr>
      <w:r w:rsidRPr="005A6293">
        <w:rPr>
          <w:i/>
          <w:iCs/>
        </w:rPr>
        <w:t>Economic Measure</w:t>
      </w:r>
    </w:p>
    <w:p w14:paraId="7F9A5A59" w14:textId="4A15EBA8" w:rsidR="00082233" w:rsidRPr="005A6293" w:rsidRDefault="00082233" w:rsidP="0013708C">
      <w:pPr>
        <w:spacing w:line="480" w:lineRule="auto"/>
      </w:pPr>
      <w:r w:rsidRPr="005A6293">
        <w:tab/>
        <w:t>The changing economy impacted the sexual division of labor. As Charles Hornsby noted, “pre-colonial labour in all Kenyan communities was divided by gender, with men generally responsible for cattle-keeping, hunting, land clearance and war, and women for agriculture, cooking an</w:t>
      </w:r>
      <w:r w:rsidR="00163509" w:rsidRPr="005A6293">
        <w:t>d child rearing”</w:t>
      </w:r>
      <w:r w:rsidRPr="005A6293">
        <w:t>.</w:t>
      </w:r>
      <w:r w:rsidR="00272E9F" w:rsidRPr="005A6293">
        <w:rPr>
          <w:rStyle w:val="FootnoteReference"/>
        </w:rPr>
        <w:footnoteReference w:id="171"/>
      </w:r>
      <w:r w:rsidR="002167D6" w:rsidRPr="005A6293">
        <w:t xml:space="preserve"> E</w:t>
      </w:r>
      <w:r w:rsidRPr="005A6293">
        <w:t>thnic groups were involved in a multitude of economic occupations, such as the Kamba with ivory trading, the Kalenjin with both farming groups as well as pastoralists, the Maasai with nomadic cattle herding and military occupations an</w:t>
      </w:r>
      <w:r w:rsidR="002167D6" w:rsidRPr="005A6293">
        <w:t>d the Kikuyu with agriculture. T</w:t>
      </w:r>
      <w:r w:rsidRPr="005A6293">
        <w:t>he sexual division of labor was present in all Kenyan communities. However, the sexual divisi</w:t>
      </w:r>
      <w:r w:rsidR="0023353E" w:rsidRPr="005A6293">
        <w:t>on of labor was altered and continually</w:t>
      </w:r>
      <w:r w:rsidRPr="005A6293">
        <w:t xml:space="preserve"> reinforced under the colonial administration. The largest impact to the sexual division of labor came fr</w:t>
      </w:r>
      <w:r w:rsidR="008F5D7D" w:rsidRPr="005A6293">
        <w:t xml:space="preserve">om the dominance of wage labor, which created a </w:t>
      </w:r>
      <w:r w:rsidR="008F5D7D" w:rsidRPr="005A6293">
        <w:lastRenderedPageBreak/>
        <w:t>scenario where</w:t>
      </w:r>
      <w:r w:rsidRPr="005A6293">
        <w:t xml:space="preserve"> “Africans were encouraged or forced to sell labor by taxation, low wages, direct coercion, bans on cash-crop growing and the opportunity to pur</w:t>
      </w:r>
      <w:r w:rsidR="00163509" w:rsidRPr="005A6293">
        <w:t>chase new goods”.</w:t>
      </w:r>
      <w:r w:rsidR="00272E9F" w:rsidRPr="005A6293">
        <w:rPr>
          <w:rStyle w:val="FootnoteReference"/>
        </w:rPr>
        <w:footnoteReference w:id="172"/>
      </w:r>
      <w:r w:rsidR="00DB3475" w:rsidRPr="005A6293">
        <w:t xml:space="preserve"> This le</w:t>
      </w:r>
      <w:r w:rsidRPr="005A6293">
        <w:t>d to roughly one-fifth of the adult, male population participation in the</w:t>
      </w:r>
      <w:r w:rsidR="00163509" w:rsidRPr="005A6293">
        <w:t xml:space="preserve"> labor force by 1920</w:t>
      </w:r>
      <w:r w:rsidRPr="005A6293">
        <w:t>.</w:t>
      </w:r>
      <w:r w:rsidR="00272E9F" w:rsidRPr="005A6293">
        <w:rPr>
          <w:rStyle w:val="FootnoteReference"/>
        </w:rPr>
        <w:footnoteReference w:id="173"/>
      </w:r>
      <w:r w:rsidRPr="005A6293">
        <w:t xml:space="preserve"> At the time, wage labor was tied primarily to the male gender and, therefore, had consequences on both genders. Males left occupations they controlled in the past to seek wage employment, many times to pay for the hut tax. In their absence, females took on occupations typically reserved for males, and in the process women multiplied their labor while they simultaneously were excluded largely from the formal labor force. </w:t>
      </w:r>
    </w:p>
    <w:p w14:paraId="5F890649" w14:textId="113AE18D" w:rsidR="00082233" w:rsidRPr="005A6293" w:rsidRDefault="00082233" w:rsidP="0068257B">
      <w:pPr>
        <w:spacing w:line="480" w:lineRule="auto"/>
      </w:pPr>
      <w:r w:rsidRPr="005A6293">
        <w:tab/>
        <w:t>In tandem with the impact of wage labor, the sexual division of labor was nurtured through the education system. As addressed earlier, certain occupations or fields of employment were specifically gendered throughout the education system. Some j</w:t>
      </w:r>
      <w:r w:rsidR="00585FBA" w:rsidRPr="005A6293">
        <w:t>obs were deemed as “feminine” and</w:t>
      </w:r>
      <w:r w:rsidRPr="005A6293">
        <w:t xml:space="preserve"> women, if they received any encouragement at all to enter the workforce, were directed to th</w:t>
      </w:r>
      <w:r w:rsidR="003D235E" w:rsidRPr="005A6293">
        <w:t xml:space="preserve">ese occupations. However, </w:t>
      </w:r>
      <w:r w:rsidRPr="005A6293">
        <w:t xml:space="preserve">education </w:t>
      </w:r>
      <w:r w:rsidR="003D235E" w:rsidRPr="005A6293">
        <w:t xml:space="preserve">often </w:t>
      </w:r>
      <w:r w:rsidRPr="005A6293">
        <w:t xml:space="preserve">highlighted the importance of women’s reproductive roles rather than their productive roles. Therefore, while the reality of wage labor shifted the sexual division of labor and erected barriers to women in wage labor (the formal labor sector), the sexual division of labor was also influenced by gender norms that were implicitly and explicitly woven throughout education. </w:t>
      </w:r>
    </w:p>
    <w:p w14:paraId="26C30566" w14:textId="16350D3C" w:rsidR="00082233" w:rsidRPr="005A6293" w:rsidRDefault="00082233" w:rsidP="0068257B">
      <w:pPr>
        <w:spacing w:line="480" w:lineRule="auto"/>
      </w:pPr>
      <w:r w:rsidRPr="005A6293">
        <w:tab/>
        <w:t>The relationship betw</w:t>
      </w:r>
      <w:r w:rsidR="005A389B" w:rsidRPr="005A6293">
        <w:t>een the economy, education</w:t>
      </w:r>
      <w:r w:rsidRPr="005A6293">
        <w:t xml:space="preserve"> and gender reveals that African women were often marginalized due to their </w:t>
      </w:r>
      <w:r w:rsidR="005A389B" w:rsidRPr="005A6293">
        <w:t xml:space="preserve">gender </w:t>
      </w:r>
      <w:r w:rsidRPr="005A6293">
        <w:t xml:space="preserve">within education and within the economy. Gender norms in the education system resulted in inferior </w:t>
      </w:r>
      <w:r w:rsidRPr="005A6293">
        <w:lastRenderedPageBreak/>
        <w:t>education for African women. Likewise, gender norms in society resulted in fewer employment opportunities for women both because of limited education as well as due to the assumption that women should only work in “feminine” jobs. This created a cycle, where women struggle to get education, resulting in less economic opportunities, resulting in the notion that women do not need the education required of skilled workers because they do not obtain high employment</w:t>
      </w:r>
      <w:r w:rsidR="004C60EC" w:rsidRPr="005A6293">
        <w:t xml:space="preserve"> rates</w:t>
      </w:r>
      <w:r w:rsidR="007C0F30" w:rsidRPr="005A6293">
        <w:t xml:space="preserve">. </w:t>
      </w:r>
      <w:r w:rsidR="00C43F64" w:rsidRPr="005A6293">
        <w:t>Therefore,</w:t>
      </w:r>
      <w:r w:rsidR="004D721D" w:rsidRPr="005A6293">
        <w:t xml:space="preserve"> gender norms within education impacted the economy as seen </w:t>
      </w:r>
      <w:r w:rsidR="00CF633A" w:rsidRPr="005A6293">
        <w:t>with</w:t>
      </w:r>
      <w:r w:rsidR="00D45326" w:rsidRPr="005A6293">
        <w:t xml:space="preserve"> how</w:t>
      </w:r>
      <w:r w:rsidR="004D721D" w:rsidRPr="005A6293">
        <w:t xml:space="preserve"> the sexual division of labor was constructed specifically due to education. </w:t>
      </w:r>
    </w:p>
    <w:p w14:paraId="22B2DC98" w14:textId="79C8C25E" w:rsidR="00082233" w:rsidRPr="005A6293" w:rsidRDefault="000D6FB4" w:rsidP="0068257B">
      <w:pPr>
        <w:spacing w:line="480" w:lineRule="auto"/>
        <w:rPr>
          <w:b/>
        </w:rPr>
      </w:pPr>
      <w:r w:rsidRPr="005A6293">
        <w:rPr>
          <w:b/>
        </w:rPr>
        <w:t>Political Interaction</w:t>
      </w:r>
    </w:p>
    <w:p w14:paraId="533A2C77" w14:textId="7EEEB695" w:rsidR="000D6FB4" w:rsidRPr="005A6293" w:rsidRDefault="00D50EA7" w:rsidP="0068257B">
      <w:pPr>
        <w:spacing w:line="480" w:lineRule="auto"/>
        <w:rPr>
          <w:i/>
        </w:rPr>
      </w:pPr>
      <w:r w:rsidRPr="005A6293">
        <w:rPr>
          <w:i/>
        </w:rPr>
        <w:t xml:space="preserve">Political </w:t>
      </w:r>
      <w:r w:rsidR="003419BE" w:rsidRPr="005A6293">
        <w:rPr>
          <w:i/>
        </w:rPr>
        <w:t>Structure</w:t>
      </w:r>
      <w:r w:rsidRPr="005A6293">
        <w:rPr>
          <w:i/>
        </w:rPr>
        <w:t xml:space="preserve"> </w:t>
      </w:r>
    </w:p>
    <w:p w14:paraId="42C57215" w14:textId="77777777" w:rsidR="00082233" w:rsidRPr="005A6293" w:rsidRDefault="00082233" w:rsidP="0068257B">
      <w:pPr>
        <w:spacing w:line="480" w:lineRule="auto"/>
      </w:pPr>
      <w:r w:rsidRPr="005A6293">
        <w:tab/>
        <w:t xml:space="preserve">British influence in Kenya began as early as 1888, with the arrival of the Imperial British East Africa Company. The borders around the majority of modern day Kenya were solidified with the establishment of the British East African Protectorate in 1895. Political control was given to the Colonial Office in 1905, and by 1920 the protectorate was officially renamed the Kenya Colony. Although borders, both internal and external, shifted throughout the period, the borders were more or less set by 1920. The internal borders were administrative boundaries erected by the British to maintain order by separating ethnic groups. Ethnicity has maintained a central role in politics since the colonial period, and the internal separation began the process of intertwining ethnic and political differences. </w:t>
      </w:r>
    </w:p>
    <w:p w14:paraId="2BB678AE" w14:textId="7A2A033E" w:rsidR="00082233" w:rsidRPr="005A6293" w:rsidRDefault="00082233" w:rsidP="0068257B">
      <w:pPr>
        <w:spacing w:line="480" w:lineRule="auto"/>
      </w:pPr>
      <w:r w:rsidRPr="005A6293">
        <w:tab/>
        <w:t>The imposition of British rule created a political structure that was dramatically different than pre-colonial Kenya. Prior to colonization, there was no overarching, trans-ethnic political structure</w:t>
      </w:r>
      <w:r w:rsidR="00D76F74" w:rsidRPr="005A6293">
        <w:t xml:space="preserve"> of the entire country</w:t>
      </w:r>
      <w:r w:rsidRPr="005A6293">
        <w:t xml:space="preserve">. Instead, authority was </w:t>
      </w:r>
      <w:r w:rsidR="002D6DDE" w:rsidRPr="005A6293">
        <w:t xml:space="preserve">often </w:t>
      </w:r>
      <w:r w:rsidRPr="005A6293">
        <w:lastRenderedPageBreak/>
        <w:t>personal and local, with chiefs or elders presiding over their local communities. These societies “were gerontocratic and relatively egalitarian, and all relations we</w:t>
      </w:r>
      <w:r w:rsidR="00163509" w:rsidRPr="005A6293">
        <w:t>re personalised”</w:t>
      </w:r>
      <w:r w:rsidRPr="005A6293">
        <w:t>.</w:t>
      </w:r>
      <w:r w:rsidR="004F2A11" w:rsidRPr="005A6293">
        <w:rPr>
          <w:rStyle w:val="FootnoteReference"/>
        </w:rPr>
        <w:footnoteReference w:id="174"/>
      </w:r>
      <w:r w:rsidRPr="005A6293">
        <w:t xml:space="preserve"> The British settlers replaced this model with a provincial administration, ruled over by provincial commissioners and district commissioners. This consolidation of power created a hierarchal structure, that gave prominence to the minority of white settlers and created only a few positions for Africans as local representatives with very little power. The state gave preference to the needs of white settlers above all other racial and ethnic groups in Kenya, which started a long trend of the state bowing to settlers’ demands. </w:t>
      </w:r>
      <w:r w:rsidR="00401364" w:rsidRPr="005A6293">
        <w:t>Most importantly, in 1906 the Legislative Council was created “to make laws and represent white settler opinion”.</w:t>
      </w:r>
      <w:r w:rsidR="00401364" w:rsidRPr="005A6293">
        <w:rPr>
          <w:rStyle w:val="FootnoteReference"/>
        </w:rPr>
        <w:footnoteReference w:id="175"/>
      </w:r>
      <w:r w:rsidR="00401364" w:rsidRPr="005A6293">
        <w:t xml:space="preserve"> </w:t>
      </w:r>
      <w:r w:rsidRPr="005A6293">
        <w:t>The polit</w:t>
      </w:r>
      <w:r w:rsidR="00F8763E">
        <w:t>ical structure of this period is</w:t>
      </w:r>
      <w:r w:rsidRPr="005A6293">
        <w:t xml:space="preserve"> often tied to the concept of “command and control” or delegated authority, where the European settlers largely ruled Kenya through top-down power that was mostly separate from the political structure in England. Throughout the colonial period, African political aspirations were directed at the Legislative Council, but Africans were not elected onto the council until 1957 in the buildup to independence. </w:t>
      </w:r>
    </w:p>
    <w:p w14:paraId="12407804" w14:textId="03F06184" w:rsidR="00082233" w:rsidRPr="005A6293" w:rsidRDefault="00082233" w:rsidP="0068257B">
      <w:pPr>
        <w:spacing w:line="480" w:lineRule="auto"/>
      </w:pPr>
      <w:r w:rsidRPr="005A6293">
        <w:tab/>
        <w:t xml:space="preserve">White settlers began to stream into Kenya in earnest after the end of WWI with the intent of creating a white state. They flooded into the White Highlands, an area of central Kenya where settlers took over prosperous agriculture land from many ethnic groups, including the: Nandi, Kalenjin, Maasai, Kikuyu, and Kamba. The intensification </w:t>
      </w:r>
      <w:r w:rsidR="00047DC7" w:rsidRPr="005A6293">
        <w:t>of land alienation after WWI le</w:t>
      </w:r>
      <w:r w:rsidRPr="005A6293">
        <w:t>d to Kiku</w:t>
      </w:r>
      <w:r w:rsidR="003519D0" w:rsidRPr="005A6293">
        <w:t>yu resistance, a tre</w:t>
      </w:r>
      <w:r w:rsidR="00047DC7" w:rsidRPr="005A6293">
        <w:t xml:space="preserve">nd </w:t>
      </w:r>
      <w:r w:rsidRPr="005A6293">
        <w:t>last</w:t>
      </w:r>
      <w:r w:rsidR="00047DC7" w:rsidRPr="005A6293">
        <w:t>ed</w:t>
      </w:r>
      <w:r w:rsidRPr="005A6293">
        <w:t xml:space="preserve"> throughout the colonial period. In 1921, the East African Association was founded as a Kikuyu-led </w:t>
      </w:r>
      <w:r w:rsidRPr="005A6293">
        <w:lastRenderedPageBreak/>
        <w:t>protest movement against aspects of British rule such as land alienation, the hut tax, wage cuts, restrictions on agriculture, and the lack of pol</w:t>
      </w:r>
      <w:r w:rsidR="00163509" w:rsidRPr="005A6293">
        <w:t>itical representation</w:t>
      </w:r>
      <w:r w:rsidRPr="005A6293">
        <w:t>.</w:t>
      </w:r>
      <w:r w:rsidR="004F2A11" w:rsidRPr="005A6293">
        <w:rPr>
          <w:rStyle w:val="FootnoteReference"/>
        </w:rPr>
        <w:footnoteReference w:id="176"/>
      </w:r>
      <w:r w:rsidR="00D475D8" w:rsidRPr="005A6293">
        <w:t xml:space="preserve"> Rising tension led</w:t>
      </w:r>
      <w:r w:rsidRPr="005A6293">
        <w:t xml:space="preserve"> to the Devonshire Declaration of 1923, where officials asserted that the interests of the African majority was paramount; however, in practice as well as</w:t>
      </w:r>
      <w:r w:rsidR="00F53C95" w:rsidRPr="005A6293">
        <w:t xml:space="preserve"> in</w:t>
      </w:r>
      <w:r w:rsidRPr="005A6293">
        <w:t xml:space="preserve"> many following policies, the interests of the white settlers </w:t>
      </w:r>
      <w:r w:rsidR="00F81A6A" w:rsidRPr="005A6293">
        <w:t>dominated political decisions throughout the period</w:t>
      </w:r>
      <w:r w:rsidRPr="005A6293">
        <w:t>. Tensions continued to grow resulting in protest movements among many ethnic groups, primarily the Kikuyu and Luo. In 1924/5, the Kikuyu Central Association (KCA) was formed with many of the same goals of the East African Association; however, the group also adopted the practice of “oaths of loyalty”, which became a widely used practice in the Mau Mau Uprising. Protest associations seemingly payed off when the colonial government introduced the local native councils (LNCs) in 1925 as a forum for African political interests that reported to the coveted Legislative Council. Although LNCs were critical to shaping and implementing African political and economic desires, t</w:t>
      </w:r>
      <w:r w:rsidR="007367BC" w:rsidRPr="005A6293">
        <w:t>he councils provided only a mirage</w:t>
      </w:r>
      <w:r w:rsidRPr="005A6293">
        <w:t xml:space="preserve"> of real political power. </w:t>
      </w:r>
    </w:p>
    <w:p w14:paraId="4E48EBE6" w14:textId="7D468F9E" w:rsidR="00082233" w:rsidRPr="005A6293" w:rsidRDefault="00082233" w:rsidP="0068257B">
      <w:pPr>
        <w:spacing w:line="480" w:lineRule="auto"/>
      </w:pPr>
      <w:r w:rsidRPr="005A6293">
        <w:tab/>
        <w:t>Many incidences shaped the African political movement in Kenya throughout the colonial period. Right before WWII, two major disputes centering on the Kikuyu emerged: the issue of female circumcision and the issue of squatters’ rights. First, in 1929 the issue of female circumcision among the Kikuyu came to a head, when missionaries campaigning</w:t>
      </w:r>
      <w:r w:rsidR="00FF642C" w:rsidRPr="005A6293">
        <w:t xml:space="preserve"> against female circumcision were</w:t>
      </w:r>
      <w:r w:rsidRPr="005A6293">
        <w:t xml:space="preserve"> met with opposition by the KCA and the general Kikuyu population. Female circumcision “became a symbol of Kikuyu dissent against colonial rules and the European churches”, and the movement of </w:t>
      </w:r>
      <w:r w:rsidRPr="005A6293">
        <w:lastRenderedPageBreak/>
        <w:t>independent schools and churches in the Kikuyu area expanded rapidly due to these breaks wit</w:t>
      </w:r>
      <w:r w:rsidR="00163509" w:rsidRPr="005A6293">
        <w:t>h Western powers</w:t>
      </w:r>
      <w:r w:rsidRPr="005A6293">
        <w:t>.</w:t>
      </w:r>
      <w:r w:rsidR="004F2A11" w:rsidRPr="005A6293">
        <w:rPr>
          <w:rStyle w:val="FootnoteReference"/>
        </w:rPr>
        <w:footnoteReference w:id="177"/>
      </w:r>
      <w:r w:rsidRPr="005A6293">
        <w:t xml:space="preserve"> Similarly, land rights became a huge issue in the struggle against the colonial state. In 1932, a Land Commission was set up to address claims on land by Africans against the government and white settlers. In 1933, the commission agreed that the re</w:t>
      </w:r>
      <w:r w:rsidR="004151B3" w:rsidRPr="005A6293">
        <w:t>port, put forth by the KCA and s</w:t>
      </w:r>
      <w:r w:rsidRPr="005A6293">
        <w:t>ome other sources, over the loss of some Kikuyu land to settlers was sufficient enough to grant some more land to the Kikuyu, but they still refused reimbursement as well as legal title to squatters</w:t>
      </w:r>
      <w:r w:rsidR="00163509" w:rsidRPr="005A6293">
        <w:t xml:space="preserve"> on settler land</w:t>
      </w:r>
      <w:r w:rsidRPr="005A6293">
        <w:t>.</w:t>
      </w:r>
      <w:r w:rsidR="004F2A11" w:rsidRPr="005A6293">
        <w:rPr>
          <w:rStyle w:val="FootnoteReference"/>
        </w:rPr>
        <w:footnoteReference w:id="178"/>
      </w:r>
      <w:r w:rsidRPr="005A6293">
        <w:t xml:space="preserve"> Additionally, after 1937, squatters were defined as laborers not tenants, which granted power to the white settlers instead of Africans. These two issues factored into the Mau Mau Uprising, and the eventual fight for independence. </w:t>
      </w:r>
    </w:p>
    <w:p w14:paraId="5E8EA41B" w14:textId="797BF638" w:rsidR="00082233" w:rsidRPr="005A6293" w:rsidRDefault="00082233" w:rsidP="0068257B">
      <w:pPr>
        <w:spacing w:line="480" w:lineRule="auto"/>
      </w:pPr>
      <w:r w:rsidRPr="005A6293">
        <w:tab/>
        <w:t>The twenty years between WWII and independence is notable for the increased voices of Africans in and about politics. Notably, in 1944 the first African was appointed (not elected)</w:t>
      </w:r>
      <w:r w:rsidR="00136268" w:rsidRPr="005A6293">
        <w:t xml:space="preserve"> to the Legislative Council; additionally</w:t>
      </w:r>
      <w:r w:rsidR="007D39A3" w:rsidRPr="005A6293">
        <w:t>,</w:t>
      </w:r>
      <w:r w:rsidRPr="005A6293">
        <w:t xml:space="preserve"> the Kenya African Union (KAU) was formed under the name of Kenya African St</w:t>
      </w:r>
      <w:r w:rsidR="00163509" w:rsidRPr="005A6293">
        <w:t>udy Union (KASU)</w:t>
      </w:r>
      <w:r w:rsidRPr="005A6293">
        <w:t>.</w:t>
      </w:r>
      <w:r w:rsidR="004F2A11" w:rsidRPr="005A6293">
        <w:rPr>
          <w:rStyle w:val="FootnoteReference"/>
        </w:rPr>
        <w:footnoteReference w:id="179"/>
      </w:r>
      <w:r w:rsidRPr="005A6293">
        <w:t xml:space="preserve"> The KAU and KCA began to merge in Kikuyu areas, with many of the members going on to be part of the Mau Mau Uprising. T</w:t>
      </w:r>
      <w:r w:rsidR="007D39A3" w:rsidRPr="005A6293">
        <w:t>he Mau Mau Uprising was influenced</w:t>
      </w:r>
      <w:r w:rsidRPr="005A6293">
        <w:t xml:space="preserve"> by the lack of legitimate avenues for protest, the tension over squatters’ rights and the growing numbers of landless, the clash of values through Western education institutions, and a ‘liberation theology’ preached in inde</w:t>
      </w:r>
      <w:r w:rsidR="00163509" w:rsidRPr="005A6293">
        <w:t>pendent churches</w:t>
      </w:r>
      <w:r w:rsidRPr="005A6293">
        <w:t>.</w:t>
      </w:r>
      <w:r w:rsidR="004F2A11" w:rsidRPr="005A6293">
        <w:rPr>
          <w:rStyle w:val="FootnoteReference"/>
        </w:rPr>
        <w:footnoteReference w:id="180"/>
      </w:r>
      <w:r w:rsidRPr="005A6293">
        <w:t xml:space="preserve"> All of these tensions lead to a “convergence of interest between squatters, the Central Province poor and Nair</w:t>
      </w:r>
      <w:r w:rsidR="00163509" w:rsidRPr="005A6293">
        <w:t xml:space="preserve">obi </w:t>
      </w:r>
      <w:r w:rsidR="00163509" w:rsidRPr="005A6293">
        <w:lastRenderedPageBreak/>
        <w:t>activists”</w:t>
      </w:r>
      <w:r w:rsidRPr="005A6293">
        <w:t>.</w:t>
      </w:r>
      <w:r w:rsidR="004F2A11" w:rsidRPr="005A6293">
        <w:rPr>
          <w:rStyle w:val="FootnoteReference"/>
        </w:rPr>
        <w:footnoteReference w:id="181"/>
      </w:r>
      <w:r w:rsidRPr="005A6293">
        <w:t xml:space="preserve"> The Mau Mau Uprising lasted from 1952-1955 and impacted independent schools and churches, many independent elites and leaders, and African nationalism. As many scholars note, the Mau Mau Uprising was instrumental in later Kenyan independence because it shattered the illusion of settler control and the desires for a white state. Although the government began political reforms to address some of the roots of the tension that burst in the Mau Mau Uprising, the political tide was already set and independence could be delayed but not stopped. The eight-year period between the Mau Mau Uprising and Kenyan independence was characterized by rapid political change that introduced more political rights to Africans. Eventually, Kenya gained independence in 1963 led by the first president of Kenya, Jomo Kenyatta. </w:t>
      </w:r>
    </w:p>
    <w:p w14:paraId="213A7993" w14:textId="0C498194" w:rsidR="00082233" w:rsidRPr="005A6293" w:rsidRDefault="00A110C7" w:rsidP="0068257B">
      <w:pPr>
        <w:spacing w:line="480" w:lineRule="auto"/>
        <w:rPr>
          <w:i/>
        </w:rPr>
      </w:pPr>
      <w:r w:rsidRPr="005A6293">
        <w:rPr>
          <w:i/>
        </w:rPr>
        <w:t>Political Measure</w:t>
      </w:r>
    </w:p>
    <w:p w14:paraId="5B56C71B" w14:textId="5D03D326" w:rsidR="00082233" w:rsidRPr="005A6293" w:rsidRDefault="00082233" w:rsidP="0068257B">
      <w:pPr>
        <w:spacing w:line="480" w:lineRule="auto"/>
      </w:pPr>
      <w:r w:rsidRPr="005A6293">
        <w:tab/>
      </w:r>
      <w:r w:rsidR="002B1BCA" w:rsidRPr="005A6293">
        <w:t>P</w:t>
      </w:r>
      <w:r w:rsidRPr="005A6293">
        <w:t>olitical policies</w:t>
      </w:r>
      <w:r w:rsidR="00C772FA" w:rsidRPr="005A6293">
        <w:t xml:space="preserve"> interacted with education</w:t>
      </w:r>
      <w:r w:rsidRPr="005A6293">
        <w:t xml:space="preserve"> and gender in specific ways to produce gender inequaliti</w:t>
      </w:r>
      <w:r w:rsidR="00C5460A">
        <w:t xml:space="preserve">es in education. </w:t>
      </w:r>
      <w:r w:rsidRPr="005A6293">
        <w:t>As discussed earlier, the key educational reports during the colonial period were the Fraser Report of 1909, the East African Protectorate Education Commission Report of 1919, and the Phelps-Stoke Education Commission Report of 1924. Although schools were highly segregated since the introduction of Western education in Kenya, the Fraser report reinforced the notion that schools should be segregated along racial and religious</w:t>
      </w:r>
      <w:r w:rsidR="008070F3" w:rsidRPr="005A6293">
        <w:t xml:space="preserve"> lines</w:t>
      </w:r>
      <w:r w:rsidRPr="005A6293">
        <w:t>.</w:t>
      </w:r>
      <w:r w:rsidR="004F2A11" w:rsidRPr="005A6293">
        <w:rPr>
          <w:rStyle w:val="FootnoteReference"/>
        </w:rPr>
        <w:footnoteReference w:id="182"/>
      </w:r>
      <w:r w:rsidR="00544300" w:rsidRPr="005A6293">
        <w:t xml:space="preserve"> This was significant </w:t>
      </w:r>
      <w:r w:rsidRPr="005A6293">
        <w:t xml:space="preserve">to Africans, because it barred them from the more prestigious schools that were dedicated to European and Asian education. The educational caste system that was enshrined by the Fraser report restricted political and economic aspirations of Africans for many </w:t>
      </w:r>
      <w:r w:rsidR="00B9743E" w:rsidRPr="005A6293">
        <w:t>decade</w:t>
      </w:r>
      <w:r w:rsidRPr="005A6293">
        <w:t xml:space="preserve">s; although many Africans that played a prominent role in Kenyan independence </w:t>
      </w:r>
      <w:r w:rsidRPr="005A6293">
        <w:lastRenderedPageBreak/>
        <w:t xml:space="preserve">managed to move beyond these restrictions, the system still subordinated many Africans below Asians and Europeans. </w:t>
      </w:r>
    </w:p>
    <w:p w14:paraId="592291DA" w14:textId="05F3E2CE" w:rsidR="00082233" w:rsidRPr="005A6293" w:rsidRDefault="00082233" w:rsidP="0068257B">
      <w:pPr>
        <w:spacing w:line="480" w:lineRule="auto"/>
      </w:pPr>
      <w:r w:rsidRPr="005A6293">
        <w:tab/>
        <w:t>The East African Protectorate Education Commission Report of 1919 similarly was politically motivated. The report called for the immediate provision of full, compulsory education for both European settlers and Asians, but just encouraged education for Africans without making it compulsory. The report reflected the political beliefs that settler and Asian students were the leaders of tomorrow; therefore, the report denoted that “if they are to exercise the right sort of leadership over the mass of the natives, it is highly essential that they should be educat</w:t>
      </w:r>
      <w:r w:rsidR="008070F3" w:rsidRPr="005A6293">
        <w:t>ed”</w:t>
      </w:r>
      <w:r w:rsidRPr="005A6293">
        <w:t>.</w:t>
      </w:r>
      <w:r w:rsidR="004F2A11" w:rsidRPr="005A6293">
        <w:rPr>
          <w:rStyle w:val="FootnoteReference"/>
        </w:rPr>
        <w:footnoteReference w:id="183"/>
      </w:r>
      <w:r w:rsidRPr="005A6293">
        <w:t xml:space="preserve"> Finally, the Phelps-Stoke Education Commission Report of 1924 recognized the inherent difficulties of a segregated educational system, but </w:t>
      </w:r>
      <w:r w:rsidR="007A5C64">
        <w:t>continued to promote</w:t>
      </w:r>
      <w:r w:rsidRPr="005A6293">
        <w:t xml:space="preserve"> education for Africans that helped maintain their individuality as well as subordination to Europeans. </w:t>
      </w:r>
      <w:r w:rsidR="00291682" w:rsidRPr="005A6293">
        <w:t>A quote from the report state</w:t>
      </w:r>
      <w:r w:rsidR="006511AB" w:rsidRPr="005A6293">
        <w:t>s that</w:t>
      </w:r>
      <w:r w:rsidRPr="005A6293">
        <w:t xml:space="preserve"> “the education of the Africans to maintain their individuality and to cooperate successfully with the dominant Europeans and the enterprising Asiatics is obviously difficult and yet a vital responsibility, related inextricably</w:t>
      </w:r>
      <w:r w:rsidR="008070F3" w:rsidRPr="005A6293">
        <w:t xml:space="preserve"> to the welfare of the Colony”</w:t>
      </w:r>
      <w:r w:rsidR="0036129B" w:rsidRPr="005A6293">
        <w:t>.</w:t>
      </w:r>
      <w:r w:rsidR="004F2A11" w:rsidRPr="005A6293">
        <w:rPr>
          <w:rStyle w:val="FootnoteReference"/>
        </w:rPr>
        <w:footnoteReference w:id="184"/>
      </w:r>
      <w:r w:rsidRPr="005A6293">
        <w:t xml:space="preserve"> Other than these three reports, two more reports urged the Colonial Office to continue providing a segregated schoo</w:t>
      </w:r>
      <w:r w:rsidR="00094958" w:rsidRPr="005A6293">
        <w:t>l system that le</w:t>
      </w:r>
      <w:r w:rsidR="00F56D2D" w:rsidRPr="005A6293">
        <w:t xml:space="preserve">d to increased dominance of </w:t>
      </w:r>
      <w:r w:rsidRPr="005A6293">
        <w:t xml:space="preserve">Europeans and Asians while simultaneously subordinating Africans. The first report is the Kenya Education Department Memorandum of 1938, that continued to encourage “European and Asian education enabling them to play the dominant role in </w:t>
      </w:r>
      <w:r w:rsidRPr="005A6293">
        <w:lastRenderedPageBreak/>
        <w:t>the political, economic and social life of the c</w:t>
      </w:r>
      <w:r w:rsidR="008070F3" w:rsidRPr="005A6293">
        <w:t>olony”</w:t>
      </w:r>
      <w:r w:rsidRPr="005A6293">
        <w:t>.</w:t>
      </w:r>
      <w:r w:rsidR="004F2A11" w:rsidRPr="005A6293">
        <w:rPr>
          <w:rStyle w:val="FootnoteReference"/>
        </w:rPr>
        <w:footnoteReference w:id="185"/>
      </w:r>
      <w:r w:rsidRPr="005A6293">
        <w:t xml:space="preserve"> The last prominent educational report was the Beecher Report. </w:t>
      </w:r>
    </w:p>
    <w:p w14:paraId="1E4238C8" w14:textId="20AE24A6" w:rsidR="00082233" w:rsidRPr="005A6293" w:rsidRDefault="00082233" w:rsidP="0068257B">
      <w:pPr>
        <w:spacing w:line="480" w:lineRule="auto"/>
      </w:pPr>
      <w:r w:rsidRPr="005A6293">
        <w:tab/>
        <w:t>The Beecher Report of 1949 was the result of a committee headed by Archdeacon Beecher; the goal of the committee was to provide a comprehensive view of the status of African education. The report’s main complaint centered on the disorganization of the education system, due to the “constant tendency for local enthusiasm and unofficial expansion of the pr</w:t>
      </w:r>
      <w:r w:rsidR="008070F3" w:rsidRPr="005A6293">
        <w:t>imary system”</w:t>
      </w:r>
      <w:r w:rsidRPr="005A6293">
        <w:t>.</w:t>
      </w:r>
      <w:r w:rsidR="004F2A11" w:rsidRPr="005A6293">
        <w:rPr>
          <w:rStyle w:val="FootnoteReference"/>
        </w:rPr>
        <w:footnoteReference w:id="186"/>
      </w:r>
      <w:r w:rsidRPr="005A6293">
        <w:t xml:space="preserve"> This “unofficial expansion” was the result of Africans that were hungry for more education that the government and missionaries could not provide, which resulted in independent schools. This report instead encouraged the continuation of partnership between the colonial government, missions, local government, and the local African communities</w:t>
      </w:r>
      <w:r w:rsidR="003156C6" w:rsidRPr="005A6293">
        <w:t xml:space="preserve"> to stem unofficial education expansion</w:t>
      </w:r>
      <w:r w:rsidRPr="005A6293">
        <w:t xml:space="preserve">. The report also promoted to continuation of racial segregation in the educational system. Finally, the report advised the colonial government to make primary school for Africans uniform, and introduced a system of four years of primary school. In the 1950s, African educational aspirations had already been made clear through the continued prioritization of school funding and the foundation of many independent schools. Therefore, many reacted negatively to the Beecher report, which was seen as a way to curb educational growth for Africans. </w:t>
      </w:r>
    </w:p>
    <w:p w14:paraId="6D89094D" w14:textId="1A52D62A" w:rsidR="00082233" w:rsidRPr="005A6293" w:rsidRDefault="00082233" w:rsidP="0068257B">
      <w:pPr>
        <w:spacing w:line="480" w:lineRule="auto"/>
      </w:pPr>
      <w:r w:rsidRPr="005A6293">
        <w:tab/>
        <w:t xml:space="preserve">Education throughout the colonial period was deeply tied to politics. The political structure under the Colonial Office had European settlers at the top of the hierarchy and Africans at the bottom, and the educational system reflected and enforced </w:t>
      </w:r>
      <w:r w:rsidRPr="005A6293">
        <w:lastRenderedPageBreak/>
        <w:t>that separation. Therefore, politics were highly influential for educat</w:t>
      </w:r>
      <w:r w:rsidR="003156C6" w:rsidRPr="005A6293">
        <w:t>ion. However, education also had</w:t>
      </w:r>
      <w:r w:rsidRPr="005A6293">
        <w:t xml:space="preserve"> a prominent influence on politics. Western education, especially missionary education, influenced prominent Kenyan independent leaders. For example, many leaders of political organizations that arose in different ethnic groups during the colonial period had a missionary education. Once independence came about, the new political elite was picked from those who had received a Western education. </w:t>
      </w:r>
    </w:p>
    <w:p w14:paraId="68AF5E20" w14:textId="7C032E92" w:rsidR="00082233" w:rsidRPr="005A6293" w:rsidRDefault="00082233" w:rsidP="0013708C">
      <w:pPr>
        <w:spacing w:line="480" w:lineRule="auto"/>
      </w:pPr>
      <w:r w:rsidRPr="005A6293">
        <w:tab/>
        <w:t>The impacts of these reports for females were mainly indirect. Each report codified the racially segregated education system, which mainly impacted Africans as a whole. However, as discussed earlier, t</w:t>
      </w:r>
      <w:r w:rsidR="00C772FA" w:rsidRPr="005A6293">
        <w:t>he intersection of race and</w:t>
      </w:r>
      <w:r w:rsidRPr="005A6293">
        <w:t xml:space="preserve"> gender resulted in African women receiving the worst education. Therefore, although the main educational policies often did not directly address women, the impacts from the reports led to the further subordination of African women.</w:t>
      </w:r>
      <w:r w:rsidR="00B3094D" w:rsidRPr="005A6293">
        <w:t xml:space="preserve"> Furthermore, the colonial government did directly address women in additional</w:t>
      </w:r>
      <w:r w:rsidRPr="005A6293">
        <w:t xml:space="preserve"> educational reports. For example, by 1926, the colonial government recognized the poor quality of education</w:t>
      </w:r>
      <w:r w:rsidR="002E3010" w:rsidRPr="005A6293">
        <w:t xml:space="preserve"> for African females, and explaine</w:t>
      </w:r>
      <w:r w:rsidRPr="005A6293">
        <w:t>d that “educated wives and mothers would contribute to the general welfare of the home and community”.</w:t>
      </w:r>
      <w:r w:rsidR="004F2A11" w:rsidRPr="005A6293">
        <w:rPr>
          <w:rStyle w:val="FootnoteReference"/>
        </w:rPr>
        <w:footnoteReference w:id="187"/>
      </w:r>
      <w:r w:rsidRPr="005A6293">
        <w:t xml:space="preserve"> Despite this recognition, increased education for African females was continually restricted by gender ideals that limited the curriculum provided t</w:t>
      </w:r>
      <w:r w:rsidR="009223CE" w:rsidRPr="005A6293">
        <w:t>o girls</w:t>
      </w:r>
      <w:r w:rsidRPr="005A6293">
        <w:t>.</w:t>
      </w:r>
      <w:r w:rsidR="004F2A11" w:rsidRPr="005A6293">
        <w:rPr>
          <w:rStyle w:val="FootnoteReference"/>
        </w:rPr>
        <w:footnoteReference w:id="188"/>
      </w:r>
      <w:r w:rsidRPr="005A6293">
        <w:t xml:space="preserve"> Therefore, the exclusion of African females as separate from African males in educational policies was detrimental for female education specifically because it did not address their educational marginalization as both Africans and women. Instead, the exclusion of female specific issues from educational policies resulted in an </w:t>
      </w:r>
      <w:r w:rsidRPr="005A6293">
        <w:lastRenderedPageBreak/>
        <w:t>uninterrupted continuation of educational policie</w:t>
      </w:r>
      <w:r w:rsidR="00C772FA" w:rsidRPr="005A6293">
        <w:t>s that did not fully address</w:t>
      </w:r>
      <w:r w:rsidRPr="005A6293">
        <w:t xml:space="preserve"> gaps in attendance or gender inequality in curriculum.  </w:t>
      </w:r>
    </w:p>
    <w:p w14:paraId="7EFF855F" w14:textId="18539381" w:rsidR="00082233" w:rsidRPr="005A6293" w:rsidRDefault="00082233" w:rsidP="0068257B">
      <w:pPr>
        <w:spacing w:line="480" w:lineRule="auto"/>
      </w:pPr>
      <w:r w:rsidRPr="005A6293">
        <w:tab/>
        <w:t>The interaction b</w:t>
      </w:r>
      <w:r w:rsidR="00C772FA" w:rsidRPr="005A6293">
        <w:t>etween politics, education</w:t>
      </w:r>
      <w:r w:rsidRPr="005A6293">
        <w:t xml:space="preserve"> and gender is complicated. The most important factor in the colonial era was the intersection spe</w:t>
      </w:r>
      <w:r w:rsidR="00C772FA" w:rsidRPr="005A6293">
        <w:t xml:space="preserve">cifically between race and </w:t>
      </w:r>
      <w:r w:rsidRPr="005A6293">
        <w:t xml:space="preserve">gender due to the influx of European settlers and Asian skilled workers. Due to the three forms of domination, class, ethnicity and gender, African women faced more restrictions in education, economics, and politics. Therefore, while many of the educational policies centered on the continual subordination of Africans, women faced more subordination than men due to </w:t>
      </w:r>
      <w:r w:rsidR="00C772FA" w:rsidRPr="005A6293">
        <w:t xml:space="preserve">the interaction of race and </w:t>
      </w:r>
      <w:r w:rsidRPr="005A6293">
        <w:t>gender.</w:t>
      </w:r>
      <w:r w:rsidR="00B6399D" w:rsidRPr="005A6293">
        <w:t xml:space="preserve"> </w:t>
      </w:r>
    </w:p>
    <w:p w14:paraId="2BAC8134" w14:textId="77777777" w:rsidR="00082233" w:rsidRPr="005A6293" w:rsidRDefault="00082233" w:rsidP="0068257B">
      <w:pPr>
        <w:spacing w:line="480" w:lineRule="auto"/>
        <w:rPr>
          <w:b/>
        </w:rPr>
      </w:pPr>
      <w:r w:rsidRPr="005A6293">
        <w:rPr>
          <w:b/>
        </w:rPr>
        <w:t>Conclusion</w:t>
      </w:r>
    </w:p>
    <w:p w14:paraId="13E56CC1" w14:textId="35689D59" w:rsidR="00082233" w:rsidRPr="005A6293" w:rsidRDefault="00082233" w:rsidP="0068257B">
      <w:pPr>
        <w:spacing w:line="480" w:lineRule="auto"/>
      </w:pPr>
      <w:r w:rsidRPr="005A6293">
        <w:tab/>
        <w:t>Education in the colonial era provides a good representation of larger political motives and tensions present in Kenya. Primarily, the colonial era is marked by a tension between European settlers and Africans, resulting in segregated education, economic domination, and political limitation for Africans. Education was one of the main avenues tha</w:t>
      </w:r>
      <w:r w:rsidR="00E64AFD" w:rsidRPr="005A6293">
        <w:t>t Africans used to push back on</w:t>
      </w:r>
      <w:r w:rsidRPr="005A6293">
        <w:t xml:space="preserve"> these injustices. Although quantitative measurements for education are hard to obtain for the colonial era, the limited statistics available show the inequality of </w:t>
      </w:r>
      <w:r w:rsidR="00C772FA" w:rsidRPr="005A6293">
        <w:t>education based off race and gender</w:t>
      </w:r>
      <w:r w:rsidRPr="005A6293">
        <w:t xml:space="preserve"> for Africans. A</w:t>
      </w:r>
      <w:r w:rsidR="00AF16B4" w:rsidRPr="005A6293">
        <w:t>dditionally, A</w:t>
      </w:r>
      <w:r w:rsidRPr="005A6293">
        <w:t>frican females had more barriers to accessing s</w:t>
      </w:r>
      <w:r w:rsidR="00226EC2" w:rsidRPr="005A6293">
        <w:t xml:space="preserve">chool and attainment in school, as </w:t>
      </w:r>
      <w:r w:rsidRPr="005A6293">
        <w:t>qualitative tools indicate that gender norms impacted educa</w:t>
      </w:r>
      <w:r w:rsidR="00226EC2" w:rsidRPr="005A6293">
        <w:t>tion for African females in unique ways</w:t>
      </w:r>
      <w:r w:rsidRPr="005A6293">
        <w:t>. These norms were influenced by the historic specificities of colonial Kenya. These limitations interacted with economic and political structures that reinforced gender norms in education as well as limited female economic and political participation after education.</w:t>
      </w:r>
    </w:p>
    <w:p w14:paraId="3A4FA650" w14:textId="594E87EA" w:rsidR="00082233" w:rsidRPr="005A6293" w:rsidRDefault="00082233" w:rsidP="00E06095">
      <w:pPr>
        <w:spacing w:line="480" w:lineRule="auto"/>
        <w:jc w:val="center"/>
        <w:rPr>
          <w:rFonts w:cs="Times New Roman"/>
          <w:b/>
          <w:bCs/>
        </w:rPr>
      </w:pPr>
      <w:r w:rsidRPr="005A6293">
        <w:br w:type="page"/>
      </w:r>
      <w:r w:rsidRPr="005A6293">
        <w:rPr>
          <w:rFonts w:cs="Times New Roman"/>
          <w:b/>
          <w:bCs/>
        </w:rPr>
        <w:lastRenderedPageBreak/>
        <w:t>Chapter 4</w:t>
      </w:r>
      <w:r w:rsidR="000C75B9" w:rsidRPr="005A6293">
        <w:rPr>
          <w:rFonts w:cs="Times New Roman"/>
          <w:b/>
          <w:bCs/>
        </w:rPr>
        <w:t>: The Post-Colonial Period</w:t>
      </w:r>
    </w:p>
    <w:p w14:paraId="1CAC237B" w14:textId="77777777" w:rsidR="00082233" w:rsidRPr="005A6293" w:rsidRDefault="00082233" w:rsidP="0068257B">
      <w:pPr>
        <w:spacing w:line="480" w:lineRule="auto"/>
        <w:rPr>
          <w:rFonts w:cs="Times New Roman"/>
          <w:b/>
          <w:bCs/>
        </w:rPr>
      </w:pPr>
      <w:r w:rsidRPr="005A6293">
        <w:rPr>
          <w:rFonts w:cs="Times New Roman"/>
          <w:b/>
          <w:bCs/>
        </w:rPr>
        <w:t>Introduction</w:t>
      </w:r>
    </w:p>
    <w:p w14:paraId="12D9E60D" w14:textId="6A7FCAC9" w:rsidR="00082233" w:rsidRPr="005A6293" w:rsidRDefault="00082233" w:rsidP="0068257B">
      <w:pPr>
        <w:spacing w:line="480" w:lineRule="auto"/>
      </w:pPr>
      <w:r w:rsidRPr="005A6293">
        <w:tab/>
        <w:t>Kenya gained independence from British colonial rule on December 12, 1963. However, like most political movements, the march towards independence started many years prior to the victory of 1963. Many scholars trace the political movement towards Kenyan independence back to 1921, over forty years prior. After the global decline of agriculture products in 1921, English settlers fought to maintain high profits by introducing a uniform wage reduction of one-third on all Africans. As Furedi notes, “this proposed reduction had a radicalizing effect on Afr</w:t>
      </w:r>
      <w:r w:rsidR="00FE6271" w:rsidRPr="005A6293">
        <w:t>icans in Nairobi”</w:t>
      </w:r>
      <w:r w:rsidRPr="005A6293">
        <w:t>.</w:t>
      </w:r>
      <w:r w:rsidR="004F2A11" w:rsidRPr="005A6293">
        <w:rPr>
          <w:rStyle w:val="FootnoteReference"/>
        </w:rPr>
        <w:footnoteReference w:id="189"/>
      </w:r>
      <w:r w:rsidRPr="005A6293">
        <w:t xml:space="preserve"> The wage cuts heightened protests, activists, and political movements; the most important of these was the Young Kikuyu Association formed in 1921. This association transformed into the East African Association, which was pivotal in the political response of 1921. The leader of the association, Harry Thuku, lauded the ability of the organization to utilize educated people from multiple tribes to “voice native opinion</w:t>
      </w:r>
      <w:r w:rsidR="00FE6271" w:rsidRPr="005A6293">
        <w:t>”</w:t>
      </w:r>
      <w:r w:rsidRPr="005A6293">
        <w:t>.</w:t>
      </w:r>
      <w:r w:rsidR="00F569A4" w:rsidRPr="005A6293">
        <w:rPr>
          <w:rStyle w:val="FootnoteReference"/>
        </w:rPr>
        <w:footnoteReference w:id="190"/>
      </w:r>
      <w:r w:rsidRPr="005A6293">
        <w:t xml:space="preserve"> The East African Association established a trend of political motivated, ethnically based organizations that began taking root all over Kenya in the 1920s. </w:t>
      </w:r>
    </w:p>
    <w:p w14:paraId="4C5B3552" w14:textId="389A43EB" w:rsidR="00082233" w:rsidRPr="005A6293" w:rsidRDefault="00082233" w:rsidP="0068257B">
      <w:pPr>
        <w:spacing w:line="480" w:lineRule="auto"/>
      </w:pPr>
      <w:r w:rsidRPr="005A6293">
        <w:tab/>
        <w:t xml:space="preserve">These various organizations, often populated by Africans equipped with Western education, began to exert political pressure on the colonial government. The increased politicization of Kenyans in the 1920s laid the foundation for political demands throughout the colonial period, which eventually cumulated in independence. The first response to the increase in political organizations was the introduction of </w:t>
      </w:r>
      <w:r w:rsidRPr="005A6293">
        <w:lastRenderedPageBreak/>
        <w:t>Local Native Councils (LNCs). The LNCs attempted to redirect political motivations back under the control of the British government. These councils had little to no r</w:t>
      </w:r>
      <w:r w:rsidR="003D0C33" w:rsidRPr="005A6293">
        <w:t>eal power, and were often le</w:t>
      </w:r>
      <w:r w:rsidRPr="005A6293">
        <w:t>d by locals in close alliance with the col</w:t>
      </w:r>
      <w:r w:rsidR="00FE6271" w:rsidRPr="005A6293">
        <w:t>onial government</w:t>
      </w:r>
      <w:r w:rsidRPr="005A6293">
        <w:t>.</w:t>
      </w:r>
      <w:r w:rsidR="00F569A4" w:rsidRPr="005A6293">
        <w:rPr>
          <w:rStyle w:val="FootnoteReference"/>
        </w:rPr>
        <w:footnoteReference w:id="191"/>
      </w:r>
      <w:r w:rsidRPr="005A6293">
        <w:t xml:space="preserve"> However, nationalist imaginings were not stopped by the colonial government’s vie for control. At the forefront of continued political aspirations was the Kikuyu Central Association (KCA) and prominent member Jomo Kenyatta. For example, in 1930 Kenyatta went to England to try to plea directly for more </w:t>
      </w:r>
      <w:r w:rsidR="00FE6271" w:rsidRPr="005A6293">
        <w:t>political access</w:t>
      </w:r>
      <w:r w:rsidRPr="005A6293">
        <w:t>.</w:t>
      </w:r>
      <w:r w:rsidR="00577F3B" w:rsidRPr="005A6293">
        <w:rPr>
          <w:rStyle w:val="FootnoteReference"/>
        </w:rPr>
        <w:footnoteReference w:id="192"/>
      </w:r>
      <w:r w:rsidRPr="005A6293">
        <w:t xml:space="preserve"> Later, he took over leadership of the KCA after it had transformed into the KAU, or the Kenya African Union. </w:t>
      </w:r>
    </w:p>
    <w:p w14:paraId="506BCD03" w14:textId="6744FA11" w:rsidR="00782A1B" w:rsidRPr="005A6293" w:rsidRDefault="00082233" w:rsidP="0068257B">
      <w:pPr>
        <w:spacing w:line="480" w:lineRule="auto"/>
      </w:pPr>
      <w:r w:rsidRPr="005A6293">
        <w:tab/>
        <w:t xml:space="preserve">Other than direct political movements, other events and social movements spurred on political momentum. The first is education; many leaders and members of political movements were Western educated. The second is the impact of the two world wars. Kenyans fought alongside the British in both WWI and WWII, and returned to Kenya with new understands of Europe and </w:t>
      </w:r>
      <w:r w:rsidR="00FE6271" w:rsidRPr="005A6293">
        <w:t>political rights</w:t>
      </w:r>
      <w:r w:rsidRPr="005A6293">
        <w:t>.</w:t>
      </w:r>
      <w:r w:rsidR="00577F3B" w:rsidRPr="005A6293">
        <w:rPr>
          <w:rStyle w:val="FootnoteReference"/>
        </w:rPr>
        <w:footnoteReference w:id="193"/>
      </w:r>
      <w:r w:rsidRPr="005A6293">
        <w:t xml:space="preserve"> Finally, no brief consideration of the political process of independence is complete without mentioning the Mau Mau Rebellion of 1952. While direct causal impacts from the rebellion to independence is debated, the colonial government responded through a series of concessions including: the election of Africans to the Legislative Council as well as the repeal of laws preventing Africans from living in the predominantly settler community in the central uplands, the</w:t>
      </w:r>
      <w:r w:rsidR="00FE6271" w:rsidRPr="005A6293">
        <w:t xml:space="preserve"> White Highlands</w:t>
      </w:r>
      <w:r w:rsidRPr="005A6293">
        <w:t>.</w:t>
      </w:r>
      <w:r w:rsidR="00577F3B" w:rsidRPr="005A6293">
        <w:rPr>
          <w:rStyle w:val="FootnoteReference"/>
        </w:rPr>
        <w:footnoteReference w:id="194"/>
      </w:r>
      <w:r w:rsidRPr="005A6293">
        <w:t xml:space="preserve"> By 1960, at a conference in London </w:t>
      </w:r>
      <w:r w:rsidRPr="005A6293">
        <w:lastRenderedPageBreak/>
        <w:t>delegates promised self-rule for Africans, and the realization of an independent Ke</w:t>
      </w:r>
      <w:r w:rsidR="00987602" w:rsidRPr="005A6293">
        <w:t>nya became clear</w:t>
      </w:r>
      <w:r w:rsidRPr="005A6293">
        <w:t>.</w:t>
      </w:r>
      <w:r w:rsidR="00577F3B" w:rsidRPr="005A6293">
        <w:rPr>
          <w:rStyle w:val="FootnoteReference"/>
        </w:rPr>
        <w:footnoteReference w:id="195"/>
      </w:r>
    </w:p>
    <w:p w14:paraId="06276448" w14:textId="3180F6E0" w:rsidR="00082233" w:rsidRPr="005A6293" w:rsidRDefault="0007550A" w:rsidP="0068257B">
      <w:pPr>
        <w:spacing w:line="480" w:lineRule="auto"/>
        <w:rPr>
          <w:b/>
          <w:bCs/>
        </w:rPr>
      </w:pPr>
      <w:r w:rsidRPr="005A6293">
        <w:rPr>
          <w:b/>
          <w:bCs/>
        </w:rPr>
        <w:t>Education</w:t>
      </w:r>
    </w:p>
    <w:p w14:paraId="303ECBA4" w14:textId="7D98E6C7" w:rsidR="00082233" w:rsidRPr="005A6293" w:rsidRDefault="00954909" w:rsidP="0068257B">
      <w:pPr>
        <w:spacing w:line="480" w:lineRule="auto"/>
        <w:ind w:firstLine="720"/>
      </w:pPr>
      <w:r w:rsidRPr="005A6293">
        <w:t>Upon independence, Kenya’</w:t>
      </w:r>
      <w:r w:rsidR="00082233" w:rsidRPr="005A6293">
        <w:t>s new leaders were left with a segregated, racist system of education; transforming the education system beca</w:t>
      </w:r>
      <w:r w:rsidR="00AB6E36" w:rsidRPr="005A6293">
        <w:t>me one of the primary goals of the</w:t>
      </w:r>
      <w:r w:rsidR="008209DF" w:rsidRPr="005A6293">
        <w:t xml:space="preserve"> newly independent Kenya. The new leaders argued that education is necessary</w:t>
      </w:r>
      <w:r w:rsidR="00082233" w:rsidRPr="005A6293">
        <w:t xml:space="preserve"> for development and, therefore, </w:t>
      </w:r>
      <w:r w:rsidR="005E536E" w:rsidRPr="005A6293">
        <w:t>they</w:t>
      </w:r>
      <w:r w:rsidR="00082233" w:rsidRPr="005A6293">
        <w:t xml:space="preserve"> fought </w:t>
      </w:r>
      <w:r w:rsidR="00266759" w:rsidRPr="005A6293">
        <w:t xml:space="preserve">for a better education system to promote </w:t>
      </w:r>
      <w:r w:rsidR="00082233" w:rsidRPr="005A6293">
        <w:t xml:space="preserve">national development. The colonial system of education was akin to a 'caste' </w:t>
      </w:r>
      <w:r w:rsidR="00987602" w:rsidRPr="005A6293">
        <w:t>system</w:t>
      </w:r>
      <w:r w:rsidR="00082233" w:rsidRPr="005A6293">
        <w:t>.</w:t>
      </w:r>
      <w:r w:rsidR="00577F3B" w:rsidRPr="005A6293">
        <w:rPr>
          <w:rStyle w:val="FootnoteReference"/>
        </w:rPr>
        <w:footnoteReference w:id="196"/>
      </w:r>
      <w:r w:rsidR="00082233" w:rsidRPr="005A6293">
        <w:t xml:space="preserve"> Funding varied drastically, access to quality education was limited based on race, and curriculum was developed </w:t>
      </w:r>
      <w:r w:rsidR="00082233" w:rsidRPr="005A6293">
        <w:rPr>
          <w:rFonts w:eastAsia="Times New Roman" w:cs="Times New Roman"/>
          <w:color w:val="000000" w:themeColor="text1"/>
        </w:rPr>
        <w:t>“</w:t>
      </w:r>
      <w:r w:rsidR="00082233" w:rsidRPr="005A6293">
        <w:t>within a philosophy of education for one's station in life</w:t>
      </w:r>
      <w:r w:rsidR="00082233" w:rsidRPr="005A6293">
        <w:rPr>
          <w:rFonts w:eastAsia="Times New Roman" w:cs="Times New Roman"/>
          <w:color w:val="000000" w:themeColor="text1"/>
        </w:rPr>
        <w:t>”</w:t>
      </w:r>
      <w:r w:rsidR="00082233" w:rsidRPr="005A6293">
        <w:t>.</w:t>
      </w:r>
      <w:r w:rsidR="00577F3B" w:rsidRPr="005A6293">
        <w:rPr>
          <w:rStyle w:val="FootnoteReference"/>
        </w:rPr>
        <w:footnoteReference w:id="197"/>
      </w:r>
      <w:r w:rsidR="00082233" w:rsidRPr="005A6293">
        <w:t xml:space="preserve"> Leaders moved quickly to dismantle problematic aspects of the inherited education system and replace them with aspects that further the goal of a unified, developed Kenya. </w:t>
      </w:r>
    </w:p>
    <w:p w14:paraId="74170FDE" w14:textId="1FB01971" w:rsidR="00082233" w:rsidRPr="005A6293" w:rsidRDefault="00082233" w:rsidP="0068257B">
      <w:pPr>
        <w:spacing w:line="480" w:lineRule="auto"/>
        <w:ind w:firstLine="720"/>
        <w:rPr>
          <w:rFonts w:eastAsia="Times New Roman" w:cs="Times New Roman"/>
          <w:color w:val="000000" w:themeColor="text1"/>
        </w:rPr>
      </w:pPr>
      <w:r w:rsidRPr="005A6293">
        <w:t xml:space="preserve">Policy makers identified key goals for the education system as </w:t>
      </w:r>
      <w:r w:rsidRPr="005A6293">
        <w:rPr>
          <w:rFonts w:eastAsia="Times New Roman" w:cs="Times New Roman"/>
          <w:color w:val="000000" w:themeColor="text1"/>
        </w:rPr>
        <w:t>“</w:t>
      </w:r>
      <w:r w:rsidRPr="005A6293">
        <w:t>universal education access, equity, funding partnerships, standardization, and improvement of curriculum</w:t>
      </w:r>
      <w:r w:rsidRPr="005A6293">
        <w:rPr>
          <w:rFonts w:eastAsia="Times New Roman" w:cs="Times New Roman"/>
          <w:color w:val="000000" w:themeColor="text1"/>
        </w:rPr>
        <w:t xml:space="preserve">” in the first major educational policy report, the Kenya Education Commission Report of 1964 also known as the Ominde </w:t>
      </w:r>
      <w:r w:rsidR="00987602" w:rsidRPr="005A6293">
        <w:rPr>
          <w:rFonts w:eastAsia="Times New Roman" w:cs="Times New Roman"/>
          <w:color w:val="000000" w:themeColor="text1"/>
        </w:rPr>
        <w:t>Report</w:t>
      </w:r>
      <w:r w:rsidRPr="005A6293">
        <w:rPr>
          <w:rFonts w:eastAsia="Times New Roman" w:cs="Times New Roman"/>
          <w:color w:val="000000" w:themeColor="text1"/>
        </w:rPr>
        <w:t>.</w:t>
      </w:r>
      <w:r w:rsidR="00577F3B" w:rsidRPr="005A6293">
        <w:rPr>
          <w:rStyle w:val="FootnoteReference"/>
          <w:rFonts w:eastAsia="Times New Roman" w:cs="Times New Roman"/>
          <w:color w:val="000000" w:themeColor="text1"/>
        </w:rPr>
        <w:footnoteReference w:id="198"/>
      </w:r>
      <w:r w:rsidRPr="005A6293">
        <w:rPr>
          <w:rFonts w:eastAsia="Times New Roman" w:cs="Times New Roman"/>
          <w:color w:val="000000" w:themeColor="text1"/>
        </w:rPr>
        <w:t xml:space="preserve"> The Ominde Report also surveyed the existing resources of the education system and linked education to economic growth</w:t>
      </w:r>
      <w:r w:rsidR="00987602" w:rsidRPr="005A6293">
        <w:rPr>
          <w:rFonts w:eastAsia="Times New Roman" w:cs="Times New Roman"/>
          <w:color w:val="000000" w:themeColor="text1"/>
        </w:rPr>
        <w:t xml:space="preserve"> and development</w:t>
      </w:r>
      <w:r w:rsidRPr="005A6293">
        <w:rPr>
          <w:rFonts w:eastAsia="Times New Roman" w:cs="Times New Roman"/>
          <w:color w:val="000000" w:themeColor="text1"/>
        </w:rPr>
        <w:t xml:space="preserve">. The first change to the education system was the unification of education, which turned education from a three-part education system to </w:t>
      </w:r>
      <w:r w:rsidRPr="005A6293">
        <w:rPr>
          <w:rFonts w:eastAsia="Times New Roman" w:cs="Times New Roman"/>
          <w:color w:val="000000" w:themeColor="text1"/>
        </w:rPr>
        <w:lastRenderedPageBreak/>
        <w:t>one system that accommodated all races. Although some schools took longer to integrate due to fees and location, the unification of the education system had an immense impact on Afr</w:t>
      </w:r>
      <w:r w:rsidR="00987602" w:rsidRPr="005A6293">
        <w:rPr>
          <w:rFonts w:eastAsia="Times New Roman" w:cs="Times New Roman"/>
          <w:color w:val="000000" w:themeColor="text1"/>
        </w:rPr>
        <w:t>ican's education</w:t>
      </w:r>
      <w:r w:rsidRPr="005A6293">
        <w:rPr>
          <w:rFonts w:eastAsia="Times New Roman" w:cs="Times New Roman"/>
          <w:color w:val="000000" w:themeColor="text1"/>
        </w:rPr>
        <w:t>.</w:t>
      </w:r>
      <w:r w:rsidR="00577F3B" w:rsidRPr="005A6293">
        <w:rPr>
          <w:rStyle w:val="FootnoteReference"/>
          <w:rFonts w:eastAsia="Times New Roman" w:cs="Times New Roman"/>
          <w:color w:val="000000" w:themeColor="text1"/>
        </w:rPr>
        <w:footnoteReference w:id="199"/>
      </w:r>
      <w:r w:rsidRPr="005A6293">
        <w:rPr>
          <w:rFonts w:eastAsia="Times New Roman" w:cs="Times New Roman"/>
          <w:color w:val="000000" w:themeColor="text1"/>
        </w:rPr>
        <w:t xml:space="preserve"> The second problem the newly minted government worked to address was curriculum. It was not until the late 1960s that a uniform syllabus was found in all primary schools around </w:t>
      </w:r>
      <w:r w:rsidR="00987602" w:rsidRPr="005A6293">
        <w:rPr>
          <w:rFonts w:eastAsia="Times New Roman" w:cs="Times New Roman"/>
          <w:color w:val="000000" w:themeColor="text1"/>
        </w:rPr>
        <w:t>Kenya</w:t>
      </w:r>
      <w:r w:rsidRPr="005A6293">
        <w:rPr>
          <w:rFonts w:eastAsia="Times New Roman" w:cs="Times New Roman"/>
          <w:color w:val="000000" w:themeColor="text1"/>
        </w:rPr>
        <w:t>.</w:t>
      </w:r>
      <w:r w:rsidR="00577F3B" w:rsidRPr="005A6293">
        <w:rPr>
          <w:rStyle w:val="FootnoteReference"/>
          <w:rFonts w:eastAsia="Times New Roman" w:cs="Times New Roman"/>
          <w:color w:val="000000" w:themeColor="text1"/>
        </w:rPr>
        <w:footnoteReference w:id="200"/>
      </w:r>
      <w:r w:rsidRPr="005A6293">
        <w:rPr>
          <w:rFonts w:eastAsia="Times New Roman" w:cs="Times New Roman"/>
          <w:color w:val="000000" w:themeColor="text1"/>
        </w:rPr>
        <w:t xml:space="preserve"> The implementation of both the uniform education system and the uniform syllabus worked to erode the gap in quality of education received based off race. However, education impacts not just one generatio</w:t>
      </w:r>
      <w:r w:rsidR="00AF45C3" w:rsidRPr="005A6293">
        <w:rPr>
          <w:rFonts w:eastAsia="Times New Roman" w:cs="Times New Roman"/>
          <w:color w:val="000000" w:themeColor="text1"/>
        </w:rPr>
        <w:t>n, but continuous generations. For example</w:t>
      </w:r>
      <w:r w:rsidRPr="005A6293">
        <w:rPr>
          <w:rFonts w:eastAsia="Times New Roman" w:cs="Times New Roman"/>
          <w:color w:val="000000" w:themeColor="text1"/>
        </w:rPr>
        <w:t>, individuals who received higher quality educa</w:t>
      </w:r>
      <w:r w:rsidR="00AF45C3" w:rsidRPr="005A6293">
        <w:rPr>
          <w:rFonts w:eastAsia="Times New Roman" w:cs="Times New Roman"/>
          <w:color w:val="000000" w:themeColor="text1"/>
        </w:rPr>
        <w:t>tion during the colonial period,</w:t>
      </w:r>
      <w:r w:rsidRPr="005A6293">
        <w:rPr>
          <w:rFonts w:eastAsia="Times New Roman" w:cs="Times New Roman"/>
          <w:color w:val="000000" w:themeColor="text1"/>
        </w:rPr>
        <w:t xml:space="preserve"> </w:t>
      </w:r>
      <w:r w:rsidR="00AF45C3" w:rsidRPr="005A6293">
        <w:rPr>
          <w:rFonts w:eastAsia="Times New Roman" w:cs="Times New Roman"/>
          <w:color w:val="000000" w:themeColor="text1"/>
        </w:rPr>
        <w:t xml:space="preserve">often have better economic opportunities resulting in greater wealth and </w:t>
      </w:r>
      <w:r w:rsidRPr="005A6293">
        <w:rPr>
          <w:rFonts w:eastAsia="Times New Roman" w:cs="Times New Roman"/>
          <w:color w:val="000000" w:themeColor="text1"/>
        </w:rPr>
        <w:t xml:space="preserve">higher </w:t>
      </w:r>
      <w:r w:rsidR="00AF45C3" w:rsidRPr="005A6293">
        <w:rPr>
          <w:rFonts w:eastAsia="Times New Roman" w:cs="Times New Roman"/>
          <w:color w:val="000000" w:themeColor="text1"/>
        </w:rPr>
        <w:t xml:space="preserve">investment in their children’s education. </w:t>
      </w:r>
    </w:p>
    <w:p w14:paraId="33C8A7D1" w14:textId="233A3253" w:rsidR="00082233" w:rsidRPr="005A6293" w:rsidRDefault="00082233" w:rsidP="0068257B">
      <w:pPr>
        <w:spacing w:line="480" w:lineRule="auto"/>
        <w:ind w:firstLine="720"/>
        <w:rPr>
          <w:rFonts w:eastAsia="Times New Roman" w:cs="Times New Roman"/>
          <w:color w:val="000000" w:themeColor="text1"/>
        </w:rPr>
      </w:pPr>
      <w:r w:rsidRPr="005A6293">
        <w:t xml:space="preserve">A unified system and a new syllabus addressed the goals from the independent government of equity, standardization, and improved curriculum. Following key educational reports and structural changes worked to address funding and universal education, as well as </w:t>
      </w:r>
      <w:r w:rsidR="00E45A7E" w:rsidRPr="005A6293">
        <w:t xml:space="preserve">worked to </w:t>
      </w:r>
      <w:r w:rsidRPr="005A6293">
        <w:t>improve upo</w:t>
      </w:r>
      <w:r w:rsidR="00E45A7E" w:rsidRPr="005A6293">
        <w:t>n equity, standardization, and</w:t>
      </w:r>
      <w:r w:rsidRPr="005A6293">
        <w:t xml:space="preserve"> curriculum. After the Ominde Report, the following years produced four more key policy changes or reports: the changes in school fees in the early 1970s, the Gachathi Report in 1976, the Mackay Report in 1981, and the Kamunge Report in 1988</w:t>
      </w:r>
      <w:r w:rsidRPr="005A6293">
        <w:rPr>
          <w:rFonts w:eastAsia="Times New Roman" w:cs="Times New Roman"/>
          <w:color w:val="000000" w:themeColor="text1"/>
        </w:rPr>
        <w:t xml:space="preserve">. The changes to school fees occurred in 1970, 1971, and 1973 and eventually cumulated in the first presidential decree for free primary education as discussed later in the section. The changes to school fees included: elimination of school fees in the semi-arid regions of Kenya and extension of fee remission for marginal groups in 1970, elimination of fees for </w:t>
      </w:r>
      <w:r w:rsidRPr="005A6293">
        <w:rPr>
          <w:rFonts w:eastAsia="Times New Roman" w:cs="Times New Roman"/>
          <w:color w:val="000000" w:themeColor="text1"/>
        </w:rPr>
        <w:lastRenderedPageBreak/>
        <w:t xml:space="preserve">economically marginal families in 1971, and the extension of free education to multiple districts mostly in the north and east regions </w:t>
      </w:r>
      <w:r w:rsidR="00987602" w:rsidRPr="005A6293">
        <w:rPr>
          <w:rFonts w:eastAsia="Times New Roman" w:cs="Times New Roman"/>
          <w:color w:val="000000" w:themeColor="text1"/>
        </w:rPr>
        <w:t>of Kenya in 1973</w:t>
      </w:r>
      <w:r w:rsidRPr="005A6293">
        <w:rPr>
          <w:rFonts w:eastAsia="Times New Roman" w:cs="Times New Roman"/>
          <w:color w:val="000000" w:themeColor="text1"/>
        </w:rPr>
        <w:t>.</w:t>
      </w:r>
      <w:r w:rsidR="00577F3B" w:rsidRPr="005A6293">
        <w:rPr>
          <w:rStyle w:val="FootnoteReference"/>
          <w:rFonts w:eastAsia="Times New Roman" w:cs="Times New Roman"/>
          <w:color w:val="000000" w:themeColor="text1"/>
        </w:rPr>
        <w:footnoteReference w:id="201"/>
      </w:r>
      <w:r w:rsidRPr="005A6293">
        <w:rPr>
          <w:rFonts w:eastAsia="Times New Roman" w:cs="Times New Roman"/>
          <w:color w:val="000000" w:themeColor="text1"/>
        </w:rPr>
        <w:t xml:space="preserve"> </w:t>
      </w:r>
    </w:p>
    <w:p w14:paraId="33DAD39E" w14:textId="69F687BC" w:rsidR="00082233" w:rsidRPr="005A6293" w:rsidRDefault="00082233" w:rsidP="0068257B">
      <w:pPr>
        <w:spacing w:line="480" w:lineRule="auto"/>
        <w:ind w:firstLine="720"/>
        <w:rPr>
          <w:rFonts w:eastAsia="Times New Roman" w:cs="Times New Roman"/>
          <w:color w:val="000000" w:themeColor="text1"/>
        </w:rPr>
      </w:pPr>
      <w:r w:rsidRPr="005A6293">
        <w:rPr>
          <w:rFonts w:eastAsia="Times New Roman" w:cs="Times New Roman"/>
          <w:color w:val="000000" w:themeColor="text1"/>
        </w:rPr>
        <w:t xml:space="preserve">The other three reports, Gachathi, Mackay and Kamunge, provide the framework for all other major educational reforms in the early post-colonial period. The Gachathi Report of 1976 recommended the extension of free primary education from the first four </w:t>
      </w:r>
      <w:r w:rsidR="00A928FE" w:rsidRPr="005A6293">
        <w:rPr>
          <w:rFonts w:eastAsia="Times New Roman" w:cs="Times New Roman"/>
          <w:color w:val="000000" w:themeColor="text1"/>
        </w:rPr>
        <w:t>years of primary school to include all levels of</w:t>
      </w:r>
      <w:r w:rsidR="00987602" w:rsidRPr="005A6293">
        <w:rPr>
          <w:rFonts w:eastAsia="Times New Roman" w:cs="Times New Roman"/>
          <w:color w:val="000000" w:themeColor="text1"/>
        </w:rPr>
        <w:t xml:space="preserve"> primary school</w:t>
      </w:r>
      <w:r w:rsidR="00A928FE" w:rsidRPr="005A6293">
        <w:rPr>
          <w:rFonts w:eastAsia="Times New Roman" w:cs="Times New Roman"/>
          <w:color w:val="000000" w:themeColor="text1"/>
        </w:rPr>
        <w:t>, years one through seven</w:t>
      </w:r>
      <w:r w:rsidRPr="005A6293">
        <w:rPr>
          <w:rFonts w:eastAsia="Times New Roman" w:cs="Times New Roman"/>
          <w:color w:val="000000" w:themeColor="text1"/>
        </w:rPr>
        <w:t>.</w:t>
      </w:r>
      <w:r w:rsidR="00577F3B" w:rsidRPr="005A6293">
        <w:rPr>
          <w:rStyle w:val="FootnoteReference"/>
          <w:rFonts w:eastAsia="Times New Roman" w:cs="Times New Roman"/>
          <w:color w:val="000000" w:themeColor="text1"/>
        </w:rPr>
        <w:footnoteReference w:id="202"/>
      </w:r>
      <w:r w:rsidRPr="005A6293">
        <w:rPr>
          <w:rFonts w:eastAsia="Times New Roman" w:cs="Times New Roman"/>
          <w:color w:val="000000" w:themeColor="text1"/>
        </w:rPr>
        <w:t xml:space="preserve"> The report bridged the gap between the first free primary education decree in 1974 and the second decree in 1978, which implemented the recommendations from the Gachathi Report. The Mackay report of 1981 recommended changing the educational structure from 7-4-2-3 to 8-4-4, which was</w:t>
      </w:r>
      <w:r w:rsidR="00987602" w:rsidRPr="005A6293">
        <w:rPr>
          <w:rFonts w:eastAsia="Times New Roman" w:cs="Times New Roman"/>
          <w:color w:val="000000" w:themeColor="text1"/>
        </w:rPr>
        <w:t xml:space="preserve"> enacted in 1985</w:t>
      </w:r>
      <w:r w:rsidRPr="005A6293">
        <w:rPr>
          <w:rFonts w:eastAsia="Times New Roman" w:cs="Times New Roman"/>
          <w:color w:val="000000" w:themeColor="text1"/>
        </w:rPr>
        <w:t>.</w:t>
      </w:r>
      <w:r w:rsidR="00577F3B" w:rsidRPr="005A6293">
        <w:rPr>
          <w:rStyle w:val="FootnoteReference"/>
          <w:rFonts w:eastAsia="Times New Roman" w:cs="Times New Roman"/>
          <w:color w:val="000000" w:themeColor="text1"/>
        </w:rPr>
        <w:footnoteReference w:id="203"/>
      </w:r>
      <w:r w:rsidRPr="005A6293">
        <w:rPr>
          <w:rFonts w:eastAsia="Times New Roman" w:cs="Times New Roman"/>
          <w:color w:val="000000" w:themeColor="text1"/>
        </w:rPr>
        <w:t xml:space="preserve"> Finally, the Kamunge Report of 1988 focused on perceived wastage in education. The report examined wastage in human resources, physical infrastructure, an</w:t>
      </w:r>
      <w:r w:rsidR="00987602" w:rsidRPr="005A6293">
        <w:rPr>
          <w:rFonts w:eastAsia="Times New Roman" w:cs="Times New Roman"/>
          <w:color w:val="000000" w:themeColor="text1"/>
        </w:rPr>
        <w:t>d finances</w:t>
      </w:r>
      <w:r w:rsidRPr="005A6293">
        <w:rPr>
          <w:rFonts w:eastAsia="Times New Roman" w:cs="Times New Roman"/>
          <w:color w:val="000000" w:themeColor="text1"/>
        </w:rPr>
        <w:t>.</w:t>
      </w:r>
      <w:r w:rsidR="00577F3B" w:rsidRPr="005A6293">
        <w:rPr>
          <w:rStyle w:val="FootnoteReference"/>
          <w:rFonts w:eastAsia="Times New Roman" w:cs="Times New Roman"/>
          <w:color w:val="000000" w:themeColor="text1"/>
        </w:rPr>
        <w:footnoteReference w:id="204"/>
      </w:r>
      <w:r w:rsidRPr="005A6293">
        <w:rPr>
          <w:rFonts w:eastAsia="Times New Roman" w:cs="Times New Roman"/>
          <w:color w:val="000000" w:themeColor="text1"/>
        </w:rPr>
        <w:t xml:space="preserve"> Wastage in human resources referred to the high repetition and dropout rates, while financial wastage referred to the cost-inefficiency of primary education after the reintroduction of direct costs to parents after the failure of the second free primary education decree in 1978. </w:t>
      </w:r>
    </w:p>
    <w:p w14:paraId="6CF5344E" w14:textId="5046DEC3" w:rsidR="00082233" w:rsidRPr="005A6293" w:rsidRDefault="00082233" w:rsidP="0068257B">
      <w:pPr>
        <w:pStyle w:val="NoSpacing"/>
        <w:spacing w:line="480" w:lineRule="auto"/>
        <w:ind w:firstLine="720"/>
      </w:pPr>
      <w:r w:rsidRPr="005A6293">
        <w:t>As addressed by the above reports, one of the main goals of the independent government was a universal, free e</w:t>
      </w:r>
      <w:r w:rsidR="00870561" w:rsidRPr="005A6293">
        <w:t>ducation system. This goal had been a</w:t>
      </w:r>
      <w:r w:rsidRPr="005A6293">
        <w:t xml:space="preserve"> rallying point for the independence movement during colonialism and continues to be a major </w:t>
      </w:r>
      <w:r w:rsidRPr="005A6293">
        <w:lastRenderedPageBreak/>
        <w:t xml:space="preserve">political </w:t>
      </w:r>
      <w:r w:rsidR="00987602" w:rsidRPr="005A6293">
        <w:t>promise in Kenya</w:t>
      </w:r>
      <w:r w:rsidRPr="005A6293">
        <w:t>.</w:t>
      </w:r>
      <w:r w:rsidR="00577F3B" w:rsidRPr="005A6293">
        <w:rPr>
          <w:rStyle w:val="FootnoteReference"/>
        </w:rPr>
        <w:footnoteReference w:id="205"/>
      </w:r>
      <w:r w:rsidRPr="005A6293">
        <w:t xml:space="preserve"> In the late 1940s, one of the major political organ</w:t>
      </w:r>
      <w:r w:rsidR="00055612" w:rsidRPr="005A6293">
        <w:t>izations, KAU, began to demand</w:t>
      </w:r>
      <w:r w:rsidRPr="005A6293">
        <w:t xml:space="preserve"> universal education with no fees. Later on the brink of independence, a UNESCO conference was held in Addis Ababa in 1961 that also recommended free, universal education f</w:t>
      </w:r>
      <w:r w:rsidR="00987602" w:rsidRPr="005A6293">
        <w:t>or all of Africa</w:t>
      </w:r>
      <w:r w:rsidRPr="005A6293">
        <w:t>.</w:t>
      </w:r>
      <w:r w:rsidR="00577F3B" w:rsidRPr="005A6293">
        <w:rPr>
          <w:rStyle w:val="FootnoteReference"/>
        </w:rPr>
        <w:footnoteReference w:id="206"/>
      </w:r>
      <w:r w:rsidRPr="005A6293">
        <w:t xml:space="preserve"> This greatly impacted the relationship between gender and education; although Kenya even today does not have full gender equality in education, these steps towards universal primary education (UPE) began the march towards a more gender inclusive education system that we see in Kenya today. A prominent Kenyan saying captures this idea: </w:t>
      </w:r>
      <w:r w:rsidRPr="005A6293">
        <w:rPr>
          <w:rFonts w:eastAsia="Times New Roman" w:cs="Times New Roman"/>
          <w:color w:val="000000" w:themeColor="text1"/>
        </w:rPr>
        <w:t>“</w:t>
      </w:r>
      <w:r w:rsidRPr="005A6293">
        <w:t>Wathomithia muiretu, ni wathomithia mbururi (When you educate a girl, you educate a whole nation)</w:t>
      </w:r>
      <w:r w:rsidR="00987602" w:rsidRPr="005A6293">
        <w:rPr>
          <w:rFonts w:eastAsia="Times New Roman" w:cs="Times New Roman"/>
          <w:color w:val="000000" w:themeColor="text1"/>
        </w:rPr>
        <w:t>”</w:t>
      </w:r>
      <w:r w:rsidRPr="005A6293">
        <w:rPr>
          <w:rFonts w:eastAsia="Times New Roman" w:cs="Times New Roman"/>
          <w:color w:val="000000" w:themeColor="text1"/>
        </w:rPr>
        <w:t>.</w:t>
      </w:r>
      <w:r w:rsidR="00577F3B" w:rsidRPr="005A6293">
        <w:rPr>
          <w:rStyle w:val="FootnoteReference"/>
          <w:rFonts w:eastAsia="Times New Roman" w:cs="Times New Roman"/>
          <w:color w:val="000000" w:themeColor="text1"/>
        </w:rPr>
        <w:footnoteReference w:id="207"/>
      </w:r>
      <w:r w:rsidRPr="005A6293">
        <w:rPr>
          <w:rFonts w:eastAsia="Times New Roman" w:cs="Times New Roman"/>
          <w:color w:val="000000" w:themeColor="text1"/>
        </w:rPr>
        <w:t xml:space="preserve"> </w:t>
      </w:r>
    </w:p>
    <w:p w14:paraId="15E4815C" w14:textId="77777777" w:rsidR="00082233" w:rsidRPr="005A6293" w:rsidRDefault="00082233" w:rsidP="0068257B">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 xml:space="preserve">The fight for universal, free primary education was undertaken by three presidential decrees. The first of these was at the end of 1973. The presidential decree required free primary education (FPE) for the first four years starting in January 1974. The second presidential decree followed soon thereafter in 1978, that stated that the last three years of primary education will be free by the latest in January 1980. The last of the decrees came in 2003, which is indicative of how complex it is to turn good-intentioned policy into realized gains. The three presidential decrees for free primary education had a multitude of effects that both helped and hindered the education system. </w:t>
      </w:r>
    </w:p>
    <w:p w14:paraId="5F69E2FE" w14:textId="5C68C628" w:rsidR="00A25106" w:rsidRPr="005A6293" w:rsidRDefault="00082233" w:rsidP="00225646">
      <w:pPr>
        <w:pStyle w:val="NoSpacing"/>
        <w:tabs>
          <w:tab w:val="left" w:pos="1644"/>
        </w:tabs>
        <w:spacing w:line="480" w:lineRule="auto"/>
        <w:ind w:firstLine="720"/>
        <w:rPr>
          <w:rFonts w:eastAsia="Times New Roman" w:cs="Times New Roman"/>
          <w:color w:val="000000" w:themeColor="text1"/>
        </w:rPr>
      </w:pPr>
      <w:r w:rsidRPr="005A6293">
        <w:rPr>
          <w:rFonts w:eastAsia="Times New Roman" w:cs="Times New Roman"/>
          <w:color w:val="000000" w:themeColor="text1"/>
        </w:rPr>
        <w:t xml:space="preserve">Government initiatives involving education focused on secondary and tertiary education for the first ten years of independence due to the hope of creating a workforce capable of increasing Kenya’s development, mainly economic development. However, </w:t>
      </w:r>
      <w:r w:rsidR="00DE6DDF" w:rsidRPr="005A6293">
        <w:rPr>
          <w:rFonts w:eastAsia="Times New Roman" w:cs="Times New Roman"/>
          <w:color w:val="000000" w:themeColor="text1"/>
        </w:rPr>
        <w:t>in December</w:t>
      </w:r>
      <w:r w:rsidRPr="005A6293">
        <w:rPr>
          <w:rFonts w:eastAsia="Times New Roman" w:cs="Times New Roman"/>
          <w:color w:val="000000" w:themeColor="text1"/>
        </w:rPr>
        <w:t xml:space="preserve"> of 1973, President Kenyatta </w:t>
      </w:r>
      <w:r w:rsidR="00A9052F" w:rsidRPr="005A6293">
        <w:rPr>
          <w:rFonts w:eastAsia="Times New Roman" w:cs="Times New Roman"/>
          <w:color w:val="000000" w:themeColor="text1"/>
        </w:rPr>
        <w:t>created</w:t>
      </w:r>
      <w:r w:rsidRPr="005A6293">
        <w:rPr>
          <w:rFonts w:eastAsia="Times New Roman" w:cs="Times New Roman"/>
          <w:color w:val="000000" w:themeColor="text1"/>
        </w:rPr>
        <w:t xml:space="preserve"> a presidential decree that provided </w:t>
      </w:r>
      <w:r w:rsidRPr="005A6293">
        <w:rPr>
          <w:rFonts w:eastAsia="Times New Roman" w:cs="Times New Roman"/>
          <w:color w:val="000000" w:themeColor="text1"/>
        </w:rPr>
        <w:lastRenderedPageBreak/>
        <w:t>free education for the first four years of primary school. The decree caught both educational planners and the general p</w:t>
      </w:r>
      <w:r w:rsidR="00987602" w:rsidRPr="005A6293">
        <w:rPr>
          <w:rFonts w:eastAsia="Times New Roman" w:cs="Times New Roman"/>
          <w:color w:val="000000" w:themeColor="text1"/>
        </w:rPr>
        <w:t>ublic by surprise</w:t>
      </w:r>
      <w:r w:rsidR="00A9052F" w:rsidRPr="005A6293">
        <w:rPr>
          <w:rFonts w:eastAsia="Times New Roman" w:cs="Times New Roman"/>
          <w:color w:val="000000" w:themeColor="text1"/>
        </w:rPr>
        <w:t>, as Kenyatta did not consult them before creating the initiative</w:t>
      </w:r>
      <w:r w:rsidRPr="005A6293">
        <w:rPr>
          <w:rFonts w:eastAsia="Times New Roman" w:cs="Times New Roman"/>
          <w:color w:val="000000" w:themeColor="text1"/>
        </w:rPr>
        <w:t>.</w:t>
      </w:r>
      <w:r w:rsidR="00577F3B" w:rsidRPr="005A6293">
        <w:rPr>
          <w:rStyle w:val="FootnoteReference"/>
          <w:rFonts w:eastAsia="Times New Roman" w:cs="Times New Roman"/>
          <w:color w:val="000000" w:themeColor="text1"/>
        </w:rPr>
        <w:footnoteReference w:id="208"/>
      </w:r>
      <w:r w:rsidRPr="005A6293">
        <w:rPr>
          <w:rFonts w:eastAsia="Times New Roman" w:cs="Times New Roman"/>
          <w:color w:val="000000" w:themeColor="text1"/>
        </w:rPr>
        <w:t xml:space="preserve"> Schools exploded in January 1974, as educational planners had no time to put in place a system capable of offering free primary education to a mass of new students</w:t>
      </w:r>
      <w:r w:rsidR="00923CE3" w:rsidRPr="005A6293">
        <w:rPr>
          <w:rFonts w:eastAsia="Times New Roman" w:cs="Times New Roman"/>
          <w:color w:val="000000" w:themeColor="text1"/>
        </w:rPr>
        <w:t xml:space="preserve"> after the surprise decree in late</w:t>
      </w:r>
      <w:r w:rsidRPr="005A6293">
        <w:rPr>
          <w:rFonts w:eastAsia="Times New Roman" w:cs="Times New Roman"/>
          <w:color w:val="000000" w:themeColor="text1"/>
        </w:rPr>
        <w:t xml:space="preserve"> December 1973. For example, enrollment in standard one rose from less than 380,000 students to more than 9</w:t>
      </w:r>
      <w:r w:rsidR="00E57A85" w:rsidRPr="005A6293">
        <w:rPr>
          <w:rFonts w:eastAsia="Times New Roman" w:cs="Times New Roman"/>
          <w:color w:val="000000" w:themeColor="text1"/>
        </w:rPr>
        <w:t>50,000 students</w:t>
      </w:r>
      <w:r w:rsidRPr="005A6293">
        <w:rPr>
          <w:rFonts w:eastAsia="Times New Roman" w:cs="Times New Roman"/>
          <w:color w:val="000000" w:themeColor="text1"/>
        </w:rPr>
        <w:t>.</w:t>
      </w:r>
      <w:r w:rsidR="00666DF5" w:rsidRPr="005A6293">
        <w:rPr>
          <w:rStyle w:val="FootnoteReference"/>
          <w:rFonts w:eastAsia="Times New Roman" w:cs="Times New Roman"/>
          <w:color w:val="000000" w:themeColor="text1"/>
        </w:rPr>
        <w:footnoteReference w:id="209"/>
      </w:r>
      <w:r w:rsidRPr="005A6293">
        <w:rPr>
          <w:rFonts w:eastAsia="Times New Roman" w:cs="Times New Roman"/>
          <w:color w:val="000000" w:themeColor="text1"/>
        </w:rPr>
        <w:t xml:space="preserve"> This caused the gross enrollment rate (GER) for standard one to rise f</w:t>
      </w:r>
      <w:r w:rsidR="00E57A85" w:rsidRPr="005A6293">
        <w:rPr>
          <w:rFonts w:eastAsia="Times New Roman" w:cs="Times New Roman"/>
          <w:color w:val="000000" w:themeColor="text1"/>
        </w:rPr>
        <w:t>rom 93% to 221%</w:t>
      </w:r>
      <w:r w:rsidRPr="005A6293">
        <w:rPr>
          <w:rFonts w:eastAsia="Times New Roman" w:cs="Times New Roman"/>
          <w:color w:val="000000" w:themeColor="text1"/>
        </w:rPr>
        <w:t>.</w:t>
      </w:r>
      <w:r w:rsidR="00666DF5" w:rsidRPr="005A6293">
        <w:rPr>
          <w:rStyle w:val="FootnoteReference"/>
          <w:rFonts w:eastAsia="Times New Roman" w:cs="Times New Roman"/>
          <w:color w:val="000000" w:themeColor="text1"/>
        </w:rPr>
        <w:footnoteReference w:id="210"/>
      </w:r>
      <w:r w:rsidRPr="005A6293">
        <w:rPr>
          <w:rFonts w:eastAsia="Times New Roman" w:cs="Times New Roman"/>
          <w:color w:val="000000" w:themeColor="text1"/>
        </w:rPr>
        <w:t xml:space="preserve"> Likewise, total primary enrollment for the first six years of primary school rose from 1.8 million to 2.8 million between December of 1973 an</w:t>
      </w:r>
      <w:r w:rsidR="00E57A85" w:rsidRPr="005A6293">
        <w:rPr>
          <w:rFonts w:eastAsia="Times New Roman" w:cs="Times New Roman"/>
          <w:color w:val="000000" w:themeColor="text1"/>
        </w:rPr>
        <w:t>d January of 1974</w:t>
      </w:r>
      <w:r w:rsidRPr="005A6293">
        <w:rPr>
          <w:rFonts w:eastAsia="Times New Roman" w:cs="Times New Roman"/>
          <w:color w:val="000000" w:themeColor="text1"/>
        </w:rPr>
        <w:t>.</w:t>
      </w:r>
      <w:r w:rsidR="00666DF5" w:rsidRPr="005A6293">
        <w:rPr>
          <w:rStyle w:val="FootnoteReference"/>
          <w:rFonts w:eastAsia="Times New Roman" w:cs="Times New Roman"/>
          <w:color w:val="000000" w:themeColor="text1"/>
        </w:rPr>
        <w:footnoteReference w:id="211"/>
      </w:r>
      <w:r w:rsidRPr="005A6293">
        <w:rPr>
          <w:rFonts w:eastAsia="Times New Roman" w:cs="Times New Roman"/>
          <w:color w:val="000000" w:themeColor="text1"/>
        </w:rPr>
        <w:t xml:space="preserve"> The boom in enrollment came from students who were previously unenrolled as well as students who had previously dropped out of school and choose to come back due to the lack of school fees</w:t>
      </w:r>
      <w:r w:rsidR="00E030AB" w:rsidRPr="005A6293">
        <w:rPr>
          <w:rFonts w:eastAsia="Times New Roman" w:cs="Times New Roman"/>
          <w:color w:val="000000" w:themeColor="text1"/>
        </w:rPr>
        <w:t>. A graph from Somerset, figure</w:t>
      </w:r>
      <w:r w:rsidR="00A233CE" w:rsidRPr="005A6293">
        <w:rPr>
          <w:rFonts w:eastAsia="Times New Roman" w:cs="Times New Roman"/>
          <w:color w:val="000000" w:themeColor="text1"/>
        </w:rPr>
        <w:t xml:space="preserve"> 2</w:t>
      </w:r>
      <w:r w:rsidRPr="005A6293">
        <w:rPr>
          <w:rFonts w:eastAsia="Times New Roman" w:cs="Times New Roman"/>
          <w:color w:val="000000" w:themeColor="text1"/>
        </w:rPr>
        <w:t>, shows the drastic increase in enrollment caused by FPE 1, and the lasting change due to the policy. As the graph depicts, after the first year of FPE 1 enrollment rates fell back down, but remained higher than enrollment levels prior to the decree.</w:t>
      </w:r>
    </w:p>
    <w:p w14:paraId="7B468BA9" w14:textId="77777777" w:rsidR="00225646" w:rsidRPr="005A6293" w:rsidRDefault="00225646" w:rsidP="00225646">
      <w:pPr>
        <w:pStyle w:val="NoSpacing"/>
        <w:tabs>
          <w:tab w:val="left" w:pos="1644"/>
        </w:tabs>
        <w:spacing w:line="480" w:lineRule="auto"/>
        <w:ind w:firstLine="720"/>
        <w:rPr>
          <w:rFonts w:eastAsia="Times New Roman" w:cs="Times New Roman"/>
          <w:color w:val="000000" w:themeColor="text1"/>
        </w:rPr>
      </w:pPr>
    </w:p>
    <w:p w14:paraId="2D491087" w14:textId="77777777" w:rsidR="00225646" w:rsidRPr="005A6293" w:rsidRDefault="00225646" w:rsidP="00225646">
      <w:pPr>
        <w:pStyle w:val="NoSpacing"/>
        <w:tabs>
          <w:tab w:val="left" w:pos="1644"/>
        </w:tabs>
        <w:spacing w:line="480" w:lineRule="auto"/>
        <w:ind w:firstLine="720"/>
        <w:rPr>
          <w:rFonts w:eastAsia="Times New Roman" w:cs="Times New Roman"/>
          <w:color w:val="000000" w:themeColor="text1"/>
        </w:rPr>
      </w:pPr>
    </w:p>
    <w:p w14:paraId="61B0E7CE" w14:textId="77777777" w:rsidR="00225646" w:rsidRPr="005A6293" w:rsidRDefault="00225646" w:rsidP="00225646">
      <w:pPr>
        <w:pStyle w:val="NoSpacing"/>
        <w:tabs>
          <w:tab w:val="left" w:pos="1644"/>
        </w:tabs>
        <w:spacing w:line="480" w:lineRule="auto"/>
        <w:ind w:firstLine="720"/>
        <w:rPr>
          <w:rFonts w:eastAsia="Times New Roman" w:cs="Times New Roman"/>
          <w:color w:val="000000" w:themeColor="text1"/>
        </w:rPr>
      </w:pPr>
    </w:p>
    <w:p w14:paraId="6F6DDBF1" w14:textId="77777777" w:rsidR="00225646" w:rsidRPr="005A6293" w:rsidRDefault="00225646" w:rsidP="00225646">
      <w:pPr>
        <w:pStyle w:val="NoSpacing"/>
        <w:tabs>
          <w:tab w:val="left" w:pos="1644"/>
        </w:tabs>
        <w:spacing w:line="480" w:lineRule="auto"/>
        <w:ind w:firstLine="720"/>
        <w:rPr>
          <w:rFonts w:eastAsia="Times New Roman" w:cs="Times New Roman"/>
          <w:color w:val="000000" w:themeColor="text1"/>
        </w:rPr>
      </w:pPr>
    </w:p>
    <w:p w14:paraId="5FD25F3E" w14:textId="77777777" w:rsidR="00225646" w:rsidRPr="005A6293" w:rsidRDefault="00225646" w:rsidP="00225646">
      <w:pPr>
        <w:pStyle w:val="NoSpacing"/>
        <w:tabs>
          <w:tab w:val="left" w:pos="1644"/>
        </w:tabs>
        <w:spacing w:line="480" w:lineRule="auto"/>
        <w:ind w:firstLine="720"/>
        <w:rPr>
          <w:rFonts w:eastAsia="Times New Roman" w:cs="Times New Roman"/>
          <w:color w:val="000000" w:themeColor="text1"/>
        </w:rPr>
      </w:pPr>
    </w:p>
    <w:p w14:paraId="3B3E5871" w14:textId="64EAF3BE" w:rsidR="005B75C2" w:rsidRPr="005A6293" w:rsidRDefault="00A233CE" w:rsidP="00A25106">
      <w:r w:rsidRPr="005A6293">
        <w:lastRenderedPageBreak/>
        <w:t>Figure 2</w:t>
      </w:r>
      <w:r w:rsidR="00E030AB" w:rsidRPr="005A6293">
        <w:t xml:space="preserve">. </w:t>
      </w:r>
      <w:r w:rsidR="005B75C2" w:rsidRPr="005A6293">
        <w:t>Enrollment rates for primary education, 1970-1977</w:t>
      </w:r>
    </w:p>
    <w:p w14:paraId="653EB924" w14:textId="6E34BBA7" w:rsidR="005B75C2" w:rsidRPr="005A6293" w:rsidRDefault="005B75C2" w:rsidP="00A25106">
      <w:pPr>
        <w:pStyle w:val="NoSpacing"/>
        <w:tabs>
          <w:tab w:val="left" w:pos="1644"/>
        </w:tabs>
        <w:jc w:val="center"/>
        <w:rPr>
          <w:rFonts w:eastAsia="Times New Roman" w:cs="Times New Roman"/>
          <w:color w:val="000000" w:themeColor="text1"/>
        </w:rPr>
      </w:pPr>
      <w:r w:rsidRPr="005A6293">
        <w:rPr>
          <w:noProof/>
        </w:rPr>
        <w:drawing>
          <wp:inline distT="0" distB="0" distL="0" distR="0" wp14:anchorId="133F72C9" wp14:editId="1BF2BF23">
            <wp:extent cx="5109038" cy="3200142"/>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merset UPE 1.jpg"/>
                    <pic:cNvPicPr/>
                  </pic:nvPicPr>
                  <pic:blipFill>
                    <a:blip r:embed="rId10">
                      <a:extLst>
                        <a:ext uri="{28A0092B-C50C-407E-A947-70E740481C1C}">
                          <a14:useLocalDpi xmlns:a14="http://schemas.microsoft.com/office/drawing/2010/main" val="0"/>
                        </a:ext>
                      </a:extLst>
                    </a:blip>
                    <a:stretch>
                      <a:fillRect/>
                    </a:stretch>
                  </pic:blipFill>
                  <pic:spPr>
                    <a:xfrm>
                      <a:off x="0" y="0"/>
                      <a:ext cx="5117304" cy="3205320"/>
                    </a:xfrm>
                    <a:prstGeom prst="rect">
                      <a:avLst/>
                    </a:prstGeom>
                  </pic:spPr>
                </pic:pic>
              </a:graphicData>
            </a:graphic>
          </wp:inline>
        </w:drawing>
      </w:r>
    </w:p>
    <w:p w14:paraId="3ECFE3A4" w14:textId="3FD7B996" w:rsidR="00A25106" w:rsidRPr="005A6293" w:rsidRDefault="00A25106" w:rsidP="00A25106">
      <w:pPr>
        <w:spacing w:line="480" w:lineRule="auto"/>
        <w:rPr>
          <w:sz w:val="16"/>
          <w:szCs w:val="16"/>
        </w:rPr>
      </w:pPr>
      <w:r w:rsidRPr="005A6293">
        <w:rPr>
          <w:sz w:val="16"/>
          <w:szCs w:val="16"/>
        </w:rPr>
        <w:t xml:space="preserve">     </w:t>
      </w:r>
      <w:r w:rsidR="00815FCC" w:rsidRPr="005A6293">
        <w:rPr>
          <w:sz w:val="16"/>
          <w:szCs w:val="16"/>
        </w:rPr>
        <w:t xml:space="preserve">Source: Somerset, </w:t>
      </w:r>
      <w:r w:rsidR="00815FCC" w:rsidRPr="005A6293">
        <w:rPr>
          <w:rFonts w:cs="Times New Roman"/>
          <w:sz w:val="16"/>
          <w:szCs w:val="16"/>
        </w:rPr>
        <w:t>“Universalising Primary Education in Kenya: The Elusive Goal,” 233-250</w:t>
      </w:r>
      <w:r w:rsidR="00815FCC" w:rsidRPr="005A6293">
        <w:rPr>
          <w:rFonts w:cs="Times New Roman"/>
        </w:rPr>
        <w:t>.</w:t>
      </w:r>
    </w:p>
    <w:p w14:paraId="06860B17" w14:textId="15E87B07" w:rsidR="00082233" w:rsidRPr="005A6293" w:rsidRDefault="00082233" w:rsidP="0068257B">
      <w:pPr>
        <w:pStyle w:val="NoSpacing"/>
        <w:tabs>
          <w:tab w:val="left" w:pos="1644"/>
        </w:tabs>
        <w:spacing w:line="480" w:lineRule="auto"/>
        <w:ind w:firstLine="720"/>
        <w:rPr>
          <w:rFonts w:eastAsia="Times New Roman" w:cs="Times New Roman"/>
          <w:color w:val="000000" w:themeColor="text1"/>
        </w:rPr>
      </w:pPr>
      <w:r w:rsidRPr="005A6293">
        <w:rPr>
          <w:rFonts w:eastAsia="Times New Roman" w:cs="Times New Roman"/>
          <w:color w:val="000000" w:themeColor="text1"/>
        </w:rPr>
        <w:t>Although free primary education was a major achievement, it was short-lived and riddled with problems due to the lack of planning that preceded the decree. The major problems were lack of infrastructure to accommodate the influx of new students, lack of enough qualified teachers, lack of other funding sources, and the increased strain on an already imperfect education system. First, there was a major lack of infrastructure, mainly buildings and classrooms, to house all th</w:t>
      </w:r>
      <w:r w:rsidR="00E57A85" w:rsidRPr="005A6293">
        <w:rPr>
          <w:rFonts w:eastAsia="Times New Roman" w:cs="Times New Roman"/>
          <w:color w:val="000000" w:themeColor="text1"/>
        </w:rPr>
        <w:t>e income students</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12"/>
      </w:r>
      <w:r w:rsidRPr="005A6293">
        <w:rPr>
          <w:rFonts w:eastAsia="Times New Roman" w:cs="Times New Roman"/>
          <w:color w:val="000000" w:themeColor="text1"/>
        </w:rPr>
        <w:t xml:space="preserve"> Due to the national increase of one million children in primary school, mainly in the first four years, schools became swamped with students. Secondly, also due to the large increase in students, there were not enough teache</w:t>
      </w:r>
      <w:r w:rsidR="001A2B99" w:rsidRPr="005A6293">
        <w:rPr>
          <w:rFonts w:eastAsia="Times New Roman" w:cs="Times New Roman"/>
          <w:color w:val="000000" w:themeColor="text1"/>
        </w:rPr>
        <w:t>rs</w:t>
      </w:r>
      <w:r w:rsidRPr="005A6293">
        <w:rPr>
          <w:rFonts w:eastAsia="Times New Roman" w:cs="Times New Roman"/>
          <w:color w:val="000000" w:themeColor="text1"/>
        </w:rPr>
        <w:t>. Many schools t</w:t>
      </w:r>
      <w:r w:rsidR="001A2B99" w:rsidRPr="005A6293">
        <w:rPr>
          <w:rFonts w:eastAsia="Times New Roman" w:cs="Times New Roman"/>
          <w:color w:val="000000" w:themeColor="text1"/>
        </w:rPr>
        <w:t>ried to offset this problem by</w:t>
      </w:r>
      <w:r w:rsidRPr="005A6293">
        <w:rPr>
          <w:rFonts w:eastAsia="Times New Roman" w:cs="Times New Roman"/>
          <w:color w:val="000000" w:themeColor="text1"/>
        </w:rPr>
        <w:t xml:space="preserve"> hiring more teachers, which lead to an increase in underqualified teachers; for example, by 1975 4</w:t>
      </w:r>
      <w:r w:rsidR="001A2B99" w:rsidRPr="005A6293">
        <w:rPr>
          <w:rFonts w:eastAsia="Times New Roman" w:cs="Times New Roman"/>
          <w:color w:val="000000" w:themeColor="text1"/>
        </w:rPr>
        <w:t>0,000 of the 90,000 teachers</w:t>
      </w:r>
      <w:r w:rsidR="00E57A85" w:rsidRPr="005A6293">
        <w:rPr>
          <w:rFonts w:eastAsia="Times New Roman" w:cs="Times New Roman"/>
          <w:color w:val="000000" w:themeColor="text1"/>
        </w:rPr>
        <w:t xml:space="preserve"> were unqualified</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13"/>
      </w:r>
      <w:r w:rsidRPr="005A6293">
        <w:rPr>
          <w:rFonts w:eastAsia="Times New Roman" w:cs="Times New Roman"/>
          <w:color w:val="000000" w:themeColor="text1"/>
        </w:rPr>
        <w:t xml:space="preserve"> Thir</w:t>
      </w:r>
      <w:r w:rsidR="00EB27F7" w:rsidRPr="005A6293">
        <w:rPr>
          <w:rFonts w:eastAsia="Times New Roman" w:cs="Times New Roman"/>
          <w:color w:val="000000" w:themeColor="text1"/>
        </w:rPr>
        <w:t xml:space="preserve">d, many </w:t>
      </w:r>
      <w:r w:rsidR="00EB27F7" w:rsidRPr="005A6293">
        <w:rPr>
          <w:rFonts w:eastAsia="Times New Roman" w:cs="Times New Roman"/>
          <w:color w:val="000000" w:themeColor="text1"/>
        </w:rPr>
        <w:lastRenderedPageBreak/>
        <w:t>schools were left without</w:t>
      </w:r>
      <w:r w:rsidRPr="005A6293">
        <w:rPr>
          <w:rFonts w:eastAsia="Times New Roman" w:cs="Times New Roman"/>
          <w:color w:val="000000" w:themeColor="text1"/>
        </w:rPr>
        <w:t xml:space="preserve"> suitable funding source due to the loss of funds for four out of seve</w:t>
      </w:r>
      <w:r w:rsidR="00945F18" w:rsidRPr="005A6293">
        <w:rPr>
          <w:rFonts w:eastAsia="Times New Roman" w:cs="Times New Roman"/>
          <w:color w:val="000000" w:themeColor="text1"/>
        </w:rPr>
        <w:t>n years of students, with</w:t>
      </w:r>
      <w:r w:rsidRPr="005A6293">
        <w:rPr>
          <w:rFonts w:eastAsia="Times New Roman" w:cs="Times New Roman"/>
          <w:color w:val="000000" w:themeColor="text1"/>
        </w:rPr>
        <w:t xml:space="preserve"> the increased amount of students taking up resources but not pay</w:t>
      </w:r>
      <w:r w:rsidR="00184EE4" w:rsidRPr="005A6293">
        <w:rPr>
          <w:rFonts w:eastAsia="Times New Roman" w:cs="Times New Roman"/>
          <w:color w:val="000000" w:themeColor="text1"/>
        </w:rPr>
        <w:t>ing as they generally enrolled</w:t>
      </w:r>
      <w:r w:rsidRPr="005A6293">
        <w:rPr>
          <w:rFonts w:eastAsia="Times New Roman" w:cs="Times New Roman"/>
          <w:color w:val="000000" w:themeColor="text1"/>
        </w:rPr>
        <w:t xml:space="preserve"> in the first four years. Schools attempted to gain funding through multiple routes. One of these was deemed a “building levy”, which gathered funds from parents to build more infrastructure as well as raise revenue source</w:t>
      </w:r>
      <w:r w:rsidR="00E57A85" w:rsidRPr="005A6293">
        <w:rPr>
          <w:rFonts w:eastAsia="Times New Roman" w:cs="Times New Roman"/>
          <w:color w:val="000000" w:themeColor="text1"/>
        </w:rPr>
        <w:t>s</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14"/>
      </w:r>
      <w:r w:rsidRPr="005A6293">
        <w:rPr>
          <w:rFonts w:eastAsia="Times New Roman" w:cs="Times New Roman"/>
          <w:color w:val="000000" w:themeColor="text1"/>
        </w:rPr>
        <w:t xml:space="preserve"> In many places, the building levy was more costly than the ori</w:t>
      </w:r>
      <w:r w:rsidR="00603623" w:rsidRPr="005A6293">
        <w:rPr>
          <w:rFonts w:eastAsia="Times New Roman" w:cs="Times New Roman"/>
          <w:color w:val="000000" w:themeColor="text1"/>
        </w:rPr>
        <w:t>ginal school fees</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15"/>
      </w:r>
      <w:r w:rsidRPr="005A6293">
        <w:rPr>
          <w:rFonts w:eastAsia="Times New Roman" w:cs="Times New Roman"/>
          <w:color w:val="000000" w:themeColor="text1"/>
        </w:rPr>
        <w:t xml:space="preserve"> Lastly, FPE 1 increased the amount of students enrolled in school, but did nothing to address some of the systemic problems of the Kenyan education system. For example, dropout rates between standard one and standard five already amounted to</w:t>
      </w:r>
      <w:r w:rsidR="00185268" w:rsidRPr="005A6293">
        <w:rPr>
          <w:rFonts w:eastAsia="Times New Roman" w:cs="Times New Roman"/>
          <w:color w:val="000000" w:themeColor="text1"/>
        </w:rPr>
        <w:t xml:space="preserve"> roughly 25-30%</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16"/>
      </w:r>
      <w:r w:rsidRPr="005A6293">
        <w:rPr>
          <w:rFonts w:eastAsia="Times New Roman" w:cs="Times New Roman"/>
          <w:color w:val="000000" w:themeColor="text1"/>
        </w:rPr>
        <w:t xml:space="preserve"> After FPE 1 was initiated, dropout rates rose dramatically. When the students in standard one in 1974 reached standard five in 1978, 55% of the class had alre</w:t>
      </w:r>
      <w:r w:rsidR="00185268" w:rsidRPr="005A6293">
        <w:rPr>
          <w:rFonts w:eastAsia="Times New Roman" w:cs="Times New Roman"/>
          <w:color w:val="000000" w:themeColor="text1"/>
        </w:rPr>
        <w:t>ady dropped out</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17"/>
      </w:r>
      <w:r w:rsidRPr="005A6293">
        <w:rPr>
          <w:rFonts w:eastAsia="Times New Roman" w:cs="Times New Roman"/>
          <w:color w:val="000000" w:themeColor="text1"/>
        </w:rPr>
        <w:t xml:space="preserve"> </w:t>
      </w:r>
    </w:p>
    <w:p w14:paraId="19E011B5" w14:textId="4E5215C8" w:rsidR="009253E4" w:rsidRPr="005A6293" w:rsidRDefault="00082233" w:rsidP="00A25106">
      <w:pPr>
        <w:pStyle w:val="NoSpacing"/>
        <w:tabs>
          <w:tab w:val="left" w:pos="1644"/>
        </w:tabs>
        <w:spacing w:line="480" w:lineRule="auto"/>
        <w:ind w:firstLine="720"/>
        <w:rPr>
          <w:rFonts w:eastAsia="Times New Roman" w:cs="Times New Roman"/>
          <w:color w:val="000000" w:themeColor="text1"/>
        </w:rPr>
      </w:pPr>
      <w:r w:rsidRPr="005A6293">
        <w:rPr>
          <w:rFonts w:eastAsia="Times New Roman" w:cs="Times New Roman"/>
          <w:color w:val="000000" w:themeColor="text1"/>
        </w:rPr>
        <w:t>The second presidential decree for free primary education, FPE 2, was announced in 1978 by President Daniel arap Moi. FPE 2 introduced: free school for the last three years of primary school, a free school milk program, and the abolition of direct levies on parents such as the building levy. The resul</w:t>
      </w:r>
      <w:r w:rsidR="00C4180C" w:rsidRPr="005A6293">
        <w:rPr>
          <w:rFonts w:eastAsia="Times New Roman" w:cs="Times New Roman"/>
          <w:color w:val="000000" w:themeColor="text1"/>
        </w:rPr>
        <w:t>ts of FPE 2 can be seen in figure</w:t>
      </w:r>
      <w:r w:rsidR="00A233CE" w:rsidRPr="005A6293">
        <w:rPr>
          <w:rFonts w:eastAsia="Times New Roman" w:cs="Times New Roman"/>
          <w:color w:val="000000" w:themeColor="text1"/>
        </w:rPr>
        <w:t xml:space="preserve"> 3</w:t>
      </w:r>
      <w:r w:rsidRPr="005A6293">
        <w:rPr>
          <w:rFonts w:eastAsia="Times New Roman" w:cs="Times New Roman"/>
          <w:color w:val="000000" w:themeColor="text1"/>
        </w:rPr>
        <w:t xml:space="preserve">. Similar to FPE 1, FPE 2 caused a spike in enrollment rates, followed by a dramatic drop between standard one and standard two for the following year. Unlike FPE 1, enrollment rates for standard one remained relatively similar in the following years, although each year registered a dramatic drop between standard one and two. </w:t>
      </w:r>
      <w:r w:rsidRPr="005A6293">
        <w:rPr>
          <w:rFonts w:eastAsia="Times New Roman" w:cs="Times New Roman"/>
          <w:color w:val="000000" w:themeColor="text1"/>
        </w:rPr>
        <w:lastRenderedPageBreak/>
        <w:t xml:space="preserve">Perhaps more interestingly, final graduation rates from primary school remained relatively unchanged from before FPE 2 to after FPE 2. </w:t>
      </w:r>
    </w:p>
    <w:p w14:paraId="544D8D1B" w14:textId="4A81EF7B" w:rsidR="009253E4" w:rsidRPr="005A6293" w:rsidRDefault="009253E4" w:rsidP="009253E4">
      <w:pPr>
        <w:ind w:left="720" w:hanging="720"/>
      </w:pPr>
      <w:r w:rsidRPr="005A6293">
        <w:rPr>
          <w:rFonts w:eastAsia="Times New Roman" w:cs="Times New Roman"/>
          <w:color w:val="000000" w:themeColor="text1"/>
        </w:rPr>
        <w:t>Figure</w:t>
      </w:r>
      <w:r w:rsidR="00A233CE" w:rsidRPr="005A6293">
        <w:rPr>
          <w:rFonts w:eastAsia="Times New Roman" w:cs="Times New Roman"/>
          <w:color w:val="000000" w:themeColor="text1"/>
        </w:rPr>
        <w:t xml:space="preserve"> 3</w:t>
      </w:r>
      <w:r w:rsidRPr="005A6293">
        <w:rPr>
          <w:rFonts w:eastAsia="Times New Roman" w:cs="Times New Roman"/>
          <w:color w:val="000000" w:themeColor="text1"/>
        </w:rPr>
        <w:t xml:space="preserve">. </w:t>
      </w:r>
      <w:r w:rsidRPr="005A6293">
        <w:t>Enrollment rates for primary education, 1976-1983</w:t>
      </w:r>
    </w:p>
    <w:p w14:paraId="1DDD0553" w14:textId="63403D9D" w:rsidR="009253E4" w:rsidRPr="005A6293" w:rsidRDefault="009253E4" w:rsidP="00A25106">
      <w:pPr>
        <w:pStyle w:val="NoSpacing"/>
        <w:tabs>
          <w:tab w:val="left" w:pos="1644"/>
        </w:tabs>
        <w:jc w:val="center"/>
        <w:rPr>
          <w:rFonts w:eastAsia="Times New Roman" w:cs="Times New Roman"/>
          <w:color w:val="000000" w:themeColor="text1"/>
        </w:rPr>
      </w:pPr>
      <w:r w:rsidRPr="005A6293">
        <w:rPr>
          <w:noProof/>
        </w:rPr>
        <w:drawing>
          <wp:inline distT="0" distB="0" distL="0" distR="0" wp14:anchorId="3288AD8B" wp14:editId="40766A7D">
            <wp:extent cx="5055915" cy="3200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merset FPE 2.jpg"/>
                    <pic:cNvPicPr/>
                  </pic:nvPicPr>
                  <pic:blipFill>
                    <a:blip r:embed="rId11">
                      <a:extLst>
                        <a:ext uri="{28A0092B-C50C-407E-A947-70E740481C1C}">
                          <a14:useLocalDpi xmlns:a14="http://schemas.microsoft.com/office/drawing/2010/main" val="0"/>
                        </a:ext>
                      </a:extLst>
                    </a:blip>
                    <a:stretch>
                      <a:fillRect/>
                    </a:stretch>
                  </pic:blipFill>
                  <pic:spPr>
                    <a:xfrm>
                      <a:off x="0" y="0"/>
                      <a:ext cx="5055915" cy="3200400"/>
                    </a:xfrm>
                    <a:prstGeom prst="rect">
                      <a:avLst/>
                    </a:prstGeom>
                  </pic:spPr>
                </pic:pic>
              </a:graphicData>
            </a:graphic>
          </wp:inline>
        </w:drawing>
      </w:r>
    </w:p>
    <w:p w14:paraId="3E1A7897" w14:textId="097A231F" w:rsidR="00A25106" w:rsidRPr="005A6293" w:rsidRDefault="00A25106" w:rsidP="00A25106">
      <w:pPr>
        <w:spacing w:line="480" w:lineRule="auto"/>
        <w:rPr>
          <w:sz w:val="16"/>
          <w:szCs w:val="16"/>
        </w:rPr>
      </w:pPr>
      <w:r w:rsidRPr="005A6293">
        <w:rPr>
          <w:sz w:val="16"/>
          <w:szCs w:val="16"/>
        </w:rPr>
        <w:t xml:space="preserve">       </w:t>
      </w:r>
      <w:r w:rsidR="00815FCC" w:rsidRPr="005A6293">
        <w:rPr>
          <w:sz w:val="16"/>
          <w:szCs w:val="16"/>
        </w:rPr>
        <w:t xml:space="preserve">Source: Somerset, </w:t>
      </w:r>
      <w:r w:rsidR="00815FCC" w:rsidRPr="005A6293">
        <w:rPr>
          <w:rFonts w:cs="Times New Roman"/>
          <w:sz w:val="16"/>
          <w:szCs w:val="16"/>
        </w:rPr>
        <w:t>“Universalising Primary Education in Kenya: The Elusive Goal,” 233-250</w:t>
      </w:r>
      <w:r w:rsidR="00815FCC" w:rsidRPr="005A6293">
        <w:rPr>
          <w:rFonts w:cs="Times New Roman"/>
        </w:rPr>
        <w:t>.</w:t>
      </w:r>
    </w:p>
    <w:p w14:paraId="206FCAD8" w14:textId="6A8A8B0E" w:rsidR="00082233" w:rsidRPr="005A6293" w:rsidRDefault="00082233" w:rsidP="0068257B">
      <w:pPr>
        <w:pStyle w:val="NoSpacing"/>
        <w:tabs>
          <w:tab w:val="left" w:pos="1644"/>
        </w:tabs>
        <w:spacing w:line="480" w:lineRule="auto"/>
        <w:ind w:firstLine="720"/>
        <w:rPr>
          <w:rFonts w:eastAsia="Times New Roman" w:cs="Times New Roman"/>
          <w:color w:val="000000" w:themeColor="text1"/>
        </w:rPr>
      </w:pPr>
      <w:r w:rsidRPr="005A6293">
        <w:rPr>
          <w:rFonts w:eastAsia="Times New Roman" w:cs="Times New Roman"/>
          <w:color w:val="000000" w:themeColor="text1"/>
        </w:rPr>
        <w:t xml:space="preserve">Other than </w:t>
      </w:r>
      <w:r w:rsidR="00585B2A" w:rsidRPr="005A6293">
        <w:rPr>
          <w:rFonts w:eastAsia="Times New Roman" w:cs="Times New Roman"/>
          <w:color w:val="000000" w:themeColor="text1"/>
        </w:rPr>
        <w:t xml:space="preserve">a </w:t>
      </w:r>
      <w:r w:rsidRPr="005A6293">
        <w:rPr>
          <w:rFonts w:eastAsia="Times New Roman" w:cs="Times New Roman"/>
          <w:color w:val="000000" w:themeColor="text1"/>
        </w:rPr>
        <w:t>steady increase in enrollment rate</w:t>
      </w:r>
      <w:r w:rsidR="00585B2A" w:rsidRPr="005A6293">
        <w:rPr>
          <w:rFonts w:eastAsia="Times New Roman" w:cs="Times New Roman"/>
          <w:color w:val="000000" w:themeColor="text1"/>
        </w:rPr>
        <w:t>s in standard one and</w:t>
      </w:r>
      <w:r w:rsidRPr="005A6293">
        <w:rPr>
          <w:rFonts w:eastAsia="Times New Roman" w:cs="Times New Roman"/>
          <w:color w:val="000000" w:themeColor="text1"/>
        </w:rPr>
        <w:t xml:space="preserve"> disappointing stagnation of </w:t>
      </w:r>
      <w:r w:rsidR="00585B2A" w:rsidRPr="005A6293">
        <w:rPr>
          <w:rFonts w:eastAsia="Times New Roman" w:cs="Times New Roman"/>
          <w:color w:val="000000" w:themeColor="text1"/>
        </w:rPr>
        <w:t xml:space="preserve">primary school </w:t>
      </w:r>
      <w:r w:rsidRPr="005A6293">
        <w:rPr>
          <w:rFonts w:eastAsia="Times New Roman" w:cs="Times New Roman"/>
          <w:color w:val="000000" w:themeColor="text1"/>
        </w:rPr>
        <w:t>graduation</w:t>
      </w:r>
      <w:r w:rsidR="00585B2A" w:rsidRPr="005A6293">
        <w:rPr>
          <w:rFonts w:eastAsia="Times New Roman" w:cs="Times New Roman"/>
          <w:color w:val="000000" w:themeColor="text1"/>
        </w:rPr>
        <w:t xml:space="preserve">, </w:t>
      </w:r>
      <w:r w:rsidRPr="005A6293">
        <w:rPr>
          <w:rFonts w:eastAsia="Times New Roman" w:cs="Times New Roman"/>
          <w:color w:val="000000" w:themeColor="text1"/>
        </w:rPr>
        <w:t>FPE 2 was notable for a few other reasons. The first is that unlike FPE 1, FPE 2 was pha</w:t>
      </w:r>
      <w:r w:rsidR="00185268" w:rsidRPr="005A6293">
        <w:rPr>
          <w:rFonts w:eastAsia="Times New Roman" w:cs="Times New Roman"/>
          <w:color w:val="000000" w:themeColor="text1"/>
        </w:rPr>
        <w:t>sed into schools</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18"/>
      </w:r>
      <w:r w:rsidRPr="005A6293">
        <w:rPr>
          <w:rFonts w:eastAsia="Times New Roman" w:cs="Times New Roman"/>
          <w:color w:val="000000" w:themeColor="text1"/>
        </w:rPr>
        <w:t xml:space="preserve"> This gave educational planners as well as students and parents more time to adjust to the presidential decree. Additionally, FPE 2 attempted to address the source of funding that was lost due to the eradication of primary school fees. FPE 2 banned schools from levying direct costs against parents, and instead encouraged schools to make up the gap in funding with community-based, voluntary hara</w:t>
      </w:r>
      <w:r w:rsidR="00185268" w:rsidRPr="005A6293">
        <w:rPr>
          <w:rFonts w:eastAsia="Times New Roman" w:cs="Times New Roman"/>
          <w:color w:val="000000" w:themeColor="text1"/>
        </w:rPr>
        <w:t>mbee activities</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19"/>
      </w:r>
      <w:r w:rsidRPr="005A6293">
        <w:rPr>
          <w:rFonts w:eastAsia="Times New Roman" w:cs="Times New Roman"/>
          <w:color w:val="000000" w:themeColor="text1"/>
        </w:rPr>
        <w:t xml:space="preserve"> However, these voluntary funding sources were not enough to cover educational costs and, therefore, </w:t>
      </w:r>
      <w:r w:rsidRPr="005A6293">
        <w:rPr>
          <w:rFonts w:eastAsia="Times New Roman" w:cs="Times New Roman"/>
          <w:color w:val="000000" w:themeColor="text1"/>
        </w:rPr>
        <w:lastRenderedPageBreak/>
        <w:t>direct levies were gradually reintroduced throughout Kenya and officially reint</w:t>
      </w:r>
      <w:r w:rsidR="00185268" w:rsidRPr="005A6293">
        <w:rPr>
          <w:rFonts w:eastAsia="Times New Roman" w:cs="Times New Roman"/>
          <w:color w:val="000000" w:themeColor="text1"/>
        </w:rPr>
        <w:t>roduced in 1988</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20"/>
      </w:r>
      <w:r w:rsidRPr="005A6293">
        <w:rPr>
          <w:rFonts w:eastAsia="Times New Roman" w:cs="Times New Roman"/>
          <w:color w:val="000000" w:themeColor="text1"/>
        </w:rPr>
        <w:t xml:space="preserve"> </w:t>
      </w:r>
    </w:p>
    <w:p w14:paraId="51FD551C" w14:textId="527DE779" w:rsidR="0075420B" w:rsidRPr="005A6293" w:rsidRDefault="00082233" w:rsidP="00A25106">
      <w:pPr>
        <w:pStyle w:val="NoSpacing"/>
        <w:tabs>
          <w:tab w:val="left" w:pos="1644"/>
        </w:tabs>
        <w:spacing w:line="480" w:lineRule="auto"/>
        <w:ind w:firstLine="720"/>
        <w:rPr>
          <w:rFonts w:eastAsia="Times New Roman" w:cs="Times New Roman"/>
          <w:color w:val="000000" w:themeColor="text1"/>
        </w:rPr>
      </w:pPr>
      <w:r w:rsidRPr="005A6293">
        <w:rPr>
          <w:rFonts w:eastAsia="Times New Roman" w:cs="Times New Roman"/>
          <w:color w:val="000000" w:themeColor="text1"/>
        </w:rPr>
        <w:t>The third presidential decree for free primary education was initiated in 2003, under President Mwai Kibaki. Once again, this political announcement caught the surprise of educational planners and the general public, as the incoming president sought to immediately make good on ca</w:t>
      </w:r>
      <w:r w:rsidR="00185268" w:rsidRPr="005A6293">
        <w:rPr>
          <w:rFonts w:eastAsia="Times New Roman" w:cs="Times New Roman"/>
          <w:color w:val="000000" w:themeColor="text1"/>
        </w:rPr>
        <w:t>mpaign promises</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21"/>
      </w:r>
      <w:r w:rsidRPr="005A6293">
        <w:rPr>
          <w:rFonts w:eastAsia="Times New Roman" w:cs="Times New Roman"/>
          <w:color w:val="000000" w:themeColor="text1"/>
        </w:rPr>
        <w:t xml:space="preserve"> As with the other free primary school initiatives, FPE 3 eliminated direct costs against parents for all levels of primary school (standards one through eight). However, FPE 3 also made uniforms voluntary so that children were no longer turned away from school because their parents could not affor</w:t>
      </w:r>
      <w:r w:rsidR="00185268" w:rsidRPr="005A6293">
        <w:rPr>
          <w:rFonts w:eastAsia="Times New Roman" w:cs="Times New Roman"/>
          <w:color w:val="000000" w:themeColor="text1"/>
        </w:rPr>
        <w:t>d uniform costs</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22"/>
      </w:r>
      <w:r w:rsidRPr="005A6293">
        <w:rPr>
          <w:rFonts w:eastAsia="Times New Roman" w:cs="Times New Roman"/>
          <w:color w:val="000000" w:themeColor="text1"/>
        </w:rPr>
        <w:t xml:space="preserve"> The impact on enrollments for FPE 3 was much the same as with F</w:t>
      </w:r>
      <w:r w:rsidR="00BA7D3E" w:rsidRPr="005A6293">
        <w:rPr>
          <w:rFonts w:eastAsia="Times New Roman" w:cs="Times New Roman"/>
          <w:color w:val="000000" w:themeColor="text1"/>
        </w:rPr>
        <w:t>PE 1 and FPE 2, as seen in figure</w:t>
      </w:r>
      <w:r w:rsidR="00A233CE" w:rsidRPr="005A6293">
        <w:rPr>
          <w:rFonts w:eastAsia="Times New Roman" w:cs="Times New Roman"/>
          <w:color w:val="000000" w:themeColor="text1"/>
        </w:rPr>
        <w:t xml:space="preserve"> 4</w:t>
      </w:r>
      <w:r w:rsidRPr="005A6293">
        <w:rPr>
          <w:rFonts w:eastAsia="Times New Roman" w:cs="Times New Roman"/>
          <w:color w:val="000000" w:themeColor="text1"/>
        </w:rPr>
        <w:t>. Enrollment for standard one jumped up, and at least until 2006 stayed above enrollment levels pre-FPE 3. In enrollment numbers, standard one rose from 969,000 in 2002 to 1,312,000,000 in 20</w:t>
      </w:r>
      <w:r w:rsidR="00185268" w:rsidRPr="005A6293">
        <w:rPr>
          <w:rFonts w:eastAsia="Times New Roman" w:cs="Times New Roman"/>
          <w:color w:val="000000" w:themeColor="text1"/>
        </w:rPr>
        <w:t>03</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23"/>
      </w:r>
      <w:r w:rsidRPr="005A6293">
        <w:rPr>
          <w:rFonts w:eastAsia="Times New Roman" w:cs="Times New Roman"/>
          <w:color w:val="000000" w:themeColor="text1"/>
        </w:rPr>
        <w:t xml:space="preserve"> Additionally, total primary enrollments rose from 5.9 million to 7.1 million between 2002 and 20</w:t>
      </w:r>
      <w:r w:rsidR="00185268" w:rsidRPr="005A6293">
        <w:rPr>
          <w:rFonts w:eastAsia="Times New Roman" w:cs="Times New Roman"/>
          <w:color w:val="000000" w:themeColor="text1"/>
        </w:rPr>
        <w:t>03</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24"/>
      </w:r>
      <w:r w:rsidRPr="005A6293">
        <w:rPr>
          <w:rFonts w:eastAsia="Times New Roman" w:cs="Times New Roman"/>
          <w:color w:val="000000" w:themeColor="text1"/>
        </w:rPr>
        <w:t xml:space="preserve"> The most interesting addition to FPE 3 has been the subsequent measures enacted to address the loss of school revenues from direct costs. In the late </w:t>
      </w:r>
      <w:r w:rsidRPr="005A6293">
        <w:rPr>
          <w:rFonts w:eastAsia="Times New Roman" w:cs="Times New Roman"/>
          <w:color w:val="000000" w:themeColor="text1"/>
        </w:rPr>
        <w:lastRenderedPageBreak/>
        <w:t>2000s, the government introduced a capitation-grant system, which contains funds earmarked for learning materials su</w:t>
      </w:r>
      <w:r w:rsidR="00942A34" w:rsidRPr="005A6293">
        <w:rPr>
          <w:rFonts w:eastAsia="Times New Roman" w:cs="Times New Roman"/>
          <w:color w:val="000000" w:themeColor="text1"/>
        </w:rPr>
        <w:t>ch as textbooks</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25"/>
      </w:r>
      <w:r w:rsidRPr="005A6293">
        <w:rPr>
          <w:rFonts w:eastAsia="Times New Roman" w:cs="Times New Roman"/>
          <w:color w:val="000000" w:themeColor="text1"/>
        </w:rPr>
        <w:t xml:space="preserve"> </w:t>
      </w:r>
    </w:p>
    <w:p w14:paraId="7EB6E4C4" w14:textId="41395C55" w:rsidR="0075420B" w:rsidRPr="005A6293" w:rsidRDefault="00A233CE" w:rsidP="0075420B">
      <w:pPr>
        <w:ind w:left="720" w:hanging="720"/>
      </w:pPr>
      <w:r w:rsidRPr="005A6293">
        <w:rPr>
          <w:rFonts w:eastAsia="Times New Roman" w:cs="Times New Roman"/>
          <w:color w:val="000000" w:themeColor="text1"/>
        </w:rPr>
        <w:t>Figure 4</w:t>
      </w:r>
      <w:r w:rsidR="0075420B" w:rsidRPr="005A6293">
        <w:rPr>
          <w:rFonts w:eastAsia="Times New Roman" w:cs="Times New Roman"/>
          <w:color w:val="000000" w:themeColor="text1"/>
        </w:rPr>
        <w:t>.</w:t>
      </w:r>
      <w:r w:rsidR="0075420B" w:rsidRPr="005A6293">
        <w:t xml:space="preserve"> Enrollment rates for primary education, 1995-2006</w:t>
      </w:r>
    </w:p>
    <w:p w14:paraId="7F5EFB42" w14:textId="79DA16C6" w:rsidR="0075420B" w:rsidRPr="005A6293" w:rsidRDefault="0075420B" w:rsidP="00A25106">
      <w:pPr>
        <w:ind w:left="720" w:hanging="720"/>
        <w:jc w:val="center"/>
      </w:pPr>
      <w:r w:rsidRPr="005A6293">
        <w:rPr>
          <w:noProof/>
        </w:rPr>
        <w:drawing>
          <wp:inline distT="0" distB="0" distL="0" distR="0" wp14:anchorId="3EA89740" wp14:editId="64BF4CB0">
            <wp:extent cx="5377593" cy="32004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merset FPE 3.jpg"/>
                    <pic:cNvPicPr/>
                  </pic:nvPicPr>
                  <pic:blipFill>
                    <a:blip r:embed="rId12">
                      <a:extLst>
                        <a:ext uri="{28A0092B-C50C-407E-A947-70E740481C1C}">
                          <a14:useLocalDpi xmlns:a14="http://schemas.microsoft.com/office/drawing/2010/main" val="0"/>
                        </a:ext>
                      </a:extLst>
                    </a:blip>
                    <a:stretch>
                      <a:fillRect/>
                    </a:stretch>
                  </pic:blipFill>
                  <pic:spPr>
                    <a:xfrm>
                      <a:off x="0" y="0"/>
                      <a:ext cx="5377593" cy="3200400"/>
                    </a:xfrm>
                    <a:prstGeom prst="rect">
                      <a:avLst/>
                    </a:prstGeom>
                  </pic:spPr>
                </pic:pic>
              </a:graphicData>
            </a:graphic>
          </wp:inline>
        </w:drawing>
      </w:r>
    </w:p>
    <w:p w14:paraId="4325EB38" w14:textId="70DCE33E" w:rsidR="00A25106" w:rsidRPr="005A6293" w:rsidRDefault="00A25106" w:rsidP="00815FCC">
      <w:pPr>
        <w:pStyle w:val="FootnoteText"/>
        <w:spacing w:line="480" w:lineRule="auto"/>
      </w:pPr>
      <w:r w:rsidRPr="005A6293">
        <w:rPr>
          <w:sz w:val="16"/>
          <w:szCs w:val="16"/>
        </w:rPr>
        <w:t xml:space="preserve">   </w:t>
      </w:r>
      <w:r w:rsidR="00815FCC" w:rsidRPr="005A6293">
        <w:rPr>
          <w:sz w:val="16"/>
          <w:szCs w:val="16"/>
        </w:rPr>
        <w:t xml:space="preserve">Source: Somerset, </w:t>
      </w:r>
      <w:r w:rsidR="00815FCC" w:rsidRPr="005A6293">
        <w:rPr>
          <w:rFonts w:cs="Times New Roman"/>
          <w:sz w:val="16"/>
          <w:szCs w:val="16"/>
        </w:rPr>
        <w:t>“Universalising Primary Education in Kenya: The Elusive Goal,” 233-250</w:t>
      </w:r>
      <w:r w:rsidR="00815FCC" w:rsidRPr="005A6293">
        <w:rPr>
          <w:rFonts w:cs="Times New Roman"/>
        </w:rPr>
        <w:t>.</w:t>
      </w:r>
    </w:p>
    <w:p w14:paraId="65C6657E" w14:textId="5187E25D" w:rsidR="00082233" w:rsidRPr="005A6293" w:rsidRDefault="00082233" w:rsidP="0068257B">
      <w:pPr>
        <w:pStyle w:val="NoSpacing"/>
        <w:tabs>
          <w:tab w:val="left" w:pos="1644"/>
        </w:tabs>
        <w:spacing w:line="480" w:lineRule="auto"/>
        <w:ind w:firstLine="720"/>
        <w:rPr>
          <w:rFonts w:eastAsia="Times New Roman" w:cs="Times New Roman"/>
          <w:color w:val="000000" w:themeColor="text1"/>
        </w:rPr>
      </w:pPr>
      <w:r w:rsidRPr="005A6293">
        <w:rPr>
          <w:rFonts w:eastAsia="Times New Roman" w:cs="Times New Roman"/>
          <w:color w:val="000000" w:themeColor="text1"/>
        </w:rPr>
        <w:t>Other than the three free primary education decrees, there were two more large educational policy changes, enacted between FPE 2 and FPE 3. First, the Kenya National Examinations Council publicized performance tables for students</w:t>
      </w:r>
      <w:r w:rsidR="00585B2A" w:rsidRPr="005A6293">
        <w:rPr>
          <w:rFonts w:eastAsia="Times New Roman" w:cs="Times New Roman"/>
          <w:color w:val="000000" w:themeColor="text1"/>
        </w:rPr>
        <w:t xml:space="preserve"> after the 1978 final examinations</w:t>
      </w:r>
      <w:r w:rsidRPr="005A6293">
        <w:rPr>
          <w:rFonts w:eastAsia="Times New Roman" w:cs="Times New Roman"/>
          <w:color w:val="000000" w:themeColor="text1"/>
        </w:rPr>
        <w:t>, called the KCPE performance tables.</w:t>
      </w:r>
      <w:r w:rsidR="00F34D1C" w:rsidRPr="005A6293">
        <w:rPr>
          <w:rStyle w:val="FootnoteReference"/>
          <w:rFonts w:eastAsia="Times New Roman" w:cs="Times New Roman"/>
          <w:color w:val="000000" w:themeColor="text1"/>
        </w:rPr>
        <w:footnoteReference w:id="226"/>
      </w:r>
      <w:r w:rsidRPr="005A6293">
        <w:rPr>
          <w:rFonts w:eastAsia="Times New Roman" w:cs="Times New Roman"/>
          <w:color w:val="000000" w:themeColor="text1"/>
        </w:rPr>
        <w:t xml:space="preserve"> The tables grouped performance by both district as well as by the individual schools. This had a major implication for students and schools. Repetition and dropout rates increased in between the last grade and the second to last grade of primary, as both schools and students themselves restricted access into the last grade of primary to better prepare for</w:t>
      </w:r>
      <w:r w:rsidR="00EB2BDB" w:rsidRPr="005A6293">
        <w:rPr>
          <w:rFonts w:eastAsia="Times New Roman" w:cs="Times New Roman"/>
          <w:color w:val="000000" w:themeColor="text1"/>
        </w:rPr>
        <w:t xml:space="preserve"> the final </w:t>
      </w:r>
      <w:r w:rsidR="00EB2BDB" w:rsidRPr="005A6293">
        <w:rPr>
          <w:rFonts w:eastAsia="Times New Roman" w:cs="Times New Roman"/>
          <w:color w:val="000000" w:themeColor="text1"/>
        </w:rPr>
        <w:lastRenderedPageBreak/>
        <w:t>exam</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27"/>
      </w:r>
      <w:r w:rsidRPr="005A6293">
        <w:rPr>
          <w:rFonts w:eastAsia="Times New Roman" w:cs="Times New Roman"/>
          <w:color w:val="000000" w:themeColor="text1"/>
        </w:rPr>
        <w:t xml:space="preserve"> Schools commenced in a process called ‘sifting’, where they would restrict weaker students from entering into the final year of primary without repetition in the second to last g</w:t>
      </w:r>
      <w:r w:rsidR="00EB2BDB" w:rsidRPr="005A6293">
        <w:rPr>
          <w:rFonts w:eastAsia="Times New Roman" w:cs="Times New Roman"/>
          <w:color w:val="000000" w:themeColor="text1"/>
        </w:rPr>
        <w:t>rade of primary</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28"/>
      </w:r>
      <w:r w:rsidRPr="005A6293">
        <w:rPr>
          <w:rFonts w:eastAsia="Times New Roman" w:cs="Times New Roman"/>
          <w:color w:val="000000" w:themeColor="text1"/>
        </w:rPr>
        <w:t xml:space="preserve"> Students themselves also chose to repeat the second to last grade, or even to dropout before the last grade due to the increased pressure of the school to have higher performa</w:t>
      </w:r>
      <w:r w:rsidR="00EB2BDB" w:rsidRPr="005A6293">
        <w:rPr>
          <w:rFonts w:eastAsia="Times New Roman" w:cs="Times New Roman"/>
          <w:color w:val="000000" w:themeColor="text1"/>
        </w:rPr>
        <w:t>nce on the KCPE</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29"/>
      </w:r>
      <w:r w:rsidRPr="005A6293">
        <w:rPr>
          <w:rFonts w:eastAsia="Times New Roman" w:cs="Times New Roman"/>
          <w:color w:val="000000" w:themeColor="text1"/>
        </w:rPr>
        <w:t xml:space="preserve"> Although the dissemination of KCPE performance tables began due to the desire for increased transparency and quality measurement, the tables placed higher stress on institutions and students, resulting in unanticipated enrollment results.  </w:t>
      </w:r>
    </w:p>
    <w:p w14:paraId="0730754F" w14:textId="0F50FC28" w:rsidR="00082233" w:rsidRPr="005A6293" w:rsidRDefault="00082233" w:rsidP="0068257B">
      <w:pPr>
        <w:pStyle w:val="NoSpacing"/>
        <w:tabs>
          <w:tab w:val="left" w:pos="1644"/>
        </w:tabs>
        <w:spacing w:line="480" w:lineRule="auto"/>
        <w:ind w:firstLine="720"/>
        <w:rPr>
          <w:rFonts w:eastAsia="Times New Roman" w:cs="Times New Roman"/>
          <w:color w:val="000000" w:themeColor="text1"/>
        </w:rPr>
      </w:pPr>
      <w:r w:rsidRPr="005A6293">
        <w:rPr>
          <w:rFonts w:eastAsia="Times New Roman" w:cs="Times New Roman"/>
          <w:color w:val="000000" w:themeColor="text1"/>
        </w:rPr>
        <w:t>The second major change to the education system was a change of structure from 7-4-2-3 to 8-4-4 in 1985; meaning that education was now eight years of primary, four years of secondary, and 4 years of tertiary education. Combined with the KCPE performance tables from a few years earlier, the change to educational structure had a large impact on educat</w:t>
      </w:r>
      <w:r w:rsidR="00DA54EA" w:rsidRPr="005A6293">
        <w:rPr>
          <w:rFonts w:eastAsia="Times New Roman" w:cs="Times New Roman"/>
          <w:color w:val="000000" w:themeColor="text1"/>
        </w:rPr>
        <w:t>ion in Kenya. Along with the change</w:t>
      </w:r>
      <w:r w:rsidRPr="005A6293">
        <w:rPr>
          <w:rFonts w:eastAsia="Times New Roman" w:cs="Times New Roman"/>
          <w:color w:val="000000" w:themeColor="text1"/>
        </w:rPr>
        <w:t xml:space="preserve"> to the amount of years in primary, there was also a change to curriculum, which impacted what teachers were expected to teach and what</w:t>
      </w:r>
      <w:r w:rsidR="006E15E1" w:rsidRPr="005A6293">
        <w:rPr>
          <w:rFonts w:eastAsia="Times New Roman" w:cs="Times New Roman"/>
          <w:color w:val="000000" w:themeColor="text1"/>
        </w:rPr>
        <w:t xml:space="preserve"> materials</w:t>
      </w:r>
      <w:r w:rsidRPr="005A6293">
        <w:rPr>
          <w:rFonts w:eastAsia="Times New Roman" w:cs="Times New Roman"/>
          <w:color w:val="000000" w:themeColor="text1"/>
        </w:rPr>
        <w:t xml:space="preserve"> students were expected to buy for school. For example, the amount of subjects covered in primary education changed from 7 to 13 u</w:t>
      </w:r>
      <w:r w:rsidR="0086461C" w:rsidRPr="005A6293">
        <w:rPr>
          <w:rFonts w:eastAsia="Times New Roman" w:cs="Times New Roman"/>
          <w:color w:val="000000" w:themeColor="text1"/>
        </w:rPr>
        <w:t>nder the reform</w:t>
      </w:r>
      <w:r w:rsidRPr="005A6293">
        <w:rPr>
          <w:rFonts w:eastAsia="Times New Roman" w:cs="Times New Roman"/>
          <w:color w:val="000000" w:themeColor="text1"/>
        </w:rPr>
        <w:t>.</w:t>
      </w:r>
      <w:r w:rsidR="00F34D1C" w:rsidRPr="005A6293">
        <w:rPr>
          <w:rStyle w:val="FootnoteReference"/>
          <w:rFonts w:eastAsia="Times New Roman" w:cs="Times New Roman"/>
          <w:color w:val="000000" w:themeColor="text1"/>
        </w:rPr>
        <w:footnoteReference w:id="230"/>
      </w:r>
      <w:r w:rsidRPr="005A6293">
        <w:rPr>
          <w:rFonts w:eastAsia="Times New Roman" w:cs="Times New Roman"/>
          <w:color w:val="000000" w:themeColor="text1"/>
        </w:rPr>
        <w:t xml:space="preserve"> Parents had to buy more textbooks to cover the new material, and schools had to provide more physical infrastructure through classrooms to house some of the new subjects if they needed other facilities. Additionally, with the KCPE performance tables impacting the last year of primary, there was a drastic drop between enrollment rates between standard seven and standard eight. </w:t>
      </w:r>
    </w:p>
    <w:p w14:paraId="691105B4" w14:textId="25AE2FCE" w:rsidR="00082233" w:rsidRPr="005A6293" w:rsidRDefault="00082233" w:rsidP="0068257B">
      <w:pPr>
        <w:pStyle w:val="NoSpacing"/>
        <w:tabs>
          <w:tab w:val="left" w:pos="1644"/>
        </w:tabs>
        <w:spacing w:line="480" w:lineRule="auto"/>
        <w:ind w:firstLine="720"/>
        <w:rPr>
          <w:rFonts w:eastAsia="Times New Roman" w:cs="Times New Roman"/>
          <w:color w:val="000000" w:themeColor="text1"/>
        </w:rPr>
      </w:pPr>
      <w:r w:rsidRPr="005A6293">
        <w:rPr>
          <w:rFonts w:eastAsia="Times New Roman" w:cs="Times New Roman"/>
          <w:color w:val="000000" w:themeColor="text1"/>
        </w:rPr>
        <w:lastRenderedPageBreak/>
        <w:t>Overall, the Kenyan education system saw considerable structural change in the immediate few decades after independence in the 1960s. The policy changes included three free primary education initiatives, a change of quality measures with the KCPE tables, and a change in the amount of years per level of education. All of these educational changes were politically motivated. Primarily, Kenyan political leaders viewed education as one of the main avenues towards development, both economic development and development of a national identity. Additionally, all three FPEs were introduced under a new president. FPE 2 and FPE 3 were both introduced within months of presidents being newly elected so that they could make good on some of their big political platforms and promises. The use of FPEs as political tools rather than educational tools often meant that the FPEs were introduced with little thought about how they would impact the education system in small ways, such as the impacts on: infrastructure, repetition rates, dropout rates, funding sources, and employment constraints. However, each of the three FPEs increased access and thus enrollment in primary education, but at what cost? The quantity of education increased, but the policies did little to address the quality of education. Quality suffered after each policy was enacted due to the strain on teachers, hiring of untrained and unqualified teachers, the strain of new curriculum, and the swiftness with which the policies were set into motion</w:t>
      </w:r>
      <w:r w:rsidR="002015CD" w:rsidRPr="005A6293">
        <w:rPr>
          <w:rFonts w:eastAsia="Times New Roman" w:cs="Times New Roman"/>
          <w:color w:val="000000" w:themeColor="text1"/>
        </w:rPr>
        <w:t xml:space="preserve">. </w:t>
      </w:r>
    </w:p>
    <w:p w14:paraId="35601342" w14:textId="7FB23E88" w:rsidR="00B9663B" w:rsidRPr="005A6293" w:rsidRDefault="00B9663B" w:rsidP="0068257B">
      <w:pPr>
        <w:spacing w:line="480" w:lineRule="auto"/>
        <w:rPr>
          <w:rFonts w:cs="Times New Roman"/>
          <w:b/>
          <w:bCs/>
        </w:rPr>
      </w:pPr>
      <w:r w:rsidRPr="005A6293">
        <w:rPr>
          <w:rFonts w:cs="Times New Roman"/>
          <w:b/>
          <w:bCs/>
        </w:rPr>
        <w:t>Educatio</w:t>
      </w:r>
      <w:r w:rsidR="00C772FA" w:rsidRPr="005A6293">
        <w:rPr>
          <w:rFonts w:cs="Times New Roman"/>
          <w:b/>
          <w:bCs/>
        </w:rPr>
        <w:t xml:space="preserve">n </w:t>
      </w:r>
      <w:r w:rsidRPr="005A6293">
        <w:rPr>
          <w:rFonts w:cs="Times New Roman"/>
          <w:b/>
          <w:bCs/>
        </w:rPr>
        <w:t xml:space="preserve">and Gender </w:t>
      </w:r>
    </w:p>
    <w:p w14:paraId="7DE80C7E" w14:textId="082694A1" w:rsidR="00BB6A65" w:rsidRPr="005A6293" w:rsidRDefault="00C772FA" w:rsidP="0068257B">
      <w:pPr>
        <w:spacing w:line="480" w:lineRule="auto"/>
        <w:rPr>
          <w:rFonts w:cs="Times New Roman"/>
          <w:bCs/>
          <w:i/>
        </w:rPr>
      </w:pPr>
      <w:r w:rsidRPr="005A6293">
        <w:rPr>
          <w:rFonts w:cs="Times New Roman"/>
          <w:bCs/>
          <w:i/>
        </w:rPr>
        <w:t>Quantitative Measures</w:t>
      </w:r>
    </w:p>
    <w:p w14:paraId="17AF74C6" w14:textId="2B6B269E" w:rsidR="0016201B" w:rsidRPr="005A6293" w:rsidRDefault="00082233" w:rsidP="00E21F0D">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The most common</w:t>
      </w:r>
      <w:r w:rsidR="0055224A" w:rsidRPr="005A6293">
        <w:rPr>
          <w:rFonts w:eastAsia="Times New Roman" w:cs="Times New Roman"/>
          <w:color w:val="000000" w:themeColor="text1"/>
        </w:rPr>
        <w:t xml:space="preserve"> measurement used to assess </w:t>
      </w:r>
      <w:r w:rsidRPr="005A6293">
        <w:rPr>
          <w:rFonts w:eastAsia="Times New Roman" w:cs="Times New Roman"/>
          <w:color w:val="000000" w:themeColor="text1"/>
        </w:rPr>
        <w:t xml:space="preserve">equality in education is enrollment. There are two principle enrollment measures: net enrollment rates and gross </w:t>
      </w:r>
      <w:r w:rsidRPr="005A6293">
        <w:rPr>
          <w:rFonts w:eastAsia="Times New Roman" w:cs="Times New Roman"/>
          <w:color w:val="000000" w:themeColor="text1"/>
        </w:rPr>
        <w:lastRenderedPageBreak/>
        <w:t>enrollment rates. Gross enrollment is the number of children enrolled in a grade, divided by the population of the age group that corresponds to that grade. In contrast, net enrollment is the number of children enrolled in a grade who are of the correct age level for that grade, divided by the population of the age group that corresponds to that grade. Therefore, net enrollment differs from gross enrollment when children either repeat grades or start pr</w:t>
      </w:r>
      <w:r w:rsidR="007B14FD" w:rsidRPr="005A6293">
        <w:rPr>
          <w:rFonts w:eastAsia="Times New Roman" w:cs="Times New Roman"/>
          <w:color w:val="000000" w:themeColor="text1"/>
        </w:rPr>
        <w:t>imary school at a younger or old</w:t>
      </w:r>
      <w:r w:rsidRPr="005A6293">
        <w:rPr>
          <w:rFonts w:eastAsia="Times New Roman" w:cs="Times New Roman"/>
          <w:color w:val="000000" w:themeColor="text1"/>
        </w:rPr>
        <w:t>e</w:t>
      </w:r>
      <w:r w:rsidR="003519D0" w:rsidRPr="005A6293">
        <w:rPr>
          <w:rFonts w:eastAsia="Times New Roman" w:cs="Times New Roman"/>
          <w:color w:val="000000" w:themeColor="text1"/>
        </w:rPr>
        <w:t>r age. For this paper, I utilize</w:t>
      </w:r>
      <w:r w:rsidRPr="005A6293">
        <w:rPr>
          <w:rFonts w:eastAsia="Times New Roman" w:cs="Times New Roman"/>
          <w:color w:val="000000" w:themeColor="text1"/>
        </w:rPr>
        <w:t xml:space="preserve"> both gross enrollment rates (GER) and net enr</w:t>
      </w:r>
      <w:r w:rsidR="00517FF4" w:rsidRPr="005A6293">
        <w:rPr>
          <w:rFonts w:eastAsia="Times New Roman" w:cs="Times New Roman"/>
          <w:color w:val="000000" w:themeColor="text1"/>
        </w:rPr>
        <w:t>ollment rates (NER). Table 3</w:t>
      </w:r>
      <w:r w:rsidR="00E1569F" w:rsidRPr="005A6293">
        <w:rPr>
          <w:rFonts w:eastAsia="Times New Roman" w:cs="Times New Roman"/>
          <w:color w:val="000000" w:themeColor="text1"/>
        </w:rPr>
        <w:t xml:space="preserve"> below </w:t>
      </w:r>
      <w:r w:rsidRPr="005A6293">
        <w:rPr>
          <w:rFonts w:eastAsia="Times New Roman" w:cs="Times New Roman"/>
          <w:color w:val="000000" w:themeColor="text1"/>
        </w:rPr>
        <w:t>includes statistics for the GER for 1970-2009.</w:t>
      </w:r>
    </w:p>
    <w:p w14:paraId="3031C74A" w14:textId="6BAE63B5" w:rsidR="0016201B" w:rsidRPr="005A6293" w:rsidRDefault="00517FF4" w:rsidP="0016201B">
      <w:pPr>
        <w:ind w:left="720" w:hanging="720"/>
      </w:pPr>
      <w:r w:rsidRPr="005A6293">
        <w:rPr>
          <w:rFonts w:eastAsia="Times New Roman" w:cs="Times New Roman"/>
          <w:color w:val="000000" w:themeColor="text1"/>
        </w:rPr>
        <w:t>Table 3</w:t>
      </w:r>
      <w:r w:rsidR="0016201B" w:rsidRPr="005A6293">
        <w:rPr>
          <w:rFonts w:eastAsia="Times New Roman" w:cs="Times New Roman"/>
          <w:color w:val="000000" w:themeColor="text1"/>
        </w:rPr>
        <w:t xml:space="preserve">. </w:t>
      </w:r>
      <w:r w:rsidR="0016201B" w:rsidRPr="005A6293">
        <w:t>Gross primary enrollment rate by gender, 1970-2009</w:t>
      </w:r>
    </w:p>
    <w:tbl>
      <w:tblPr>
        <w:tblStyle w:val="PlainTable31"/>
        <w:tblW w:w="0" w:type="auto"/>
        <w:jc w:val="center"/>
        <w:tblLayout w:type="fixed"/>
        <w:tblLook w:val="04A0" w:firstRow="1" w:lastRow="0" w:firstColumn="1" w:lastColumn="0" w:noHBand="0" w:noVBand="1"/>
      </w:tblPr>
      <w:tblGrid>
        <w:gridCol w:w="900"/>
        <w:gridCol w:w="1215"/>
        <w:gridCol w:w="1335"/>
        <w:gridCol w:w="1260"/>
      </w:tblGrid>
      <w:tr w:rsidR="0016201B" w:rsidRPr="005A6293" w14:paraId="1FD36235" w14:textId="77777777" w:rsidTr="0016201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900" w:type="dxa"/>
          </w:tcPr>
          <w:p w14:paraId="49DD5C83"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Year</w:t>
            </w:r>
          </w:p>
        </w:tc>
        <w:tc>
          <w:tcPr>
            <w:tcW w:w="1215" w:type="dxa"/>
          </w:tcPr>
          <w:p w14:paraId="4C32F3CB" w14:textId="77777777" w:rsidR="0016201B" w:rsidRPr="005A6293" w:rsidRDefault="0016201B" w:rsidP="0016201B">
            <w:pPr>
              <w:pStyle w:val="NoSpacing"/>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b w:val="0"/>
                <w:bCs w:val="0"/>
                <w:color w:val="000000" w:themeColor="text1"/>
              </w:rPr>
              <w:t>Male</w:t>
            </w:r>
          </w:p>
        </w:tc>
        <w:tc>
          <w:tcPr>
            <w:tcW w:w="1335" w:type="dxa"/>
          </w:tcPr>
          <w:p w14:paraId="59BF834B" w14:textId="77777777" w:rsidR="0016201B" w:rsidRPr="005A6293" w:rsidRDefault="0016201B" w:rsidP="0016201B">
            <w:pPr>
              <w:pStyle w:val="NoSpacing"/>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b w:val="0"/>
                <w:bCs w:val="0"/>
                <w:color w:val="000000" w:themeColor="text1"/>
              </w:rPr>
              <w:t>Female</w:t>
            </w:r>
          </w:p>
        </w:tc>
        <w:tc>
          <w:tcPr>
            <w:tcW w:w="1260" w:type="dxa"/>
          </w:tcPr>
          <w:p w14:paraId="231CB834" w14:textId="77777777" w:rsidR="0016201B" w:rsidRPr="005A6293" w:rsidRDefault="0016201B" w:rsidP="0016201B">
            <w:pPr>
              <w:pStyle w:val="NoSpacing"/>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b w:val="0"/>
                <w:bCs w:val="0"/>
                <w:color w:val="000000" w:themeColor="text1"/>
              </w:rPr>
              <w:t>Total</w:t>
            </w:r>
          </w:p>
        </w:tc>
      </w:tr>
      <w:tr w:rsidR="0016201B" w:rsidRPr="005A6293" w14:paraId="48713D3F"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0B6B5164"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1970</w:t>
            </w:r>
          </w:p>
        </w:tc>
        <w:tc>
          <w:tcPr>
            <w:tcW w:w="1215" w:type="dxa"/>
          </w:tcPr>
          <w:p w14:paraId="2F1E1D68"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72.57%</w:t>
            </w:r>
          </w:p>
        </w:tc>
        <w:tc>
          <w:tcPr>
            <w:tcW w:w="1335" w:type="dxa"/>
          </w:tcPr>
          <w:p w14:paraId="315ADB79"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53.17%</w:t>
            </w:r>
          </w:p>
        </w:tc>
        <w:tc>
          <w:tcPr>
            <w:tcW w:w="1260" w:type="dxa"/>
          </w:tcPr>
          <w:p w14:paraId="05A28FBF"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62.83%</w:t>
            </w:r>
          </w:p>
        </w:tc>
      </w:tr>
      <w:tr w:rsidR="0016201B" w:rsidRPr="005A6293" w14:paraId="30CDE05D"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3B476FD5"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1971</w:t>
            </w:r>
          </w:p>
        </w:tc>
        <w:tc>
          <w:tcPr>
            <w:tcW w:w="1215" w:type="dxa"/>
          </w:tcPr>
          <w:p w14:paraId="3E99FEF8"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73.72%</w:t>
            </w:r>
          </w:p>
        </w:tc>
        <w:tc>
          <w:tcPr>
            <w:tcW w:w="1335" w:type="dxa"/>
          </w:tcPr>
          <w:p w14:paraId="34D73999"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55.74%</w:t>
            </w:r>
          </w:p>
        </w:tc>
        <w:tc>
          <w:tcPr>
            <w:tcW w:w="1260" w:type="dxa"/>
          </w:tcPr>
          <w:p w14:paraId="3FC983B0"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64.69%</w:t>
            </w:r>
          </w:p>
        </w:tc>
      </w:tr>
      <w:tr w:rsidR="0016201B" w:rsidRPr="005A6293" w14:paraId="7290BDC6"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65251910"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1972</w:t>
            </w:r>
          </w:p>
        </w:tc>
        <w:tc>
          <w:tcPr>
            <w:tcW w:w="1215" w:type="dxa"/>
          </w:tcPr>
          <w:p w14:paraId="5B3F6D60"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77.67%</w:t>
            </w:r>
          </w:p>
        </w:tc>
        <w:tc>
          <w:tcPr>
            <w:tcW w:w="1335" w:type="dxa"/>
          </w:tcPr>
          <w:p w14:paraId="2B53F1AA"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59.78%</w:t>
            </w:r>
          </w:p>
        </w:tc>
        <w:tc>
          <w:tcPr>
            <w:tcW w:w="1260" w:type="dxa"/>
          </w:tcPr>
          <w:p w14:paraId="4E6ACEEA"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68.69%</w:t>
            </w:r>
          </w:p>
        </w:tc>
      </w:tr>
      <w:tr w:rsidR="0016201B" w:rsidRPr="005A6293" w14:paraId="526772F0"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35CD3BCF"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1973</w:t>
            </w:r>
          </w:p>
        </w:tc>
        <w:tc>
          <w:tcPr>
            <w:tcW w:w="1215" w:type="dxa"/>
          </w:tcPr>
          <w:p w14:paraId="1D7C36D0"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80.24%</w:t>
            </w:r>
          </w:p>
        </w:tc>
        <w:tc>
          <w:tcPr>
            <w:tcW w:w="1335" w:type="dxa"/>
          </w:tcPr>
          <w:p w14:paraId="414F8F65"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63.43%</w:t>
            </w:r>
          </w:p>
        </w:tc>
        <w:tc>
          <w:tcPr>
            <w:tcW w:w="1260" w:type="dxa"/>
          </w:tcPr>
          <w:p w14:paraId="243CFA9F"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71.80%</w:t>
            </w:r>
          </w:p>
        </w:tc>
      </w:tr>
      <w:tr w:rsidR="0016201B" w:rsidRPr="005A6293" w14:paraId="320C0363"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65B13E79"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1974</w:t>
            </w:r>
          </w:p>
        </w:tc>
        <w:tc>
          <w:tcPr>
            <w:tcW w:w="1215" w:type="dxa"/>
          </w:tcPr>
          <w:p w14:paraId="5BB68744"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116.29%</w:t>
            </w:r>
          </w:p>
        </w:tc>
        <w:tc>
          <w:tcPr>
            <w:tcW w:w="1335" w:type="dxa"/>
          </w:tcPr>
          <w:p w14:paraId="04701758"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96.46%</w:t>
            </w:r>
          </w:p>
        </w:tc>
        <w:tc>
          <w:tcPr>
            <w:tcW w:w="1260" w:type="dxa"/>
          </w:tcPr>
          <w:p w14:paraId="5B3C4410"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106.34%</w:t>
            </w:r>
          </w:p>
        </w:tc>
      </w:tr>
      <w:tr w:rsidR="0016201B" w:rsidRPr="005A6293" w14:paraId="5FC5CCB4"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11EAC42F"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1975</w:t>
            </w:r>
          </w:p>
        </w:tc>
        <w:tc>
          <w:tcPr>
            <w:tcW w:w="1215" w:type="dxa"/>
          </w:tcPr>
          <w:p w14:paraId="76750308"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117.58%</w:t>
            </w:r>
          </w:p>
        </w:tc>
        <w:tc>
          <w:tcPr>
            <w:tcW w:w="1335" w:type="dxa"/>
          </w:tcPr>
          <w:p w14:paraId="02024072"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101.06%</w:t>
            </w:r>
          </w:p>
        </w:tc>
        <w:tc>
          <w:tcPr>
            <w:tcW w:w="1260" w:type="dxa"/>
          </w:tcPr>
          <w:p w14:paraId="2B6F16AE"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109.30%</w:t>
            </w:r>
          </w:p>
        </w:tc>
      </w:tr>
      <w:tr w:rsidR="0016201B" w:rsidRPr="005A6293" w14:paraId="59248936"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424B0EC6"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1976</w:t>
            </w:r>
          </w:p>
        </w:tc>
        <w:tc>
          <w:tcPr>
            <w:tcW w:w="1215" w:type="dxa"/>
          </w:tcPr>
          <w:p w14:paraId="5482A5A9"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111.90%</w:t>
            </w:r>
          </w:p>
        </w:tc>
        <w:tc>
          <w:tcPr>
            <w:tcW w:w="1335" w:type="dxa"/>
          </w:tcPr>
          <w:p w14:paraId="331A152B"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98.18%</w:t>
            </w:r>
          </w:p>
        </w:tc>
        <w:tc>
          <w:tcPr>
            <w:tcW w:w="1260" w:type="dxa"/>
          </w:tcPr>
          <w:p w14:paraId="0AAAE51F"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105.03%</w:t>
            </w:r>
          </w:p>
        </w:tc>
      </w:tr>
      <w:tr w:rsidR="0016201B" w:rsidRPr="005A6293" w14:paraId="5A0070A2"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69B0CA3C"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1977</w:t>
            </w:r>
          </w:p>
        </w:tc>
        <w:tc>
          <w:tcPr>
            <w:tcW w:w="1215" w:type="dxa"/>
          </w:tcPr>
          <w:p w14:paraId="3E4B5609"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110.32%</w:t>
            </w:r>
          </w:p>
        </w:tc>
        <w:tc>
          <w:tcPr>
            <w:tcW w:w="1335" w:type="dxa"/>
          </w:tcPr>
          <w:p w14:paraId="6B3062DF"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97.84%</w:t>
            </w:r>
          </w:p>
        </w:tc>
        <w:tc>
          <w:tcPr>
            <w:tcW w:w="1260" w:type="dxa"/>
          </w:tcPr>
          <w:p w14:paraId="3A4DE96B"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104.07%</w:t>
            </w:r>
          </w:p>
        </w:tc>
      </w:tr>
      <w:tr w:rsidR="0016201B" w:rsidRPr="005A6293" w14:paraId="6C2EC163"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5DEDCA9F"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1978</w:t>
            </w:r>
          </w:p>
        </w:tc>
        <w:tc>
          <w:tcPr>
            <w:tcW w:w="1215" w:type="dxa"/>
          </w:tcPr>
          <w:p w14:paraId="06831274"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105.32%</w:t>
            </w:r>
          </w:p>
        </w:tc>
        <w:tc>
          <w:tcPr>
            <w:tcW w:w="1335" w:type="dxa"/>
          </w:tcPr>
          <w:p w14:paraId="6D6793B3"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94.10%</w:t>
            </w:r>
          </w:p>
        </w:tc>
        <w:tc>
          <w:tcPr>
            <w:tcW w:w="1260" w:type="dxa"/>
          </w:tcPr>
          <w:p w14:paraId="399A36A2"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99.71%</w:t>
            </w:r>
          </w:p>
        </w:tc>
      </w:tr>
      <w:tr w:rsidR="0016201B" w:rsidRPr="005A6293" w14:paraId="1AF483E8"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58BDD951"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1979</w:t>
            </w:r>
          </w:p>
        </w:tc>
        <w:tc>
          <w:tcPr>
            <w:tcW w:w="1215" w:type="dxa"/>
          </w:tcPr>
          <w:p w14:paraId="0646D710"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125.16%</w:t>
            </w:r>
          </w:p>
        </w:tc>
        <w:tc>
          <w:tcPr>
            <w:tcW w:w="1335" w:type="dxa"/>
          </w:tcPr>
          <w:p w14:paraId="66B54419"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113.52%</w:t>
            </w:r>
          </w:p>
        </w:tc>
        <w:tc>
          <w:tcPr>
            <w:tcW w:w="1260" w:type="dxa"/>
          </w:tcPr>
          <w:p w14:paraId="53025144"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119.34%</w:t>
            </w:r>
          </w:p>
        </w:tc>
      </w:tr>
      <w:tr w:rsidR="0016201B" w:rsidRPr="005A6293" w14:paraId="0EDEB420"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31752BD5"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1980</w:t>
            </w:r>
          </w:p>
        </w:tc>
        <w:tc>
          <w:tcPr>
            <w:tcW w:w="1215" w:type="dxa"/>
          </w:tcPr>
          <w:p w14:paraId="771F47F8"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124.81%</w:t>
            </w:r>
          </w:p>
        </w:tc>
        <w:tc>
          <w:tcPr>
            <w:tcW w:w="1335" w:type="dxa"/>
          </w:tcPr>
          <w:p w14:paraId="0618DAC6"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114.95%</w:t>
            </w:r>
          </w:p>
        </w:tc>
        <w:tc>
          <w:tcPr>
            <w:tcW w:w="1260" w:type="dxa"/>
          </w:tcPr>
          <w:p w14:paraId="028DA424"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119.88%</w:t>
            </w:r>
          </w:p>
        </w:tc>
      </w:tr>
      <w:tr w:rsidR="0016201B" w:rsidRPr="005A6293" w14:paraId="039A9045"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10B0E834"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1981</w:t>
            </w:r>
          </w:p>
        </w:tc>
        <w:tc>
          <w:tcPr>
            <w:tcW w:w="1215" w:type="dxa"/>
          </w:tcPr>
          <w:p w14:paraId="6DC8BC53"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120.16%</w:t>
            </w:r>
          </w:p>
        </w:tc>
        <w:tc>
          <w:tcPr>
            <w:tcW w:w="1335" w:type="dxa"/>
          </w:tcPr>
          <w:p w14:paraId="48EDA726"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112.07%</w:t>
            </w:r>
          </w:p>
        </w:tc>
        <w:tc>
          <w:tcPr>
            <w:tcW w:w="1260" w:type="dxa"/>
          </w:tcPr>
          <w:p w14:paraId="60324554"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116.11%</w:t>
            </w:r>
          </w:p>
        </w:tc>
      </w:tr>
      <w:tr w:rsidR="0016201B" w:rsidRPr="005A6293" w14:paraId="78BC8CA1"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5B9D57FE"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1982</w:t>
            </w:r>
          </w:p>
        </w:tc>
        <w:tc>
          <w:tcPr>
            <w:tcW w:w="1215" w:type="dxa"/>
          </w:tcPr>
          <w:p w14:paraId="3E459C91"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121.23%</w:t>
            </w:r>
          </w:p>
        </w:tc>
        <w:tc>
          <w:tcPr>
            <w:tcW w:w="1335" w:type="dxa"/>
          </w:tcPr>
          <w:p w14:paraId="0F9432BB"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113.94%</w:t>
            </w:r>
          </w:p>
        </w:tc>
        <w:tc>
          <w:tcPr>
            <w:tcW w:w="1260" w:type="dxa"/>
          </w:tcPr>
          <w:p w14:paraId="436AF16C"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117.58%</w:t>
            </w:r>
          </w:p>
        </w:tc>
      </w:tr>
      <w:tr w:rsidR="0016201B" w:rsidRPr="005A6293" w14:paraId="42073438"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746BF8DE"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1983</w:t>
            </w:r>
          </w:p>
        </w:tc>
        <w:tc>
          <w:tcPr>
            <w:tcW w:w="1215" w:type="dxa"/>
          </w:tcPr>
          <w:p w14:paraId="6D374A91"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120.31%</w:t>
            </w:r>
          </w:p>
        </w:tc>
        <w:tc>
          <w:tcPr>
            <w:tcW w:w="1335" w:type="dxa"/>
          </w:tcPr>
          <w:p w14:paraId="7D34887F"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113.07%</w:t>
            </w:r>
          </w:p>
        </w:tc>
        <w:tc>
          <w:tcPr>
            <w:tcW w:w="1260" w:type="dxa"/>
          </w:tcPr>
          <w:p w14:paraId="636558A9"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116.69%</w:t>
            </w:r>
          </w:p>
        </w:tc>
      </w:tr>
      <w:tr w:rsidR="0016201B" w:rsidRPr="005A6293" w14:paraId="57FDC2D7"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296B269B"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1984</w:t>
            </w:r>
          </w:p>
        </w:tc>
        <w:tc>
          <w:tcPr>
            <w:tcW w:w="1215" w:type="dxa"/>
          </w:tcPr>
          <w:p w14:paraId="0EB4CF1F"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114.93%</w:t>
            </w:r>
          </w:p>
        </w:tc>
        <w:tc>
          <w:tcPr>
            <w:tcW w:w="1335" w:type="dxa"/>
          </w:tcPr>
          <w:p w14:paraId="497A7E53"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109.03%</w:t>
            </w:r>
          </w:p>
        </w:tc>
        <w:tc>
          <w:tcPr>
            <w:tcW w:w="1260" w:type="dxa"/>
          </w:tcPr>
          <w:p w14:paraId="7B4D1A7A"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111.99%</w:t>
            </w:r>
          </w:p>
        </w:tc>
      </w:tr>
      <w:tr w:rsidR="0016201B" w:rsidRPr="005A6293" w14:paraId="66E8BC69"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3D288A26"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1985</w:t>
            </w:r>
          </w:p>
        </w:tc>
        <w:tc>
          <w:tcPr>
            <w:tcW w:w="1215" w:type="dxa"/>
          </w:tcPr>
          <w:p w14:paraId="574897B0"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109.28%</w:t>
            </w:r>
          </w:p>
        </w:tc>
        <w:tc>
          <w:tcPr>
            <w:tcW w:w="1335" w:type="dxa"/>
          </w:tcPr>
          <w:p w14:paraId="16F02A82"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104.35%</w:t>
            </w:r>
          </w:p>
        </w:tc>
        <w:tc>
          <w:tcPr>
            <w:tcW w:w="1260" w:type="dxa"/>
          </w:tcPr>
          <w:p w14:paraId="169B8277"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106.82%</w:t>
            </w:r>
          </w:p>
        </w:tc>
      </w:tr>
      <w:tr w:rsidR="0016201B" w:rsidRPr="005A6293" w14:paraId="1C4D2E6F"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0990F64B"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1986</w:t>
            </w:r>
          </w:p>
        </w:tc>
        <w:tc>
          <w:tcPr>
            <w:tcW w:w="1215" w:type="dxa"/>
          </w:tcPr>
          <w:p w14:paraId="19454F2D"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108.94%</w:t>
            </w:r>
          </w:p>
        </w:tc>
        <w:tc>
          <w:tcPr>
            <w:tcW w:w="1335" w:type="dxa"/>
          </w:tcPr>
          <w:p w14:paraId="12FB201B"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103.59%</w:t>
            </w:r>
          </w:p>
        </w:tc>
        <w:tc>
          <w:tcPr>
            <w:tcW w:w="1260" w:type="dxa"/>
          </w:tcPr>
          <w:p w14:paraId="470B6C79"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106.27%</w:t>
            </w:r>
          </w:p>
        </w:tc>
      </w:tr>
      <w:tr w:rsidR="0016201B" w:rsidRPr="005A6293" w14:paraId="248BC190"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57FB0EF2"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1987</w:t>
            </w:r>
          </w:p>
        </w:tc>
        <w:tc>
          <w:tcPr>
            <w:tcW w:w="1215" w:type="dxa"/>
          </w:tcPr>
          <w:p w14:paraId="557943B6"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108.03%</w:t>
            </w:r>
          </w:p>
        </w:tc>
        <w:tc>
          <w:tcPr>
            <w:tcW w:w="1335" w:type="dxa"/>
          </w:tcPr>
          <w:p w14:paraId="2827893E"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103.04%</w:t>
            </w:r>
          </w:p>
        </w:tc>
        <w:tc>
          <w:tcPr>
            <w:tcW w:w="1260" w:type="dxa"/>
          </w:tcPr>
          <w:p w14:paraId="0FC8C720"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105.54%</w:t>
            </w:r>
          </w:p>
        </w:tc>
      </w:tr>
      <w:tr w:rsidR="0016201B" w:rsidRPr="005A6293" w14:paraId="15591B7C"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208D67DD"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1988</w:t>
            </w:r>
          </w:p>
        </w:tc>
        <w:tc>
          <w:tcPr>
            <w:tcW w:w="1215" w:type="dxa"/>
          </w:tcPr>
          <w:p w14:paraId="6BD645C0"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105.38%</w:t>
            </w:r>
          </w:p>
        </w:tc>
        <w:tc>
          <w:tcPr>
            <w:tcW w:w="1335" w:type="dxa"/>
          </w:tcPr>
          <w:p w14:paraId="163EC6FF"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101.62%</w:t>
            </w:r>
          </w:p>
        </w:tc>
        <w:tc>
          <w:tcPr>
            <w:tcW w:w="1260" w:type="dxa"/>
          </w:tcPr>
          <w:p w14:paraId="0164DC03"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103.51%</w:t>
            </w:r>
          </w:p>
        </w:tc>
      </w:tr>
      <w:tr w:rsidR="0016201B" w:rsidRPr="005A6293" w14:paraId="5BCF422B"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168026F6"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1989</w:t>
            </w:r>
          </w:p>
        </w:tc>
        <w:tc>
          <w:tcPr>
            <w:tcW w:w="1215" w:type="dxa"/>
          </w:tcPr>
          <w:p w14:paraId="4D637236"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106.00%</w:t>
            </w:r>
          </w:p>
        </w:tc>
        <w:tc>
          <w:tcPr>
            <w:tcW w:w="1335" w:type="dxa"/>
          </w:tcPr>
          <w:p w14:paraId="7B2164B5"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101.99%</w:t>
            </w:r>
          </w:p>
        </w:tc>
        <w:tc>
          <w:tcPr>
            <w:tcW w:w="1260" w:type="dxa"/>
          </w:tcPr>
          <w:p w14:paraId="4B21693E"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104.00%</w:t>
            </w:r>
          </w:p>
        </w:tc>
      </w:tr>
      <w:tr w:rsidR="0016201B" w:rsidRPr="005A6293" w14:paraId="6A001515"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392A52DF"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1990</w:t>
            </w:r>
          </w:p>
        </w:tc>
        <w:tc>
          <w:tcPr>
            <w:tcW w:w="1215" w:type="dxa"/>
          </w:tcPr>
          <w:p w14:paraId="27BA1A64"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102.17%</w:t>
            </w:r>
          </w:p>
        </w:tc>
        <w:tc>
          <w:tcPr>
            <w:tcW w:w="1335" w:type="dxa"/>
          </w:tcPr>
          <w:p w14:paraId="29933EF4"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98.71%</w:t>
            </w:r>
          </w:p>
        </w:tc>
        <w:tc>
          <w:tcPr>
            <w:tcW w:w="1260" w:type="dxa"/>
          </w:tcPr>
          <w:p w14:paraId="10E2DB34"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100.45%</w:t>
            </w:r>
          </w:p>
        </w:tc>
      </w:tr>
      <w:tr w:rsidR="0016201B" w:rsidRPr="005A6293" w14:paraId="1E424865"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2035B381"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1991</w:t>
            </w:r>
          </w:p>
        </w:tc>
        <w:tc>
          <w:tcPr>
            <w:tcW w:w="1215" w:type="dxa"/>
          </w:tcPr>
          <w:p w14:paraId="47340C6B"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99.62%</w:t>
            </w:r>
          </w:p>
        </w:tc>
        <w:tc>
          <w:tcPr>
            <w:tcW w:w="1335" w:type="dxa"/>
          </w:tcPr>
          <w:p w14:paraId="32CD3352"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96.78%</w:t>
            </w:r>
          </w:p>
        </w:tc>
        <w:tc>
          <w:tcPr>
            <w:tcW w:w="1260" w:type="dxa"/>
          </w:tcPr>
          <w:p w14:paraId="0536B173"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98.21%</w:t>
            </w:r>
          </w:p>
        </w:tc>
      </w:tr>
      <w:tr w:rsidR="0016201B" w:rsidRPr="005A6293" w14:paraId="3918484D"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6FE00655"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1992</w:t>
            </w:r>
          </w:p>
        </w:tc>
        <w:tc>
          <w:tcPr>
            <w:tcW w:w="1215" w:type="dxa"/>
          </w:tcPr>
          <w:p w14:paraId="005FDB33"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98.11%</w:t>
            </w:r>
          </w:p>
        </w:tc>
        <w:tc>
          <w:tcPr>
            <w:tcW w:w="1335" w:type="dxa"/>
          </w:tcPr>
          <w:p w14:paraId="7868F1CA"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95.34%</w:t>
            </w:r>
          </w:p>
        </w:tc>
        <w:tc>
          <w:tcPr>
            <w:tcW w:w="1260" w:type="dxa"/>
          </w:tcPr>
          <w:p w14:paraId="6D10D069"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96.73%</w:t>
            </w:r>
          </w:p>
        </w:tc>
      </w:tr>
      <w:tr w:rsidR="0016201B" w:rsidRPr="005A6293" w14:paraId="4F78B9D2"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739A8B0F"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1993</w:t>
            </w:r>
          </w:p>
        </w:tc>
        <w:tc>
          <w:tcPr>
            <w:tcW w:w="1215" w:type="dxa"/>
          </w:tcPr>
          <w:p w14:paraId="0AD5BD88"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96.86%</w:t>
            </w:r>
          </w:p>
        </w:tc>
        <w:tc>
          <w:tcPr>
            <w:tcW w:w="1335" w:type="dxa"/>
          </w:tcPr>
          <w:p w14:paraId="44D4C048"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94.89%</w:t>
            </w:r>
          </w:p>
        </w:tc>
        <w:tc>
          <w:tcPr>
            <w:tcW w:w="1260" w:type="dxa"/>
          </w:tcPr>
          <w:p w14:paraId="30E154A3"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95.88%</w:t>
            </w:r>
          </w:p>
        </w:tc>
      </w:tr>
      <w:tr w:rsidR="0016201B" w:rsidRPr="005A6293" w14:paraId="2AF21C7C"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657D8780"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1994</w:t>
            </w:r>
          </w:p>
        </w:tc>
        <w:tc>
          <w:tcPr>
            <w:tcW w:w="1215" w:type="dxa"/>
          </w:tcPr>
          <w:p w14:paraId="1BC42E04"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93.01%</w:t>
            </w:r>
          </w:p>
        </w:tc>
        <w:tc>
          <w:tcPr>
            <w:tcW w:w="1335" w:type="dxa"/>
          </w:tcPr>
          <w:p w14:paraId="5026143D"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91.76%</w:t>
            </w:r>
          </w:p>
        </w:tc>
        <w:tc>
          <w:tcPr>
            <w:tcW w:w="1260" w:type="dxa"/>
          </w:tcPr>
          <w:p w14:paraId="5FE33842"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92.39%</w:t>
            </w:r>
          </w:p>
        </w:tc>
      </w:tr>
      <w:tr w:rsidR="0016201B" w:rsidRPr="005A6293" w14:paraId="781DC609"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253B9917"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1995</w:t>
            </w:r>
          </w:p>
        </w:tc>
        <w:tc>
          <w:tcPr>
            <w:tcW w:w="1215" w:type="dxa"/>
          </w:tcPr>
          <w:p w14:paraId="7A6CCB3D"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90.90%</w:t>
            </w:r>
          </w:p>
        </w:tc>
        <w:tc>
          <w:tcPr>
            <w:tcW w:w="1335" w:type="dxa"/>
          </w:tcPr>
          <w:p w14:paraId="3ABDD2BB"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89.45%</w:t>
            </w:r>
          </w:p>
        </w:tc>
        <w:tc>
          <w:tcPr>
            <w:tcW w:w="1260" w:type="dxa"/>
          </w:tcPr>
          <w:p w14:paraId="1F4A153F"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90.18%</w:t>
            </w:r>
          </w:p>
        </w:tc>
      </w:tr>
      <w:tr w:rsidR="0016201B" w:rsidRPr="005A6293" w14:paraId="3EF6A277"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2943314B"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1996</w:t>
            </w:r>
          </w:p>
        </w:tc>
        <w:tc>
          <w:tcPr>
            <w:tcW w:w="1215" w:type="dxa"/>
          </w:tcPr>
          <w:p w14:paraId="11C6E4FD" w14:textId="77777777" w:rsidR="0016201B" w:rsidRPr="005A6293" w:rsidRDefault="0016201B" w:rsidP="0016201B">
            <w:pPr>
              <w:pStyle w:val="No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p>
        </w:tc>
        <w:tc>
          <w:tcPr>
            <w:tcW w:w="1335" w:type="dxa"/>
          </w:tcPr>
          <w:p w14:paraId="164B701D" w14:textId="77777777" w:rsidR="0016201B" w:rsidRPr="005A6293" w:rsidRDefault="0016201B" w:rsidP="0016201B">
            <w:pPr>
              <w:pStyle w:val="No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p>
        </w:tc>
        <w:tc>
          <w:tcPr>
            <w:tcW w:w="1260" w:type="dxa"/>
          </w:tcPr>
          <w:p w14:paraId="6718D6D5" w14:textId="77777777" w:rsidR="0016201B" w:rsidRPr="005A6293" w:rsidRDefault="0016201B" w:rsidP="0016201B">
            <w:pPr>
              <w:pStyle w:val="NoSpacing"/>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p>
        </w:tc>
      </w:tr>
      <w:tr w:rsidR="0016201B" w:rsidRPr="005A6293" w14:paraId="06938BD7"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16C37717"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1997</w:t>
            </w:r>
          </w:p>
        </w:tc>
        <w:tc>
          <w:tcPr>
            <w:tcW w:w="1215" w:type="dxa"/>
          </w:tcPr>
          <w:p w14:paraId="63BC683F" w14:textId="77777777" w:rsidR="0016201B" w:rsidRPr="005A6293" w:rsidRDefault="0016201B" w:rsidP="0016201B">
            <w:pPr>
              <w:pStyle w:val="No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p>
        </w:tc>
        <w:tc>
          <w:tcPr>
            <w:tcW w:w="1335" w:type="dxa"/>
          </w:tcPr>
          <w:p w14:paraId="4DF8303F" w14:textId="77777777" w:rsidR="0016201B" w:rsidRPr="005A6293" w:rsidRDefault="0016201B" w:rsidP="0016201B">
            <w:pPr>
              <w:pStyle w:val="No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p>
        </w:tc>
        <w:tc>
          <w:tcPr>
            <w:tcW w:w="1260" w:type="dxa"/>
          </w:tcPr>
          <w:p w14:paraId="455FC84A" w14:textId="77777777" w:rsidR="0016201B" w:rsidRPr="005A6293" w:rsidRDefault="0016201B" w:rsidP="0016201B">
            <w:pPr>
              <w:pStyle w:val="NoSpacing"/>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p>
        </w:tc>
      </w:tr>
      <w:tr w:rsidR="0016201B" w:rsidRPr="005A6293" w14:paraId="7A31405D"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6568591F"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lastRenderedPageBreak/>
              <w:t>1998</w:t>
            </w:r>
          </w:p>
        </w:tc>
        <w:tc>
          <w:tcPr>
            <w:tcW w:w="1215" w:type="dxa"/>
          </w:tcPr>
          <w:p w14:paraId="6F2FE5EE"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92.41%</w:t>
            </w:r>
          </w:p>
        </w:tc>
        <w:tc>
          <w:tcPr>
            <w:tcW w:w="1335" w:type="dxa"/>
          </w:tcPr>
          <w:p w14:paraId="1B94DC57"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90.67%</w:t>
            </w:r>
          </w:p>
        </w:tc>
        <w:tc>
          <w:tcPr>
            <w:tcW w:w="1260" w:type="dxa"/>
          </w:tcPr>
          <w:p w14:paraId="38D5B944"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91.54%</w:t>
            </w:r>
          </w:p>
        </w:tc>
      </w:tr>
      <w:tr w:rsidR="0016201B" w:rsidRPr="005A6293" w14:paraId="42C90CDD"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4E7F27BF"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1999</w:t>
            </w:r>
          </w:p>
        </w:tc>
        <w:tc>
          <w:tcPr>
            <w:tcW w:w="1215" w:type="dxa"/>
          </w:tcPr>
          <w:p w14:paraId="7F249CE1"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91.68%</w:t>
            </w:r>
          </w:p>
        </w:tc>
        <w:tc>
          <w:tcPr>
            <w:tcW w:w="1335" w:type="dxa"/>
          </w:tcPr>
          <w:p w14:paraId="3AA3636B"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89.12%</w:t>
            </w:r>
          </w:p>
        </w:tc>
        <w:tc>
          <w:tcPr>
            <w:tcW w:w="1260" w:type="dxa"/>
          </w:tcPr>
          <w:p w14:paraId="2929C721"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90.41%</w:t>
            </w:r>
          </w:p>
        </w:tc>
      </w:tr>
      <w:tr w:rsidR="0016201B" w:rsidRPr="005A6293" w14:paraId="194104B7"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35FF45E4"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2000</w:t>
            </w:r>
          </w:p>
        </w:tc>
        <w:tc>
          <w:tcPr>
            <w:tcW w:w="1215" w:type="dxa"/>
          </w:tcPr>
          <w:p w14:paraId="1D28F9DF"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95.86%</w:t>
            </w:r>
          </w:p>
        </w:tc>
        <w:tc>
          <w:tcPr>
            <w:tcW w:w="1335" w:type="dxa"/>
          </w:tcPr>
          <w:p w14:paraId="4806A2C6"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94.54%</w:t>
            </w:r>
          </w:p>
        </w:tc>
        <w:tc>
          <w:tcPr>
            <w:tcW w:w="1260" w:type="dxa"/>
          </w:tcPr>
          <w:p w14:paraId="419F59B3"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95.20%</w:t>
            </w:r>
          </w:p>
        </w:tc>
      </w:tr>
      <w:tr w:rsidR="0016201B" w:rsidRPr="005A6293" w14:paraId="4C420FDD"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6E5EAE67"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2001</w:t>
            </w:r>
          </w:p>
        </w:tc>
        <w:tc>
          <w:tcPr>
            <w:tcW w:w="1215" w:type="dxa"/>
          </w:tcPr>
          <w:p w14:paraId="4155A206"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97.84%</w:t>
            </w:r>
          </w:p>
        </w:tc>
        <w:tc>
          <w:tcPr>
            <w:tcW w:w="1335" w:type="dxa"/>
          </w:tcPr>
          <w:p w14:paraId="0D359CB8"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95.97%</w:t>
            </w:r>
          </w:p>
        </w:tc>
        <w:tc>
          <w:tcPr>
            <w:tcW w:w="1260" w:type="dxa"/>
          </w:tcPr>
          <w:p w14:paraId="5CC9FED5"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96.91%</w:t>
            </w:r>
          </w:p>
        </w:tc>
      </w:tr>
      <w:tr w:rsidR="0016201B" w:rsidRPr="005A6293" w14:paraId="5791AC0C"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1D676D00"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2002</w:t>
            </w:r>
          </w:p>
        </w:tc>
        <w:tc>
          <w:tcPr>
            <w:tcW w:w="1215" w:type="dxa"/>
          </w:tcPr>
          <w:p w14:paraId="23CD5911"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93.78%</w:t>
            </w:r>
          </w:p>
        </w:tc>
        <w:tc>
          <w:tcPr>
            <w:tcW w:w="1335" w:type="dxa"/>
          </w:tcPr>
          <w:p w14:paraId="17DEA045"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89.10%</w:t>
            </w:r>
          </w:p>
        </w:tc>
        <w:tc>
          <w:tcPr>
            <w:tcW w:w="1260" w:type="dxa"/>
          </w:tcPr>
          <w:p w14:paraId="52B7284B"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91.46%</w:t>
            </w:r>
          </w:p>
        </w:tc>
      </w:tr>
      <w:tr w:rsidR="0016201B" w:rsidRPr="005A6293" w14:paraId="040F9B31"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0A822A4B"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2003</w:t>
            </w:r>
          </w:p>
        </w:tc>
        <w:tc>
          <w:tcPr>
            <w:tcW w:w="1215" w:type="dxa"/>
          </w:tcPr>
          <w:p w14:paraId="3E9D423B"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109.45%</w:t>
            </w:r>
          </w:p>
        </w:tc>
        <w:tc>
          <w:tcPr>
            <w:tcW w:w="1335" w:type="dxa"/>
          </w:tcPr>
          <w:p w14:paraId="3202BA1C"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104.33%</w:t>
            </w:r>
          </w:p>
        </w:tc>
        <w:tc>
          <w:tcPr>
            <w:tcW w:w="1260" w:type="dxa"/>
          </w:tcPr>
          <w:p w14:paraId="2DAA947F"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106.90%</w:t>
            </w:r>
          </w:p>
        </w:tc>
      </w:tr>
      <w:tr w:rsidR="0016201B" w:rsidRPr="005A6293" w14:paraId="2E2292ED"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65C14C1D"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2004</w:t>
            </w:r>
          </w:p>
        </w:tc>
        <w:tc>
          <w:tcPr>
            <w:tcW w:w="1215" w:type="dxa"/>
          </w:tcPr>
          <w:p w14:paraId="4391DFE8"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110.10%</w:t>
            </w:r>
          </w:p>
        </w:tc>
        <w:tc>
          <w:tcPr>
            <w:tcW w:w="1335" w:type="dxa"/>
          </w:tcPr>
          <w:p w14:paraId="4E47AC49"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103.95%</w:t>
            </w:r>
          </w:p>
        </w:tc>
        <w:tc>
          <w:tcPr>
            <w:tcW w:w="1260" w:type="dxa"/>
          </w:tcPr>
          <w:p w14:paraId="2EA940AA"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107.05%</w:t>
            </w:r>
          </w:p>
        </w:tc>
      </w:tr>
      <w:tr w:rsidR="0016201B" w:rsidRPr="005A6293" w14:paraId="17289BA5"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7F6B476A"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2005</w:t>
            </w:r>
          </w:p>
        </w:tc>
        <w:tc>
          <w:tcPr>
            <w:tcW w:w="1215" w:type="dxa"/>
          </w:tcPr>
          <w:p w14:paraId="519FABFC"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109.60%</w:t>
            </w:r>
          </w:p>
        </w:tc>
        <w:tc>
          <w:tcPr>
            <w:tcW w:w="1335" w:type="dxa"/>
          </w:tcPr>
          <w:p w14:paraId="7595D3C3"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105.26%</w:t>
            </w:r>
          </w:p>
        </w:tc>
        <w:tc>
          <w:tcPr>
            <w:tcW w:w="1260" w:type="dxa"/>
          </w:tcPr>
          <w:p w14:paraId="0FE9CB4A"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107.44%</w:t>
            </w:r>
          </w:p>
        </w:tc>
      </w:tr>
      <w:tr w:rsidR="0016201B" w:rsidRPr="005A6293" w14:paraId="4CC27459"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0BE7C08B"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2006</w:t>
            </w:r>
          </w:p>
        </w:tc>
        <w:tc>
          <w:tcPr>
            <w:tcW w:w="1215" w:type="dxa"/>
          </w:tcPr>
          <w:p w14:paraId="54D23F6E"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106.85%</w:t>
            </w:r>
          </w:p>
        </w:tc>
        <w:tc>
          <w:tcPr>
            <w:tcW w:w="1335" w:type="dxa"/>
          </w:tcPr>
          <w:p w14:paraId="20D83BE0"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103.89%</w:t>
            </w:r>
          </w:p>
        </w:tc>
        <w:tc>
          <w:tcPr>
            <w:tcW w:w="1260" w:type="dxa"/>
          </w:tcPr>
          <w:p w14:paraId="227DBCD8"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105.38%</w:t>
            </w:r>
          </w:p>
        </w:tc>
      </w:tr>
      <w:tr w:rsidR="0016201B" w:rsidRPr="005A6293" w14:paraId="0636CB13"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5AF657EB"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2007</w:t>
            </w:r>
          </w:p>
        </w:tc>
        <w:tc>
          <w:tcPr>
            <w:tcW w:w="1215" w:type="dxa"/>
          </w:tcPr>
          <w:p w14:paraId="3797A731"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113.30%</w:t>
            </w:r>
          </w:p>
        </w:tc>
        <w:tc>
          <w:tcPr>
            <w:tcW w:w="1335" w:type="dxa"/>
          </w:tcPr>
          <w:p w14:paraId="4FF5CDF4"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111.63%</w:t>
            </w:r>
          </w:p>
        </w:tc>
        <w:tc>
          <w:tcPr>
            <w:tcW w:w="1260" w:type="dxa"/>
          </w:tcPr>
          <w:p w14:paraId="23EAEA9A"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112.47%</w:t>
            </w:r>
          </w:p>
        </w:tc>
      </w:tr>
      <w:tr w:rsidR="0016201B" w:rsidRPr="005A6293" w14:paraId="5477E7D2"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 w:type="dxa"/>
          </w:tcPr>
          <w:p w14:paraId="7F19430F"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2008</w:t>
            </w:r>
          </w:p>
        </w:tc>
        <w:tc>
          <w:tcPr>
            <w:tcW w:w="1215" w:type="dxa"/>
          </w:tcPr>
          <w:p w14:paraId="072E8845"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113.40%</w:t>
            </w:r>
          </w:p>
        </w:tc>
        <w:tc>
          <w:tcPr>
            <w:tcW w:w="1335" w:type="dxa"/>
          </w:tcPr>
          <w:p w14:paraId="1F2E6F3F"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111.01%</w:t>
            </w:r>
          </w:p>
        </w:tc>
        <w:tc>
          <w:tcPr>
            <w:tcW w:w="1260" w:type="dxa"/>
          </w:tcPr>
          <w:p w14:paraId="536E95DB" w14:textId="77777777" w:rsidR="0016201B" w:rsidRPr="005A6293" w:rsidRDefault="0016201B" w:rsidP="0016201B">
            <w:pPr>
              <w:pStyle w:val="NoSpacing"/>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112.21%</w:t>
            </w:r>
          </w:p>
        </w:tc>
      </w:tr>
      <w:tr w:rsidR="0016201B" w:rsidRPr="005A6293" w14:paraId="5FE6BF31"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900" w:type="dxa"/>
          </w:tcPr>
          <w:p w14:paraId="17054765" w14:textId="77777777" w:rsidR="0016201B" w:rsidRPr="005A6293" w:rsidRDefault="0016201B" w:rsidP="0016201B">
            <w:pPr>
              <w:pStyle w:val="NoSpacing"/>
              <w:rPr>
                <w:rFonts w:eastAsia="Times New Roman" w:cs="Times New Roman"/>
                <w:b w:val="0"/>
                <w:bCs w:val="0"/>
                <w:color w:val="000000" w:themeColor="text1"/>
              </w:rPr>
            </w:pPr>
            <w:r w:rsidRPr="005A6293">
              <w:rPr>
                <w:rFonts w:eastAsia="Times New Roman" w:cs="Times New Roman"/>
                <w:b w:val="0"/>
                <w:bCs w:val="0"/>
                <w:color w:val="000000" w:themeColor="text1"/>
              </w:rPr>
              <w:t>2009</w:t>
            </w:r>
          </w:p>
        </w:tc>
        <w:tc>
          <w:tcPr>
            <w:tcW w:w="1215" w:type="dxa"/>
          </w:tcPr>
          <w:p w14:paraId="4090BAF1"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114.56%</w:t>
            </w:r>
          </w:p>
        </w:tc>
        <w:tc>
          <w:tcPr>
            <w:tcW w:w="1335" w:type="dxa"/>
          </w:tcPr>
          <w:p w14:paraId="0B6093CF"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111.96%</w:t>
            </w:r>
          </w:p>
        </w:tc>
        <w:tc>
          <w:tcPr>
            <w:tcW w:w="1260" w:type="dxa"/>
          </w:tcPr>
          <w:p w14:paraId="13132107" w14:textId="77777777" w:rsidR="0016201B" w:rsidRPr="005A6293" w:rsidRDefault="0016201B" w:rsidP="0016201B">
            <w:pPr>
              <w:pStyle w:val="NoSpacing"/>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rPr>
            </w:pPr>
            <w:r w:rsidRPr="005A6293">
              <w:rPr>
                <w:rFonts w:eastAsia="Times New Roman" w:cs="Times New Roman"/>
                <w:color w:val="000000" w:themeColor="text1"/>
              </w:rPr>
              <w:t>113.27%</w:t>
            </w:r>
          </w:p>
        </w:tc>
      </w:tr>
    </w:tbl>
    <w:p w14:paraId="411F9563" w14:textId="424228BD" w:rsidR="0016201B" w:rsidRPr="005A6293" w:rsidRDefault="00E21F0D" w:rsidP="0016201B">
      <w:pPr>
        <w:pStyle w:val="NoSpacing"/>
        <w:spacing w:line="480" w:lineRule="auto"/>
        <w:rPr>
          <w:rFonts w:eastAsia="Times New Roman" w:cs="Times New Roman"/>
          <w:color w:val="000000" w:themeColor="text1"/>
        </w:rPr>
      </w:pPr>
      <w:r w:rsidRPr="005A6293">
        <w:rPr>
          <w:rFonts w:eastAsia="Times New Roman" w:cs="Times New Roman"/>
          <w:color w:val="000000" w:themeColor="text1"/>
        </w:rPr>
        <w:tab/>
      </w:r>
      <w:r w:rsidRPr="005A6293">
        <w:rPr>
          <w:rFonts w:eastAsia="Times New Roman" w:cs="Times New Roman"/>
          <w:color w:val="000000" w:themeColor="text1"/>
        </w:rPr>
        <w:tab/>
        <w:t xml:space="preserve">        </w:t>
      </w:r>
      <w:r w:rsidRPr="005A6293">
        <w:rPr>
          <w:sz w:val="16"/>
          <w:szCs w:val="16"/>
        </w:rPr>
        <w:t>Source: African Development Indicators World Bank (2018)</w:t>
      </w:r>
    </w:p>
    <w:p w14:paraId="13001F81" w14:textId="1125D796" w:rsidR="00082233" w:rsidRPr="005A6293" w:rsidRDefault="00014023" w:rsidP="0068257B">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The GER statistics do</w:t>
      </w:r>
      <w:r w:rsidR="00082233" w:rsidRPr="005A6293">
        <w:rPr>
          <w:rFonts w:eastAsia="Times New Roman" w:cs="Times New Roman"/>
          <w:color w:val="000000" w:themeColor="text1"/>
        </w:rPr>
        <w:t xml:space="preserve"> a good job of highlighting a few key events. Each presidential decree for FPE results in a jump the following year for GER. For example, after the first FPE in 1973, total GER jumps from 71.80% to 106.34%. Likewise, total GER climbs from 99.71% in 1978 to 119.34% in 1979 and from 91.46% in 2002 to 106.90% in 2003 corresponding to the second and third decrees for FPE. The resulting changes in education statistics after education policy changes indicate that fees and lack of incentives are a barrier to education, even in the early 2000s. The gross enrollment statistics also demonstrate the rapid increase in enrollment at the start of the post</w:t>
      </w:r>
      <w:r w:rsidR="00517FF4" w:rsidRPr="005A6293">
        <w:rPr>
          <w:rFonts w:eastAsia="Times New Roman" w:cs="Times New Roman"/>
          <w:color w:val="000000" w:themeColor="text1"/>
        </w:rPr>
        <w:t>-colonial period. Table 3</w:t>
      </w:r>
      <w:r w:rsidR="008B74B2" w:rsidRPr="005A6293">
        <w:rPr>
          <w:rFonts w:eastAsia="Times New Roman" w:cs="Times New Roman"/>
          <w:color w:val="000000" w:themeColor="text1"/>
        </w:rPr>
        <w:t xml:space="preserve"> shows that </w:t>
      </w:r>
      <w:r w:rsidR="009E0584" w:rsidRPr="005A6293">
        <w:rPr>
          <w:rFonts w:eastAsia="Times New Roman" w:cs="Times New Roman"/>
          <w:color w:val="000000" w:themeColor="text1"/>
        </w:rPr>
        <w:t>in</w:t>
      </w:r>
      <w:r w:rsidR="00082233" w:rsidRPr="005A6293">
        <w:rPr>
          <w:rFonts w:eastAsia="Times New Roman" w:cs="Times New Roman"/>
          <w:color w:val="000000" w:themeColor="text1"/>
        </w:rPr>
        <w:t xml:space="preserve"> 1970 GER was 62.83%, and by 1973</w:t>
      </w:r>
      <w:r w:rsidR="002D5FB8" w:rsidRPr="005A6293">
        <w:rPr>
          <w:rFonts w:eastAsia="Times New Roman" w:cs="Times New Roman"/>
          <w:color w:val="000000" w:themeColor="text1"/>
        </w:rPr>
        <w:t>, only a decade after independence,</w:t>
      </w:r>
      <w:r w:rsidR="00082233" w:rsidRPr="005A6293">
        <w:rPr>
          <w:rFonts w:eastAsia="Times New Roman" w:cs="Times New Roman"/>
          <w:color w:val="000000" w:themeColor="text1"/>
        </w:rPr>
        <w:t xml:space="preserve"> </w:t>
      </w:r>
      <w:r w:rsidR="00BE7B61" w:rsidRPr="005A6293">
        <w:rPr>
          <w:rFonts w:eastAsia="Times New Roman" w:cs="Times New Roman"/>
          <w:color w:val="000000" w:themeColor="text1"/>
        </w:rPr>
        <w:t xml:space="preserve">the </w:t>
      </w:r>
      <w:r w:rsidR="00082233" w:rsidRPr="005A6293">
        <w:rPr>
          <w:rFonts w:eastAsia="Times New Roman" w:cs="Times New Roman"/>
          <w:color w:val="000000" w:themeColor="text1"/>
        </w:rPr>
        <w:t>GER had already risen to 71.80%.  Finally, gross enrollment statistics present data comparabl</w:t>
      </w:r>
      <w:r w:rsidR="0055224A" w:rsidRPr="005A6293">
        <w:rPr>
          <w:rFonts w:eastAsia="Times New Roman" w:cs="Times New Roman"/>
          <w:color w:val="000000" w:themeColor="text1"/>
        </w:rPr>
        <w:t>e across gender</w:t>
      </w:r>
      <w:r w:rsidR="00082233" w:rsidRPr="005A6293">
        <w:rPr>
          <w:rFonts w:eastAsia="Times New Roman" w:cs="Times New Roman"/>
          <w:color w:val="000000" w:themeColor="text1"/>
        </w:rPr>
        <w:t>. Statistics indicate that for each year, enrollment for boys is greater than enrollment for girls. I</w:t>
      </w:r>
      <w:r w:rsidR="008B74B2" w:rsidRPr="005A6293">
        <w:rPr>
          <w:rFonts w:eastAsia="Times New Roman" w:cs="Times New Roman"/>
          <w:color w:val="000000" w:themeColor="text1"/>
        </w:rPr>
        <w:t>f I only utilized GER statistics, I</w:t>
      </w:r>
      <w:r w:rsidR="00082233" w:rsidRPr="005A6293">
        <w:rPr>
          <w:rFonts w:eastAsia="Times New Roman" w:cs="Times New Roman"/>
          <w:color w:val="000000" w:themeColor="text1"/>
        </w:rPr>
        <w:t xml:space="preserve"> would conclude that education for boys is slightly preferred to education for girls, but overall educatio</w:t>
      </w:r>
      <w:r w:rsidR="0055224A" w:rsidRPr="005A6293">
        <w:rPr>
          <w:rFonts w:eastAsia="Times New Roman" w:cs="Times New Roman"/>
          <w:color w:val="000000" w:themeColor="text1"/>
        </w:rPr>
        <w:t>n between males and females</w:t>
      </w:r>
      <w:r w:rsidR="00082233" w:rsidRPr="005A6293">
        <w:rPr>
          <w:rFonts w:eastAsia="Times New Roman" w:cs="Times New Roman"/>
          <w:color w:val="000000" w:themeColor="text1"/>
        </w:rPr>
        <w:t xml:space="preserve"> is relatively equal. </w:t>
      </w:r>
    </w:p>
    <w:p w14:paraId="324196BD" w14:textId="7E3ACDB8" w:rsidR="0016201B" w:rsidRPr="005A6293" w:rsidRDefault="00082233" w:rsidP="002C1C60">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 xml:space="preserve">Gross enrollment rates highlight the amount of students the education system contains with high repetition and late starts to education, but net enrollment rates help us understand how much of the population is in the grade corresponding to their age and </w:t>
      </w:r>
      <w:r w:rsidRPr="005A6293">
        <w:rPr>
          <w:rFonts w:eastAsia="Times New Roman" w:cs="Times New Roman"/>
          <w:color w:val="000000" w:themeColor="text1"/>
        </w:rPr>
        <w:lastRenderedPageBreak/>
        <w:t>gives us a more clear picture of what percent of the population still does not receive education. Therefore, net enrollment rates for primary</w:t>
      </w:r>
      <w:r w:rsidR="00C632C8" w:rsidRPr="005A6293">
        <w:rPr>
          <w:rFonts w:eastAsia="Times New Roman" w:cs="Times New Roman"/>
          <w:color w:val="000000" w:themeColor="text1"/>
        </w:rPr>
        <w:t xml:space="preserve"> school are presented in table</w:t>
      </w:r>
      <w:r w:rsidR="00517FF4" w:rsidRPr="005A6293">
        <w:rPr>
          <w:rFonts w:eastAsia="Times New Roman" w:cs="Times New Roman"/>
          <w:color w:val="000000" w:themeColor="text1"/>
        </w:rPr>
        <w:t xml:space="preserve"> 4</w:t>
      </w:r>
      <w:r w:rsidRPr="005A6293">
        <w:rPr>
          <w:rFonts w:eastAsia="Times New Roman" w:cs="Times New Roman"/>
          <w:color w:val="000000" w:themeColor="text1"/>
        </w:rPr>
        <w:t xml:space="preserve"> for the years 1999-2012. Unfortunately, the NER statistics do not go back to 1970 and, therefore, cannot shed light on some of the key educational policies before the 2000s. However, the statistics are still informative for the </w:t>
      </w:r>
      <w:r w:rsidR="00121C0D" w:rsidRPr="005A6293">
        <w:rPr>
          <w:rFonts w:eastAsia="Times New Roman" w:cs="Times New Roman"/>
          <w:color w:val="000000" w:themeColor="text1"/>
        </w:rPr>
        <w:t>most recent FPE in 2003. D</w:t>
      </w:r>
      <w:r w:rsidRPr="005A6293">
        <w:rPr>
          <w:rFonts w:eastAsia="Times New Roman" w:cs="Times New Roman"/>
          <w:color w:val="000000" w:themeColor="text1"/>
        </w:rPr>
        <w:t>espite the GER being above 100% for a long time, the NER shows that enrollment of students in the correct grade for their age is around 85% as of 2012. Therefore, there are still 15% of students that are either not enrolled in primary education or are repeating lower level grades. High dropout and repetition rates have historically been a problem for Kenya in the po</w:t>
      </w:r>
      <w:r w:rsidR="00570CD9" w:rsidRPr="005A6293">
        <w:rPr>
          <w:rFonts w:eastAsia="Times New Roman" w:cs="Times New Roman"/>
          <w:color w:val="000000" w:themeColor="text1"/>
        </w:rPr>
        <w:t>st-colonial era</w:t>
      </w:r>
      <w:r w:rsidRPr="005A6293">
        <w:rPr>
          <w:rFonts w:eastAsia="Times New Roman" w:cs="Times New Roman"/>
          <w:color w:val="000000" w:themeColor="text1"/>
        </w:rPr>
        <w:t>.</w:t>
      </w:r>
      <w:r w:rsidR="00477444" w:rsidRPr="005A6293">
        <w:rPr>
          <w:rStyle w:val="FootnoteReference"/>
          <w:rFonts w:eastAsia="Times New Roman" w:cs="Times New Roman"/>
          <w:color w:val="000000" w:themeColor="text1"/>
        </w:rPr>
        <w:footnoteReference w:id="231"/>
      </w:r>
    </w:p>
    <w:p w14:paraId="0AC432ED" w14:textId="78A328C6" w:rsidR="0016201B" w:rsidRPr="005A6293" w:rsidRDefault="00517FF4" w:rsidP="0016201B">
      <w:r w:rsidRPr="005A6293">
        <w:rPr>
          <w:rFonts w:eastAsia="Times New Roman" w:cs="Times New Roman"/>
          <w:color w:val="000000" w:themeColor="text1"/>
        </w:rPr>
        <w:t>Table 4</w:t>
      </w:r>
      <w:r w:rsidR="0016201B" w:rsidRPr="005A6293">
        <w:rPr>
          <w:rFonts w:eastAsia="Times New Roman" w:cs="Times New Roman"/>
          <w:color w:val="000000" w:themeColor="text1"/>
        </w:rPr>
        <w:t xml:space="preserve">. </w:t>
      </w:r>
      <w:r w:rsidR="0016201B" w:rsidRPr="005A6293">
        <w:t>Net primary enrollment rates by gender, 1999-2012</w:t>
      </w:r>
    </w:p>
    <w:tbl>
      <w:tblPr>
        <w:tblStyle w:val="PlainTable31"/>
        <w:tblW w:w="0" w:type="auto"/>
        <w:jc w:val="center"/>
        <w:tblLook w:val="04A0" w:firstRow="1" w:lastRow="0" w:firstColumn="1" w:lastColumn="0" w:noHBand="0" w:noVBand="1"/>
      </w:tblPr>
      <w:tblGrid>
        <w:gridCol w:w="899"/>
        <w:gridCol w:w="1163"/>
        <w:gridCol w:w="1176"/>
        <w:gridCol w:w="1172"/>
      </w:tblGrid>
      <w:tr w:rsidR="0016201B" w:rsidRPr="005A6293" w14:paraId="73132B34" w14:textId="77777777" w:rsidTr="0016201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99" w:type="dxa"/>
          </w:tcPr>
          <w:p w14:paraId="6A9385E6" w14:textId="77777777" w:rsidR="0016201B" w:rsidRPr="005A6293" w:rsidRDefault="0016201B" w:rsidP="0016201B">
            <w:pPr>
              <w:rPr>
                <w:b w:val="0"/>
                <w:bCs w:val="0"/>
              </w:rPr>
            </w:pPr>
            <w:r w:rsidRPr="005A6293">
              <w:rPr>
                <w:b w:val="0"/>
                <w:bCs w:val="0"/>
              </w:rPr>
              <w:t>Year</w:t>
            </w:r>
          </w:p>
        </w:tc>
        <w:tc>
          <w:tcPr>
            <w:tcW w:w="1163" w:type="dxa"/>
          </w:tcPr>
          <w:p w14:paraId="3884BE58" w14:textId="77777777" w:rsidR="0016201B" w:rsidRPr="005A6293" w:rsidRDefault="0016201B" w:rsidP="0016201B">
            <w:pPr>
              <w:cnfStyle w:val="100000000000" w:firstRow="1" w:lastRow="0" w:firstColumn="0" w:lastColumn="0" w:oddVBand="0" w:evenVBand="0" w:oddHBand="0" w:evenHBand="0" w:firstRowFirstColumn="0" w:firstRowLastColumn="0" w:lastRowFirstColumn="0" w:lastRowLastColumn="0"/>
              <w:rPr>
                <w:b w:val="0"/>
                <w:bCs w:val="0"/>
              </w:rPr>
            </w:pPr>
            <w:r w:rsidRPr="005A6293">
              <w:rPr>
                <w:b w:val="0"/>
                <w:bCs w:val="0"/>
              </w:rPr>
              <w:t>Male</w:t>
            </w:r>
          </w:p>
        </w:tc>
        <w:tc>
          <w:tcPr>
            <w:tcW w:w="1176" w:type="dxa"/>
          </w:tcPr>
          <w:p w14:paraId="5786FE20" w14:textId="77777777" w:rsidR="0016201B" w:rsidRPr="005A6293" w:rsidRDefault="0016201B" w:rsidP="0016201B">
            <w:pPr>
              <w:cnfStyle w:val="100000000000" w:firstRow="1" w:lastRow="0" w:firstColumn="0" w:lastColumn="0" w:oddVBand="0" w:evenVBand="0" w:oddHBand="0" w:evenHBand="0" w:firstRowFirstColumn="0" w:firstRowLastColumn="0" w:lastRowFirstColumn="0" w:lastRowLastColumn="0"/>
              <w:rPr>
                <w:b w:val="0"/>
                <w:bCs w:val="0"/>
              </w:rPr>
            </w:pPr>
            <w:r w:rsidRPr="005A6293">
              <w:rPr>
                <w:b w:val="0"/>
                <w:bCs w:val="0"/>
              </w:rPr>
              <w:t>Female</w:t>
            </w:r>
          </w:p>
        </w:tc>
        <w:tc>
          <w:tcPr>
            <w:tcW w:w="1172" w:type="dxa"/>
          </w:tcPr>
          <w:p w14:paraId="70CFE864" w14:textId="77777777" w:rsidR="0016201B" w:rsidRPr="005A6293" w:rsidRDefault="0016201B" w:rsidP="0016201B">
            <w:pPr>
              <w:cnfStyle w:val="100000000000" w:firstRow="1" w:lastRow="0" w:firstColumn="0" w:lastColumn="0" w:oddVBand="0" w:evenVBand="0" w:oddHBand="0" w:evenHBand="0" w:firstRowFirstColumn="0" w:firstRowLastColumn="0" w:lastRowFirstColumn="0" w:lastRowLastColumn="0"/>
              <w:rPr>
                <w:b w:val="0"/>
                <w:bCs w:val="0"/>
              </w:rPr>
            </w:pPr>
            <w:r w:rsidRPr="005A6293">
              <w:rPr>
                <w:b w:val="0"/>
                <w:bCs w:val="0"/>
              </w:rPr>
              <w:t>Total</w:t>
            </w:r>
          </w:p>
        </w:tc>
      </w:tr>
      <w:tr w:rsidR="0016201B" w:rsidRPr="005A6293" w14:paraId="1BDF181C"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9" w:type="dxa"/>
          </w:tcPr>
          <w:p w14:paraId="416D52DE" w14:textId="77777777" w:rsidR="0016201B" w:rsidRPr="005A6293" w:rsidRDefault="0016201B" w:rsidP="0016201B">
            <w:pPr>
              <w:rPr>
                <w:b w:val="0"/>
                <w:bCs w:val="0"/>
              </w:rPr>
            </w:pPr>
            <w:r w:rsidRPr="005A6293">
              <w:rPr>
                <w:b w:val="0"/>
                <w:bCs w:val="0"/>
              </w:rPr>
              <w:t>1999</w:t>
            </w:r>
          </w:p>
        </w:tc>
        <w:tc>
          <w:tcPr>
            <w:tcW w:w="1163" w:type="dxa"/>
          </w:tcPr>
          <w:p w14:paraId="1A10D48F"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61.99%</w:t>
            </w:r>
          </w:p>
        </w:tc>
        <w:tc>
          <w:tcPr>
            <w:tcW w:w="1176" w:type="dxa"/>
          </w:tcPr>
          <w:p w14:paraId="12B7377C"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62.61%</w:t>
            </w:r>
          </w:p>
        </w:tc>
        <w:tc>
          <w:tcPr>
            <w:tcW w:w="1172" w:type="dxa"/>
          </w:tcPr>
          <w:p w14:paraId="19D8591B"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62.30%</w:t>
            </w:r>
          </w:p>
        </w:tc>
      </w:tr>
      <w:tr w:rsidR="0016201B" w:rsidRPr="005A6293" w14:paraId="3CC78CC3"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899" w:type="dxa"/>
          </w:tcPr>
          <w:p w14:paraId="58AC9F98" w14:textId="77777777" w:rsidR="0016201B" w:rsidRPr="005A6293" w:rsidRDefault="0016201B" w:rsidP="0016201B">
            <w:pPr>
              <w:rPr>
                <w:b w:val="0"/>
                <w:bCs w:val="0"/>
              </w:rPr>
            </w:pPr>
            <w:r w:rsidRPr="005A6293">
              <w:rPr>
                <w:b w:val="0"/>
                <w:bCs w:val="0"/>
              </w:rPr>
              <w:t>2000</w:t>
            </w:r>
          </w:p>
        </w:tc>
        <w:tc>
          <w:tcPr>
            <w:tcW w:w="1163" w:type="dxa"/>
          </w:tcPr>
          <w:p w14:paraId="7173779D"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64.56%</w:t>
            </w:r>
          </w:p>
        </w:tc>
        <w:tc>
          <w:tcPr>
            <w:tcW w:w="1176" w:type="dxa"/>
          </w:tcPr>
          <w:p w14:paraId="75C0A35D"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66.29%</w:t>
            </w:r>
          </w:p>
        </w:tc>
        <w:tc>
          <w:tcPr>
            <w:tcW w:w="1172" w:type="dxa"/>
          </w:tcPr>
          <w:p w14:paraId="7A482530"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65.42%</w:t>
            </w:r>
          </w:p>
        </w:tc>
      </w:tr>
      <w:tr w:rsidR="0016201B" w:rsidRPr="005A6293" w14:paraId="5F127D85"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9" w:type="dxa"/>
          </w:tcPr>
          <w:p w14:paraId="4E6FE516" w14:textId="77777777" w:rsidR="0016201B" w:rsidRPr="005A6293" w:rsidRDefault="0016201B" w:rsidP="0016201B">
            <w:pPr>
              <w:rPr>
                <w:b w:val="0"/>
                <w:bCs w:val="0"/>
              </w:rPr>
            </w:pPr>
            <w:r w:rsidRPr="005A6293">
              <w:rPr>
                <w:b w:val="0"/>
                <w:bCs w:val="0"/>
              </w:rPr>
              <w:t>2001</w:t>
            </w:r>
          </w:p>
        </w:tc>
        <w:tc>
          <w:tcPr>
            <w:tcW w:w="1163" w:type="dxa"/>
          </w:tcPr>
          <w:p w14:paraId="35B46B70"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66.20%</w:t>
            </w:r>
          </w:p>
        </w:tc>
        <w:tc>
          <w:tcPr>
            <w:tcW w:w="1176" w:type="dxa"/>
          </w:tcPr>
          <w:p w14:paraId="658A777C"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67.61%</w:t>
            </w:r>
          </w:p>
        </w:tc>
        <w:tc>
          <w:tcPr>
            <w:tcW w:w="1172" w:type="dxa"/>
          </w:tcPr>
          <w:p w14:paraId="0C16BB0C"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66.90%</w:t>
            </w:r>
          </w:p>
        </w:tc>
      </w:tr>
      <w:tr w:rsidR="0016201B" w:rsidRPr="005A6293" w14:paraId="0490F2CA"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899" w:type="dxa"/>
          </w:tcPr>
          <w:p w14:paraId="63664010" w14:textId="77777777" w:rsidR="0016201B" w:rsidRPr="005A6293" w:rsidRDefault="0016201B" w:rsidP="0016201B">
            <w:pPr>
              <w:rPr>
                <w:b w:val="0"/>
                <w:bCs w:val="0"/>
              </w:rPr>
            </w:pPr>
            <w:r w:rsidRPr="005A6293">
              <w:rPr>
                <w:b w:val="0"/>
                <w:bCs w:val="0"/>
              </w:rPr>
              <w:t>2002</w:t>
            </w:r>
          </w:p>
        </w:tc>
        <w:tc>
          <w:tcPr>
            <w:tcW w:w="1163" w:type="dxa"/>
          </w:tcPr>
          <w:p w14:paraId="64B4A377"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61.81%</w:t>
            </w:r>
          </w:p>
        </w:tc>
        <w:tc>
          <w:tcPr>
            <w:tcW w:w="1176" w:type="dxa"/>
          </w:tcPr>
          <w:p w14:paraId="00EFFD87"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62.25%</w:t>
            </w:r>
          </w:p>
        </w:tc>
        <w:tc>
          <w:tcPr>
            <w:tcW w:w="1172" w:type="dxa"/>
          </w:tcPr>
          <w:p w14:paraId="11DDC9BC"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62.03%</w:t>
            </w:r>
          </w:p>
        </w:tc>
      </w:tr>
      <w:tr w:rsidR="0016201B" w:rsidRPr="005A6293" w14:paraId="6916019F"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9" w:type="dxa"/>
          </w:tcPr>
          <w:p w14:paraId="47BEE4EB" w14:textId="77777777" w:rsidR="0016201B" w:rsidRPr="005A6293" w:rsidRDefault="0016201B" w:rsidP="0016201B">
            <w:pPr>
              <w:rPr>
                <w:b w:val="0"/>
                <w:bCs w:val="0"/>
              </w:rPr>
            </w:pPr>
            <w:r w:rsidRPr="005A6293">
              <w:rPr>
                <w:b w:val="0"/>
                <w:bCs w:val="0"/>
              </w:rPr>
              <w:t>2003</w:t>
            </w:r>
          </w:p>
        </w:tc>
        <w:tc>
          <w:tcPr>
            <w:tcW w:w="1163" w:type="dxa"/>
          </w:tcPr>
          <w:p w14:paraId="0160F00B"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74.48%</w:t>
            </w:r>
          </w:p>
        </w:tc>
        <w:tc>
          <w:tcPr>
            <w:tcW w:w="1176" w:type="dxa"/>
          </w:tcPr>
          <w:p w14:paraId="7EE5778F"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74.53%</w:t>
            </w:r>
          </w:p>
        </w:tc>
        <w:tc>
          <w:tcPr>
            <w:tcW w:w="1172" w:type="dxa"/>
          </w:tcPr>
          <w:p w14:paraId="4428B78A"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74.51%</w:t>
            </w:r>
          </w:p>
        </w:tc>
      </w:tr>
      <w:tr w:rsidR="0016201B" w:rsidRPr="005A6293" w14:paraId="77FE9D05"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899" w:type="dxa"/>
          </w:tcPr>
          <w:p w14:paraId="0C491E76" w14:textId="77777777" w:rsidR="0016201B" w:rsidRPr="005A6293" w:rsidRDefault="0016201B" w:rsidP="0016201B">
            <w:pPr>
              <w:rPr>
                <w:b w:val="0"/>
                <w:bCs w:val="0"/>
              </w:rPr>
            </w:pPr>
            <w:r w:rsidRPr="005A6293">
              <w:rPr>
                <w:b w:val="0"/>
                <w:bCs w:val="0"/>
              </w:rPr>
              <w:t>2004</w:t>
            </w:r>
          </w:p>
        </w:tc>
        <w:tc>
          <w:tcPr>
            <w:tcW w:w="1163" w:type="dxa"/>
          </w:tcPr>
          <w:p w14:paraId="6C224558"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73.69%</w:t>
            </w:r>
          </w:p>
        </w:tc>
        <w:tc>
          <w:tcPr>
            <w:tcW w:w="1176" w:type="dxa"/>
          </w:tcPr>
          <w:p w14:paraId="79CB2ECF"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73.87%</w:t>
            </w:r>
          </w:p>
        </w:tc>
        <w:tc>
          <w:tcPr>
            <w:tcW w:w="1172" w:type="dxa"/>
          </w:tcPr>
          <w:p w14:paraId="02CFC67F"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73.78%</w:t>
            </w:r>
          </w:p>
        </w:tc>
      </w:tr>
      <w:tr w:rsidR="0016201B" w:rsidRPr="005A6293" w14:paraId="015F476B"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9" w:type="dxa"/>
          </w:tcPr>
          <w:p w14:paraId="7DDAD36F" w14:textId="77777777" w:rsidR="0016201B" w:rsidRPr="005A6293" w:rsidRDefault="0016201B" w:rsidP="0016201B">
            <w:pPr>
              <w:rPr>
                <w:b w:val="0"/>
                <w:bCs w:val="0"/>
              </w:rPr>
            </w:pPr>
            <w:r w:rsidRPr="005A6293">
              <w:rPr>
                <w:b w:val="0"/>
                <w:bCs w:val="0"/>
              </w:rPr>
              <w:t>2005</w:t>
            </w:r>
          </w:p>
        </w:tc>
        <w:tc>
          <w:tcPr>
            <w:tcW w:w="1163" w:type="dxa"/>
          </w:tcPr>
          <w:p w14:paraId="4EEE3B97"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75.12%</w:t>
            </w:r>
          </w:p>
        </w:tc>
        <w:tc>
          <w:tcPr>
            <w:tcW w:w="1176" w:type="dxa"/>
          </w:tcPr>
          <w:p w14:paraId="2470E9D9"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75.73%</w:t>
            </w:r>
          </w:p>
        </w:tc>
        <w:tc>
          <w:tcPr>
            <w:tcW w:w="1172" w:type="dxa"/>
          </w:tcPr>
          <w:p w14:paraId="1AC7E314"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75.42%</w:t>
            </w:r>
          </w:p>
        </w:tc>
      </w:tr>
      <w:tr w:rsidR="0016201B" w:rsidRPr="005A6293" w14:paraId="0885EA21"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899" w:type="dxa"/>
          </w:tcPr>
          <w:p w14:paraId="3F437C7C" w14:textId="77777777" w:rsidR="0016201B" w:rsidRPr="005A6293" w:rsidRDefault="0016201B" w:rsidP="0016201B">
            <w:pPr>
              <w:rPr>
                <w:b w:val="0"/>
                <w:bCs w:val="0"/>
              </w:rPr>
            </w:pPr>
            <w:r w:rsidRPr="005A6293">
              <w:rPr>
                <w:b w:val="0"/>
                <w:bCs w:val="0"/>
              </w:rPr>
              <w:t>2006</w:t>
            </w:r>
          </w:p>
        </w:tc>
        <w:tc>
          <w:tcPr>
            <w:tcW w:w="1163" w:type="dxa"/>
          </w:tcPr>
          <w:p w14:paraId="1B0B65C3"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74.61%</w:t>
            </w:r>
          </w:p>
        </w:tc>
        <w:tc>
          <w:tcPr>
            <w:tcW w:w="1176" w:type="dxa"/>
          </w:tcPr>
          <w:p w14:paraId="1F4B9813"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75.94%</w:t>
            </w:r>
          </w:p>
        </w:tc>
        <w:tc>
          <w:tcPr>
            <w:tcW w:w="1172" w:type="dxa"/>
          </w:tcPr>
          <w:p w14:paraId="3215C727"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75.27%</w:t>
            </w:r>
          </w:p>
        </w:tc>
      </w:tr>
      <w:tr w:rsidR="0016201B" w:rsidRPr="005A6293" w14:paraId="5BE6CB6F"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9" w:type="dxa"/>
          </w:tcPr>
          <w:p w14:paraId="1473A7FE" w14:textId="77777777" w:rsidR="0016201B" w:rsidRPr="005A6293" w:rsidRDefault="0016201B" w:rsidP="0016201B">
            <w:pPr>
              <w:rPr>
                <w:b w:val="0"/>
                <w:bCs w:val="0"/>
              </w:rPr>
            </w:pPr>
            <w:r w:rsidRPr="005A6293">
              <w:rPr>
                <w:b w:val="0"/>
                <w:bCs w:val="0"/>
              </w:rPr>
              <w:t>2007</w:t>
            </w:r>
          </w:p>
        </w:tc>
        <w:tc>
          <w:tcPr>
            <w:tcW w:w="1163" w:type="dxa"/>
          </w:tcPr>
          <w:p w14:paraId="34007100"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86.27%</w:t>
            </w:r>
          </w:p>
        </w:tc>
        <w:tc>
          <w:tcPr>
            <w:tcW w:w="1176" w:type="dxa"/>
          </w:tcPr>
          <w:p w14:paraId="0FFBC98C"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86.39%</w:t>
            </w:r>
          </w:p>
        </w:tc>
        <w:tc>
          <w:tcPr>
            <w:tcW w:w="1172" w:type="dxa"/>
          </w:tcPr>
          <w:p w14:paraId="496FAA58"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86.33%</w:t>
            </w:r>
          </w:p>
        </w:tc>
      </w:tr>
      <w:tr w:rsidR="0016201B" w:rsidRPr="005A6293" w14:paraId="1B65591D"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899" w:type="dxa"/>
          </w:tcPr>
          <w:p w14:paraId="40173685" w14:textId="77777777" w:rsidR="0016201B" w:rsidRPr="005A6293" w:rsidRDefault="0016201B" w:rsidP="0016201B">
            <w:pPr>
              <w:rPr>
                <w:b w:val="0"/>
                <w:bCs w:val="0"/>
              </w:rPr>
            </w:pPr>
            <w:r w:rsidRPr="005A6293">
              <w:rPr>
                <w:b w:val="0"/>
                <w:bCs w:val="0"/>
              </w:rPr>
              <w:t>2008</w:t>
            </w:r>
          </w:p>
        </w:tc>
        <w:tc>
          <w:tcPr>
            <w:tcW w:w="1163" w:type="dxa"/>
          </w:tcPr>
          <w:p w14:paraId="559353F2"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81.50%</w:t>
            </w:r>
          </w:p>
        </w:tc>
        <w:tc>
          <w:tcPr>
            <w:tcW w:w="1176" w:type="dxa"/>
          </w:tcPr>
          <w:p w14:paraId="10085DA2"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82.65%</w:t>
            </w:r>
          </w:p>
        </w:tc>
        <w:tc>
          <w:tcPr>
            <w:tcW w:w="1172" w:type="dxa"/>
          </w:tcPr>
          <w:p w14:paraId="2BFCC6DA"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82.08%</w:t>
            </w:r>
          </w:p>
        </w:tc>
      </w:tr>
      <w:tr w:rsidR="0016201B" w:rsidRPr="005A6293" w14:paraId="59A9A2B5"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9" w:type="dxa"/>
          </w:tcPr>
          <w:p w14:paraId="1A185EB1" w14:textId="77777777" w:rsidR="0016201B" w:rsidRPr="005A6293" w:rsidRDefault="0016201B" w:rsidP="0016201B">
            <w:pPr>
              <w:rPr>
                <w:b w:val="0"/>
                <w:bCs w:val="0"/>
              </w:rPr>
            </w:pPr>
            <w:r w:rsidRPr="005A6293">
              <w:rPr>
                <w:b w:val="0"/>
                <w:bCs w:val="0"/>
              </w:rPr>
              <w:t>2009</w:t>
            </w:r>
          </w:p>
        </w:tc>
        <w:tc>
          <w:tcPr>
            <w:tcW w:w="1163" w:type="dxa"/>
          </w:tcPr>
          <w:p w14:paraId="33F565C6"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82.26%</w:t>
            </w:r>
          </w:p>
        </w:tc>
        <w:tc>
          <w:tcPr>
            <w:tcW w:w="1176" w:type="dxa"/>
          </w:tcPr>
          <w:p w14:paraId="684E1C9E"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83.31%</w:t>
            </w:r>
          </w:p>
        </w:tc>
        <w:tc>
          <w:tcPr>
            <w:tcW w:w="1172" w:type="dxa"/>
          </w:tcPr>
          <w:p w14:paraId="17ACC260"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r w:rsidRPr="005A6293">
              <w:t>82.78%</w:t>
            </w:r>
          </w:p>
        </w:tc>
      </w:tr>
      <w:tr w:rsidR="0016201B" w:rsidRPr="005A6293" w14:paraId="2662B868"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899" w:type="dxa"/>
          </w:tcPr>
          <w:p w14:paraId="5BD3DEAE" w14:textId="77777777" w:rsidR="0016201B" w:rsidRPr="005A6293" w:rsidRDefault="0016201B" w:rsidP="0016201B">
            <w:pPr>
              <w:rPr>
                <w:b w:val="0"/>
                <w:bCs w:val="0"/>
              </w:rPr>
            </w:pPr>
            <w:r w:rsidRPr="005A6293">
              <w:rPr>
                <w:b w:val="0"/>
                <w:bCs w:val="0"/>
              </w:rPr>
              <w:t>2010</w:t>
            </w:r>
          </w:p>
        </w:tc>
        <w:tc>
          <w:tcPr>
            <w:tcW w:w="1163" w:type="dxa"/>
          </w:tcPr>
          <w:p w14:paraId="6A12ACC0"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p>
        </w:tc>
        <w:tc>
          <w:tcPr>
            <w:tcW w:w="1176" w:type="dxa"/>
          </w:tcPr>
          <w:p w14:paraId="697A1F09"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p>
        </w:tc>
        <w:tc>
          <w:tcPr>
            <w:tcW w:w="1172" w:type="dxa"/>
          </w:tcPr>
          <w:p w14:paraId="0D057B95"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p>
        </w:tc>
      </w:tr>
      <w:tr w:rsidR="0016201B" w:rsidRPr="005A6293" w14:paraId="26C91C42" w14:textId="77777777" w:rsidTr="00162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9" w:type="dxa"/>
          </w:tcPr>
          <w:p w14:paraId="344926E1" w14:textId="77777777" w:rsidR="0016201B" w:rsidRPr="005A6293" w:rsidRDefault="0016201B" w:rsidP="0016201B">
            <w:pPr>
              <w:rPr>
                <w:b w:val="0"/>
                <w:bCs w:val="0"/>
              </w:rPr>
            </w:pPr>
            <w:r w:rsidRPr="005A6293">
              <w:rPr>
                <w:b w:val="0"/>
                <w:bCs w:val="0"/>
              </w:rPr>
              <w:t>2011</w:t>
            </w:r>
          </w:p>
        </w:tc>
        <w:tc>
          <w:tcPr>
            <w:tcW w:w="1163" w:type="dxa"/>
          </w:tcPr>
          <w:p w14:paraId="756548F2"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p>
        </w:tc>
        <w:tc>
          <w:tcPr>
            <w:tcW w:w="1176" w:type="dxa"/>
          </w:tcPr>
          <w:p w14:paraId="49AC697E"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p>
        </w:tc>
        <w:tc>
          <w:tcPr>
            <w:tcW w:w="1172" w:type="dxa"/>
          </w:tcPr>
          <w:p w14:paraId="7657F118" w14:textId="77777777" w:rsidR="0016201B" w:rsidRPr="005A6293" w:rsidRDefault="0016201B" w:rsidP="0016201B">
            <w:pPr>
              <w:jc w:val="right"/>
              <w:cnfStyle w:val="000000100000" w:firstRow="0" w:lastRow="0" w:firstColumn="0" w:lastColumn="0" w:oddVBand="0" w:evenVBand="0" w:oddHBand="1" w:evenHBand="0" w:firstRowFirstColumn="0" w:firstRowLastColumn="0" w:lastRowFirstColumn="0" w:lastRowLastColumn="0"/>
            </w:pPr>
          </w:p>
        </w:tc>
      </w:tr>
      <w:tr w:rsidR="0016201B" w:rsidRPr="005A6293" w14:paraId="418F584C" w14:textId="77777777" w:rsidTr="0016201B">
        <w:trPr>
          <w:jc w:val="center"/>
        </w:trPr>
        <w:tc>
          <w:tcPr>
            <w:cnfStyle w:val="001000000000" w:firstRow="0" w:lastRow="0" w:firstColumn="1" w:lastColumn="0" w:oddVBand="0" w:evenVBand="0" w:oddHBand="0" w:evenHBand="0" w:firstRowFirstColumn="0" w:firstRowLastColumn="0" w:lastRowFirstColumn="0" w:lastRowLastColumn="0"/>
            <w:tcW w:w="899" w:type="dxa"/>
          </w:tcPr>
          <w:p w14:paraId="0C4DD13E" w14:textId="77777777" w:rsidR="0016201B" w:rsidRPr="005A6293" w:rsidRDefault="0016201B" w:rsidP="0016201B">
            <w:pPr>
              <w:rPr>
                <w:b w:val="0"/>
                <w:bCs w:val="0"/>
              </w:rPr>
            </w:pPr>
            <w:r w:rsidRPr="005A6293">
              <w:rPr>
                <w:b w:val="0"/>
                <w:bCs w:val="0"/>
              </w:rPr>
              <w:t>2012</w:t>
            </w:r>
          </w:p>
        </w:tc>
        <w:tc>
          <w:tcPr>
            <w:tcW w:w="1163" w:type="dxa"/>
          </w:tcPr>
          <w:p w14:paraId="2060F305"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83.17%</w:t>
            </w:r>
          </w:p>
        </w:tc>
        <w:tc>
          <w:tcPr>
            <w:tcW w:w="1176" w:type="dxa"/>
          </w:tcPr>
          <w:p w14:paraId="4257C2D6"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86.60%</w:t>
            </w:r>
          </w:p>
        </w:tc>
        <w:tc>
          <w:tcPr>
            <w:tcW w:w="1172" w:type="dxa"/>
          </w:tcPr>
          <w:p w14:paraId="3BDA522D" w14:textId="77777777" w:rsidR="0016201B" w:rsidRPr="005A6293" w:rsidRDefault="0016201B" w:rsidP="0016201B">
            <w:pPr>
              <w:jc w:val="right"/>
              <w:cnfStyle w:val="000000000000" w:firstRow="0" w:lastRow="0" w:firstColumn="0" w:lastColumn="0" w:oddVBand="0" w:evenVBand="0" w:oddHBand="0" w:evenHBand="0" w:firstRowFirstColumn="0" w:firstRowLastColumn="0" w:lastRowFirstColumn="0" w:lastRowLastColumn="0"/>
            </w:pPr>
            <w:r w:rsidRPr="005A6293">
              <w:t>84.87%</w:t>
            </w:r>
          </w:p>
        </w:tc>
      </w:tr>
    </w:tbl>
    <w:p w14:paraId="1940A5A2" w14:textId="263AD552" w:rsidR="0016201B" w:rsidRPr="005A6293" w:rsidRDefault="002C1C60" w:rsidP="0016201B">
      <w:pPr>
        <w:pStyle w:val="NoSpacing"/>
        <w:spacing w:line="480" w:lineRule="auto"/>
        <w:rPr>
          <w:rFonts w:eastAsia="Times New Roman" w:cs="Times New Roman"/>
          <w:color w:val="000000" w:themeColor="text1"/>
        </w:rPr>
      </w:pPr>
      <w:r w:rsidRPr="005A6293">
        <w:rPr>
          <w:rFonts w:eastAsia="Times New Roman" w:cs="Times New Roman"/>
          <w:color w:val="000000" w:themeColor="text1"/>
        </w:rPr>
        <w:tab/>
      </w:r>
      <w:r w:rsidRPr="005A6293">
        <w:rPr>
          <w:rFonts w:eastAsia="Times New Roman" w:cs="Times New Roman"/>
          <w:color w:val="000000" w:themeColor="text1"/>
        </w:rPr>
        <w:tab/>
        <w:t xml:space="preserve">          </w:t>
      </w:r>
      <w:r w:rsidRPr="005A6293">
        <w:rPr>
          <w:sz w:val="16"/>
          <w:szCs w:val="16"/>
        </w:rPr>
        <w:t>Source: World Development Indicators World Bank (2018)</w:t>
      </w:r>
    </w:p>
    <w:p w14:paraId="5907E45D" w14:textId="41E95E1B" w:rsidR="00082233" w:rsidRPr="005A6293" w:rsidRDefault="00082233" w:rsidP="0068257B">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Additionally, in contrast to GER statistics which record higher male enrollment rates, NER statistics indicate that females have higher enrollment rates. This likely indicates that males have higher enrollment under GER due to higher repetition rates or starting education at a different age. Therefore, examining only NER statistics indicate</w:t>
      </w:r>
      <w:r w:rsidR="00AD0097" w:rsidRPr="005A6293">
        <w:rPr>
          <w:rFonts w:eastAsia="Times New Roman" w:cs="Times New Roman"/>
          <w:color w:val="000000" w:themeColor="text1"/>
        </w:rPr>
        <w:t>s</w:t>
      </w:r>
      <w:r w:rsidRPr="005A6293">
        <w:rPr>
          <w:rFonts w:eastAsia="Times New Roman" w:cs="Times New Roman"/>
          <w:color w:val="000000" w:themeColor="text1"/>
        </w:rPr>
        <w:t xml:space="preserve"> </w:t>
      </w:r>
      <w:r w:rsidRPr="005A6293">
        <w:rPr>
          <w:rFonts w:eastAsia="Times New Roman" w:cs="Times New Roman"/>
          <w:color w:val="000000" w:themeColor="text1"/>
        </w:rPr>
        <w:lastRenderedPageBreak/>
        <w:t>that the gender inequality in access to education is skewed in favor of females. However, the true stor</w:t>
      </w:r>
      <w:r w:rsidR="003519D0" w:rsidRPr="005A6293">
        <w:rPr>
          <w:rFonts w:eastAsia="Times New Roman" w:cs="Times New Roman"/>
          <w:color w:val="000000" w:themeColor="text1"/>
        </w:rPr>
        <w:t>y is more complicated as</w:t>
      </w:r>
      <w:r w:rsidRPr="005A6293">
        <w:rPr>
          <w:rFonts w:eastAsia="Times New Roman" w:cs="Times New Roman"/>
          <w:color w:val="000000" w:themeColor="text1"/>
        </w:rPr>
        <w:t xml:space="preserve"> discussed below. Finally, the NER statistics highlight a jump in enrollment between 2002 and 2003, from 62.03% to 74.51% after the introduction of the third FPE policy. This indicates that direct costs to schooling is still a limiting factor for education, for both males and females. </w:t>
      </w:r>
    </w:p>
    <w:p w14:paraId="753EB993" w14:textId="5386C8F2" w:rsidR="00815CD2" w:rsidRPr="005A6293" w:rsidRDefault="00082233" w:rsidP="00B16667">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Another benefit of enrollment statistics is that they are recorded at various levels. Kenya has large disparities based off location, which is historically tied to ethnic groups</w:t>
      </w:r>
      <w:r w:rsidR="00DA16CC" w:rsidRPr="005A6293">
        <w:rPr>
          <w:rFonts w:eastAsia="Times New Roman" w:cs="Times New Roman"/>
          <w:color w:val="000000" w:themeColor="text1"/>
        </w:rPr>
        <w:t xml:space="preserve"> with large portions of ethnic groups generally living in the same province and district</w:t>
      </w:r>
      <w:r w:rsidRPr="005A6293">
        <w:rPr>
          <w:rFonts w:eastAsia="Times New Roman" w:cs="Times New Roman"/>
          <w:color w:val="000000" w:themeColor="text1"/>
        </w:rPr>
        <w:t>.</w:t>
      </w:r>
      <w:r w:rsidR="00A233CE" w:rsidRPr="005A6293">
        <w:rPr>
          <w:rStyle w:val="FootnoteReference"/>
          <w:rFonts w:eastAsia="Times New Roman" w:cs="Times New Roman"/>
          <w:color w:val="000000" w:themeColor="text1"/>
        </w:rPr>
        <w:footnoteReference w:id="232"/>
      </w:r>
      <w:r w:rsidRPr="005A6293">
        <w:rPr>
          <w:rFonts w:eastAsia="Times New Roman" w:cs="Times New Roman"/>
          <w:color w:val="000000" w:themeColor="text1"/>
        </w:rPr>
        <w:t xml:space="preserve"> Different ethnic groups and communities had different responses to colonial education, which still shapes education in the post-colonial era.</w:t>
      </w:r>
      <w:r w:rsidR="00157948" w:rsidRPr="005A6293">
        <w:rPr>
          <w:rStyle w:val="FootnoteReference"/>
          <w:rFonts w:eastAsia="Times New Roman" w:cs="Times New Roman"/>
          <w:color w:val="000000" w:themeColor="text1"/>
        </w:rPr>
        <w:footnoteReference w:id="233"/>
      </w:r>
      <w:r w:rsidRPr="005A6293">
        <w:rPr>
          <w:rFonts w:eastAsia="Times New Roman" w:cs="Times New Roman"/>
          <w:color w:val="000000" w:themeColor="text1"/>
        </w:rPr>
        <w:t xml:space="preserve"> </w:t>
      </w:r>
      <w:r w:rsidR="005629A5" w:rsidRPr="005A6293">
        <w:rPr>
          <w:rFonts w:eastAsia="Times New Roman" w:cs="Times New Roman"/>
          <w:color w:val="000000" w:themeColor="text1"/>
        </w:rPr>
        <w:t>A</w:t>
      </w:r>
      <w:r w:rsidR="00517FF4" w:rsidRPr="005A6293">
        <w:rPr>
          <w:rFonts w:eastAsia="Times New Roman" w:cs="Times New Roman"/>
          <w:color w:val="000000" w:themeColor="text1"/>
        </w:rPr>
        <w:t>s seen in table 5</w:t>
      </w:r>
      <w:r w:rsidRPr="005A6293">
        <w:rPr>
          <w:rFonts w:eastAsia="Times New Roman" w:cs="Times New Roman"/>
          <w:color w:val="000000" w:themeColor="text1"/>
        </w:rPr>
        <w:t xml:space="preserve"> below, certai</w:t>
      </w:r>
      <w:r w:rsidR="00123305" w:rsidRPr="005A6293">
        <w:rPr>
          <w:rFonts w:eastAsia="Times New Roman" w:cs="Times New Roman"/>
          <w:color w:val="000000" w:themeColor="text1"/>
        </w:rPr>
        <w:t>n provinces have quite large gender</w:t>
      </w:r>
      <w:r w:rsidRPr="005A6293">
        <w:rPr>
          <w:rFonts w:eastAsia="Times New Roman" w:cs="Times New Roman"/>
          <w:color w:val="000000" w:themeColor="text1"/>
        </w:rPr>
        <w:t xml:space="preserve"> imbalances, while others are close to equality. North Eastern </w:t>
      </w:r>
      <w:r w:rsidR="00123305" w:rsidRPr="005A6293">
        <w:rPr>
          <w:rFonts w:eastAsia="Times New Roman" w:cs="Times New Roman"/>
          <w:color w:val="000000" w:themeColor="text1"/>
        </w:rPr>
        <w:t>and Nairobi have the largest</w:t>
      </w:r>
      <w:r w:rsidRPr="005A6293">
        <w:rPr>
          <w:rFonts w:eastAsia="Times New Roman" w:cs="Times New Roman"/>
          <w:color w:val="000000" w:themeColor="text1"/>
        </w:rPr>
        <w:t xml:space="preserve"> imbalances skewed towards higher male enrollment, while Western and Central are close to parity. Although the count data for enrollment highlights which provinces have higher enrollment rates, it does not indicate enrollment rates as a percentage of th</w:t>
      </w:r>
      <w:r w:rsidR="00517FF4" w:rsidRPr="005A6293">
        <w:rPr>
          <w:rFonts w:eastAsia="Times New Roman" w:cs="Times New Roman"/>
          <w:color w:val="000000" w:themeColor="text1"/>
        </w:rPr>
        <w:t>e province’s population. Table 6</w:t>
      </w:r>
      <w:r w:rsidRPr="005A6293">
        <w:rPr>
          <w:rFonts w:eastAsia="Times New Roman" w:cs="Times New Roman"/>
          <w:color w:val="000000" w:themeColor="text1"/>
        </w:rPr>
        <w:t xml:space="preserve"> </w:t>
      </w:r>
      <w:r w:rsidR="003A0067" w:rsidRPr="005A6293">
        <w:rPr>
          <w:rFonts w:eastAsia="Times New Roman" w:cs="Times New Roman"/>
          <w:color w:val="000000" w:themeColor="text1"/>
        </w:rPr>
        <w:t>below</w:t>
      </w:r>
      <w:r w:rsidRPr="005A6293">
        <w:rPr>
          <w:rFonts w:eastAsia="Times New Roman" w:cs="Times New Roman"/>
          <w:color w:val="000000" w:themeColor="text1"/>
        </w:rPr>
        <w:t xml:space="preserve"> contains the NER</w:t>
      </w:r>
      <w:r w:rsidR="00123305" w:rsidRPr="005A6293">
        <w:rPr>
          <w:rFonts w:eastAsia="Times New Roman" w:cs="Times New Roman"/>
          <w:color w:val="000000" w:themeColor="text1"/>
        </w:rPr>
        <w:t xml:space="preserve"> for each province based off gender</w:t>
      </w:r>
      <w:r w:rsidRPr="005A6293">
        <w:rPr>
          <w:rFonts w:eastAsia="Times New Roman" w:cs="Times New Roman"/>
          <w:color w:val="000000" w:themeColor="text1"/>
        </w:rPr>
        <w:t xml:space="preserve"> for the year of 2002. The NER shows similar results to the count data, North Eastern and Nairobi are the worst performers while Central is the best. However, the</w:t>
      </w:r>
      <w:r w:rsidR="00A1150C" w:rsidRPr="005A6293">
        <w:rPr>
          <w:rFonts w:eastAsia="Times New Roman" w:cs="Times New Roman"/>
          <w:color w:val="000000" w:themeColor="text1"/>
        </w:rPr>
        <w:t xml:space="preserve"> statistics also offer more insight, such as Western, which has</w:t>
      </w:r>
      <w:r w:rsidRPr="005A6293">
        <w:rPr>
          <w:rFonts w:eastAsia="Times New Roman" w:cs="Times New Roman"/>
          <w:color w:val="000000" w:themeColor="text1"/>
        </w:rPr>
        <w:t xml:space="preserve"> more student enrollment via count data, </w:t>
      </w:r>
      <w:r w:rsidR="00A1150C" w:rsidRPr="005A6293">
        <w:rPr>
          <w:rFonts w:eastAsia="Times New Roman" w:cs="Times New Roman"/>
          <w:color w:val="000000" w:themeColor="text1"/>
        </w:rPr>
        <w:t xml:space="preserve">but </w:t>
      </w:r>
      <w:r w:rsidRPr="005A6293">
        <w:rPr>
          <w:rFonts w:eastAsia="Times New Roman" w:cs="Times New Roman"/>
          <w:color w:val="000000" w:themeColor="text1"/>
        </w:rPr>
        <w:t>is actually the fourth province of eight in terms of NER. Additionally, the NER by province is interesting because it indic</w:t>
      </w:r>
      <w:r w:rsidR="00742695" w:rsidRPr="005A6293">
        <w:rPr>
          <w:rFonts w:eastAsia="Times New Roman" w:cs="Times New Roman"/>
          <w:color w:val="000000" w:themeColor="text1"/>
        </w:rPr>
        <w:t xml:space="preserve">ates that although females </w:t>
      </w:r>
      <w:r w:rsidRPr="005A6293">
        <w:rPr>
          <w:rFonts w:eastAsia="Times New Roman" w:cs="Times New Roman"/>
          <w:color w:val="000000" w:themeColor="text1"/>
        </w:rPr>
        <w:t>national</w:t>
      </w:r>
      <w:r w:rsidR="00742695" w:rsidRPr="005A6293">
        <w:rPr>
          <w:rFonts w:eastAsia="Times New Roman" w:cs="Times New Roman"/>
          <w:color w:val="000000" w:themeColor="text1"/>
        </w:rPr>
        <w:t>ly have</w:t>
      </w:r>
      <w:r w:rsidRPr="005A6293">
        <w:rPr>
          <w:rFonts w:eastAsia="Times New Roman" w:cs="Times New Roman"/>
          <w:color w:val="000000" w:themeColor="text1"/>
        </w:rPr>
        <w:t xml:space="preserve"> a higher NER, </w:t>
      </w:r>
      <w:r w:rsidRPr="005A6293">
        <w:rPr>
          <w:rFonts w:eastAsia="Times New Roman" w:cs="Times New Roman"/>
          <w:color w:val="000000" w:themeColor="text1"/>
        </w:rPr>
        <w:lastRenderedPageBreak/>
        <w:t xml:space="preserve">males have a higher NER in five of eight provinces: Coast, Nairobi, Rift Valley, Nyanza, and North Eastern. Females have a higher NER nationally due to their much higher NER in only three provinces. Therefore, while the national NER indicates that females have higher access to education than males, data on the level of provinces indicates that the picture is much more complex. </w:t>
      </w:r>
    </w:p>
    <w:p w14:paraId="7143ACA7" w14:textId="15E1223E" w:rsidR="000432D9" w:rsidRPr="005A6293" w:rsidRDefault="00517FF4" w:rsidP="000432D9">
      <w:r w:rsidRPr="005A6293">
        <w:rPr>
          <w:rFonts w:eastAsia="Times New Roman" w:cs="Times New Roman"/>
          <w:color w:val="000000" w:themeColor="text1"/>
        </w:rPr>
        <w:t>Table 5</w:t>
      </w:r>
      <w:r w:rsidR="000432D9" w:rsidRPr="005A6293">
        <w:rPr>
          <w:rFonts w:eastAsia="Times New Roman" w:cs="Times New Roman"/>
          <w:color w:val="000000" w:themeColor="text1"/>
        </w:rPr>
        <w:t xml:space="preserve">. </w:t>
      </w:r>
      <w:r w:rsidR="000432D9" w:rsidRPr="005A6293">
        <w:t>Enrollment in public primary schools by gender and province, 2003</w:t>
      </w:r>
    </w:p>
    <w:tbl>
      <w:tblPr>
        <w:tblStyle w:val="PlainTable31"/>
        <w:tblpPr w:leftFromText="180" w:rightFromText="180" w:vertAnchor="text" w:tblpXSpec="center" w:tblpY="1"/>
        <w:tblOverlap w:val="never"/>
        <w:tblW w:w="0" w:type="auto"/>
        <w:tblLook w:val="04A0" w:firstRow="1" w:lastRow="0" w:firstColumn="1" w:lastColumn="0" w:noHBand="0" w:noVBand="1"/>
      </w:tblPr>
      <w:tblGrid>
        <w:gridCol w:w="2250"/>
        <w:gridCol w:w="1176"/>
        <w:gridCol w:w="1176"/>
        <w:gridCol w:w="1178"/>
      </w:tblGrid>
      <w:tr w:rsidR="00B16667" w:rsidRPr="005A6293" w14:paraId="0B3495AA" w14:textId="77777777" w:rsidTr="00B2719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50" w:type="dxa"/>
          </w:tcPr>
          <w:p w14:paraId="16CDC58A" w14:textId="77777777" w:rsidR="00B16667" w:rsidRPr="005A6293" w:rsidRDefault="00B16667" w:rsidP="00B2719E">
            <w:pPr>
              <w:rPr>
                <w:b w:val="0"/>
                <w:bCs w:val="0"/>
              </w:rPr>
            </w:pPr>
            <w:r w:rsidRPr="005A6293">
              <w:rPr>
                <w:b w:val="0"/>
                <w:bCs w:val="0"/>
              </w:rPr>
              <w:t>Province</w:t>
            </w:r>
          </w:p>
        </w:tc>
        <w:tc>
          <w:tcPr>
            <w:tcW w:w="1176" w:type="dxa"/>
          </w:tcPr>
          <w:p w14:paraId="6F1FEBA3" w14:textId="77777777" w:rsidR="00B16667" w:rsidRPr="005A6293" w:rsidRDefault="00B16667" w:rsidP="00B2719E">
            <w:pPr>
              <w:cnfStyle w:val="100000000000" w:firstRow="1" w:lastRow="0" w:firstColumn="0" w:lastColumn="0" w:oddVBand="0" w:evenVBand="0" w:oddHBand="0" w:evenHBand="0" w:firstRowFirstColumn="0" w:firstRowLastColumn="0" w:lastRowFirstColumn="0" w:lastRowLastColumn="0"/>
              <w:rPr>
                <w:b w:val="0"/>
                <w:bCs w:val="0"/>
              </w:rPr>
            </w:pPr>
            <w:r w:rsidRPr="005A6293">
              <w:rPr>
                <w:b w:val="0"/>
                <w:bCs w:val="0"/>
              </w:rPr>
              <w:t>boys</w:t>
            </w:r>
          </w:p>
        </w:tc>
        <w:tc>
          <w:tcPr>
            <w:tcW w:w="1176" w:type="dxa"/>
          </w:tcPr>
          <w:p w14:paraId="369FC85F" w14:textId="77777777" w:rsidR="00B16667" w:rsidRPr="005A6293" w:rsidRDefault="00B16667" w:rsidP="00B2719E">
            <w:pPr>
              <w:cnfStyle w:val="100000000000" w:firstRow="1" w:lastRow="0" w:firstColumn="0" w:lastColumn="0" w:oddVBand="0" w:evenVBand="0" w:oddHBand="0" w:evenHBand="0" w:firstRowFirstColumn="0" w:firstRowLastColumn="0" w:lastRowFirstColumn="0" w:lastRowLastColumn="0"/>
              <w:rPr>
                <w:b w:val="0"/>
                <w:bCs w:val="0"/>
              </w:rPr>
            </w:pPr>
            <w:r w:rsidRPr="005A6293">
              <w:rPr>
                <w:b w:val="0"/>
                <w:bCs w:val="0"/>
              </w:rPr>
              <w:t>girls</w:t>
            </w:r>
          </w:p>
        </w:tc>
        <w:tc>
          <w:tcPr>
            <w:tcW w:w="1178" w:type="dxa"/>
          </w:tcPr>
          <w:p w14:paraId="2AD6BD9A" w14:textId="77777777" w:rsidR="00B16667" w:rsidRPr="005A6293" w:rsidRDefault="00B16667" w:rsidP="00B2719E">
            <w:pPr>
              <w:cnfStyle w:val="100000000000" w:firstRow="1" w:lastRow="0" w:firstColumn="0" w:lastColumn="0" w:oddVBand="0" w:evenVBand="0" w:oddHBand="0" w:evenHBand="0" w:firstRowFirstColumn="0" w:firstRowLastColumn="0" w:lastRowFirstColumn="0" w:lastRowLastColumn="0"/>
              <w:rPr>
                <w:b w:val="0"/>
                <w:bCs w:val="0"/>
              </w:rPr>
            </w:pPr>
            <w:r w:rsidRPr="005A6293">
              <w:rPr>
                <w:b w:val="0"/>
                <w:bCs w:val="0"/>
              </w:rPr>
              <w:t>total</w:t>
            </w:r>
          </w:p>
        </w:tc>
      </w:tr>
      <w:tr w:rsidR="00B16667" w:rsidRPr="005A6293" w14:paraId="7FF6F123" w14:textId="77777777" w:rsidTr="00B2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B5E50A1" w14:textId="77777777" w:rsidR="00B16667" w:rsidRPr="005A6293" w:rsidRDefault="00B16667" w:rsidP="00B2719E">
            <w:pPr>
              <w:rPr>
                <w:b w:val="0"/>
                <w:bCs w:val="0"/>
              </w:rPr>
            </w:pPr>
            <w:r w:rsidRPr="005A6293">
              <w:rPr>
                <w:b w:val="0"/>
                <w:bCs w:val="0"/>
              </w:rPr>
              <w:t>Central</w:t>
            </w:r>
          </w:p>
        </w:tc>
        <w:tc>
          <w:tcPr>
            <w:tcW w:w="1176" w:type="dxa"/>
          </w:tcPr>
          <w:p w14:paraId="6C482154"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425,034</w:t>
            </w:r>
          </w:p>
        </w:tc>
        <w:tc>
          <w:tcPr>
            <w:tcW w:w="1176" w:type="dxa"/>
          </w:tcPr>
          <w:p w14:paraId="263382A3"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423,655</w:t>
            </w:r>
          </w:p>
        </w:tc>
        <w:tc>
          <w:tcPr>
            <w:tcW w:w="1178" w:type="dxa"/>
          </w:tcPr>
          <w:p w14:paraId="21276914"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848,739</w:t>
            </w:r>
          </w:p>
        </w:tc>
      </w:tr>
      <w:tr w:rsidR="00B16667" w:rsidRPr="005A6293" w14:paraId="5F2C2163" w14:textId="77777777" w:rsidTr="00B2719E">
        <w:tc>
          <w:tcPr>
            <w:cnfStyle w:val="001000000000" w:firstRow="0" w:lastRow="0" w:firstColumn="1" w:lastColumn="0" w:oddVBand="0" w:evenVBand="0" w:oddHBand="0" w:evenHBand="0" w:firstRowFirstColumn="0" w:firstRowLastColumn="0" w:lastRowFirstColumn="0" w:lastRowLastColumn="0"/>
            <w:tcW w:w="2250" w:type="dxa"/>
          </w:tcPr>
          <w:p w14:paraId="3F8DD9DB" w14:textId="77777777" w:rsidR="00B16667" w:rsidRPr="005A6293" w:rsidRDefault="00B16667" w:rsidP="00B2719E">
            <w:pPr>
              <w:rPr>
                <w:b w:val="0"/>
                <w:bCs w:val="0"/>
              </w:rPr>
            </w:pPr>
            <w:r w:rsidRPr="005A6293">
              <w:rPr>
                <w:b w:val="0"/>
                <w:bCs w:val="0"/>
              </w:rPr>
              <w:t>coast</w:t>
            </w:r>
          </w:p>
        </w:tc>
        <w:tc>
          <w:tcPr>
            <w:tcW w:w="1176" w:type="dxa"/>
          </w:tcPr>
          <w:p w14:paraId="3FEB7010" w14:textId="77777777" w:rsidR="00B16667" w:rsidRPr="005A6293" w:rsidRDefault="00B16667" w:rsidP="00B2719E">
            <w:pPr>
              <w:jc w:val="right"/>
              <w:cnfStyle w:val="000000000000" w:firstRow="0" w:lastRow="0" w:firstColumn="0" w:lastColumn="0" w:oddVBand="0" w:evenVBand="0" w:oddHBand="0" w:evenHBand="0" w:firstRowFirstColumn="0" w:firstRowLastColumn="0" w:lastRowFirstColumn="0" w:lastRowLastColumn="0"/>
            </w:pPr>
            <w:r w:rsidRPr="005A6293">
              <w:t>242,337</w:t>
            </w:r>
          </w:p>
        </w:tc>
        <w:tc>
          <w:tcPr>
            <w:tcW w:w="1176" w:type="dxa"/>
          </w:tcPr>
          <w:p w14:paraId="4636F6EB" w14:textId="77777777" w:rsidR="00B16667" w:rsidRPr="005A6293" w:rsidRDefault="00B16667" w:rsidP="00B2719E">
            <w:pPr>
              <w:jc w:val="right"/>
              <w:cnfStyle w:val="000000000000" w:firstRow="0" w:lastRow="0" w:firstColumn="0" w:lastColumn="0" w:oddVBand="0" w:evenVBand="0" w:oddHBand="0" w:evenHBand="0" w:firstRowFirstColumn="0" w:firstRowLastColumn="0" w:lastRowFirstColumn="0" w:lastRowLastColumn="0"/>
            </w:pPr>
            <w:r w:rsidRPr="005A6293">
              <w:t>204,541</w:t>
            </w:r>
          </w:p>
        </w:tc>
        <w:tc>
          <w:tcPr>
            <w:tcW w:w="1178" w:type="dxa"/>
          </w:tcPr>
          <w:p w14:paraId="45AB7ECC" w14:textId="77777777" w:rsidR="00B16667" w:rsidRPr="005A6293" w:rsidRDefault="00B16667" w:rsidP="00B2719E">
            <w:pPr>
              <w:jc w:val="right"/>
              <w:cnfStyle w:val="000000000000" w:firstRow="0" w:lastRow="0" w:firstColumn="0" w:lastColumn="0" w:oddVBand="0" w:evenVBand="0" w:oddHBand="0" w:evenHBand="0" w:firstRowFirstColumn="0" w:firstRowLastColumn="0" w:lastRowFirstColumn="0" w:lastRowLastColumn="0"/>
            </w:pPr>
            <w:r w:rsidRPr="005A6293">
              <w:t>446,932</w:t>
            </w:r>
          </w:p>
        </w:tc>
      </w:tr>
      <w:tr w:rsidR="00B16667" w:rsidRPr="005A6293" w14:paraId="13D6F030" w14:textId="77777777" w:rsidTr="00B2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B09C588" w14:textId="77777777" w:rsidR="00B16667" w:rsidRPr="005A6293" w:rsidRDefault="00B16667" w:rsidP="00B2719E">
            <w:pPr>
              <w:rPr>
                <w:b w:val="0"/>
                <w:bCs w:val="0"/>
              </w:rPr>
            </w:pPr>
            <w:r w:rsidRPr="005A6293">
              <w:rPr>
                <w:b w:val="0"/>
                <w:bCs w:val="0"/>
              </w:rPr>
              <w:t>eastern</w:t>
            </w:r>
          </w:p>
        </w:tc>
        <w:tc>
          <w:tcPr>
            <w:tcW w:w="1176" w:type="dxa"/>
          </w:tcPr>
          <w:p w14:paraId="00EBC1D6"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641,562</w:t>
            </w:r>
          </w:p>
        </w:tc>
        <w:tc>
          <w:tcPr>
            <w:tcW w:w="1176" w:type="dxa"/>
          </w:tcPr>
          <w:p w14:paraId="6F77D088"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625,838</w:t>
            </w:r>
          </w:p>
        </w:tc>
        <w:tc>
          <w:tcPr>
            <w:tcW w:w="1178" w:type="dxa"/>
          </w:tcPr>
          <w:p w14:paraId="6287EE89"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1,267,451</w:t>
            </w:r>
          </w:p>
        </w:tc>
      </w:tr>
      <w:tr w:rsidR="00B16667" w:rsidRPr="005A6293" w14:paraId="6CA5D9BD" w14:textId="77777777" w:rsidTr="00B2719E">
        <w:tc>
          <w:tcPr>
            <w:cnfStyle w:val="001000000000" w:firstRow="0" w:lastRow="0" w:firstColumn="1" w:lastColumn="0" w:oddVBand="0" w:evenVBand="0" w:oddHBand="0" w:evenHBand="0" w:firstRowFirstColumn="0" w:firstRowLastColumn="0" w:lastRowFirstColumn="0" w:lastRowLastColumn="0"/>
            <w:tcW w:w="2250" w:type="dxa"/>
          </w:tcPr>
          <w:p w14:paraId="37C922ED" w14:textId="77777777" w:rsidR="00B16667" w:rsidRPr="005A6293" w:rsidRDefault="00B16667" w:rsidP="00B2719E">
            <w:pPr>
              <w:rPr>
                <w:b w:val="0"/>
                <w:bCs w:val="0"/>
              </w:rPr>
            </w:pPr>
            <w:r w:rsidRPr="005A6293">
              <w:rPr>
                <w:b w:val="0"/>
                <w:bCs w:val="0"/>
              </w:rPr>
              <w:t>nairobi</w:t>
            </w:r>
          </w:p>
        </w:tc>
        <w:tc>
          <w:tcPr>
            <w:tcW w:w="1176" w:type="dxa"/>
          </w:tcPr>
          <w:p w14:paraId="3A4DAE7F" w14:textId="77777777" w:rsidR="00B16667" w:rsidRPr="005A6293" w:rsidRDefault="00B16667" w:rsidP="00B2719E">
            <w:pPr>
              <w:jc w:val="right"/>
              <w:cnfStyle w:val="000000000000" w:firstRow="0" w:lastRow="0" w:firstColumn="0" w:lastColumn="0" w:oddVBand="0" w:evenVBand="0" w:oddHBand="0" w:evenHBand="0" w:firstRowFirstColumn="0" w:firstRowLastColumn="0" w:lastRowFirstColumn="0" w:lastRowLastColumn="0"/>
            </w:pPr>
            <w:r w:rsidRPr="005A6293">
              <w:t>134,782</w:t>
            </w:r>
          </w:p>
        </w:tc>
        <w:tc>
          <w:tcPr>
            <w:tcW w:w="1176" w:type="dxa"/>
          </w:tcPr>
          <w:p w14:paraId="512C1427" w14:textId="77777777" w:rsidR="00B16667" w:rsidRPr="005A6293" w:rsidRDefault="00B16667" w:rsidP="00B2719E">
            <w:pPr>
              <w:jc w:val="right"/>
              <w:cnfStyle w:val="000000000000" w:firstRow="0" w:lastRow="0" w:firstColumn="0" w:lastColumn="0" w:oddVBand="0" w:evenVBand="0" w:oddHBand="0" w:evenHBand="0" w:firstRowFirstColumn="0" w:firstRowLastColumn="0" w:lastRowFirstColumn="0" w:lastRowLastColumn="0"/>
            </w:pPr>
            <w:r w:rsidRPr="005A6293">
              <w:t>88,783</w:t>
            </w:r>
          </w:p>
        </w:tc>
        <w:tc>
          <w:tcPr>
            <w:tcW w:w="1178" w:type="dxa"/>
          </w:tcPr>
          <w:p w14:paraId="230E0A17" w14:textId="77777777" w:rsidR="00B16667" w:rsidRPr="005A6293" w:rsidRDefault="00B16667" w:rsidP="00B2719E">
            <w:pPr>
              <w:jc w:val="right"/>
              <w:cnfStyle w:val="000000000000" w:firstRow="0" w:lastRow="0" w:firstColumn="0" w:lastColumn="0" w:oddVBand="0" w:evenVBand="0" w:oddHBand="0" w:evenHBand="0" w:firstRowFirstColumn="0" w:firstRowLastColumn="0" w:lastRowFirstColumn="0" w:lastRowLastColumn="0"/>
            </w:pPr>
            <w:r w:rsidRPr="005A6293">
              <w:t>223,625</w:t>
            </w:r>
          </w:p>
        </w:tc>
      </w:tr>
      <w:tr w:rsidR="00B16667" w:rsidRPr="005A6293" w14:paraId="3421280A" w14:textId="77777777" w:rsidTr="00B2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319F0925" w14:textId="77777777" w:rsidR="00B16667" w:rsidRPr="005A6293" w:rsidRDefault="00B16667" w:rsidP="00B2719E">
            <w:pPr>
              <w:rPr>
                <w:b w:val="0"/>
                <w:bCs w:val="0"/>
              </w:rPr>
            </w:pPr>
            <w:r w:rsidRPr="005A6293">
              <w:rPr>
                <w:b w:val="0"/>
                <w:bCs w:val="0"/>
              </w:rPr>
              <w:t>north eastern</w:t>
            </w:r>
          </w:p>
        </w:tc>
        <w:tc>
          <w:tcPr>
            <w:tcW w:w="1176" w:type="dxa"/>
          </w:tcPr>
          <w:p w14:paraId="3D2E900E"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41,688</w:t>
            </w:r>
          </w:p>
        </w:tc>
        <w:tc>
          <w:tcPr>
            <w:tcW w:w="1176" w:type="dxa"/>
          </w:tcPr>
          <w:p w14:paraId="3E594B18"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19,129</w:t>
            </w:r>
          </w:p>
        </w:tc>
        <w:tc>
          <w:tcPr>
            <w:tcW w:w="1178" w:type="dxa"/>
          </w:tcPr>
          <w:p w14:paraId="02A2A1AD"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60,886</w:t>
            </w:r>
          </w:p>
        </w:tc>
      </w:tr>
      <w:tr w:rsidR="00B16667" w:rsidRPr="005A6293" w14:paraId="46E1069B" w14:textId="77777777" w:rsidTr="00B2719E">
        <w:tc>
          <w:tcPr>
            <w:cnfStyle w:val="001000000000" w:firstRow="0" w:lastRow="0" w:firstColumn="1" w:lastColumn="0" w:oddVBand="0" w:evenVBand="0" w:oddHBand="0" w:evenHBand="0" w:firstRowFirstColumn="0" w:firstRowLastColumn="0" w:lastRowFirstColumn="0" w:lastRowLastColumn="0"/>
            <w:tcW w:w="2250" w:type="dxa"/>
          </w:tcPr>
          <w:p w14:paraId="7709D854" w14:textId="77777777" w:rsidR="00B16667" w:rsidRPr="005A6293" w:rsidRDefault="00B16667" w:rsidP="00B2719E">
            <w:pPr>
              <w:rPr>
                <w:b w:val="0"/>
                <w:bCs w:val="0"/>
              </w:rPr>
            </w:pPr>
            <w:r w:rsidRPr="005A6293">
              <w:rPr>
                <w:b w:val="0"/>
                <w:bCs w:val="0"/>
              </w:rPr>
              <w:t>nyanza</w:t>
            </w:r>
          </w:p>
        </w:tc>
        <w:tc>
          <w:tcPr>
            <w:tcW w:w="1176" w:type="dxa"/>
          </w:tcPr>
          <w:p w14:paraId="4FBD1769" w14:textId="77777777" w:rsidR="00B16667" w:rsidRPr="005A6293" w:rsidRDefault="00B16667" w:rsidP="00B2719E">
            <w:pPr>
              <w:jc w:val="right"/>
              <w:cnfStyle w:val="000000000000" w:firstRow="0" w:lastRow="0" w:firstColumn="0" w:lastColumn="0" w:oddVBand="0" w:evenVBand="0" w:oddHBand="0" w:evenHBand="0" w:firstRowFirstColumn="0" w:firstRowLastColumn="0" w:lastRowFirstColumn="0" w:lastRowLastColumn="0"/>
            </w:pPr>
            <w:r w:rsidRPr="005A6293">
              <w:t>616,967</w:t>
            </w:r>
          </w:p>
        </w:tc>
        <w:tc>
          <w:tcPr>
            <w:tcW w:w="1176" w:type="dxa"/>
          </w:tcPr>
          <w:p w14:paraId="2437EB97" w14:textId="77777777" w:rsidR="00B16667" w:rsidRPr="005A6293" w:rsidRDefault="00B16667" w:rsidP="00B2719E">
            <w:pPr>
              <w:jc w:val="right"/>
              <w:cnfStyle w:val="000000000000" w:firstRow="0" w:lastRow="0" w:firstColumn="0" w:lastColumn="0" w:oddVBand="0" w:evenVBand="0" w:oddHBand="0" w:evenHBand="0" w:firstRowFirstColumn="0" w:firstRowLastColumn="0" w:lastRowFirstColumn="0" w:lastRowLastColumn="0"/>
            </w:pPr>
            <w:r w:rsidRPr="005A6293">
              <w:t>622,789</w:t>
            </w:r>
          </w:p>
        </w:tc>
        <w:tc>
          <w:tcPr>
            <w:tcW w:w="1178" w:type="dxa"/>
          </w:tcPr>
          <w:p w14:paraId="1055CE89" w14:textId="77777777" w:rsidR="00B16667" w:rsidRPr="005A6293" w:rsidRDefault="00B16667" w:rsidP="00B2719E">
            <w:pPr>
              <w:jc w:val="right"/>
              <w:cnfStyle w:val="000000000000" w:firstRow="0" w:lastRow="0" w:firstColumn="0" w:lastColumn="0" w:oddVBand="0" w:evenVBand="0" w:oddHBand="0" w:evenHBand="0" w:firstRowFirstColumn="0" w:firstRowLastColumn="0" w:lastRowFirstColumn="0" w:lastRowLastColumn="0"/>
            </w:pPr>
            <w:r w:rsidRPr="005A6293">
              <w:t>1,239,804</w:t>
            </w:r>
          </w:p>
        </w:tc>
      </w:tr>
      <w:tr w:rsidR="00B16667" w:rsidRPr="005A6293" w14:paraId="537C139D" w14:textId="77777777" w:rsidTr="00B2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41C741EC" w14:textId="77777777" w:rsidR="00B16667" w:rsidRPr="005A6293" w:rsidRDefault="00B16667" w:rsidP="00B2719E">
            <w:pPr>
              <w:rPr>
                <w:b w:val="0"/>
                <w:bCs w:val="0"/>
              </w:rPr>
            </w:pPr>
            <w:r w:rsidRPr="005A6293">
              <w:rPr>
                <w:b w:val="0"/>
                <w:bCs w:val="0"/>
              </w:rPr>
              <w:t>rift Valley</w:t>
            </w:r>
          </w:p>
        </w:tc>
        <w:tc>
          <w:tcPr>
            <w:tcW w:w="1176" w:type="dxa"/>
          </w:tcPr>
          <w:p w14:paraId="1438DDDE"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875,002</w:t>
            </w:r>
          </w:p>
        </w:tc>
        <w:tc>
          <w:tcPr>
            <w:tcW w:w="1176" w:type="dxa"/>
          </w:tcPr>
          <w:p w14:paraId="64A44D09"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838,162</w:t>
            </w:r>
          </w:p>
        </w:tc>
        <w:tc>
          <w:tcPr>
            <w:tcW w:w="1178" w:type="dxa"/>
          </w:tcPr>
          <w:p w14:paraId="0E2C45BD"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1,713,215</w:t>
            </w:r>
          </w:p>
        </w:tc>
      </w:tr>
      <w:tr w:rsidR="00B16667" w:rsidRPr="005A6293" w14:paraId="1A3ECBCF" w14:textId="77777777" w:rsidTr="00B2719E">
        <w:tc>
          <w:tcPr>
            <w:cnfStyle w:val="001000000000" w:firstRow="0" w:lastRow="0" w:firstColumn="1" w:lastColumn="0" w:oddVBand="0" w:evenVBand="0" w:oddHBand="0" w:evenHBand="0" w:firstRowFirstColumn="0" w:firstRowLastColumn="0" w:lastRowFirstColumn="0" w:lastRowLastColumn="0"/>
            <w:tcW w:w="2250" w:type="dxa"/>
          </w:tcPr>
          <w:p w14:paraId="5A095177" w14:textId="77777777" w:rsidR="00B16667" w:rsidRPr="005A6293" w:rsidRDefault="00B16667" w:rsidP="00B2719E">
            <w:pPr>
              <w:rPr>
                <w:b w:val="0"/>
                <w:bCs w:val="0"/>
              </w:rPr>
            </w:pPr>
            <w:r w:rsidRPr="005A6293">
              <w:rPr>
                <w:b w:val="0"/>
                <w:bCs w:val="0"/>
              </w:rPr>
              <w:t>western</w:t>
            </w:r>
          </w:p>
        </w:tc>
        <w:tc>
          <w:tcPr>
            <w:tcW w:w="1176" w:type="dxa"/>
          </w:tcPr>
          <w:p w14:paraId="32871D7F" w14:textId="77777777" w:rsidR="00B16667" w:rsidRPr="005A6293" w:rsidRDefault="00B16667" w:rsidP="00B2719E">
            <w:pPr>
              <w:jc w:val="right"/>
              <w:cnfStyle w:val="000000000000" w:firstRow="0" w:lastRow="0" w:firstColumn="0" w:lastColumn="0" w:oddVBand="0" w:evenVBand="0" w:oddHBand="0" w:evenHBand="0" w:firstRowFirstColumn="0" w:firstRowLastColumn="0" w:lastRowFirstColumn="0" w:lastRowLastColumn="0"/>
            </w:pPr>
            <w:r w:rsidRPr="005A6293">
              <w:t>509,883</w:t>
            </w:r>
          </w:p>
        </w:tc>
        <w:tc>
          <w:tcPr>
            <w:tcW w:w="1176" w:type="dxa"/>
          </w:tcPr>
          <w:p w14:paraId="04834DC2" w14:textId="77777777" w:rsidR="00B16667" w:rsidRPr="005A6293" w:rsidRDefault="00B16667" w:rsidP="00B2719E">
            <w:pPr>
              <w:jc w:val="right"/>
              <w:cnfStyle w:val="000000000000" w:firstRow="0" w:lastRow="0" w:firstColumn="0" w:lastColumn="0" w:oddVBand="0" w:evenVBand="0" w:oddHBand="0" w:evenHBand="0" w:firstRowFirstColumn="0" w:firstRowLastColumn="0" w:lastRowFirstColumn="0" w:lastRowLastColumn="0"/>
            </w:pPr>
            <w:r w:rsidRPr="005A6293">
              <w:t>508,739</w:t>
            </w:r>
          </w:p>
        </w:tc>
        <w:tc>
          <w:tcPr>
            <w:tcW w:w="1178" w:type="dxa"/>
          </w:tcPr>
          <w:p w14:paraId="3C4ABCEE" w14:textId="77777777" w:rsidR="00B16667" w:rsidRPr="005A6293" w:rsidRDefault="00B16667" w:rsidP="00B2719E">
            <w:pPr>
              <w:jc w:val="right"/>
              <w:cnfStyle w:val="000000000000" w:firstRow="0" w:lastRow="0" w:firstColumn="0" w:lastColumn="0" w:oddVBand="0" w:evenVBand="0" w:oddHBand="0" w:evenHBand="0" w:firstRowFirstColumn="0" w:firstRowLastColumn="0" w:lastRowFirstColumn="0" w:lastRowLastColumn="0"/>
            </w:pPr>
            <w:r w:rsidRPr="005A6293">
              <w:t>1,018,672</w:t>
            </w:r>
          </w:p>
        </w:tc>
      </w:tr>
      <w:tr w:rsidR="00B16667" w:rsidRPr="005A6293" w14:paraId="622013CB" w14:textId="77777777" w:rsidTr="00B2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61D7367" w14:textId="77777777" w:rsidR="00B16667" w:rsidRPr="005A6293" w:rsidRDefault="00B16667" w:rsidP="00B2719E">
            <w:pPr>
              <w:rPr>
                <w:b w:val="0"/>
                <w:bCs w:val="0"/>
              </w:rPr>
            </w:pPr>
            <w:r w:rsidRPr="005A6293">
              <w:rPr>
                <w:b w:val="0"/>
                <w:bCs w:val="0"/>
              </w:rPr>
              <w:t>total</w:t>
            </w:r>
          </w:p>
        </w:tc>
        <w:tc>
          <w:tcPr>
            <w:tcW w:w="1176" w:type="dxa"/>
          </w:tcPr>
          <w:p w14:paraId="62E120E4"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3,487,255</w:t>
            </w:r>
          </w:p>
        </w:tc>
        <w:tc>
          <w:tcPr>
            <w:tcW w:w="1176" w:type="dxa"/>
          </w:tcPr>
          <w:p w14:paraId="71B7A903"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3,331,633</w:t>
            </w:r>
          </w:p>
        </w:tc>
        <w:tc>
          <w:tcPr>
            <w:tcW w:w="1178" w:type="dxa"/>
          </w:tcPr>
          <w:p w14:paraId="2DDBBE4B" w14:textId="77777777" w:rsidR="00B16667" w:rsidRPr="005A6293" w:rsidRDefault="00B16667" w:rsidP="00B2719E">
            <w:pPr>
              <w:jc w:val="right"/>
              <w:cnfStyle w:val="000000100000" w:firstRow="0" w:lastRow="0" w:firstColumn="0" w:lastColumn="0" w:oddVBand="0" w:evenVBand="0" w:oddHBand="1" w:evenHBand="0" w:firstRowFirstColumn="0" w:firstRowLastColumn="0" w:lastRowFirstColumn="0" w:lastRowLastColumn="0"/>
            </w:pPr>
            <w:r w:rsidRPr="005A6293">
              <w:t>6,819,324</w:t>
            </w:r>
          </w:p>
        </w:tc>
      </w:tr>
    </w:tbl>
    <w:p w14:paraId="74807016" w14:textId="3285CD51" w:rsidR="000432D9" w:rsidRPr="005A6293" w:rsidRDefault="000432D9" w:rsidP="00B16667">
      <w:pPr>
        <w:pStyle w:val="NoSpacing"/>
        <w:rPr>
          <w:rFonts w:eastAsia="Times New Roman" w:cs="Times New Roman"/>
          <w:color w:val="000000" w:themeColor="text1"/>
        </w:rPr>
      </w:pPr>
    </w:p>
    <w:p w14:paraId="7E58DF92" w14:textId="44E7D31B" w:rsidR="000432D9" w:rsidRPr="005A6293" w:rsidRDefault="000432D9" w:rsidP="00B16667">
      <w:pPr>
        <w:pStyle w:val="NoSpacing"/>
        <w:rPr>
          <w:rFonts w:eastAsia="Times New Roman" w:cs="Times New Roman"/>
          <w:color w:val="000000" w:themeColor="text1"/>
        </w:rPr>
      </w:pPr>
      <w:r w:rsidRPr="005A6293">
        <w:rPr>
          <w:rFonts w:eastAsia="Times New Roman" w:cs="Times New Roman"/>
          <w:color w:val="000000" w:themeColor="text1"/>
        </w:rPr>
        <w:t xml:space="preserve"> </w:t>
      </w:r>
    </w:p>
    <w:p w14:paraId="0C9A9857" w14:textId="77777777" w:rsidR="000432D9" w:rsidRPr="005A6293" w:rsidRDefault="000432D9" w:rsidP="00B16667">
      <w:pPr>
        <w:pStyle w:val="NoSpacing"/>
        <w:ind w:firstLine="720"/>
        <w:rPr>
          <w:rFonts w:eastAsia="Times New Roman" w:cs="Times New Roman"/>
          <w:color w:val="000000" w:themeColor="text1"/>
        </w:rPr>
      </w:pPr>
    </w:p>
    <w:p w14:paraId="21D2F9CE" w14:textId="77777777" w:rsidR="000432D9" w:rsidRPr="005A6293" w:rsidRDefault="000432D9" w:rsidP="00B16667">
      <w:pPr>
        <w:pStyle w:val="NoSpacing"/>
        <w:ind w:firstLine="720"/>
        <w:rPr>
          <w:rFonts w:eastAsia="Times New Roman" w:cs="Times New Roman"/>
          <w:color w:val="000000" w:themeColor="text1"/>
        </w:rPr>
      </w:pPr>
    </w:p>
    <w:p w14:paraId="35C61027" w14:textId="77777777" w:rsidR="000432D9" w:rsidRPr="005A6293" w:rsidRDefault="000432D9" w:rsidP="0068257B">
      <w:pPr>
        <w:pStyle w:val="NoSpacing"/>
        <w:spacing w:line="480" w:lineRule="auto"/>
        <w:ind w:firstLine="720"/>
        <w:rPr>
          <w:rFonts w:eastAsia="Times New Roman" w:cs="Times New Roman"/>
          <w:color w:val="000000" w:themeColor="text1"/>
        </w:rPr>
      </w:pPr>
    </w:p>
    <w:p w14:paraId="70AA2BE4" w14:textId="318D9EE6" w:rsidR="000432D9" w:rsidRPr="005A6293" w:rsidRDefault="00B16667" w:rsidP="000432D9">
      <w:pPr>
        <w:rPr>
          <w:rFonts w:eastAsia="Times New Roman" w:cs="Times New Roman"/>
          <w:color w:val="000000" w:themeColor="text1"/>
        </w:rPr>
      </w:pPr>
      <w:r w:rsidRPr="005A6293">
        <w:rPr>
          <w:rFonts w:eastAsia="Times New Roman" w:cs="Times New Roman"/>
          <w:color w:val="000000" w:themeColor="text1"/>
        </w:rPr>
        <w:tab/>
      </w:r>
      <w:r w:rsidRPr="005A6293">
        <w:rPr>
          <w:rFonts w:eastAsia="Times New Roman" w:cs="Times New Roman"/>
          <w:color w:val="000000" w:themeColor="text1"/>
        </w:rPr>
        <w:tab/>
      </w:r>
      <w:r w:rsidRPr="005A6293">
        <w:rPr>
          <w:rFonts w:eastAsia="Times New Roman" w:cs="Times New Roman"/>
          <w:color w:val="000000" w:themeColor="text1"/>
        </w:rPr>
        <w:tab/>
      </w:r>
      <w:r w:rsidRPr="005A6293">
        <w:rPr>
          <w:sz w:val="16"/>
          <w:szCs w:val="16"/>
        </w:rPr>
        <w:t xml:space="preserve">Source: Chege and </w:t>
      </w:r>
      <w:r w:rsidR="005437B6" w:rsidRPr="005A6293">
        <w:rPr>
          <w:sz w:val="16"/>
          <w:szCs w:val="16"/>
        </w:rPr>
        <w:t xml:space="preserve">Sifuna, </w:t>
      </w:r>
      <w:r w:rsidR="00E463DC" w:rsidRPr="005A6293">
        <w:rPr>
          <w:rFonts w:cs="Times New Roman"/>
          <w:i/>
          <w:iCs/>
          <w:sz w:val="16"/>
          <w:szCs w:val="16"/>
        </w:rPr>
        <w:t>Girls’ and Women’s Education in Kenya: Gender Perspectives and Trends</w:t>
      </w:r>
      <w:r w:rsidR="00E463DC" w:rsidRPr="005A6293">
        <w:rPr>
          <w:rFonts w:cs="Times New Roman"/>
          <w:iCs/>
          <w:sz w:val="16"/>
          <w:szCs w:val="16"/>
        </w:rPr>
        <w:t xml:space="preserve">, </w:t>
      </w:r>
      <w:r w:rsidR="005437B6" w:rsidRPr="005A6293">
        <w:rPr>
          <w:sz w:val="16"/>
          <w:szCs w:val="16"/>
        </w:rPr>
        <w:t xml:space="preserve">39. </w:t>
      </w:r>
    </w:p>
    <w:p w14:paraId="04F497C0" w14:textId="77777777" w:rsidR="00B16667" w:rsidRPr="005A6293" w:rsidRDefault="00B16667" w:rsidP="000432D9">
      <w:pPr>
        <w:rPr>
          <w:rFonts w:eastAsia="Times New Roman" w:cs="Times New Roman"/>
          <w:color w:val="000000" w:themeColor="text1"/>
        </w:rPr>
      </w:pPr>
    </w:p>
    <w:p w14:paraId="1A3B5149" w14:textId="7AE323E8" w:rsidR="000432D9" w:rsidRPr="005A6293" w:rsidRDefault="00517FF4" w:rsidP="000432D9">
      <w:r w:rsidRPr="005A6293">
        <w:rPr>
          <w:rFonts w:eastAsia="Times New Roman" w:cs="Times New Roman"/>
          <w:color w:val="000000" w:themeColor="text1"/>
        </w:rPr>
        <w:t>Table 6</w:t>
      </w:r>
      <w:r w:rsidR="000432D9" w:rsidRPr="005A6293">
        <w:rPr>
          <w:rFonts w:eastAsia="Times New Roman" w:cs="Times New Roman"/>
          <w:color w:val="000000" w:themeColor="text1"/>
        </w:rPr>
        <w:t xml:space="preserve">. </w:t>
      </w:r>
      <w:r w:rsidR="000432D9" w:rsidRPr="005A6293">
        <w:t>Net primary enrollment rates by gender and province, 2002</w:t>
      </w:r>
    </w:p>
    <w:tbl>
      <w:tblPr>
        <w:tblStyle w:val="PlainTable31"/>
        <w:tblW w:w="0" w:type="auto"/>
        <w:jc w:val="center"/>
        <w:tblLook w:val="04A0" w:firstRow="1" w:lastRow="0" w:firstColumn="1" w:lastColumn="0" w:noHBand="0" w:noVBand="1"/>
      </w:tblPr>
      <w:tblGrid>
        <w:gridCol w:w="2337"/>
        <w:gridCol w:w="1083"/>
        <w:gridCol w:w="1073"/>
        <w:gridCol w:w="1007"/>
      </w:tblGrid>
      <w:tr w:rsidR="000432D9" w:rsidRPr="005A6293" w14:paraId="5667E903" w14:textId="77777777" w:rsidTr="0043406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337" w:type="dxa"/>
          </w:tcPr>
          <w:p w14:paraId="7B5ED433" w14:textId="77777777" w:rsidR="000432D9" w:rsidRPr="005A6293" w:rsidRDefault="000432D9" w:rsidP="00434061">
            <w:pPr>
              <w:rPr>
                <w:b w:val="0"/>
                <w:bCs w:val="0"/>
              </w:rPr>
            </w:pPr>
            <w:r w:rsidRPr="005A6293">
              <w:rPr>
                <w:b w:val="0"/>
                <w:bCs w:val="0"/>
              </w:rPr>
              <w:t>province</w:t>
            </w:r>
          </w:p>
        </w:tc>
        <w:tc>
          <w:tcPr>
            <w:tcW w:w="1083" w:type="dxa"/>
          </w:tcPr>
          <w:p w14:paraId="7FFFA8BA" w14:textId="77777777" w:rsidR="000432D9" w:rsidRPr="005A6293" w:rsidRDefault="000432D9" w:rsidP="00434061">
            <w:pPr>
              <w:cnfStyle w:val="100000000000" w:firstRow="1" w:lastRow="0" w:firstColumn="0" w:lastColumn="0" w:oddVBand="0" w:evenVBand="0" w:oddHBand="0" w:evenHBand="0" w:firstRowFirstColumn="0" w:firstRowLastColumn="0" w:lastRowFirstColumn="0" w:lastRowLastColumn="0"/>
              <w:rPr>
                <w:b w:val="0"/>
                <w:bCs w:val="0"/>
              </w:rPr>
            </w:pPr>
            <w:r w:rsidRPr="005A6293">
              <w:rPr>
                <w:b w:val="0"/>
                <w:bCs w:val="0"/>
              </w:rPr>
              <w:t>boys</w:t>
            </w:r>
          </w:p>
        </w:tc>
        <w:tc>
          <w:tcPr>
            <w:tcW w:w="1073" w:type="dxa"/>
          </w:tcPr>
          <w:p w14:paraId="0DF8DFAF" w14:textId="77777777" w:rsidR="000432D9" w:rsidRPr="005A6293" w:rsidRDefault="000432D9" w:rsidP="00434061">
            <w:pPr>
              <w:cnfStyle w:val="100000000000" w:firstRow="1" w:lastRow="0" w:firstColumn="0" w:lastColumn="0" w:oddVBand="0" w:evenVBand="0" w:oddHBand="0" w:evenHBand="0" w:firstRowFirstColumn="0" w:firstRowLastColumn="0" w:lastRowFirstColumn="0" w:lastRowLastColumn="0"/>
              <w:rPr>
                <w:b w:val="0"/>
                <w:bCs w:val="0"/>
              </w:rPr>
            </w:pPr>
            <w:r w:rsidRPr="005A6293">
              <w:rPr>
                <w:b w:val="0"/>
                <w:bCs w:val="0"/>
              </w:rPr>
              <w:t>girls</w:t>
            </w:r>
          </w:p>
        </w:tc>
        <w:tc>
          <w:tcPr>
            <w:tcW w:w="1007" w:type="dxa"/>
          </w:tcPr>
          <w:p w14:paraId="1FA9F6A5" w14:textId="77777777" w:rsidR="000432D9" w:rsidRPr="005A6293" w:rsidRDefault="000432D9" w:rsidP="00434061">
            <w:pPr>
              <w:cnfStyle w:val="100000000000" w:firstRow="1" w:lastRow="0" w:firstColumn="0" w:lastColumn="0" w:oddVBand="0" w:evenVBand="0" w:oddHBand="0" w:evenHBand="0" w:firstRowFirstColumn="0" w:firstRowLastColumn="0" w:lastRowFirstColumn="0" w:lastRowLastColumn="0"/>
              <w:rPr>
                <w:b w:val="0"/>
                <w:bCs w:val="0"/>
              </w:rPr>
            </w:pPr>
            <w:r w:rsidRPr="005A6293">
              <w:rPr>
                <w:b w:val="0"/>
                <w:bCs w:val="0"/>
              </w:rPr>
              <w:t>total</w:t>
            </w:r>
          </w:p>
        </w:tc>
      </w:tr>
      <w:tr w:rsidR="000432D9" w:rsidRPr="005A6293" w14:paraId="3859171C"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6B630675" w14:textId="77777777" w:rsidR="000432D9" w:rsidRPr="005A6293" w:rsidRDefault="000432D9" w:rsidP="00434061">
            <w:pPr>
              <w:rPr>
                <w:b w:val="0"/>
                <w:bCs w:val="0"/>
              </w:rPr>
            </w:pPr>
            <w:r w:rsidRPr="005A6293">
              <w:rPr>
                <w:b w:val="0"/>
                <w:bCs w:val="0"/>
              </w:rPr>
              <w:t>central</w:t>
            </w:r>
          </w:p>
        </w:tc>
        <w:tc>
          <w:tcPr>
            <w:tcW w:w="1083" w:type="dxa"/>
          </w:tcPr>
          <w:p w14:paraId="50FBA5B2"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56.9%</w:t>
            </w:r>
          </w:p>
        </w:tc>
        <w:tc>
          <w:tcPr>
            <w:tcW w:w="1073" w:type="dxa"/>
          </w:tcPr>
          <w:p w14:paraId="61108CC8"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49.4%</w:t>
            </w:r>
          </w:p>
        </w:tc>
        <w:tc>
          <w:tcPr>
            <w:tcW w:w="1007" w:type="dxa"/>
          </w:tcPr>
          <w:p w14:paraId="52F5BCCE"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52.7%</w:t>
            </w:r>
          </w:p>
        </w:tc>
      </w:tr>
      <w:tr w:rsidR="000432D9" w:rsidRPr="005A6293" w14:paraId="140EA027"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2337" w:type="dxa"/>
          </w:tcPr>
          <w:p w14:paraId="4CD852B4" w14:textId="77777777" w:rsidR="000432D9" w:rsidRPr="005A6293" w:rsidRDefault="000432D9" w:rsidP="00434061">
            <w:pPr>
              <w:rPr>
                <w:b w:val="0"/>
                <w:bCs w:val="0"/>
              </w:rPr>
            </w:pPr>
            <w:r w:rsidRPr="005A6293">
              <w:rPr>
                <w:b w:val="0"/>
                <w:bCs w:val="0"/>
              </w:rPr>
              <w:t>coast</w:t>
            </w:r>
          </w:p>
        </w:tc>
        <w:tc>
          <w:tcPr>
            <w:tcW w:w="1083" w:type="dxa"/>
          </w:tcPr>
          <w:p w14:paraId="21E9B2D0" w14:textId="77777777" w:rsidR="000432D9" w:rsidRPr="005A6293" w:rsidRDefault="000432D9" w:rsidP="00434061">
            <w:pPr>
              <w:jc w:val="right"/>
              <w:cnfStyle w:val="000000000000" w:firstRow="0" w:lastRow="0" w:firstColumn="0" w:lastColumn="0" w:oddVBand="0" w:evenVBand="0" w:oddHBand="0" w:evenHBand="0" w:firstRowFirstColumn="0" w:firstRowLastColumn="0" w:lastRowFirstColumn="0" w:lastRowLastColumn="0"/>
            </w:pPr>
            <w:r w:rsidRPr="005A6293">
              <w:t>81.5%</w:t>
            </w:r>
          </w:p>
        </w:tc>
        <w:tc>
          <w:tcPr>
            <w:tcW w:w="1073" w:type="dxa"/>
          </w:tcPr>
          <w:p w14:paraId="1D7D8CDD" w14:textId="77777777" w:rsidR="000432D9" w:rsidRPr="005A6293" w:rsidRDefault="000432D9" w:rsidP="00434061">
            <w:pPr>
              <w:jc w:val="right"/>
              <w:cnfStyle w:val="000000000000" w:firstRow="0" w:lastRow="0" w:firstColumn="0" w:lastColumn="0" w:oddVBand="0" w:evenVBand="0" w:oddHBand="0" w:evenHBand="0" w:firstRowFirstColumn="0" w:firstRowLastColumn="0" w:lastRowFirstColumn="0" w:lastRowLastColumn="0"/>
            </w:pPr>
            <w:r w:rsidRPr="005A6293">
              <w:t>84.1%</w:t>
            </w:r>
          </w:p>
        </w:tc>
        <w:tc>
          <w:tcPr>
            <w:tcW w:w="1007" w:type="dxa"/>
          </w:tcPr>
          <w:p w14:paraId="7491AFB5" w14:textId="77777777" w:rsidR="000432D9" w:rsidRPr="005A6293" w:rsidRDefault="000432D9" w:rsidP="00434061">
            <w:pPr>
              <w:jc w:val="right"/>
              <w:cnfStyle w:val="000000000000" w:firstRow="0" w:lastRow="0" w:firstColumn="0" w:lastColumn="0" w:oddVBand="0" w:evenVBand="0" w:oddHBand="0" w:evenHBand="0" w:firstRowFirstColumn="0" w:firstRowLastColumn="0" w:lastRowFirstColumn="0" w:lastRowLastColumn="0"/>
            </w:pPr>
            <w:r w:rsidRPr="005A6293">
              <w:t>82.8%</w:t>
            </w:r>
          </w:p>
        </w:tc>
      </w:tr>
      <w:tr w:rsidR="000432D9" w:rsidRPr="005A6293" w14:paraId="15A5F44F"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1022B324" w14:textId="77777777" w:rsidR="000432D9" w:rsidRPr="005A6293" w:rsidRDefault="000432D9" w:rsidP="00434061">
            <w:pPr>
              <w:rPr>
                <w:b w:val="0"/>
                <w:bCs w:val="0"/>
              </w:rPr>
            </w:pPr>
            <w:r w:rsidRPr="005A6293">
              <w:rPr>
                <w:b w:val="0"/>
                <w:bCs w:val="0"/>
              </w:rPr>
              <w:t>eastern</w:t>
            </w:r>
          </w:p>
        </w:tc>
        <w:tc>
          <w:tcPr>
            <w:tcW w:w="1083" w:type="dxa"/>
          </w:tcPr>
          <w:p w14:paraId="1E3F1DAF"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72.5%</w:t>
            </w:r>
          </w:p>
        </w:tc>
        <w:tc>
          <w:tcPr>
            <w:tcW w:w="1073" w:type="dxa"/>
          </w:tcPr>
          <w:p w14:paraId="76627F7D"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75.0%</w:t>
            </w:r>
          </w:p>
        </w:tc>
        <w:tc>
          <w:tcPr>
            <w:tcW w:w="1007" w:type="dxa"/>
          </w:tcPr>
          <w:p w14:paraId="3BC1D21A"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73.8%</w:t>
            </w:r>
          </w:p>
        </w:tc>
      </w:tr>
      <w:tr w:rsidR="000432D9" w:rsidRPr="005A6293" w14:paraId="7FA8FBDB"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2337" w:type="dxa"/>
          </w:tcPr>
          <w:p w14:paraId="1A9A2B68" w14:textId="77777777" w:rsidR="000432D9" w:rsidRPr="005A6293" w:rsidRDefault="000432D9" w:rsidP="00434061">
            <w:pPr>
              <w:rPr>
                <w:b w:val="0"/>
                <w:bCs w:val="0"/>
              </w:rPr>
            </w:pPr>
            <w:r w:rsidRPr="005A6293">
              <w:rPr>
                <w:b w:val="0"/>
                <w:bCs w:val="0"/>
              </w:rPr>
              <w:t>nairobi</w:t>
            </w:r>
          </w:p>
        </w:tc>
        <w:tc>
          <w:tcPr>
            <w:tcW w:w="1083" w:type="dxa"/>
          </w:tcPr>
          <w:p w14:paraId="277FEACE" w14:textId="77777777" w:rsidR="000432D9" w:rsidRPr="005A6293" w:rsidRDefault="000432D9" w:rsidP="00434061">
            <w:pPr>
              <w:jc w:val="right"/>
              <w:cnfStyle w:val="000000000000" w:firstRow="0" w:lastRow="0" w:firstColumn="0" w:lastColumn="0" w:oddVBand="0" w:evenVBand="0" w:oddHBand="0" w:evenHBand="0" w:firstRowFirstColumn="0" w:firstRowLastColumn="0" w:lastRowFirstColumn="0" w:lastRowLastColumn="0"/>
            </w:pPr>
            <w:r w:rsidRPr="005A6293">
              <w:t>44.3%</w:t>
            </w:r>
          </w:p>
        </w:tc>
        <w:tc>
          <w:tcPr>
            <w:tcW w:w="1073" w:type="dxa"/>
          </w:tcPr>
          <w:p w14:paraId="715FB940" w14:textId="77777777" w:rsidR="000432D9" w:rsidRPr="005A6293" w:rsidRDefault="000432D9" w:rsidP="00434061">
            <w:pPr>
              <w:jc w:val="right"/>
              <w:cnfStyle w:val="000000000000" w:firstRow="0" w:lastRow="0" w:firstColumn="0" w:lastColumn="0" w:oddVBand="0" w:evenVBand="0" w:oddHBand="0" w:evenHBand="0" w:firstRowFirstColumn="0" w:firstRowLastColumn="0" w:lastRowFirstColumn="0" w:lastRowLastColumn="0"/>
            </w:pPr>
            <w:r w:rsidRPr="005A6293">
              <w:t>42.2%</w:t>
            </w:r>
          </w:p>
        </w:tc>
        <w:tc>
          <w:tcPr>
            <w:tcW w:w="1007" w:type="dxa"/>
          </w:tcPr>
          <w:p w14:paraId="0052B2FB" w14:textId="77777777" w:rsidR="000432D9" w:rsidRPr="005A6293" w:rsidRDefault="000432D9" w:rsidP="00434061">
            <w:pPr>
              <w:jc w:val="right"/>
              <w:cnfStyle w:val="000000000000" w:firstRow="0" w:lastRow="0" w:firstColumn="0" w:lastColumn="0" w:oddVBand="0" w:evenVBand="0" w:oddHBand="0" w:evenHBand="0" w:firstRowFirstColumn="0" w:firstRowLastColumn="0" w:lastRowFirstColumn="0" w:lastRowLastColumn="0"/>
            </w:pPr>
            <w:r w:rsidRPr="005A6293">
              <w:t>43.2%</w:t>
            </w:r>
          </w:p>
        </w:tc>
      </w:tr>
      <w:tr w:rsidR="000432D9" w:rsidRPr="005A6293" w14:paraId="6C5E74E5"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10D2F500" w14:textId="77777777" w:rsidR="000432D9" w:rsidRPr="005A6293" w:rsidRDefault="000432D9" w:rsidP="00434061">
            <w:pPr>
              <w:rPr>
                <w:b w:val="0"/>
                <w:bCs w:val="0"/>
              </w:rPr>
            </w:pPr>
            <w:r w:rsidRPr="005A6293">
              <w:rPr>
                <w:b w:val="0"/>
                <w:bCs w:val="0"/>
              </w:rPr>
              <w:t>north eastern</w:t>
            </w:r>
          </w:p>
        </w:tc>
        <w:tc>
          <w:tcPr>
            <w:tcW w:w="1083" w:type="dxa"/>
          </w:tcPr>
          <w:p w14:paraId="080DCD35"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67.1%</w:t>
            </w:r>
          </w:p>
        </w:tc>
        <w:tc>
          <w:tcPr>
            <w:tcW w:w="1073" w:type="dxa"/>
          </w:tcPr>
          <w:p w14:paraId="14861351"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66.7%</w:t>
            </w:r>
          </w:p>
        </w:tc>
        <w:tc>
          <w:tcPr>
            <w:tcW w:w="1007" w:type="dxa"/>
          </w:tcPr>
          <w:p w14:paraId="769FD294"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66.9%</w:t>
            </w:r>
          </w:p>
        </w:tc>
      </w:tr>
      <w:tr w:rsidR="000432D9" w:rsidRPr="005A6293" w14:paraId="79EED743"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2337" w:type="dxa"/>
          </w:tcPr>
          <w:p w14:paraId="7EB75C37" w14:textId="77777777" w:rsidR="000432D9" w:rsidRPr="005A6293" w:rsidRDefault="000432D9" w:rsidP="00434061">
            <w:pPr>
              <w:rPr>
                <w:b w:val="0"/>
                <w:bCs w:val="0"/>
              </w:rPr>
            </w:pPr>
            <w:r w:rsidRPr="005A6293">
              <w:rPr>
                <w:b w:val="0"/>
                <w:bCs w:val="0"/>
              </w:rPr>
              <w:t>nyanza</w:t>
            </w:r>
          </w:p>
        </w:tc>
        <w:tc>
          <w:tcPr>
            <w:tcW w:w="1083" w:type="dxa"/>
          </w:tcPr>
          <w:p w14:paraId="5B59A0E4" w14:textId="77777777" w:rsidR="000432D9" w:rsidRPr="005A6293" w:rsidRDefault="000432D9" w:rsidP="00434061">
            <w:pPr>
              <w:jc w:val="right"/>
              <w:cnfStyle w:val="000000000000" w:firstRow="0" w:lastRow="0" w:firstColumn="0" w:lastColumn="0" w:oddVBand="0" w:evenVBand="0" w:oddHBand="0" w:evenHBand="0" w:firstRowFirstColumn="0" w:firstRowLastColumn="0" w:lastRowFirstColumn="0" w:lastRowLastColumn="0"/>
            </w:pPr>
            <w:r w:rsidRPr="005A6293">
              <w:t>69.0%</w:t>
            </w:r>
          </w:p>
        </w:tc>
        <w:tc>
          <w:tcPr>
            <w:tcW w:w="1073" w:type="dxa"/>
          </w:tcPr>
          <w:p w14:paraId="187E2EDC" w14:textId="77777777" w:rsidR="000432D9" w:rsidRPr="005A6293" w:rsidRDefault="000432D9" w:rsidP="00434061">
            <w:pPr>
              <w:jc w:val="right"/>
              <w:cnfStyle w:val="000000000000" w:firstRow="0" w:lastRow="0" w:firstColumn="0" w:lastColumn="0" w:oddVBand="0" w:evenVBand="0" w:oddHBand="0" w:evenHBand="0" w:firstRowFirstColumn="0" w:firstRowLastColumn="0" w:lastRowFirstColumn="0" w:lastRowLastColumn="0"/>
            </w:pPr>
            <w:r w:rsidRPr="005A6293">
              <w:t>76.3%</w:t>
            </w:r>
          </w:p>
        </w:tc>
        <w:tc>
          <w:tcPr>
            <w:tcW w:w="1007" w:type="dxa"/>
          </w:tcPr>
          <w:p w14:paraId="3BD87435" w14:textId="77777777" w:rsidR="000432D9" w:rsidRPr="005A6293" w:rsidRDefault="000432D9" w:rsidP="00434061">
            <w:pPr>
              <w:jc w:val="right"/>
              <w:cnfStyle w:val="000000000000" w:firstRow="0" w:lastRow="0" w:firstColumn="0" w:lastColumn="0" w:oddVBand="0" w:evenVBand="0" w:oddHBand="0" w:evenHBand="0" w:firstRowFirstColumn="0" w:firstRowLastColumn="0" w:lastRowFirstColumn="0" w:lastRowLastColumn="0"/>
            </w:pPr>
            <w:r w:rsidRPr="005A6293">
              <w:t>72.7%</w:t>
            </w:r>
          </w:p>
        </w:tc>
      </w:tr>
      <w:tr w:rsidR="000432D9" w:rsidRPr="005A6293" w14:paraId="626DD20C"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5AC52684" w14:textId="77777777" w:rsidR="000432D9" w:rsidRPr="005A6293" w:rsidRDefault="000432D9" w:rsidP="00434061">
            <w:pPr>
              <w:rPr>
                <w:b w:val="0"/>
                <w:bCs w:val="0"/>
              </w:rPr>
            </w:pPr>
            <w:r w:rsidRPr="005A6293">
              <w:rPr>
                <w:b w:val="0"/>
                <w:bCs w:val="0"/>
              </w:rPr>
              <w:t>rift valley</w:t>
            </w:r>
          </w:p>
        </w:tc>
        <w:tc>
          <w:tcPr>
            <w:tcW w:w="1083" w:type="dxa"/>
          </w:tcPr>
          <w:p w14:paraId="5863757C"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75.1%</w:t>
            </w:r>
          </w:p>
        </w:tc>
        <w:tc>
          <w:tcPr>
            <w:tcW w:w="1073" w:type="dxa"/>
          </w:tcPr>
          <w:p w14:paraId="7A9F0696"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74.3%</w:t>
            </w:r>
          </w:p>
        </w:tc>
        <w:tc>
          <w:tcPr>
            <w:tcW w:w="1007" w:type="dxa"/>
          </w:tcPr>
          <w:p w14:paraId="41CCA1F3"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74.7%</w:t>
            </w:r>
          </w:p>
        </w:tc>
      </w:tr>
      <w:tr w:rsidR="000432D9" w:rsidRPr="005A6293" w14:paraId="6174D6B5"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2337" w:type="dxa"/>
          </w:tcPr>
          <w:p w14:paraId="2A201058" w14:textId="77777777" w:rsidR="000432D9" w:rsidRPr="005A6293" w:rsidRDefault="000432D9" w:rsidP="00434061">
            <w:pPr>
              <w:rPr>
                <w:b w:val="0"/>
                <w:bCs w:val="0"/>
              </w:rPr>
            </w:pPr>
            <w:r w:rsidRPr="005A6293">
              <w:rPr>
                <w:b w:val="0"/>
                <w:bCs w:val="0"/>
              </w:rPr>
              <w:t>western</w:t>
            </w:r>
          </w:p>
        </w:tc>
        <w:tc>
          <w:tcPr>
            <w:tcW w:w="1083" w:type="dxa"/>
          </w:tcPr>
          <w:p w14:paraId="2B1FCEB8" w14:textId="77777777" w:rsidR="000432D9" w:rsidRPr="005A6293" w:rsidRDefault="000432D9" w:rsidP="00434061">
            <w:pPr>
              <w:jc w:val="right"/>
              <w:cnfStyle w:val="000000000000" w:firstRow="0" w:lastRow="0" w:firstColumn="0" w:lastColumn="0" w:oddVBand="0" w:evenVBand="0" w:oddHBand="0" w:evenHBand="0" w:firstRowFirstColumn="0" w:firstRowLastColumn="0" w:lastRowFirstColumn="0" w:lastRowLastColumn="0"/>
            </w:pPr>
            <w:r w:rsidRPr="005A6293">
              <w:t>16.5%</w:t>
            </w:r>
          </w:p>
        </w:tc>
        <w:tc>
          <w:tcPr>
            <w:tcW w:w="1073" w:type="dxa"/>
          </w:tcPr>
          <w:p w14:paraId="7E4A3F02" w14:textId="77777777" w:rsidR="000432D9" w:rsidRPr="005A6293" w:rsidRDefault="000432D9" w:rsidP="00434061">
            <w:pPr>
              <w:jc w:val="right"/>
              <w:cnfStyle w:val="000000000000" w:firstRow="0" w:lastRow="0" w:firstColumn="0" w:lastColumn="0" w:oddVBand="0" w:evenVBand="0" w:oddHBand="0" w:evenHBand="0" w:firstRowFirstColumn="0" w:firstRowLastColumn="0" w:lastRowFirstColumn="0" w:lastRowLastColumn="0"/>
            </w:pPr>
            <w:r w:rsidRPr="005A6293">
              <w:t>9.8%</w:t>
            </w:r>
          </w:p>
        </w:tc>
        <w:tc>
          <w:tcPr>
            <w:tcW w:w="1007" w:type="dxa"/>
          </w:tcPr>
          <w:p w14:paraId="01602B96" w14:textId="77777777" w:rsidR="000432D9" w:rsidRPr="005A6293" w:rsidRDefault="000432D9" w:rsidP="00434061">
            <w:pPr>
              <w:jc w:val="right"/>
              <w:cnfStyle w:val="000000000000" w:firstRow="0" w:lastRow="0" w:firstColumn="0" w:lastColumn="0" w:oddVBand="0" w:evenVBand="0" w:oddHBand="0" w:evenHBand="0" w:firstRowFirstColumn="0" w:firstRowLastColumn="0" w:lastRowFirstColumn="0" w:lastRowLastColumn="0"/>
            </w:pPr>
            <w:r w:rsidRPr="005A6293">
              <w:t>13.4%</w:t>
            </w:r>
          </w:p>
        </w:tc>
      </w:tr>
      <w:tr w:rsidR="000432D9" w:rsidRPr="005A6293" w14:paraId="621DBF75"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37" w:type="dxa"/>
          </w:tcPr>
          <w:p w14:paraId="5A5DC6F4" w14:textId="77777777" w:rsidR="000432D9" w:rsidRPr="005A6293" w:rsidRDefault="000432D9" w:rsidP="00434061">
            <w:pPr>
              <w:rPr>
                <w:b w:val="0"/>
                <w:bCs w:val="0"/>
              </w:rPr>
            </w:pPr>
            <w:r w:rsidRPr="005A6293">
              <w:rPr>
                <w:b w:val="0"/>
                <w:bCs w:val="0"/>
              </w:rPr>
              <w:t>total</w:t>
            </w:r>
          </w:p>
        </w:tc>
        <w:tc>
          <w:tcPr>
            <w:tcW w:w="1083" w:type="dxa"/>
          </w:tcPr>
          <w:p w14:paraId="5AA664D7"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67.2%</w:t>
            </w:r>
          </w:p>
        </w:tc>
        <w:tc>
          <w:tcPr>
            <w:tcW w:w="1073" w:type="dxa"/>
          </w:tcPr>
          <w:p w14:paraId="3C778304"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68.9%</w:t>
            </w:r>
          </w:p>
        </w:tc>
        <w:tc>
          <w:tcPr>
            <w:tcW w:w="1007" w:type="dxa"/>
          </w:tcPr>
          <w:p w14:paraId="4FEA1468" w14:textId="77777777" w:rsidR="000432D9" w:rsidRPr="005A6293" w:rsidRDefault="000432D9" w:rsidP="00434061">
            <w:pPr>
              <w:jc w:val="right"/>
              <w:cnfStyle w:val="000000100000" w:firstRow="0" w:lastRow="0" w:firstColumn="0" w:lastColumn="0" w:oddVBand="0" w:evenVBand="0" w:oddHBand="1" w:evenHBand="0" w:firstRowFirstColumn="0" w:firstRowLastColumn="0" w:lastRowFirstColumn="0" w:lastRowLastColumn="0"/>
            </w:pPr>
            <w:r w:rsidRPr="005A6293">
              <w:t>67.6%</w:t>
            </w:r>
          </w:p>
        </w:tc>
      </w:tr>
    </w:tbl>
    <w:p w14:paraId="0A668A7A" w14:textId="245E5E94" w:rsidR="000432D9" w:rsidRPr="005A6293" w:rsidRDefault="00E463DC" w:rsidP="00E463DC">
      <w:pPr>
        <w:spacing w:line="480" w:lineRule="auto"/>
        <w:ind w:firstLine="720"/>
      </w:pPr>
      <w:r w:rsidRPr="005A6293">
        <w:rPr>
          <w:sz w:val="16"/>
          <w:szCs w:val="16"/>
        </w:rPr>
        <w:t>Source:</w:t>
      </w:r>
      <w:r w:rsidR="005437B6" w:rsidRPr="005A6293">
        <w:rPr>
          <w:sz w:val="16"/>
          <w:szCs w:val="16"/>
        </w:rPr>
        <w:t xml:space="preserve"> </w:t>
      </w:r>
      <w:r w:rsidRPr="005A6293">
        <w:rPr>
          <w:sz w:val="16"/>
          <w:szCs w:val="16"/>
        </w:rPr>
        <w:t xml:space="preserve">Chege and Sifuna, </w:t>
      </w:r>
      <w:r w:rsidRPr="005A6293">
        <w:rPr>
          <w:rFonts w:cs="Times New Roman"/>
          <w:i/>
          <w:iCs/>
          <w:sz w:val="16"/>
          <w:szCs w:val="16"/>
        </w:rPr>
        <w:t>Girls’ and Women’s Education in Kenya: Gender Perspectives and Trends</w:t>
      </w:r>
      <w:r w:rsidRPr="005A6293">
        <w:rPr>
          <w:rFonts w:cs="Times New Roman"/>
          <w:iCs/>
          <w:sz w:val="16"/>
          <w:szCs w:val="16"/>
        </w:rPr>
        <w:t xml:space="preserve">, </w:t>
      </w:r>
      <w:r w:rsidRPr="005A6293">
        <w:rPr>
          <w:sz w:val="16"/>
          <w:szCs w:val="16"/>
        </w:rPr>
        <w:t>38.</w:t>
      </w:r>
    </w:p>
    <w:p w14:paraId="46583C7C" w14:textId="12743B44" w:rsidR="00082233" w:rsidRPr="005A6293" w:rsidRDefault="00082233" w:rsidP="0068257B">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Although enrollment statistics are easy to understand, they</w:t>
      </w:r>
      <w:r w:rsidR="00040D4E" w:rsidRPr="005A6293">
        <w:rPr>
          <w:rFonts w:eastAsia="Times New Roman" w:cs="Times New Roman"/>
          <w:color w:val="000000" w:themeColor="text1"/>
        </w:rPr>
        <w:t xml:space="preserve"> only brush the surface of how scholars </w:t>
      </w:r>
      <w:r w:rsidR="00123305" w:rsidRPr="005A6293">
        <w:rPr>
          <w:rFonts w:eastAsia="Times New Roman" w:cs="Times New Roman"/>
          <w:color w:val="000000" w:themeColor="text1"/>
        </w:rPr>
        <w:t>can understand education</w:t>
      </w:r>
      <w:r w:rsidRPr="005A6293">
        <w:rPr>
          <w:rFonts w:eastAsia="Times New Roman" w:cs="Times New Roman"/>
          <w:color w:val="000000" w:themeColor="text1"/>
        </w:rPr>
        <w:t xml:space="preserve"> and gender equality though quantitative measures. Another method, called the education Gini, provides a more in-depth look into gender inequality in education. A Gini coefficient examines inequality and provides a measurement between 0 and 1; the closer the coefficient is to 0, the more </w:t>
      </w:r>
      <w:r w:rsidRPr="005A6293">
        <w:rPr>
          <w:rFonts w:eastAsia="Times New Roman" w:cs="Times New Roman"/>
          <w:color w:val="000000" w:themeColor="text1"/>
        </w:rPr>
        <w:lastRenderedPageBreak/>
        <w:t xml:space="preserve">equal the concept measured by the Gini coefficient. Implemented in a paper by </w:t>
      </w:r>
      <w:r w:rsidRPr="005A6293">
        <w:t>Castelló and Doménech, the education Gini can be constructed through the following equation:</w:t>
      </w:r>
    </w:p>
    <w:p w14:paraId="421532F2" w14:textId="6466A124" w:rsidR="00082233" w:rsidRPr="005A6293" w:rsidRDefault="0019011F" w:rsidP="0068257B">
      <w:pPr>
        <w:pStyle w:val="NoSpacing"/>
        <w:spacing w:line="480" w:lineRule="auto"/>
        <w:ind w:firstLine="720"/>
        <w:jc w:val="center"/>
      </w:pPr>
      <m:oMathPara>
        <m:oMath>
          <m:sSup>
            <m:sSupPr>
              <m:ctrlPr>
                <w:rPr>
                  <w:rFonts w:ascii="Cambria Math" w:hAnsi="Cambria Math"/>
                  <w:i/>
                </w:rPr>
              </m:ctrlPr>
            </m:sSupPr>
            <m:e>
              <m:r>
                <w:rPr>
                  <w:rFonts w:ascii="Cambria Math" w:hAnsi="Cambria Math"/>
                </w:rPr>
                <m:t>G</m:t>
              </m:r>
            </m:e>
            <m:sup>
              <m:r>
                <w:rPr>
                  <w:rFonts w:ascii="Cambria Math" w:hAnsi="Cambria Math"/>
                </w:rPr>
                <m:t>h</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acc>
                <m:accPr>
                  <m:chr m:val="̅"/>
                  <m:ctrlPr>
                    <w:rPr>
                      <w:rFonts w:ascii="Cambria Math" w:hAnsi="Cambria Math"/>
                      <w:i/>
                    </w:rPr>
                  </m:ctrlPr>
                </m:accPr>
                <m:e>
                  <m:r>
                    <w:rPr>
                      <w:rFonts w:ascii="Cambria Math" w:hAnsi="Cambria Math"/>
                    </w:rPr>
                    <m:t>H</m:t>
                  </m:r>
                </m:e>
              </m:acc>
            </m:den>
          </m:f>
          <m:nary>
            <m:naryPr>
              <m:chr m:val="∑"/>
              <m:limLoc m:val="subSup"/>
              <m:ctrlPr>
                <w:rPr>
                  <w:rFonts w:ascii="Cambria Math" w:hAnsi="Cambria Math"/>
                  <w:i/>
                </w:rPr>
              </m:ctrlPr>
            </m:naryPr>
            <m:sub>
              <m:r>
                <w:rPr>
                  <w:rFonts w:ascii="Cambria Math" w:hAnsi="Cambria Math"/>
                </w:rPr>
                <m:t>i=0</m:t>
              </m:r>
            </m:sub>
            <m:sup>
              <m:r>
                <w:rPr>
                  <w:rFonts w:ascii="Cambria Math" w:hAnsi="Cambria Math"/>
                </w:rPr>
                <m:t>3</m:t>
              </m:r>
            </m:sup>
            <m:e>
              <m:nary>
                <m:naryPr>
                  <m:chr m:val="∑"/>
                  <m:limLoc m:val="subSup"/>
                  <m:ctrlPr>
                    <w:rPr>
                      <w:rFonts w:ascii="Cambria Math" w:hAnsi="Cambria Math"/>
                      <w:i/>
                    </w:rPr>
                  </m:ctrlPr>
                </m:naryPr>
                <m:sub>
                  <m:r>
                    <w:rPr>
                      <w:rFonts w:ascii="Cambria Math" w:hAnsi="Cambria Math"/>
                    </w:rPr>
                    <m:t>j=0</m:t>
                  </m:r>
                </m:sub>
                <m:sup>
                  <m:r>
                    <w:rPr>
                      <w:rFonts w:ascii="Cambria Math" w:hAnsi="Cambria Math"/>
                    </w:rPr>
                    <m:t>3</m:t>
                  </m:r>
                </m:sup>
                <m:e>
                  <m:d>
                    <m:dPr>
                      <m:begChr m:val="|"/>
                      <m:endChr m:val="|"/>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x</m:t>
                              </m:r>
                            </m:e>
                          </m:acc>
                        </m:e>
                        <m:sub>
                          <m:r>
                            <w:rPr>
                              <w:rFonts w:ascii="Cambria Math" w:hAnsi="Cambria Math"/>
                            </w:rPr>
                            <m:t>i</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x</m:t>
                              </m:r>
                            </m:e>
                          </m:acc>
                        </m:e>
                        <m:sub>
                          <m:r>
                            <w:rPr>
                              <w:rFonts w:ascii="Cambria Math" w:hAnsi="Cambria Math"/>
                            </w:rPr>
                            <m:t>j</m:t>
                          </m:r>
                        </m:sub>
                      </m:sSub>
                    </m:e>
                  </m:d>
                </m:e>
              </m:nary>
            </m:e>
          </m:nary>
          <m:sSub>
            <m:sSubPr>
              <m:ctrlPr>
                <w:rPr>
                  <w:rFonts w:ascii="Cambria Math" w:hAnsi="Cambria Math"/>
                  <w:i/>
                </w:rPr>
              </m:ctrlPr>
            </m:sSubPr>
            <m:e>
              <m:r>
                <w:rPr>
                  <w:rFonts w:ascii="Cambria Math" w:hAnsi="Cambria Math"/>
                </w:rPr>
                <m:t>n</m:t>
              </m:r>
            </m:e>
            <m:sub>
              <m:r>
                <w:rPr>
                  <w:rFonts w:ascii="Cambria Math" w:hAnsi="Cambria Math"/>
                </w:rPr>
                <m:t>i</m:t>
              </m:r>
            </m:sub>
          </m:sSub>
          <m:sSub>
            <m:sSubPr>
              <m:ctrlPr>
                <w:rPr>
                  <w:rFonts w:ascii="Cambria Math" w:hAnsi="Cambria Math"/>
                  <w:i/>
                </w:rPr>
              </m:ctrlPr>
            </m:sSubPr>
            <m:e>
              <m:r>
                <w:rPr>
                  <w:rFonts w:ascii="Cambria Math" w:hAnsi="Cambria Math"/>
                </w:rPr>
                <m:t>n</m:t>
              </m:r>
            </m:e>
            <m:sub>
              <m:r>
                <w:rPr>
                  <w:rFonts w:ascii="Cambria Math" w:hAnsi="Cambria Math"/>
                </w:rPr>
                <m:t>j</m:t>
              </m:r>
            </m:sub>
          </m:sSub>
          <m:r>
            <w:rPr>
              <w:rStyle w:val="FootnoteReference"/>
              <w:rFonts w:ascii="Cambria Math" w:hAnsi="Cambria Math"/>
              <w:i/>
            </w:rPr>
            <w:footnoteReference w:id="234"/>
          </m:r>
          <m:r>
            <w:rPr>
              <w:rFonts w:ascii="Cambria Math" w:hAnsi="Cambria Math"/>
            </w:rPr>
            <m:t>,</m:t>
          </m:r>
        </m:oMath>
      </m:oMathPara>
    </w:p>
    <w:p w14:paraId="425035D8" w14:textId="77777777" w:rsidR="00082233" w:rsidRPr="005A6293" w:rsidRDefault="00082233" w:rsidP="0068257B">
      <w:pPr>
        <w:spacing w:line="480" w:lineRule="auto"/>
      </w:pPr>
      <w:r w:rsidRPr="005A6293">
        <w:t>where Gh is the education Gini, H is the average school years, i and j are different education levels, xiˆ and xjˆ are cumulative years per level of education, and ni and nj are the share of population with a given education level. In more simple terms, the equation can be written as this:</w:t>
      </w:r>
    </w:p>
    <w:p w14:paraId="1A2E87B2" w14:textId="5040CA14" w:rsidR="00082233" w:rsidRPr="005A6293" w:rsidRDefault="0019011F" w:rsidP="0068257B">
      <w:pPr>
        <w:pStyle w:val="NoSpacing"/>
        <w:spacing w:line="480" w:lineRule="auto"/>
        <w:ind w:firstLine="720"/>
        <w:jc w:val="center"/>
      </w:pPr>
      <m:oMathPara>
        <m:oMath>
          <m:sSup>
            <m:sSupPr>
              <m:ctrlPr>
                <w:rPr>
                  <w:rFonts w:ascii="Cambria Math" w:hAnsi="Cambria Math"/>
                  <w:i/>
                </w:rPr>
              </m:ctrlPr>
            </m:sSupPr>
            <m:e>
              <m:r>
                <w:rPr>
                  <w:rFonts w:ascii="Cambria Math" w:hAnsi="Cambria Math"/>
                </w:rPr>
                <m:t>G</m:t>
              </m:r>
            </m:e>
            <m:sup>
              <m:r>
                <w:rPr>
                  <w:rFonts w:ascii="Cambria Math" w:hAnsi="Cambria Math"/>
                </w:rPr>
                <m:t>h</m:t>
              </m:r>
            </m:sup>
          </m:sSup>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sSub>
                <m:sSubPr>
                  <m:ctrlPr>
                    <w:rPr>
                      <w:rFonts w:ascii="Cambria Math" w:hAnsi="Cambria Math"/>
                      <w:i/>
                    </w:rPr>
                  </m:ctrlPr>
                </m:sSubPr>
                <m:e>
                  <m:r>
                    <w:rPr>
                      <w:rFonts w:ascii="Cambria Math" w:hAnsi="Cambria Math"/>
                    </w:rPr>
                    <m:t>x</m:t>
                  </m:r>
                </m:e>
                <m:sub>
                  <m:r>
                    <w:rPr>
                      <w:rFonts w:ascii="Cambria Math" w:hAnsi="Cambria Math"/>
                    </w:rPr>
                    <m:t>3</m:t>
                  </m:r>
                </m:sub>
              </m:sSub>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e>
              </m:d>
            </m:num>
            <m:den>
              <m:sSub>
                <m:sSubPr>
                  <m:ctrlPr>
                    <w:rPr>
                      <w:rFonts w:ascii="Cambria Math" w:hAnsi="Cambria Math"/>
                      <w:i/>
                    </w:rPr>
                  </m:ctrlPr>
                </m:sSubPr>
                <m:e>
                  <m:r>
                    <w:rPr>
                      <w:rFonts w:ascii="Cambria Math" w:hAnsi="Cambria Math"/>
                    </w:rPr>
                    <m:t>n</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3</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e>
              </m:d>
            </m:den>
          </m:f>
          <m:r>
            <w:rPr>
              <w:rFonts w:ascii="Cambria Math" w:hAnsi="Cambria Math"/>
            </w:rPr>
            <m:t>.</m:t>
          </m:r>
          <m:r>
            <w:rPr>
              <w:rStyle w:val="FootnoteReference"/>
              <w:rFonts w:ascii="Cambria Math" w:hAnsi="Cambria Math"/>
              <w:i/>
            </w:rPr>
            <w:footnoteReference w:id="235"/>
          </m:r>
        </m:oMath>
      </m:oMathPara>
    </w:p>
    <w:p w14:paraId="7ADA1629" w14:textId="5A972E9F" w:rsidR="004324DC" w:rsidRPr="005A6293" w:rsidRDefault="00082233" w:rsidP="0068257B">
      <w:pPr>
        <w:pStyle w:val="NoSpacing"/>
        <w:spacing w:line="480" w:lineRule="auto"/>
      </w:pPr>
      <w:r w:rsidRPr="005A6293">
        <w:t>Using a dataset by Barro and Lee, I have constructed the education Gini for Kenya for every five years from 1950-2010. I have also constructed two parall</w:t>
      </w:r>
      <w:r w:rsidR="00123305" w:rsidRPr="005A6293">
        <w:t>el education Ginis for both gender</w:t>
      </w:r>
      <w:r w:rsidRPr="005A6293">
        <w:t>s. All three education Ginis can be found in</w:t>
      </w:r>
      <w:r w:rsidR="00517FF4" w:rsidRPr="005A6293">
        <w:t xml:space="preserve"> table 7</w:t>
      </w:r>
      <w:r w:rsidR="004E248F" w:rsidRPr="005A6293">
        <w:t xml:space="preserve"> below</w:t>
      </w:r>
      <w:r w:rsidRPr="005A6293">
        <w:t xml:space="preserve">. I utilize the age group 15+ because it captures more of the labor force than 25+, as well as long term educational trends for the majority of Kenya's population. </w:t>
      </w:r>
    </w:p>
    <w:p w14:paraId="219497E0" w14:textId="7D62A7D9" w:rsidR="008A43C7" w:rsidRPr="005A6293" w:rsidRDefault="00517FF4" w:rsidP="008A43C7">
      <w:r w:rsidRPr="005A6293">
        <w:t>Table 7</w:t>
      </w:r>
      <w:r w:rsidR="008A43C7" w:rsidRPr="005A6293">
        <w:t>. Education Gini 15+ by gender, 1950-2010</w:t>
      </w:r>
    </w:p>
    <w:tbl>
      <w:tblPr>
        <w:tblStyle w:val="PlainTable31"/>
        <w:tblW w:w="0" w:type="auto"/>
        <w:jc w:val="center"/>
        <w:tblLayout w:type="fixed"/>
        <w:tblLook w:val="04A0" w:firstRow="1" w:lastRow="0" w:firstColumn="1" w:lastColumn="0" w:noHBand="0" w:noVBand="1"/>
      </w:tblPr>
      <w:tblGrid>
        <w:gridCol w:w="870"/>
        <w:gridCol w:w="2025"/>
        <w:gridCol w:w="1905"/>
        <w:gridCol w:w="2220"/>
      </w:tblGrid>
      <w:tr w:rsidR="008A43C7" w:rsidRPr="005A6293" w14:paraId="0B9F2CB1" w14:textId="77777777" w:rsidTr="0043406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70" w:type="dxa"/>
          </w:tcPr>
          <w:p w14:paraId="70DB3180" w14:textId="77777777" w:rsidR="008A43C7" w:rsidRPr="005A6293" w:rsidRDefault="008A43C7" w:rsidP="00434061">
            <w:r w:rsidRPr="005A6293">
              <w:rPr>
                <w:b w:val="0"/>
                <w:bCs w:val="0"/>
              </w:rPr>
              <w:t>Year</w:t>
            </w:r>
          </w:p>
        </w:tc>
        <w:tc>
          <w:tcPr>
            <w:tcW w:w="2025" w:type="dxa"/>
          </w:tcPr>
          <w:p w14:paraId="2406E2D4" w14:textId="77777777" w:rsidR="008A43C7" w:rsidRPr="005A6293" w:rsidRDefault="008A43C7" w:rsidP="00434061">
            <w:pPr>
              <w:cnfStyle w:val="100000000000" w:firstRow="1" w:lastRow="0" w:firstColumn="0" w:lastColumn="0" w:oddVBand="0" w:evenVBand="0" w:oddHBand="0" w:evenHBand="0" w:firstRowFirstColumn="0" w:firstRowLastColumn="0" w:lastRowFirstColumn="0" w:lastRowLastColumn="0"/>
            </w:pPr>
            <w:r w:rsidRPr="005A6293">
              <w:rPr>
                <w:b w:val="0"/>
                <w:bCs w:val="0"/>
              </w:rPr>
              <w:t>Total Gini 15+</w:t>
            </w:r>
          </w:p>
        </w:tc>
        <w:tc>
          <w:tcPr>
            <w:tcW w:w="1905" w:type="dxa"/>
          </w:tcPr>
          <w:p w14:paraId="3738A513" w14:textId="77777777" w:rsidR="008A43C7" w:rsidRPr="005A6293" w:rsidRDefault="008A43C7" w:rsidP="00434061">
            <w:pPr>
              <w:cnfStyle w:val="100000000000" w:firstRow="1" w:lastRow="0" w:firstColumn="0" w:lastColumn="0" w:oddVBand="0" w:evenVBand="0" w:oddHBand="0" w:evenHBand="0" w:firstRowFirstColumn="0" w:firstRowLastColumn="0" w:lastRowFirstColumn="0" w:lastRowLastColumn="0"/>
            </w:pPr>
            <w:r w:rsidRPr="005A6293">
              <w:rPr>
                <w:b w:val="0"/>
                <w:bCs w:val="0"/>
              </w:rPr>
              <w:t>Male Gini 15+</w:t>
            </w:r>
          </w:p>
        </w:tc>
        <w:tc>
          <w:tcPr>
            <w:tcW w:w="2220" w:type="dxa"/>
          </w:tcPr>
          <w:p w14:paraId="13219D60" w14:textId="77777777" w:rsidR="008A43C7" w:rsidRPr="005A6293" w:rsidRDefault="008A43C7" w:rsidP="00434061">
            <w:pPr>
              <w:cnfStyle w:val="100000000000" w:firstRow="1" w:lastRow="0" w:firstColumn="0" w:lastColumn="0" w:oddVBand="0" w:evenVBand="0" w:oddHBand="0" w:evenHBand="0" w:firstRowFirstColumn="0" w:firstRowLastColumn="0" w:lastRowFirstColumn="0" w:lastRowLastColumn="0"/>
            </w:pPr>
            <w:r w:rsidRPr="005A6293">
              <w:rPr>
                <w:b w:val="0"/>
                <w:bCs w:val="0"/>
              </w:rPr>
              <w:t>Female Gini 15+</w:t>
            </w:r>
          </w:p>
        </w:tc>
      </w:tr>
      <w:tr w:rsidR="008A43C7" w:rsidRPr="005A6293" w14:paraId="693F028F"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tcPr>
          <w:p w14:paraId="74823A58" w14:textId="77777777" w:rsidR="008A43C7" w:rsidRPr="005A6293" w:rsidRDefault="008A43C7" w:rsidP="00434061">
            <w:pPr>
              <w:rPr>
                <w:b w:val="0"/>
                <w:bCs w:val="0"/>
              </w:rPr>
            </w:pPr>
            <w:r w:rsidRPr="005A6293">
              <w:rPr>
                <w:b w:val="0"/>
                <w:bCs w:val="0"/>
              </w:rPr>
              <w:t>1950</w:t>
            </w:r>
          </w:p>
        </w:tc>
        <w:tc>
          <w:tcPr>
            <w:tcW w:w="2025" w:type="dxa"/>
          </w:tcPr>
          <w:p w14:paraId="43053D13"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0.783</w:t>
            </w:r>
          </w:p>
        </w:tc>
        <w:tc>
          <w:tcPr>
            <w:tcW w:w="1905" w:type="dxa"/>
          </w:tcPr>
          <w:p w14:paraId="3B04EC87"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0.690</w:t>
            </w:r>
          </w:p>
        </w:tc>
        <w:tc>
          <w:tcPr>
            <w:tcW w:w="2220" w:type="dxa"/>
          </w:tcPr>
          <w:p w14:paraId="46F2BCBA"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0.878</w:t>
            </w:r>
          </w:p>
        </w:tc>
      </w:tr>
      <w:tr w:rsidR="008A43C7" w:rsidRPr="005A6293" w14:paraId="2BDD24C5"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870" w:type="dxa"/>
          </w:tcPr>
          <w:p w14:paraId="315223BB" w14:textId="77777777" w:rsidR="008A43C7" w:rsidRPr="005A6293" w:rsidRDefault="008A43C7" w:rsidP="00434061">
            <w:pPr>
              <w:rPr>
                <w:b w:val="0"/>
                <w:bCs w:val="0"/>
              </w:rPr>
            </w:pPr>
            <w:r w:rsidRPr="005A6293">
              <w:rPr>
                <w:b w:val="0"/>
                <w:bCs w:val="0"/>
              </w:rPr>
              <w:t>1955</w:t>
            </w:r>
          </w:p>
        </w:tc>
        <w:tc>
          <w:tcPr>
            <w:tcW w:w="2025" w:type="dxa"/>
          </w:tcPr>
          <w:p w14:paraId="37319979"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0.757</w:t>
            </w:r>
          </w:p>
        </w:tc>
        <w:tc>
          <w:tcPr>
            <w:tcW w:w="1905" w:type="dxa"/>
          </w:tcPr>
          <w:p w14:paraId="04D976F3"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0.654</w:t>
            </w:r>
          </w:p>
        </w:tc>
        <w:tc>
          <w:tcPr>
            <w:tcW w:w="2220" w:type="dxa"/>
          </w:tcPr>
          <w:p w14:paraId="25B50067"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0.861</w:t>
            </w:r>
          </w:p>
        </w:tc>
      </w:tr>
      <w:tr w:rsidR="008A43C7" w:rsidRPr="005A6293" w14:paraId="4D57F7AB"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tcPr>
          <w:p w14:paraId="5DD859A1" w14:textId="77777777" w:rsidR="008A43C7" w:rsidRPr="005A6293" w:rsidRDefault="008A43C7" w:rsidP="00434061">
            <w:pPr>
              <w:rPr>
                <w:b w:val="0"/>
                <w:bCs w:val="0"/>
              </w:rPr>
            </w:pPr>
            <w:r w:rsidRPr="005A6293">
              <w:rPr>
                <w:b w:val="0"/>
                <w:bCs w:val="0"/>
              </w:rPr>
              <w:t>1960</w:t>
            </w:r>
          </w:p>
        </w:tc>
        <w:tc>
          <w:tcPr>
            <w:tcW w:w="2025" w:type="dxa"/>
          </w:tcPr>
          <w:p w14:paraId="4FF35AF1"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0.721</w:t>
            </w:r>
          </w:p>
        </w:tc>
        <w:tc>
          <w:tcPr>
            <w:tcW w:w="1905" w:type="dxa"/>
          </w:tcPr>
          <w:p w14:paraId="45F4A724"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0.610</w:t>
            </w:r>
          </w:p>
        </w:tc>
        <w:tc>
          <w:tcPr>
            <w:tcW w:w="2220" w:type="dxa"/>
          </w:tcPr>
          <w:p w14:paraId="55BCF6E1"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0.833</w:t>
            </w:r>
          </w:p>
        </w:tc>
      </w:tr>
      <w:tr w:rsidR="008A43C7" w:rsidRPr="005A6293" w14:paraId="0171AAEC"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870" w:type="dxa"/>
          </w:tcPr>
          <w:p w14:paraId="42C54478" w14:textId="77777777" w:rsidR="008A43C7" w:rsidRPr="005A6293" w:rsidRDefault="008A43C7" w:rsidP="00434061">
            <w:pPr>
              <w:rPr>
                <w:b w:val="0"/>
                <w:bCs w:val="0"/>
              </w:rPr>
            </w:pPr>
            <w:r w:rsidRPr="005A6293">
              <w:rPr>
                <w:b w:val="0"/>
                <w:bCs w:val="0"/>
              </w:rPr>
              <w:t>1965</w:t>
            </w:r>
          </w:p>
        </w:tc>
        <w:tc>
          <w:tcPr>
            <w:tcW w:w="2025" w:type="dxa"/>
          </w:tcPr>
          <w:p w14:paraId="24E09845"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0.700</w:t>
            </w:r>
          </w:p>
        </w:tc>
        <w:tc>
          <w:tcPr>
            <w:tcW w:w="1905" w:type="dxa"/>
          </w:tcPr>
          <w:p w14:paraId="573E5F63"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0.588</w:t>
            </w:r>
          </w:p>
        </w:tc>
        <w:tc>
          <w:tcPr>
            <w:tcW w:w="2220" w:type="dxa"/>
          </w:tcPr>
          <w:p w14:paraId="0EDE4E61"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0.812</w:t>
            </w:r>
          </w:p>
        </w:tc>
      </w:tr>
      <w:tr w:rsidR="008A43C7" w:rsidRPr="005A6293" w14:paraId="3F6F0D0F"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tcPr>
          <w:p w14:paraId="00B6BE62" w14:textId="77777777" w:rsidR="008A43C7" w:rsidRPr="005A6293" w:rsidRDefault="008A43C7" w:rsidP="00434061">
            <w:pPr>
              <w:rPr>
                <w:b w:val="0"/>
                <w:bCs w:val="0"/>
              </w:rPr>
            </w:pPr>
            <w:r w:rsidRPr="005A6293">
              <w:rPr>
                <w:b w:val="0"/>
                <w:bCs w:val="0"/>
              </w:rPr>
              <w:t>1970</w:t>
            </w:r>
          </w:p>
        </w:tc>
        <w:tc>
          <w:tcPr>
            <w:tcW w:w="2025" w:type="dxa"/>
          </w:tcPr>
          <w:p w14:paraId="7DB2743D"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0.650</w:t>
            </w:r>
          </w:p>
        </w:tc>
        <w:tc>
          <w:tcPr>
            <w:tcW w:w="1905" w:type="dxa"/>
          </w:tcPr>
          <w:p w14:paraId="42224E2B"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0.541</w:t>
            </w:r>
          </w:p>
        </w:tc>
        <w:tc>
          <w:tcPr>
            <w:tcW w:w="2220" w:type="dxa"/>
          </w:tcPr>
          <w:p w14:paraId="391D9878"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0.759</w:t>
            </w:r>
          </w:p>
        </w:tc>
      </w:tr>
      <w:tr w:rsidR="008A43C7" w:rsidRPr="005A6293" w14:paraId="0B7B9A3D"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870" w:type="dxa"/>
          </w:tcPr>
          <w:p w14:paraId="2254CDA5" w14:textId="77777777" w:rsidR="008A43C7" w:rsidRPr="005A6293" w:rsidRDefault="008A43C7" w:rsidP="00434061">
            <w:pPr>
              <w:rPr>
                <w:b w:val="0"/>
                <w:bCs w:val="0"/>
              </w:rPr>
            </w:pPr>
            <w:r w:rsidRPr="005A6293">
              <w:rPr>
                <w:b w:val="0"/>
                <w:bCs w:val="0"/>
              </w:rPr>
              <w:t>1975</w:t>
            </w:r>
          </w:p>
        </w:tc>
        <w:tc>
          <w:tcPr>
            <w:tcW w:w="2025" w:type="dxa"/>
          </w:tcPr>
          <w:p w14:paraId="2A61FA93"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0.571</w:t>
            </w:r>
          </w:p>
        </w:tc>
        <w:tc>
          <w:tcPr>
            <w:tcW w:w="1905" w:type="dxa"/>
          </w:tcPr>
          <w:p w14:paraId="0BD6A5C2"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0.451</w:t>
            </w:r>
          </w:p>
        </w:tc>
        <w:tc>
          <w:tcPr>
            <w:tcW w:w="2220" w:type="dxa"/>
          </w:tcPr>
          <w:p w14:paraId="44A1BA79"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0.688</w:t>
            </w:r>
          </w:p>
        </w:tc>
      </w:tr>
      <w:tr w:rsidR="008A43C7" w:rsidRPr="005A6293" w14:paraId="59D76D55"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tcPr>
          <w:p w14:paraId="1FD8C751" w14:textId="77777777" w:rsidR="008A43C7" w:rsidRPr="005A6293" w:rsidRDefault="008A43C7" w:rsidP="00434061">
            <w:pPr>
              <w:rPr>
                <w:b w:val="0"/>
                <w:bCs w:val="0"/>
              </w:rPr>
            </w:pPr>
            <w:r w:rsidRPr="005A6293">
              <w:rPr>
                <w:b w:val="0"/>
                <w:bCs w:val="0"/>
              </w:rPr>
              <w:t>1980</w:t>
            </w:r>
          </w:p>
        </w:tc>
        <w:tc>
          <w:tcPr>
            <w:tcW w:w="2025" w:type="dxa"/>
          </w:tcPr>
          <w:p w14:paraId="5A6327E5"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0.478</w:t>
            </w:r>
          </w:p>
        </w:tc>
        <w:tc>
          <w:tcPr>
            <w:tcW w:w="1905" w:type="dxa"/>
          </w:tcPr>
          <w:p w14:paraId="28FE623F"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0.362</w:t>
            </w:r>
          </w:p>
        </w:tc>
        <w:tc>
          <w:tcPr>
            <w:tcW w:w="2220" w:type="dxa"/>
          </w:tcPr>
          <w:p w14:paraId="420BCD80"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0.591</w:t>
            </w:r>
          </w:p>
        </w:tc>
      </w:tr>
      <w:tr w:rsidR="008A43C7" w:rsidRPr="005A6293" w14:paraId="4A54CE87"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870" w:type="dxa"/>
          </w:tcPr>
          <w:p w14:paraId="388A3ACF" w14:textId="77777777" w:rsidR="008A43C7" w:rsidRPr="005A6293" w:rsidRDefault="008A43C7" w:rsidP="00434061">
            <w:pPr>
              <w:rPr>
                <w:b w:val="0"/>
                <w:bCs w:val="0"/>
              </w:rPr>
            </w:pPr>
            <w:r w:rsidRPr="005A6293">
              <w:rPr>
                <w:b w:val="0"/>
                <w:bCs w:val="0"/>
              </w:rPr>
              <w:t>1985</w:t>
            </w:r>
          </w:p>
        </w:tc>
        <w:tc>
          <w:tcPr>
            <w:tcW w:w="2025" w:type="dxa"/>
          </w:tcPr>
          <w:p w14:paraId="29FEE461"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0.391</w:t>
            </w:r>
          </w:p>
        </w:tc>
        <w:tc>
          <w:tcPr>
            <w:tcW w:w="1905" w:type="dxa"/>
          </w:tcPr>
          <w:p w14:paraId="328C1429"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0.304</w:t>
            </w:r>
          </w:p>
        </w:tc>
        <w:tc>
          <w:tcPr>
            <w:tcW w:w="2220" w:type="dxa"/>
          </w:tcPr>
          <w:p w14:paraId="42EE4834"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0.475</w:t>
            </w:r>
          </w:p>
        </w:tc>
      </w:tr>
      <w:tr w:rsidR="008A43C7" w:rsidRPr="005A6293" w14:paraId="5FE717E1"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tcPr>
          <w:p w14:paraId="3283F081" w14:textId="77777777" w:rsidR="008A43C7" w:rsidRPr="005A6293" w:rsidRDefault="008A43C7" w:rsidP="00434061">
            <w:pPr>
              <w:rPr>
                <w:b w:val="0"/>
                <w:bCs w:val="0"/>
              </w:rPr>
            </w:pPr>
            <w:r w:rsidRPr="005A6293">
              <w:rPr>
                <w:b w:val="0"/>
                <w:bCs w:val="0"/>
              </w:rPr>
              <w:t>1990</w:t>
            </w:r>
          </w:p>
        </w:tc>
        <w:tc>
          <w:tcPr>
            <w:tcW w:w="2025" w:type="dxa"/>
          </w:tcPr>
          <w:p w14:paraId="0AAE4814"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0.328</w:t>
            </w:r>
          </w:p>
        </w:tc>
        <w:tc>
          <w:tcPr>
            <w:tcW w:w="1905" w:type="dxa"/>
          </w:tcPr>
          <w:p w14:paraId="5B0FD81E"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0.263</w:t>
            </w:r>
          </w:p>
        </w:tc>
        <w:tc>
          <w:tcPr>
            <w:tcW w:w="2220" w:type="dxa"/>
          </w:tcPr>
          <w:p w14:paraId="09E2E13A"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0.390</w:t>
            </w:r>
          </w:p>
        </w:tc>
      </w:tr>
      <w:tr w:rsidR="008A43C7" w:rsidRPr="005A6293" w14:paraId="409BFC8E"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870" w:type="dxa"/>
          </w:tcPr>
          <w:p w14:paraId="3F8BFA37" w14:textId="77777777" w:rsidR="008A43C7" w:rsidRPr="005A6293" w:rsidRDefault="008A43C7" w:rsidP="00434061">
            <w:pPr>
              <w:rPr>
                <w:b w:val="0"/>
                <w:bCs w:val="0"/>
              </w:rPr>
            </w:pPr>
            <w:r w:rsidRPr="005A6293">
              <w:rPr>
                <w:b w:val="0"/>
                <w:bCs w:val="0"/>
              </w:rPr>
              <w:lastRenderedPageBreak/>
              <w:t>1995</w:t>
            </w:r>
          </w:p>
        </w:tc>
        <w:tc>
          <w:tcPr>
            <w:tcW w:w="2025" w:type="dxa"/>
          </w:tcPr>
          <w:p w14:paraId="780AE3E6"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0.296</w:t>
            </w:r>
          </w:p>
        </w:tc>
        <w:tc>
          <w:tcPr>
            <w:tcW w:w="1905" w:type="dxa"/>
          </w:tcPr>
          <w:p w14:paraId="54D5D92D"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0.254</w:t>
            </w:r>
          </w:p>
        </w:tc>
        <w:tc>
          <w:tcPr>
            <w:tcW w:w="2220" w:type="dxa"/>
          </w:tcPr>
          <w:p w14:paraId="2AF97F79"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0.336</w:t>
            </w:r>
          </w:p>
        </w:tc>
      </w:tr>
      <w:tr w:rsidR="008A43C7" w:rsidRPr="005A6293" w14:paraId="509FB77E"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tcPr>
          <w:p w14:paraId="3B34A4E2" w14:textId="77777777" w:rsidR="008A43C7" w:rsidRPr="005A6293" w:rsidRDefault="008A43C7" w:rsidP="00434061">
            <w:pPr>
              <w:rPr>
                <w:b w:val="0"/>
                <w:bCs w:val="0"/>
              </w:rPr>
            </w:pPr>
            <w:r w:rsidRPr="005A6293">
              <w:rPr>
                <w:b w:val="0"/>
                <w:bCs w:val="0"/>
              </w:rPr>
              <w:t>2000</w:t>
            </w:r>
          </w:p>
        </w:tc>
        <w:tc>
          <w:tcPr>
            <w:tcW w:w="2025" w:type="dxa"/>
          </w:tcPr>
          <w:p w14:paraId="6DA64F03"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0.278</w:t>
            </w:r>
          </w:p>
        </w:tc>
        <w:tc>
          <w:tcPr>
            <w:tcW w:w="1905" w:type="dxa"/>
          </w:tcPr>
          <w:p w14:paraId="203208EC"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0.240</w:t>
            </w:r>
          </w:p>
        </w:tc>
        <w:tc>
          <w:tcPr>
            <w:tcW w:w="2220" w:type="dxa"/>
          </w:tcPr>
          <w:p w14:paraId="3A8D0FB0"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0.313</w:t>
            </w:r>
          </w:p>
        </w:tc>
      </w:tr>
      <w:tr w:rsidR="008A43C7" w:rsidRPr="005A6293" w14:paraId="2B726CDC"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870" w:type="dxa"/>
          </w:tcPr>
          <w:p w14:paraId="1A4F2D79" w14:textId="77777777" w:rsidR="008A43C7" w:rsidRPr="005A6293" w:rsidRDefault="008A43C7" w:rsidP="00434061">
            <w:pPr>
              <w:rPr>
                <w:b w:val="0"/>
                <w:bCs w:val="0"/>
              </w:rPr>
            </w:pPr>
            <w:r w:rsidRPr="005A6293">
              <w:rPr>
                <w:b w:val="0"/>
                <w:bCs w:val="0"/>
              </w:rPr>
              <w:t>2005</w:t>
            </w:r>
          </w:p>
        </w:tc>
        <w:tc>
          <w:tcPr>
            <w:tcW w:w="2025" w:type="dxa"/>
          </w:tcPr>
          <w:p w14:paraId="6A90467C"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0.259</w:t>
            </w:r>
          </w:p>
        </w:tc>
        <w:tc>
          <w:tcPr>
            <w:tcW w:w="1905" w:type="dxa"/>
          </w:tcPr>
          <w:p w14:paraId="3BECE07C"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0.227</w:t>
            </w:r>
          </w:p>
        </w:tc>
        <w:tc>
          <w:tcPr>
            <w:tcW w:w="2220" w:type="dxa"/>
          </w:tcPr>
          <w:p w14:paraId="096CBBEF"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0.290</w:t>
            </w:r>
          </w:p>
        </w:tc>
      </w:tr>
      <w:tr w:rsidR="008A43C7" w:rsidRPr="005A6293" w14:paraId="3BFE8514"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tcPr>
          <w:p w14:paraId="5FC6EDC4" w14:textId="77777777" w:rsidR="008A43C7" w:rsidRPr="005A6293" w:rsidRDefault="008A43C7" w:rsidP="00434061">
            <w:pPr>
              <w:rPr>
                <w:b w:val="0"/>
                <w:bCs w:val="0"/>
              </w:rPr>
            </w:pPr>
            <w:r w:rsidRPr="005A6293">
              <w:rPr>
                <w:b w:val="0"/>
                <w:bCs w:val="0"/>
              </w:rPr>
              <w:t>2010</w:t>
            </w:r>
          </w:p>
        </w:tc>
        <w:tc>
          <w:tcPr>
            <w:tcW w:w="2025" w:type="dxa"/>
          </w:tcPr>
          <w:p w14:paraId="6D9C5ABB"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0.253</w:t>
            </w:r>
          </w:p>
        </w:tc>
        <w:tc>
          <w:tcPr>
            <w:tcW w:w="1905" w:type="dxa"/>
          </w:tcPr>
          <w:p w14:paraId="2251B2AB"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0.270</w:t>
            </w:r>
          </w:p>
        </w:tc>
        <w:tc>
          <w:tcPr>
            <w:tcW w:w="2220" w:type="dxa"/>
          </w:tcPr>
          <w:p w14:paraId="334011FA"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0.239</w:t>
            </w:r>
          </w:p>
        </w:tc>
      </w:tr>
    </w:tbl>
    <w:p w14:paraId="5F94027A" w14:textId="3A87F07C" w:rsidR="008A43C7" w:rsidRPr="005A6293" w:rsidRDefault="006E1270" w:rsidP="0068257B">
      <w:pPr>
        <w:pStyle w:val="NoSpacing"/>
        <w:spacing w:line="480" w:lineRule="auto"/>
      </w:pPr>
      <w:r w:rsidRPr="005A6293">
        <w:tab/>
      </w:r>
      <w:r w:rsidRPr="005A6293">
        <w:rPr>
          <w:sz w:val="16"/>
          <w:szCs w:val="16"/>
        </w:rPr>
        <w:t>Source: Barro and Lee Dataset (2017)</w:t>
      </w:r>
    </w:p>
    <w:p w14:paraId="1D21CEC7" w14:textId="1E071028" w:rsidR="002D30F6" w:rsidRPr="005A6293" w:rsidRDefault="00082233" w:rsidP="00A701DA">
      <w:pPr>
        <w:pStyle w:val="NoSpacing"/>
        <w:spacing w:line="480" w:lineRule="auto"/>
        <w:ind w:firstLine="720"/>
      </w:pPr>
      <w:r w:rsidRPr="005A6293">
        <w:t xml:space="preserve"> The education Gini 15+ is a useful tool for analyzing long-term trends, but due to the </w:t>
      </w:r>
      <w:r w:rsidR="00E04D35" w:rsidRPr="005A6293">
        <w:t xml:space="preserve">large age range </w:t>
      </w:r>
      <w:r w:rsidRPr="005A6293">
        <w:t>of the data is not as useful for analyzing specific educational policy implications. Therefore, I have also constructed the same three education Ginis for the youngest age group in the data, 15-19 year-olds. These three Ginis portray a more nuanced understanding of how specific policies impact overall educational inequality, as well as gender inequality in education. Using the same equations as above, these education</w:t>
      </w:r>
      <w:r w:rsidR="00517FF4" w:rsidRPr="005A6293">
        <w:t>al Ginis can be found in table 8</w:t>
      </w:r>
      <w:r w:rsidRPr="005A6293">
        <w:t xml:space="preserve"> </w:t>
      </w:r>
      <w:r w:rsidR="008A43C7" w:rsidRPr="005A6293">
        <w:t>below</w:t>
      </w:r>
      <w:r w:rsidRPr="005A6293">
        <w:t xml:space="preserve">. </w:t>
      </w:r>
    </w:p>
    <w:p w14:paraId="5B99ED1D" w14:textId="7276EEB2" w:rsidR="008A43C7" w:rsidRPr="005A6293" w:rsidRDefault="00517FF4" w:rsidP="008A43C7">
      <w:r w:rsidRPr="005A6293">
        <w:t>Table 8</w:t>
      </w:r>
      <w:r w:rsidR="008A43C7" w:rsidRPr="005A6293">
        <w:t>. Education Gini 15-19 by gender, 1950-2010</w:t>
      </w:r>
    </w:p>
    <w:tbl>
      <w:tblPr>
        <w:tblStyle w:val="PlainTable31"/>
        <w:tblW w:w="0" w:type="auto"/>
        <w:jc w:val="center"/>
        <w:tblLayout w:type="fixed"/>
        <w:tblLook w:val="04A0" w:firstRow="1" w:lastRow="0" w:firstColumn="1" w:lastColumn="0" w:noHBand="0" w:noVBand="1"/>
      </w:tblPr>
      <w:tblGrid>
        <w:gridCol w:w="870"/>
        <w:gridCol w:w="2250"/>
        <w:gridCol w:w="2190"/>
        <w:gridCol w:w="2430"/>
      </w:tblGrid>
      <w:tr w:rsidR="008A43C7" w:rsidRPr="005A6293" w14:paraId="767313E6" w14:textId="77777777" w:rsidTr="0043406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70" w:type="dxa"/>
          </w:tcPr>
          <w:p w14:paraId="622F017C" w14:textId="77777777" w:rsidR="008A43C7" w:rsidRPr="005A6293" w:rsidRDefault="008A43C7" w:rsidP="00434061">
            <w:r w:rsidRPr="005A6293">
              <w:rPr>
                <w:b w:val="0"/>
                <w:bCs w:val="0"/>
              </w:rPr>
              <w:t>Year</w:t>
            </w:r>
          </w:p>
        </w:tc>
        <w:tc>
          <w:tcPr>
            <w:tcW w:w="2250" w:type="dxa"/>
          </w:tcPr>
          <w:p w14:paraId="4058CDAF" w14:textId="77777777" w:rsidR="008A43C7" w:rsidRPr="005A6293" w:rsidRDefault="008A43C7" w:rsidP="00434061">
            <w:pPr>
              <w:cnfStyle w:val="100000000000" w:firstRow="1" w:lastRow="0" w:firstColumn="0" w:lastColumn="0" w:oddVBand="0" w:evenVBand="0" w:oddHBand="0" w:evenHBand="0" w:firstRowFirstColumn="0" w:firstRowLastColumn="0" w:lastRowFirstColumn="0" w:lastRowLastColumn="0"/>
            </w:pPr>
            <w:r w:rsidRPr="005A6293">
              <w:rPr>
                <w:b w:val="0"/>
                <w:bCs w:val="0"/>
              </w:rPr>
              <w:t>Total Gini 15-19</w:t>
            </w:r>
          </w:p>
        </w:tc>
        <w:tc>
          <w:tcPr>
            <w:tcW w:w="2190" w:type="dxa"/>
          </w:tcPr>
          <w:p w14:paraId="29D79209" w14:textId="77777777" w:rsidR="008A43C7" w:rsidRPr="005A6293" w:rsidRDefault="008A43C7" w:rsidP="00434061">
            <w:pPr>
              <w:cnfStyle w:val="100000000000" w:firstRow="1" w:lastRow="0" w:firstColumn="0" w:lastColumn="0" w:oddVBand="0" w:evenVBand="0" w:oddHBand="0" w:evenHBand="0" w:firstRowFirstColumn="0" w:firstRowLastColumn="0" w:lastRowFirstColumn="0" w:lastRowLastColumn="0"/>
            </w:pPr>
            <w:r w:rsidRPr="005A6293">
              <w:rPr>
                <w:b w:val="0"/>
                <w:bCs w:val="0"/>
              </w:rPr>
              <w:t>Male Gini 15-19</w:t>
            </w:r>
          </w:p>
        </w:tc>
        <w:tc>
          <w:tcPr>
            <w:tcW w:w="2430" w:type="dxa"/>
          </w:tcPr>
          <w:p w14:paraId="4E0A267B" w14:textId="77777777" w:rsidR="008A43C7" w:rsidRPr="005A6293" w:rsidRDefault="008A43C7" w:rsidP="00434061">
            <w:pPr>
              <w:cnfStyle w:val="100000000000" w:firstRow="1" w:lastRow="0" w:firstColumn="0" w:lastColumn="0" w:oddVBand="0" w:evenVBand="0" w:oddHBand="0" w:evenHBand="0" w:firstRowFirstColumn="0" w:firstRowLastColumn="0" w:lastRowFirstColumn="0" w:lastRowLastColumn="0"/>
            </w:pPr>
            <w:r w:rsidRPr="005A6293">
              <w:rPr>
                <w:b w:val="0"/>
                <w:bCs w:val="0"/>
              </w:rPr>
              <w:t>Female Gini 15-19</w:t>
            </w:r>
          </w:p>
        </w:tc>
      </w:tr>
      <w:tr w:rsidR="008A43C7" w:rsidRPr="005A6293" w14:paraId="7CD7619C"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tcPr>
          <w:p w14:paraId="37CF48E1" w14:textId="77777777" w:rsidR="008A43C7" w:rsidRPr="005A6293" w:rsidRDefault="008A43C7" w:rsidP="00434061">
            <w:pPr>
              <w:rPr>
                <w:b w:val="0"/>
                <w:bCs w:val="0"/>
              </w:rPr>
            </w:pPr>
            <w:r w:rsidRPr="005A6293">
              <w:rPr>
                <w:b w:val="0"/>
                <w:bCs w:val="0"/>
              </w:rPr>
              <w:t>1950</w:t>
            </w:r>
          </w:p>
        </w:tc>
        <w:tc>
          <w:tcPr>
            <w:tcW w:w="2250" w:type="dxa"/>
          </w:tcPr>
          <w:p w14:paraId="262BAFFD"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0.636</w:t>
            </w:r>
          </w:p>
        </w:tc>
        <w:tc>
          <w:tcPr>
            <w:tcW w:w="2190" w:type="dxa"/>
          </w:tcPr>
          <w:p w14:paraId="750B44FD"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0.556</w:t>
            </w:r>
          </w:p>
        </w:tc>
        <w:tc>
          <w:tcPr>
            <w:tcW w:w="2430" w:type="dxa"/>
          </w:tcPr>
          <w:p w14:paraId="4C629412"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0.718</w:t>
            </w:r>
          </w:p>
        </w:tc>
      </w:tr>
      <w:tr w:rsidR="008A43C7" w:rsidRPr="005A6293" w14:paraId="4CCD212D"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870" w:type="dxa"/>
          </w:tcPr>
          <w:p w14:paraId="6DC88D2A" w14:textId="77777777" w:rsidR="008A43C7" w:rsidRPr="005A6293" w:rsidRDefault="008A43C7" w:rsidP="00434061">
            <w:pPr>
              <w:rPr>
                <w:b w:val="0"/>
                <w:bCs w:val="0"/>
              </w:rPr>
            </w:pPr>
            <w:r w:rsidRPr="005A6293">
              <w:rPr>
                <w:b w:val="0"/>
                <w:bCs w:val="0"/>
              </w:rPr>
              <w:t>1955</w:t>
            </w:r>
          </w:p>
        </w:tc>
        <w:tc>
          <w:tcPr>
            <w:tcW w:w="2250" w:type="dxa"/>
          </w:tcPr>
          <w:p w14:paraId="41DC68E3"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0.590</w:t>
            </w:r>
          </w:p>
        </w:tc>
        <w:tc>
          <w:tcPr>
            <w:tcW w:w="2190" w:type="dxa"/>
          </w:tcPr>
          <w:p w14:paraId="3FB0A435"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0.485</w:t>
            </w:r>
          </w:p>
        </w:tc>
        <w:tc>
          <w:tcPr>
            <w:tcW w:w="2430" w:type="dxa"/>
          </w:tcPr>
          <w:p w14:paraId="769853A0"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0.695</w:t>
            </w:r>
          </w:p>
        </w:tc>
      </w:tr>
      <w:tr w:rsidR="008A43C7" w:rsidRPr="005A6293" w14:paraId="0CA9D154"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tcPr>
          <w:p w14:paraId="747EA585" w14:textId="77777777" w:rsidR="008A43C7" w:rsidRPr="005A6293" w:rsidRDefault="008A43C7" w:rsidP="00434061">
            <w:pPr>
              <w:rPr>
                <w:b w:val="0"/>
                <w:bCs w:val="0"/>
              </w:rPr>
            </w:pPr>
            <w:r w:rsidRPr="005A6293">
              <w:rPr>
                <w:b w:val="0"/>
                <w:bCs w:val="0"/>
              </w:rPr>
              <w:t>1960</w:t>
            </w:r>
          </w:p>
        </w:tc>
        <w:tc>
          <w:tcPr>
            <w:tcW w:w="2250" w:type="dxa"/>
          </w:tcPr>
          <w:p w14:paraId="39A0C7EB"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0.523</w:t>
            </w:r>
          </w:p>
        </w:tc>
        <w:tc>
          <w:tcPr>
            <w:tcW w:w="2190" w:type="dxa"/>
          </w:tcPr>
          <w:p w14:paraId="68224BB9"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0.394</w:t>
            </w:r>
          </w:p>
        </w:tc>
        <w:tc>
          <w:tcPr>
            <w:tcW w:w="2430" w:type="dxa"/>
          </w:tcPr>
          <w:p w14:paraId="06BFF1BF"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0.653</w:t>
            </w:r>
          </w:p>
        </w:tc>
      </w:tr>
      <w:tr w:rsidR="008A43C7" w:rsidRPr="005A6293" w14:paraId="3EC38C7F"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870" w:type="dxa"/>
          </w:tcPr>
          <w:p w14:paraId="69D04C0B" w14:textId="77777777" w:rsidR="008A43C7" w:rsidRPr="005A6293" w:rsidRDefault="008A43C7" w:rsidP="00434061">
            <w:pPr>
              <w:rPr>
                <w:b w:val="0"/>
                <w:bCs w:val="0"/>
              </w:rPr>
            </w:pPr>
            <w:r w:rsidRPr="005A6293">
              <w:rPr>
                <w:b w:val="0"/>
                <w:bCs w:val="0"/>
              </w:rPr>
              <w:t>1965</w:t>
            </w:r>
          </w:p>
        </w:tc>
        <w:tc>
          <w:tcPr>
            <w:tcW w:w="2250" w:type="dxa"/>
          </w:tcPr>
          <w:p w14:paraId="77023B9A"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0.472</w:t>
            </w:r>
          </w:p>
        </w:tc>
        <w:tc>
          <w:tcPr>
            <w:tcW w:w="2190" w:type="dxa"/>
          </w:tcPr>
          <w:p w14:paraId="2BB57B95"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0.351</w:t>
            </w:r>
          </w:p>
        </w:tc>
        <w:tc>
          <w:tcPr>
            <w:tcW w:w="2430" w:type="dxa"/>
          </w:tcPr>
          <w:p w14:paraId="6C52C7B0"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0.591</w:t>
            </w:r>
          </w:p>
        </w:tc>
      </w:tr>
      <w:tr w:rsidR="008A43C7" w:rsidRPr="005A6293" w14:paraId="5F15731E"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tcPr>
          <w:p w14:paraId="6EF1AACB" w14:textId="77777777" w:rsidR="008A43C7" w:rsidRPr="005A6293" w:rsidRDefault="008A43C7" w:rsidP="00434061">
            <w:pPr>
              <w:rPr>
                <w:b w:val="0"/>
                <w:bCs w:val="0"/>
              </w:rPr>
            </w:pPr>
            <w:r w:rsidRPr="005A6293">
              <w:rPr>
                <w:b w:val="0"/>
                <w:bCs w:val="0"/>
              </w:rPr>
              <w:t>1970</w:t>
            </w:r>
          </w:p>
        </w:tc>
        <w:tc>
          <w:tcPr>
            <w:tcW w:w="2250" w:type="dxa"/>
          </w:tcPr>
          <w:p w14:paraId="48321299"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0.414</w:t>
            </w:r>
          </w:p>
        </w:tc>
        <w:tc>
          <w:tcPr>
            <w:tcW w:w="2190" w:type="dxa"/>
          </w:tcPr>
          <w:p w14:paraId="4400644E"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0.320</w:t>
            </w:r>
          </w:p>
        </w:tc>
        <w:tc>
          <w:tcPr>
            <w:tcW w:w="2430" w:type="dxa"/>
          </w:tcPr>
          <w:p w14:paraId="5E14CD51"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0.506</w:t>
            </w:r>
          </w:p>
        </w:tc>
      </w:tr>
      <w:tr w:rsidR="008A43C7" w:rsidRPr="005A6293" w14:paraId="6C8567E3"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870" w:type="dxa"/>
          </w:tcPr>
          <w:p w14:paraId="54EE25CE" w14:textId="77777777" w:rsidR="008A43C7" w:rsidRPr="005A6293" w:rsidRDefault="008A43C7" w:rsidP="00434061">
            <w:pPr>
              <w:rPr>
                <w:b w:val="0"/>
                <w:bCs w:val="0"/>
              </w:rPr>
            </w:pPr>
            <w:r w:rsidRPr="005A6293">
              <w:rPr>
                <w:b w:val="0"/>
                <w:bCs w:val="0"/>
              </w:rPr>
              <w:t>1975</w:t>
            </w:r>
          </w:p>
        </w:tc>
        <w:tc>
          <w:tcPr>
            <w:tcW w:w="2250" w:type="dxa"/>
          </w:tcPr>
          <w:p w14:paraId="4F2D3CDB"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0.339</w:t>
            </w:r>
          </w:p>
        </w:tc>
        <w:tc>
          <w:tcPr>
            <w:tcW w:w="2190" w:type="dxa"/>
          </w:tcPr>
          <w:p w14:paraId="1584826A"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0.258</w:t>
            </w:r>
          </w:p>
        </w:tc>
        <w:tc>
          <w:tcPr>
            <w:tcW w:w="2430" w:type="dxa"/>
          </w:tcPr>
          <w:p w14:paraId="178BE2B8"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0.419</w:t>
            </w:r>
          </w:p>
        </w:tc>
      </w:tr>
      <w:tr w:rsidR="008A43C7" w:rsidRPr="005A6293" w14:paraId="24F8CE6A"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tcPr>
          <w:p w14:paraId="54EF4E66" w14:textId="77777777" w:rsidR="008A43C7" w:rsidRPr="005A6293" w:rsidRDefault="008A43C7" w:rsidP="00434061">
            <w:pPr>
              <w:rPr>
                <w:b w:val="0"/>
                <w:bCs w:val="0"/>
              </w:rPr>
            </w:pPr>
            <w:r w:rsidRPr="005A6293">
              <w:rPr>
                <w:b w:val="0"/>
                <w:bCs w:val="0"/>
              </w:rPr>
              <w:t>1980</w:t>
            </w:r>
          </w:p>
        </w:tc>
        <w:tc>
          <w:tcPr>
            <w:tcW w:w="2250" w:type="dxa"/>
          </w:tcPr>
          <w:p w14:paraId="7B9F7E49"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0.215</w:t>
            </w:r>
          </w:p>
        </w:tc>
        <w:tc>
          <w:tcPr>
            <w:tcW w:w="2190" w:type="dxa"/>
          </w:tcPr>
          <w:p w14:paraId="30BCB18E"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0.161</w:t>
            </w:r>
          </w:p>
        </w:tc>
        <w:tc>
          <w:tcPr>
            <w:tcW w:w="2430" w:type="dxa"/>
          </w:tcPr>
          <w:p w14:paraId="51F451F4"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0.268</w:t>
            </w:r>
          </w:p>
        </w:tc>
      </w:tr>
      <w:tr w:rsidR="008A43C7" w:rsidRPr="005A6293" w14:paraId="4E3E2632"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870" w:type="dxa"/>
          </w:tcPr>
          <w:p w14:paraId="78138B00" w14:textId="77777777" w:rsidR="008A43C7" w:rsidRPr="005A6293" w:rsidRDefault="008A43C7" w:rsidP="00434061">
            <w:pPr>
              <w:rPr>
                <w:b w:val="0"/>
                <w:bCs w:val="0"/>
              </w:rPr>
            </w:pPr>
            <w:r w:rsidRPr="005A6293">
              <w:rPr>
                <w:b w:val="0"/>
                <w:bCs w:val="0"/>
              </w:rPr>
              <w:t>1985</w:t>
            </w:r>
          </w:p>
        </w:tc>
        <w:tc>
          <w:tcPr>
            <w:tcW w:w="2250" w:type="dxa"/>
          </w:tcPr>
          <w:p w14:paraId="20C87EAE"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0.033</w:t>
            </w:r>
          </w:p>
        </w:tc>
        <w:tc>
          <w:tcPr>
            <w:tcW w:w="2190" w:type="dxa"/>
          </w:tcPr>
          <w:p w14:paraId="46B0A078"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0.032</w:t>
            </w:r>
          </w:p>
        </w:tc>
        <w:tc>
          <w:tcPr>
            <w:tcW w:w="2430" w:type="dxa"/>
          </w:tcPr>
          <w:p w14:paraId="0108EB79"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0.034</w:t>
            </w:r>
          </w:p>
        </w:tc>
      </w:tr>
      <w:tr w:rsidR="008A43C7" w:rsidRPr="005A6293" w14:paraId="0A9C4AB8"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tcPr>
          <w:p w14:paraId="414C3092" w14:textId="77777777" w:rsidR="008A43C7" w:rsidRPr="005A6293" w:rsidRDefault="008A43C7" w:rsidP="00434061">
            <w:pPr>
              <w:rPr>
                <w:b w:val="0"/>
                <w:bCs w:val="0"/>
              </w:rPr>
            </w:pPr>
            <w:r w:rsidRPr="005A6293">
              <w:rPr>
                <w:b w:val="0"/>
                <w:bCs w:val="0"/>
              </w:rPr>
              <w:t>1990</w:t>
            </w:r>
          </w:p>
        </w:tc>
        <w:tc>
          <w:tcPr>
            <w:tcW w:w="2250" w:type="dxa"/>
          </w:tcPr>
          <w:p w14:paraId="22F01F44"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0.060</w:t>
            </w:r>
          </w:p>
        </w:tc>
        <w:tc>
          <w:tcPr>
            <w:tcW w:w="2190" w:type="dxa"/>
          </w:tcPr>
          <w:p w14:paraId="70EC3F74"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0.063</w:t>
            </w:r>
          </w:p>
        </w:tc>
        <w:tc>
          <w:tcPr>
            <w:tcW w:w="2430" w:type="dxa"/>
          </w:tcPr>
          <w:p w14:paraId="324B377B"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0.056</w:t>
            </w:r>
          </w:p>
        </w:tc>
      </w:tr>
      <w:tr w:rsidR="008A43C7" w:rsidRPr="005A6293" w14:paraId="0309F715"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870" w:type="dxa"/>
          </w:tcPr>
          <w:p w14:paraId="28EB30F0" w14:textId="77777777" w:rsidR="008A43C7" w:rsidRPr="005A6293" w:rsidRDefault="008A43C7" w:rsidP="00434061">
            <w:pPr>
              <w:rPr>
                <w:b w:val="0"/>
                <w:bCs w:val="0"/>
              </w:rPr>
            </w:pPr>
            <w:r w:rsidRPr="005A6293">
              <w:rPr>
                <w:b w:val="0"/>
                <w:bCs w:val="0"/>
              </w:rPr>
              <w:t>1995</w:t>
            </w:r>
          </w:p>
        </w:tc>
        <w:tc>
          <w:tcPr>
            <w:tcW w:w="2250" w:type="dxa"/>
          </w:tcPr>
          <w:p w14:paraId="61C13496"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0.136</w:t>
            </w:r>
          </w:p>
        </w:tc>
        <w:tc>
          <w:tcPr>
            <w:tcW w:w="2190" w:type="dxa"/>
          </w:tcPr>
          <w:p w14:paraId="4C0B50AF"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0.171</w:t>
            </w:r>
          </w:p>
        </w:tc>
        <w:tc>
          <w:tcPr>
            <w:tcW w:w="2430" w:type="dxa"/>
          </w:tcPr>
          <w:p w14:paraId="69231C85"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0.100</w:t>
            </w:r>
          </w:p>
        </w:tc>
      </w:tr>
      <w:tr w:rsidR="008A43C7" w:rsidRPr="005A6293" w14:paraId="5E158BD2"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tcPr>
          <w:p w14:paraId="30588F29" w14:textId="77777777" w:rsidR="008A43C7" w:rsidRPr="005A6293" w:rsidRDefault="008A43C7" w:rsidP="00434061">
            <w:pPr>
              <w:rPr>
                <w:b w:val="0"/>
                <w:bCs w:val="0"/>
              </w:rPr>
            </w:pPr>
            <w:r w:rsidRPr="005A6293">
              <w:rPr>
                <w:b w:val="0"/>
                <w:bCs w:val="0"/>
              </w:rPr>
              <w:t>2000</w:t>
            </w:r>
          </w:p>
        </w:tc>
        <w:tc>
          <w:tcPr>
            <w:tcW w:w="2250" w:type="dxa"/>
          </w:tcPr>
          <w:p w14:paraId="5078EA05"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0.179</w:t>
            </w:r>
          </w:p>
        </w:tc>
        <w:tc>
          <w:tcPr>
            <w:tcW w:w="2190" w:type="dxa"/>
          </w:tcPr>
          <w:p w14:paraId="49B68F4B"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0.182</w:t>
            </w:r>
          </w:p>
        </w:tc>
        <w:tc>
          <w:tcPr>
            <w:tcW w:w="2430" w:type="dxa"/>
          </w:tcPr>
          <w:p w14:paraId="7BA4030A"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0.176</w:t>
            </w:r>
          </w:p>
        </w:tc>
      </w:tr>
      <w:tr w:rsidR="008A43C7" w:rsidRPr="005A6293" w14:paraId="776629A8" w14:textId="77777777" w:rsidTr="00434061">
        <w:trPr>
          <w:jc w:val="center"/>
        </w:trPr>
        <w:tc>
          <w:tcPr>
            <w:cnfStyle w:val="001000000000" w:firstRow="0" w:lastRow="0" w:firstColumn="1" w:lastColumn="0" w:oddVBand="0" w:evenVBand="0" w:oddHBand="0" w:evenHBand="0" w:firstRowFirstColumn="0" w:firstRowLastColumn="0" w:lastRowFirstColumn="0" w:lastRowLastColumn="0"/>
            <w:tcW w:w="870" w:type="dxa"/>
          </w:tcPr>
          <w:p w14:paraId="7BA1D46C" w14:textId="77777777" w:rsidR="008A43C7" w:rsidRPr="005A6293" w:rsidRDefault="008A43C7" w:rsidP="00434061">
            <w:pPr>
              <w:rPr>
                <w:b w:val="0"/>
                <w:bCs w:val="0"/>
              </w:rPr>
            </w:pPr>
            <w:r w:rsidRPr="005A6293">
              <w:rPr>
                <w:b w:val="0"/>
                <w:bCs w:val="0"/>
              </w:rPr>
              <w:t>2005</w:t>
            </w:r>
          </w:p>
        </w:tc>
        <w:tc>
          <w:tcPr>
            <w:tcW w:w="2250" w:type="dxa"/>
          </w:tcPr>
          <w:p w14:paraId="0A5F2AF9"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0.179</w:t>
            </w:r>
          </w:p>
        </w:tc>
        <w:tc>
          <w:tcPr>
            <w:tcW w:w="2190" w:type="dxa"/>
          </w:tcPr>
          <w:p w14:paraId="00005021"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0.174</w:t>
            </w:r>
          </w:p>
        </w:tc>
        <w:tc>
          <w:tcPr>
            <w:tcW w:w="2430" w:type="dxa"/>
          </w:tcPr>
          <w:p w14:paraId="270EA1E9" w14:textId="77777777" w:rsidR="008A43C7" w:rsidRPr="005A6293" w:rsidRDefault="008A43C7" w:rsidP="00434061">
            <w:pPr>
              <w:jc w:val="right"/>
              <w:cnfStyle w:val="000000000000" w:firstRow="0" w:lastRow="0" w:firstColumn="0" w:lastColumn="0" w:oddVBand="0" w:evenVBand="0" w:oddHBand="0" w:evenHBand="0" w:firstRowFirstColumn="0" w:firstRowLastColumn="0" w:lastRowFirstColumn="0" w:lastRowLastColumn="0"/>
            </w:pPr>
            <w:r w:rsidRPr="005A6293">
              <w:t>0.183</w:t>
            </w:r>
          </w:p>
        </w:tc>
      </w:tr>
      <w:tr w:rsidR="008A43C7" w:rsidRPr="005A6293" w14:paraId="51F95473" w14:textId="77777777" w:rsidTr="0043406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70" w:type="dxa"/>
          </w:tcPr>
          <w:p w14:paraId="2558FAA2" w14:textId="77777777" w:rsidR="008A43C7" w:rsidRPr="005A6293" w:rsidRDefault="008A43C7" w:rsidP="00434061">
            <w:pPr>
              <w:rPr>
                <w:b w:val="0"/>
                <w:bCs w:val="0"/>
              </w:rPr>
            </w:pPr>
            <w:r w:rsidRPr="005A6293">
              <w:rPr>
                <w:b w:val="0"/>
                <w:bCs w:val="0"/>
              </w:rPr>
              <w:t>2010</w:t>
            </w:r>
          </w:p>
        </w:tc>
        <w:tc>
          <w:tcPr>
            <w:tcW w:w="2250" w:type="dxa"/>
          </w:tcPr>
          <w:p w14:paraId="6193E234"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0.091</w:t>
            </w:r>
          </w:p>
        </w:tc>
        <w:tc>
          <w:tcPr>
            <w:tcW w:w="2190" w:type="dxa"/>
          </w:tcPr>
          <w:p w14:paraId="0159DE6E"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0.079</w:t>
            </w:r>
          </w:p>
        </w:tc>
        <w:tc>
          <w:tcPr>
            <w:tcW w:w="2430" w:type="dxa"/>
          </w:tcPr>
          <w:p w14:paraId="6FB6C6E6" w14:textId="77777777" w:rsidR="008A43C7" w:rsidRPr="005A6293" w:rsidRDefault="008A43C7" w:rsidP="00434061">
            <w:pPr>
              <w:jc w:val="right"/>
              <w:cnfStyle w:val="000000100000" w:firstRow="0" w:lastRow="0" w:firstColumn="0" w:lastColumn="0" w:oddVBand="0" w:evenVBand="0" w:oddHBand="1" w:evenHBand="0" w:firstRowFirstColumn="0" w:firstRowLastColumn="0" w:lastRowFirstColumn="0" w:lastRowLastColumn="0"/>
            </w:pPr>
            <w:r w:rsidRPr="005A6293">
              <w:t>0.104</w:t>
            </w:r>
          </w:p>
        </w:tc>
      </w:tr>
    </w:tbl>
    <w:p w14:paraId="191FBBFA" w14:textId="529B6B47" w:rsidR="008A43C7" w:rsidRPr="005A6293" w:rsidRDefault="004A42CF" w:rsidP="008A43C7">
      <w:pPr>
        <w:pStyle w:val="NoSpacing"/>
        <w:spacing w:line="480" w:lineRule="auto"/>
      </w:pPr>
      <w:r w:rsidRPr="005A6293">
        <w:rPr>
          <w:sz w:val="16"/>
          <w:szCs w:val="16"/>
        </w:rPr>
        <w:t xml:space="preserve">         Source: Barro and Lee Dataset (2017)</w:t>
      </w:r>
    </w:p>
    <w:p w14:paraId="297DCD85" w14:textId="1AD1D4D9" w:rsidR="004324DC" w:rsidRPr="005A6293" w:rsidRDefault="00082233" w:rsidP="004324DC">
      <w:pPr>
        <w:pStyle w:val="NoSpacing"/>
        <w:spacing w:line="480" w:lineRule="auto"/>
        <w:ind w:firstLine="720"/>
        <w:rPr>
          <w:rFonts w:eastAsiaTheme="minorEastAsia"/>
        </w:rPr>
      </w:pPr>
      <w:r w:rsidRPr="005A6293">
        <w:t>Both measures of education Gini</w:t>
      </w:r>
      <w:r w:rsidR="00F911A7" w:rsidRPr="005A6293">
        <w:t>s</w:t>
      </w:r>
      <w:r w:rsidRPr="005A6293">
        <w:t xml:space="preserve"> provide a more detailed accoun</w:t>
      </w:r>
      <w:r w:rsidR="00E937F5" w:rsidRPr="005A6293">
        <w:t>t of the differences between males and females</w:t>
      </w:r>
      <w:r w:rsidRPr="005A6293">
        <w:t xml:space="preserve"> in education. Starting with the educati</w:t>
      </w:r>
      <w:r w:rsidR="00393D85" w:rsidRPr="005A6293">
        <w:t>on Gini 15+, when graphed there is</w:t>
      </w:r>
      <w:r w:rsidRPr="005A6293">
        <w:t xml:space="preserve"> a clear trend of improve</w:t>
      </w:r>
      <w:r w:rsidR="002E3648" w:rsidRPr="005A6293">
        <w:t>d ed</w:t>
      </w:r>
      <w:r w:rsidR="00D812DC" w:rsidRPr="005A6293">
        <w:t>ucation equality in Kenya with figure</w:t>
      </w:r>
      <w:r w:rsidR="00815CD2" w:rsidRPr="005A6293">
        <w:t xml:space="preserve"> 5</w:t>
      </w:r>
      <w:r w:rsidRPr="005A6293">
        <w:t xml:space="preserve"> below. The greatest indicator for inequality between </w:t>
      </w:r>
      <w:r w:rsidR="00A56859" w:rsidRPr="005A6293">
        <w:t>males and females</w:t>
      </w:r>
      <w:r w:rsidR="00B255AB" w:rsidRPr="005A6293">
        <w:t xml:space="preserve"> is the total education Gini; h</w:t>
      </w:r>
      <w:r w:rsidRPr="005A6293">
        <w:t xml:space="preserve">owever, the male education Gini and female education Gini </w:t>
      </w:r>
      <w:r w:rsidR="00517FF4" w:rsidRPr="005A6293">
        <w:t>are still informative. Table 9</w:t>
      </w:r>
      <w:r w:rsidR="008A43C7" w:rsidRPr="005A6293">
        <w:t xml:space="preserve"> below</w:t>
      </w:r>
      <w:r w:rsidRPr="005A6293">
        <w:t xml:space="preserve"> provides a detailed analysis of the education Gini 15+ </w:t>
      </w:r>
      <w:r w:rsidRPr="005A6293">
        <w:lastRenderedPageBreak/>
        <w:t>for</w:t>
      </w:r>
      <w:r w:rsidR="00E43E46" w:rsidRPr="005A6293">
        <w:t xml:space="preserve"> both males and females in 2005.</w:t>
      </w:r>
      <w:r w:rsidR="00E43E46" w:rsidRPr="005A6293">
        <w:rPr>
          <w:rStyle w:val="FootnoteReference"/>
        </w:rPr>
        <w:footnoteReference w:id="236"/>
      </w:r>
      <w:r w:rsidR="00E43E46" w:rsidRPr="005A6293">
        <w:t xml:space="preserve"> </w:t>
      </w:r>
      <w:r w:rsidRPr="005A6293">
        <w:t xml:space="preserve">In the table, </w:t>
      </w:r>
      <w:r w:rsidRPr="005A6293">
        <w:rPr>
          <w:i/>
          <w:iCs/>
        </w:rPr>
        <w:t xml:space="preserve">i </w:t>
      </w:r>
      <w:r w:rsidRPr="005A6293">
        <w:t xml:space="preserve">is the education level,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5A6293">
        <w:rPr>
          <w:rFonts w:eastAsiaTheme="minorEastAsia"/>
        </w:rPr>
        <w:t xml:space="preserve"> is the average years of school, </w:t>
      </w:r>
      <m:oMath>
        <m:sSub>
          <m:sSubPr>
            <m:ctrlPr>
              <w:rPr>
                <w:rFonts w:ascii="Cambria Math" w:hAnsi="Cambria Math"/>
                <w:i/>
              </w:rPr>
            </m:ctrlPr>
          </m:sSubPr>
          <m:e>
            <m:r>
              <w:rPr>
                <w:rFonts w:ascii="Cambria Math" w:hAnsi="Cambria Math"/>
              </w:rPr>
              <m:t>n</m:t>
            </m:r>
          </m:e>
          <m:sub>
            <m:r>
              <w:rPr>
                <w:rFonts w:ascii="Cambria Math" w:hAnsi="Cambria Math"/>
              </w:rPr>
              <m:t>i</m:t>
            </m:r>
          </m:sub>
        </m:sSub>
      </m:oMath>
      <w:r w:rsidRPr="005A6293">
        <w:rPr>
          <w:rFonts w:eastAsiaTheme="minorEastAsia"/>
        </w:rPr>
        <w:t xml:space="preserve"> is the share of the population with that level of school, </w:t>
      </w:r>
      <w:r w:rsidRPr="005A6293">
        <w:rPr>
          <w:i/>
          <w:iCs/>
        </w:rPr>
        <w:t>s</w:t>
      </w:r>
      <w:r w:rsidRPr="005A6293">
        <w:t xml:space="preserve"> is the quintile, </w:t>
      </w:r>
      <m:oMath>
        <m:sSub>
          <m:sSubPr>
            <m:ctrlPr>
              <w:rPr>
                <w:rFonts w:ascii="Cambria Math" w:hAnsi="Cambria Math"/>
                <w:i/>
              </w:rPr>
            </m:ctrlPr>
          </m:sSubPr>
          <m:e>
            <m:r>
              <w:rPr>
                <w:rFonts w:ascii="Cambria Math" w:hAnsi="Cambria Math"/>
              </w:rPr>
              <m:t>p</m:t>
            </m:r>
          </m:e>
          <m:sub>
            <m:r>
              <w:rPr>
                <w:rFonts w:ascii="Cambria Math" w:hAnsi="Cambria Math"/>
              </w:rPr>
              <m:t>s</m:t>
            </m:r>
          </m:sub>
        </m:sSub>
      </m:oMath>
      <w:r w:rsidRPr="005A6293">
        <w:rPr>
          <w:rFonts w:eastAsiaTheme="minorEastAsia"/>
        </w:rPr>
        <w:t xml:space="preserve"> is the share of the population for each quintile,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s</m:t>
            </m:r>
          </m:sub>
        </m:sSub>
      </m:oMath>
      <w:r w:rsidRPr="005A6293">
        <w:rPr>
          <w:rFonts w:eastAsiaTheme="minorEastAsia"/>
        </w:rPr>
        <w:t xml:space="preserve"> is the cumulative population per quintile,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s</m:t>
            </m:r>
          </m:sub>
        </m:sSub>
      </m:oMath>
      <w:r w:rsidRPr="005A6293">
        <w:rPr>
          <w:rFonts w:eastAsiaTheme="minorEastAsia"/>
        </w:rPr>
        <w:t xml:space="preserve"> is the total education attained by each quintile, </w:t>
      </w:r>
      <m:oMath>
        <m:sSub>
          <m:sSubPr>
            <m:ctrlPr>
              <w:rPr>
                <w:rFonts w:ascii="Cambria Math" w:hAnsi="Cambria Math"/>
                <w:i/>
              </w:rPr>
            </m:ctrlPr>
          </m:sSubPr>
          <m:e>
            <m:r>
              <w:rPr>
                <w:rFonts w:ascii="Cambria Math" w:hAnsi="Cambria Math"/>
              </w:rPr>
              <m:t>u</m:t>
            </m:r>
          </m:e>
          <m:sub>
            <m:r>
              <w:rPr>
                <w:rFonts w:ascii="Cambria Math" w:hAnsi="Cambria Math"/>
              </w:rPr>
              <m:t>s</m:t>
            </m:r>
          </m:sub>
        </m:sSub>
      </m:oMath>
      <w:r w:rsidRPr="005A6293">
        <w:rPr>
          <w:rFonts w:eastAsiaTheme="minorEastAsia"/>
        </w:rPr>
        <w:t xml:space="preserve"> is the cumulative sum of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s</m:t>
            </m:r>
          </m:sub>
        </m:sSub>
      </m:oMath>
      <w:r w:rsidRPr="005A6293">
        <w:rPr>
          <w:rFonts w:eastAsiaTheme="minorEastAsia"/>
        </w:rPr>
        <w:t xml:space="preserve">, and </w:t>
      </w:r>
      <m:oMath>
        <m:sSub>
          <m:sSubPr>
            <m:ctrlPr>
              <w:rPr>
                <w:rFonts w:ascii="Cambria Math" w:hAnsi="Cambria Math"/>
                <w:i/>
              </w:rPr>
            </m:ctrlPr>
          </m:sSubPr>
          <m:e>
            <m:r>
              <w:rPr>
                <w:rFonts w:ascii="Cambria Math" w:hAnsi="Cambria Math"/>
              </w:rPr>
              <m:t>Q</m:t>
            </m:r>
          </m:e>
          <m:sub>
            <m:r>
              <w:rPr>
                <w:rFonts w:ascii="Cambria Math" w:hAnsi="Cambria Math"/>
              </w:rPr>
              <m:t>s</m:t>
            </m:r>
          </m:sub>
        </m:sSub>
      </m:oMath>
      <w:r w:rsidRPr="005A6293">
        <w:rPr>
          <w:rFonts w:eastAsiaTheme="minorEastAsia"/>
        </w:rPr>
        <w:t xml:space="preserve"> is the cumulative share of education attained per quintile. </w:t>
      </w:r>
    </w:p>
    <w:p w14:paraId="5404E8EF" w14:textId="00F28583" w:rsidR="00D812DC" w:rsidRPr="005A6293" w:rsidRDefault="00FF679D" w:rsidP="00D812DC">
      <w:r w:rsidRPr="005A6293">
        <w:t xml:space="preserve">Figure </w:t>
      </w:r>
      <w:r w:rsidR="00137B6E" w:rsidRPr="005A6293">
        <w:t>5</w:t>
      </w:r>
      <w:r w:rsidR="00D812DC" w:rsidRPr="005A6293">
        <w:t>. Education Gini 15+ by gender, 1950-2010</w:t>
      </w:r>
    </w:p>
    <w:p w14:paraId="3C9B7D96" w14:textId="2A16723B" w:rsidR="00D812DC" w:rsidRPr="005A6293" w:rsidRDefault="00D812DC" w:rsidP="001D79D6">
      <w:pPr>
        <w:pStyle w:val="NoSpacing"/>
        <w:jc w:val="center"/>
      </w:pPr>
      <w:r w:rsidRPr="005A6293">
        <w:rPr>
          <w:noProof/>
        </w:rPr>
        <w:drawing>
          <wp:inline distT="0" distB="0" distL="0" distR="0" wp14:anchorId="3A290E50" wp14:editId="46EB3203">
            <wp:extent cx="5394960" cy="3077894"/>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3">
                      <a:extLst>
                        <a:ext uri="{28A0092B-C50C-407E-A947-70E740481C1C}">
                          <a14:useLocalDpi xmlns:a14="http://schemas.microsoft.com/office/drawing/2010/main" val="0"/>
                        </a:ext>
                      </a:extLst>
                    </a:blip>
                    <a:stretch>
                      <a:fillRect/>
                    </a:stretch>
                  </pic:blipFill>
                  <pic:spPr>
                    <a:xfrm>
                      <a:off x="0" y="0"/>
                      <a:ext cx="5394960" cy="3077894"/>
                    </a:xfrm>
                    <a:prstGeom prst="rect">
                      <a:avLst/>
                    </a:prstGeom>
                  </pic:spPr>
                </pic:pic>
              </a:graphicData>
            </a:graphic>
          </wp:inline>
        </w:drawing>
      </w:r>
    </w:p>
    <w:p w14:paraId="3AE3B0A2" w14:textId="062418E3" w:rsidR="00137B6E" w:rsidRPr="005A6293" w:rsidRDefault="001D79D6" w:rsidP="00137B6E">
      <w:r w:rsidRPr="005A6293">
        <w:rPr>
          <w:sz w:val="16"/>
          <w:szCs w:val="16"/>
        </w:rPr>
        <w:t>Source: Barro and Lee Dataset (2017)</w:t>
      </w:r>
    </w:p>
    <w:p w14:paraId="4BFBFE68" w14:textId="77777777" w:rsidR="00137B6E" w:rsidRPr="005A6293" w:rsidRDefault="00137B6E" w:rsidP="00137B6E"/>
    <w:p w14:paraId="1276A5D1" w14:textId="596662D7" w:rsidR="00137B6E" w:rsidRPr="005A6293" w:rsidRDefault="00137B6E" w:rsidP="00137B6E">
      <w:r w:rsidRPr="005A6293">
        <w:t>Tab</w:t>
      </w:r>
      <w:r w:rsidR="00517FF4" w:rsidRPr="005A6293">
        <w:t>le 9</w:t>
      </w:r>
      <w:r w:rsidRPr="005A6293">
        <w:t>. Education 15+ by quintile by gender, 2005</w:t>
      </w:r>
    </w:p>
    <w:tbl>
      <w:tblPr>
        <w:tblStyle w:val="PlainTable31"/>
        <w:tblW w:w="9339" w:type="dxa"/>
        <w:tblLayout w:type="fixed"/>
        <w:tblLook w:val="04A0" w:firstRow="1" w:lastRow="0" w:firstColumn="1" w:lastColumn="0" w:noHBand="0" w:noVBand="1"/>
      </w:tblPr>
      <w:tblGrid>
        <w:gridCol w:w="1230"/>
        <w:gridCol w:w="450"/>
        <w:gridCol w:w="851"/>
        <w:gridCol w:w="851"/>
        <w:gridCol w:w="851"/>
        <w:gridCol w:w="851"/>
        <w:gridCol w:w="851"/>
        <w:gridCol w:w="851"/>
        <w:gridCol w:w="851"/>
        <w:gridCol w:w="851"/>
        <w:gridCol w:w="851"/>
      </w:tblGrid>
      <w:tr w:rsidR="00137B6E" w:rsidRPr="005A6293" w14:paraId="7BCD3E7F" w14:textId="77777777" w:rsidTr="001D79D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30" w:type="dxa"/>
            <w:tcBorders>
              <w:bottom w:val="single" w:sz="4" w:space="0" w:color="auto"/>
              <w:right w:val="single" w:sz="4" w:space="0" w:color="auto"/>
            </w:tcBorders>
          </w:tcPr>
          <w:p w14:paraId="7652040F" w14:textId="77777777" w:rsidR="00137B6E" w:rsidRPr="005A6293" w:rsidRDefault="00137B6E" w:rsidP="00434061"/>
        </w:tc>
        <w:tc>
          <w:tcPr>
            <w:tcW w:w="2152" w:type="dxa"/>
            <w:gridSpan w:val="3"/>
            <w:tcBorders>
              <w:left w:val="single" w:sz="4" w:space="0" w:color="auto"/>
              <w:bottom w:val="single" w:sz="4" w:space="0" w:color="auto"/>
              <w:right w:val="single" w:sz="4" w:space="0" w:color="auto"/>
            </w:tcBorders>
          </w:tcPr>
          <w:p w14:paraId="4372A75D" w14:textId="77777777" w:rsidR="00137B6E" w:rsidRPr="005A6293" w:rsidRDefault="00137B6E" w:rsidP="00434061">
            <w:pPr>
              <w:cnfStyle w:val="100000000000" w:firstRow="1" w:lastRow="0" w:firstColumn="0" w:lastColumn="0" w:oddVBand="0" w:evenVBand="0" w:oddHBand="0" w:evenHBand="0" w:firstRowFirstColumn="0" w:firstRowLastColumn="0" w:lastRowFirstColumn="0" w:lastRowLastColumn="0"/>
              <w:rPr>
                <w:b w:val="0"/>
                <w:bCs w:val="0"/>
              </w:rPr>
            </w:pPr>
            <w:r w:rsidRPr="005A6293">
              <w:rPr>
                <w:b w:val="0"/>
                <w:bCs w:val="0"/>
              </w:rPr>
              <w:t>Education levels</w:t>
            </w:r>
          </w:p>
        </w:tc>
        <w:tc>
          <w:tcPr>
            <w:tcW w:w="5106" w:type="dxa"/>
            <w:gridSpan w:val="6"/>
            <w:tcBorders>
              <w:left w:val="single" w:sz="4" w:space="0" w:color="auto"/>
              <w:bottom w:val="single" w:sz="4" w:space="0" w:color="auto"/>
              <w:right w:val="single" w:sz="4" w:space="0" w:color="auto"/>
            </w:tcBorders>
          </w:tcPr>
          <w:p w14:paraId="208B74A0" w14:textId="77777777" w:rsidR="00137B6E" w:rsidRPr="005A6293" w:rsidRDefault="00137B6E" w:rsidP="00434061">
            <w:pPr>
              <w:cnfStyle w:val="100000000000" w:firstRow="1" w:lastRow="0" w:firstColumn="0" w:lastColumn="0" w:oddVBand="0" w:evenVBand="0" w:oddHBand="0" w:evenHBand="0" w:firstRowFirstColumn="0" w:firstRowLastColumn="0" w:lastRowFirstColumn="0" w:lastRowLastColumn="0"/>
              <w:rPr>
                <w:b w:val="0"/>
                <w:bCs w:val="0"/>
              </w:rPr>
            </w:pPr>
            <w:r w:rsidRPr="005A6293">
              <w:rPr>
                <w:b w:val="0"/>
                <w:bCs w:val="0"/>
              </w:rPr>
              <w:t>Quintiles</w:t>
            </w:r>
          </w:p>
        </w:tc>
        <w:tc>
          <w:tcPr>
            <w:tcW w:w="851" w:type="dxa"/>
            <w:tcBorders>
              <w:left w:val="single" w:sz="4" w:space="0" w:color="auto"/>
              <w:bottom w:val="single" w:sz="4" w:space="0" w:color="auto"/>
            </w:tcBorders>
          </w:tcPr>
          <w:p w14:paraId="2105EFCD" w14:textId="77777777" w:rsidR="00137B6E" w:rsidRPr="005A6293" w:rsidRDefault="00137B6E" w:rsidP="00434061">
            <w:pPr>
              <w:cnfStyle w:val="100000000000" w:firstRow="1" w:lastRow="0" w:firstColumn="0" w:lastColumn="0" w:oddVBand="0" w:evenVBand="0" w:oddHBand="0" w:evenHBand="0" w:firstRowFirstColumn="0" w:firstRowLastColumn="0" w:lastRowFirstColumn="0" w:lastRowLastColumn="0"/>
              <w:rPr>
                <w:b w:val="0"/>
                <w:bCs w:val="0"/>
              </w:rPr>
            </w:pPr>
            <w:r w:rsidRPr="005A6293">
              <w:rPr>
                <w:b w:val="0"/>
                <w:bCs w:val="0"/>
              </w:rPr>
              <w:t>gini</w:t>
            </w:r>
          </w:p>
        </w:tc>
      </w:tr>
      <w:tr w:rsidR="00137B6E" w:rsidRPr="005A6293" w14:paraId="1CB3D93B" w14:textId="77777777" w:rsidTr="001D7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0" w:type="dxa"/>
            <w:tcBorders>
              <w:top w:val="single" w:sz="4" w:space="0" w:color="auto"/>
              <w:bottom w:val="single" w:sz="4" w:space="0" w:color="auto"/>
            </w:tcBorders>
          </w:tcPr>
          <w:p w14:paraId="0BE382BB" w14:textId="77777777" w:rsidR="00137B6E" w:rsidRPr="005A6293" w:rsidRDefault="00137B6E" w:rsidP="00434061">
            <w:pPr>
              <w:rPr>
                <w:b w:val="0"/>
                <w:bCs w:val="0"/>
              </w:rPr>
            </w:pPr>
          </w:p>
        </w:tc>
        <w:tc>
          <w:tcPr>
            <w:tcW w:w="450" w:type="dxa"/>
            <w:tcBorders>
              <w:top w:val="single" w:sz="4" w:space="0" w:color="auto"/>
              <w:bottom w:val="single" w:sz="4" w:space="0" w:color="auto"/>
            </w:tcBorders>
          </w:tcPr>
          <w:p w14:paraId="321AE553"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rPr>
                <w:i/>
                <w:iCs/>
              </w:rPr>
            </w:pPr>
            <w:r w:rsidRPr="005A6293">
              <w:rPr>
                <w:i/>
                <w:iCs/>
              </w:rPr>
              <w:t>i</w:t>
            </w:r>
          </w:p>
        </w:tc>
        <w:tc>
          <w:tcPr>
            <w:tcW w:w="851" w:type="dxa"/>
            <w:tcBorders>
              <w:top w:val="single" w:sz="4" w:space="0" w:color="auto"/>
              <w:bottom w:val="single" w:sz="4" w:space="0" w:color="auto"/>
            </w:tcBorders>
          </w:tcPr>
          <w:p w14:paraId="4CDC6D21" w14:textId="77777777" w:rsidR="00137B6E" w:rsidRPr="005A6293" w:rsidRDefault="0019011F" w:rsidP="00434061">
            <w:pPr>
              <w:cnfStyle w:val="000000100000" w:firstRow="0" w:lastRow="0" w:firstColumn="0" w:lastColumn="0" w:oddVBand="0" w:evenVBand="0" w:oddHBand="1" w:evenHBand="0" w:firstRowFirstColumn="0" w:firstRowLastColumn="0" w:lastRowFirstColumn="0" w:lastRowLastColumn="0"/>
              <w:rPr>
                <w:i/>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oMath>
            </m:oMathPara>
          </w:p>
        </w:tc>
        <w:tc>
          <w:tcPr>
            <w:tcW w:w="851" w:type="dxa"/>
            <w:tcBorders>
              <w:top w:val="single" w:sz="4" w:space="0" w:color="auto"/>
              <w:bottom w:val="single" w:sz="4" w:space="0" w:color="auto"/>
              <w:right w:val="single" w:sz="4" w:space="0" w:color="auto"/>
            </w:tcBorders>
          </w:tcPr>
          <w:p w14:paraId="3F536BDF" w14:textId="77777777" w:rsidR="00137B6E" w:rsidRPr="005A6293" w:rsidRDefault="0019011F" w:rsidP="00434061">
            <w:pPr>
              <w:cnfStyle w:val="000000100000" w:firstRow="0" w:lastRow="0" w:firstColumn="0" w:lastColumn="0" w:oddVBand="0" w:evenVBand="0" w:oddHBand="1" w:evenHBand="0" w:firstRowFirstColumn="0" w:firstRowLastColumn="0" w:lastRowFirstColumn="0" w:lastRowLastColumn="0"/>
              <w:rPr>
                <w:i/>
              </w:rPr>
            </w:pPr>
            <m:oMathPara>
              <m:oMath>
                <m:sSub>
                  <m:sSubPr>
                    <m:ctrlPr>
                      <w:rPr>
                        <w:rFonts w:ascii="Cambria Math" w:hAnsi="Cambria Math"/>
                        <w:i/>
                      </w:rPr>
                    </m:ctrlPr>
                  </m:sSubPr>
                  <m:e>
                    <m:r>
                      <w:rPr>
                        <w:rFonts w:ascii="Cambria Math" w:hAnsi="Cambria Math"/>
                      </w:rPr>
                      <m:t>n</m:t>
                    </m:r>
                  </m:e>
                  <m:sub>
                    <m:r>
                      <w:rPr>
                        <w:rFonts w:ascii="Cambria Math" w:hAnsi="Cambria Math"/>
                      </w:rPr>
                      <m:t>i</m:t>
                    </m:r>
                  </m:sub>
                </m:sSub>
              </m:oMath>
            </m:oMathPara>
          </w:p>
        </w:tc>
        <w:tc>
          <w:tcPr>
            <w:tcW w:w="851" w:type="dxa"/>
            <w:tcBorders>
              <w:top w:val="single" w:sz="4" w:space="0" w:color="auto"/>
              <w:left w:val="single" w:sz="4" w:space="0" w:color="auto"/>
              <w:bottom w:val="single" w:sz="4" w:space="0" w:color="auto"/>
            </w:tcBorders>
          </w:tcPr>
          <w:p w14:paraId="7E5E1E87"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rPr>
                <w:i/>
                <w:iCs/>
              </w:rPr>
            </w:pPr>
            <w:r w:rsidRPr="005A6293">
              <w:rPr>
                <w:i/>
                <w:iCs/>
              </w:rPr>
              <w:t>s</w:t>
            </w:r>
          </w:p>
        </w:tc>
        <w:tc>
          <w:tcPr>
            <w:tcW w:w="851" w:type="dxa"/>
            <w:tcBorders>
              <w:top w:val="single" w:sz="4" w:space="0" w:color="auto"/>
              <w:bottom w:val="single" w:sz="4" w:space="0" w:color="auto"/>
            </w:tcBorders>
          </w:tcPr>
          <w:p w14:paraId="7BC61D0C" w14:textId="77777777" w:rsidR="00137B6E" w:rsidRPr="005A6293" w:rsidRDefault="0019011F" w:rsidP="00434061">
            <w:pPr>
              <w:cnfStyle w:val="000000100000" w:firstRow="0" w:lastRow="0" w:firstColumn="0" w:lastColumn="0" w:oddVBand="0" w:evenVBand="0" w:oddHBand="1" w:evenHBand="0" w:firstRowFirstColumn="0" w:firstRowLastColumn="0" w:lastRowFirstColumn="0" w:lastRowLastColumn="0"/>
              <w:rPr>
                <w:i/>
              </w:rPr>
            </w:pPr>
            <m:oMathPara>
              <m:oMath>
                <m:sSub>
                  <m:sSubPr>
                    <m:ctrlPr>
                      <w:rPr>
                        <w:rFonts w:ascii="Cambria Math" w:hAnsi="Cambria Math"/>
                        <w:i/>
                      </w:rPr>
                    </m:ctrlPr>
                  </m:sSubPr>
                  <m:e>
                    <m:r>
                      <w:rPr>
                        <w:rFonts w:ascii="Cambria Math" w:hAnsi="Cambria Math"/>
                      </w:rPr>
                      <m:t>p</m:t>
                    </m:r>
                  </m:e>
                  <m:sub>
                    <m:r>
                      <w:rPr>
                        <w:rFonts w:ascii="Cambria Math" w:hAnsi="Cambria Math"/>
                      </w:rPr>
                      <m:t>s</m:t>
                    </m:r>
                  </m:sub>
                </m:sSub>
              </m:oMath>
            </m:oMathPara>
          </w:p>
        </w:tc>
        <w:tc>
          <w:tcPr>
            <w:tcW w:w="851" w:type="dxa"/>
            <w:tcBorders>
              <w:top w:val="single" w:sz="4" w:space="0" w:color="auto"/>
              <w:bottom w:val="single" w:sz="4" w:space="0" w:color="auto"/>
            </w:tcBorders>
          </w:tcPr>
          <w:p w14:paraId="7A5546DF" w14:textId="77777777" w:rsidR="00137B6E" w:rsidRPr="005A6293" w:rsidRDefault="0019011F" w:rsidP="00434061">
            <w:pPr>
              <w:cnfStyle w:val="000000100000" w:firstRow="0" w:lastRow="0" w:firstColumn="0" w:lastColumn="0" w:oddVBand="0" w:evenVBand="0" w:oddHBand="1" w:evenHBand="0" w:firstRowFirstColumn="0" w:firstRowLastColumn="0" w:lastRowFirstColumn="0" w:lastRowLastColumn="0"/>
              <w:rPr>
                <w:i/>
              </w:rPr>
            </w:pPr>
            <m:oMathPara>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s</m:t>
                    </m:r>
                  </m:sub>
                </m:sSub>
              </m:oMath>
            </m:oMathPara>
          </w:p>
        </w:tc>
        <w:tc>
          <w:tcPr>
            <w:tcW w:w="851" w:type="dxa"/>
            <w:tcBorders>
              <w:top w:val="single" w:sz="4" w:space="0" w:color="auto"/>
              <w:bottom w:val="single" w:sz="4" w:space="0" w:color="auto"/>
            </w:tcBorders>
          </w:tcPr>
          <w:p w14:paraId="348CE068" w14:textId="77777777" w:rsidR="00137B6E" w:rsidRPr="005A6293" w:rsidRDefault="0019011F" w:rsidP="00434061">
            <w:pPr>
              <w:cnfStyle w:val="000000100000" w:firstRow="0" w:lastRow="0" w:firstColumn="0" w:lastColumn="0" w:oddVBand="0" w:evenVBand="0" w:oddHBand="1" w:evenHBand="0" w:firstRowFirstColumn="0" w:firstRowLastColumn="0" w:lastRowFirstColumn="0" w:lastRowLastColumn="0"/>
              <w:rPr>
                <w:i/>
              </w:rPr>
            </w:pPr>
            <m:oMathPara>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s</m:t>
                    </m:r>
                  </m:sub>
                </m:sSub>
              </m:oMath>
            </m:oMathPara>
          </w:p>
        </w:tc>
        <w:tc>
          <w:tcPr>
            <w:tcW w:w="851" w:type="dxa"/>
            <w:tcBorders>
              <w:top w:val="single" w:sz="4" w:space="0" w:color="auto"/>
              <w:bottom w:val="single" w:sz="4" w:space="0" w:color="auto"/>
            </w:tcBorders>
          </w:tcPr>
          <w:p w14:paraId="1B89D851" w14:textId="77777777" w:rsidR="00137B6E" w:rsidRPr="005A6293" w:rsidRDefault="0019011F" w:rsidP="00434061">
            <w:pPr>
              <w:cnfStyle w:val="000000100000" w:firstRow="0" w:lastRow="0" w:firstColumn="0" w:lastColumn="0" w:oddVBand="0" w:evenVBand="0" w:oddHBand="1" w:evenHBand="0" w:firstRowFirstColumn="0" w:firstRowLastColumn="0" w:lastRowFirstColumn="0" w:lastRowLastColumn="0"/>
              <w:rPr>
                <w:i/>
              </w:rPr>
            </w:pPr>
            <m:oMathPara>
              <m:oMath>
                <m:sSub>
                  <m:sSubPr>
                    <m:ctrlPr>
                      <w:rPr>
                        <w:rFonts w:ascii="Cambria Math" w:hAnsi="Cambria Math"/>
                        <w:i/>
                      </w:rPr>
                    </m:ctrlPr>
                  </m:sSubPr>
                  <m:e>
                    <m:r>
                      <w:rPr>
                        <w:rFonts w:ascii="Cambria Math" w:hAnsi="Cambria Math"/>
                      </w:rPr>
                      <m:t>u</m:t>
                    </m:r>
                  </m:e>
                  <m:sub>
                    <m:r>
                      <w:rPr>
                        <w:rFonts w:ascii="Cambria Math" w:hAnsi="Cambria Math"/>
                      </w:rPr>
                      <m:t>s</m:t>
                    </m:r>
                  </m:sub>
                </m:sSub>
              </m:oMath>
            </m:oMathPara>
          </w:p>
        </w:tc>
        <w:tc>
          <w:tcPr>
            <w:tcW w:w="851" w:type="dxa"/>
            <w:tcBorders>
              <w:top w:val="single" w:sz="4" w:space="0" w:color="auto"/>
              <w:bottom w:val="single" w:sz="4" w:space="0" w:color="auto"/>
              <w:right w:val="single" w:sz="4" w:space="0" w:color="auto"/>
            </w:tcBorders>
          </w:tcPr>
          <w:p w14:paraId="123C496F" w14:textId="77777777" w:rsidR="00137B6E" w:rsidRPr="005A6293" w:rsidRDefault="0019011F" w:rsidP="00434061">
            <w:pPr>
              <w:cnfStyle w:val="000000100000" w:firstRow="0" w:lastRow="0" w:firstColumn="0" w:lastColumn="0" w:oddVBand="0" w:evenVBand="0" w:oddHBand="1" w:evenHBand="0" w:firstRowFirstColumn="0" w:firstRowLastColumn="0" w:lastRowFirstColumn="0" w:lastRowLastColumn="0"/>
              <w:rPr>
                <w:i/>
              </w:rPr>
            </w:pPr>
            <m:oMathPara>
              <m:oMath>
                <m:sSub>
                  <m:sSubPr>
                    <m:ctrlPr>
                      <w:rPr>
                        <w:rFonts w:ascii="Cambria Math" w:hAnsi="Cambria Math"/>
                        <w:i/>
                      </w:rPr>
                    </m:ctrlPr>
                  </m:sSubPr>
                  <m:e>
                    <m:r>
                      <w:rPr>
                        <w:rFonts w:ascii="Cambria Math" w:hAnsi="Cambria Math"/>
                      </w:rPr>
                      <m:t>Q</m:t>
                    </m:r>
                  </m:e>
                  <m:sub>
                    <m:r>
                      <w:rPr>
                        <w:rFonts w:ascii="Cambria Math" w:hAnsi="Cambria Math"/>
                      </w:rPr>
                      <m:t>s</m:t>
                    </m:r>
                  </m:sub>
                </m:sSub>
              </m:oMath>
            </m:oMathPara>
          </w:p>
        </w:tc>
        <w:tc>
          <w:tcPr>
            <w:tcW w:w="851" w:type="dxa"/>
            <w:tcBorders>
              <w:top w:val="single" w:sz="4" w:space="0" w:color="auto"/>
              <w:left w:val="single" w:sz="4" w:space="0" w:color="auto"/>
              <w:bottom w:val="single" w:sz="4" w:space="0" w:color="auto"/>
            </w:tcBorders>
          </w:tcPr>
          <w:p w14:paraId="2DD9EF08" w14:textId="77777777" w:rsidR="00137B6E" w:rsidRPr="005A6293" w:rsidRDefault="0019011F" w:rsidP="00434061">
            <w:pPr>
              <w:cnfStyle w:val="000000100000" w:firstRow="0" w:lastRow="0" w:firstColumn="0" w:lastColumn="0" w:oddVBand="0" w:evenVBand="0" w:oddHBand="1" w:evenHBand="0" w:firstRowFirstColumn="0" w:firstRowLastColumn="0" w:lastRowFirstColumn="0" w:lastRowLastColumn="0"/>
              <w:rPr>
                <w:i/>
              </w:rPr>
            </w:pPr>
            <m:oMathPara>
              <m:oMath>
                <m:sSup>
                  <m:sSupPr>
                    <m:ctrlPr>
                      <w:rPr>
                        <w:rFonts w:ascii="Cambria Math" w:hAnsi="Cambria Math"/>
                        <w:i/>
                      </w:rPr>
                    </m:ctrlPr>
                  </m:sSupPr>
                  <m:e>
                    <m:r>
                      <w:rPr>
                        <w:rFonts w:ascii="Cambria Math" w:hAnsi="Cambria Math"/>
                      </w:rPr>
                      <m:t>G</m:t>
                    </m:r>
                  </m:e>
                  <m:sup>
                    <m:r>
                      <w:rPr>
                        <w:rFonts w:ascii="Cambria Math" w:hAnsi="Cambria Math"/>
                      </w:rPr>
                      <m:t>h</m:t>
                    </m:r>
                  </m:sup>
                </m:sSup>
              </m:oMath>
            </m:oMathPara>
          </w:p>
        </w:tc>
      </w:tr>
      <w:tr w:rsidR="00137B6E" w:rsidRPr="005A6293" w14:paraId="6FB9277D" w14:textId="77777777" w:rsidTr="001D79D6">
        <w:tc>
          <w:tcPr>
            <w:cnfStyle w:val="001000000000" w:firstRow="0" w:lastRow="0" w:firstColumn="1" w:lastColumn="0" w:oddVBand="0" w:evenVBand="0" w:oddHBand="0" w:evenHBand="0" w:firstRowFirstColumn="0" w:firstRowLastColumn="0" w:lastRowFirstColumn="0" w:lastRowLastColumn="0"/>
            <w:tcW w:w="1230" w:type="dxa"/>
            <w:tcBorders>
              <w:top w:val="single" w:sz="4" w:space="0" w:color="auto"/>
            </w:tcBorders>
          </w:tcPr>
          <w:p w14:paraId="3AA15F50" w14:textId="77777777" w:rsidR="00137B6E" w:rsidRPr="005A6293" w:rsidRDefault="00137B6E" w:rsidP="00434061">
            <w:pPr>
              <w:rPr>
                <w:b w:val="0"/>
                <w:bCs w:val="0"/>
              </w:rPr>
            </w:pPr>
            <w:r w:rsidRPr="005A6293">
              <w:rPr>
                <w:b w:val="0"/>
                <w:bCs w:val="0"/>
              </w:rPr>
              <w:t>Kenya</w:t>
            </w:r>
          </w:p>
        </w:tc>
        <w:tc>
          <w:tcPr>
            <w:tcW w:w="450" w:type="dxa"/>
            <w:tcBorders>
              <w:top w:val="single" w:sz="4" w:space="0" w:color="auto"/>
            </w:tcBorders>
          </w:tcPr>
          <w:p w14:paraId="5BD24059"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w:t>
            </w:r>
          </w:p>
        </w:tc>
        <w:tc>
          <w:tcPr>
            <w:tcW w:w="851" w:type="dxa"/>
            <w:tcBorders>
              <w:top w:val="single" w:sz="4" w:space="0" w:color="auto"/>
            </w:tcBorders>
          </w:tcPr>
          <w:p w14:paraId="2BFB90B1"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0.00</w:t>
            </w:r>
          </w:p>
        </w:tc>
        <w:tc>
          <w:tcPr>
            <w:tcW w:w="851" w:type="dxa"/>
            <w:tcBorders>
              <w:top w:val="single" w:sz="4" w:space="0" w:color="auto"/>
              <w:right w:val="single" w:sz="4" w:space="0" w:color="auto"/>
            </w:tcBorders>
          </w:tcPr>
          <w:p w14:paraId="6CEAA187"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0.246</w:t>
            </w:r>
          </w:p>
        </w:tc>
        <w:tc>
          <w:tcPr>
            <w:tcW w:w="851" w:type="dxa"/>
            <w:tcBorders>
              <w:top w:val="single" w:sz="4" w:space="0" w:color="auto"/>
              <w:left w:val="single" w:sz="4" w:space="0" w:color="auto"/>
            </w:tcBorders>
          </w:tcPr>
          <w:p w14:paraId="00439FF9"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1</w:t>
            </w:r>
          </w:p>
        </w:tc>
        <w:tc>
          <w:tcPr>
            <w:tcW w:w="851" w:type="dxa"/>
            <w:tcBorders>
              <w:top w:val="single" w:sz="4" w:space="0" w:color="auto"/>
            </w:tcBorders>
          </w:tcPr>
          <w:p w14:paraId="3D5CC489"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0.2</w:t>
            </w:r>
          </w:p>
        </w:tc>
        <w:tc>
          <w:tcPr>
            <w:tcW w:w="851" w:type="dxa"/>
            <w:tcBorders>
              <w:top w:val="single" w:sz="4" w:space="0" w:color="auto"/>
            </w:tcBorders>
          </w:tcPr>
          <w:p w14:paraId="2AEC94A3"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0.2</w:t>
            </w:r>
          </w:p>
        </w:tc>
        <w:tc>
          <w:tcPr>
            <w:tcW w:w="851" w:type="dxa"/>
            <w:tcBorders>
              <w:top w:val="single" w:sz="4" w:space="0" w:color="auto"/>
            </w:tcBorders>
          </w:tcPr>
          <w:p w14:paraId="510F0369"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0.000</w:t>
            </w:r>
          </w:p>
        </w:tc>
        <w:tc>
          <w:tcPr>
            <w:tcW w:w="851" w:type="dxa"/>
            <w:tcBorders>
              <w:top w:val="single" w:sz="4" w:space="0" w:color="auto"/>
            </w:tcBorders>
          </w:tcPr>
          <w:p w14:paraId="4802B6F3"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0.000</w:t>
            </w:r>
          </w:p>
        </w:tc>
        <w:tc>
          <w:tcPr>
            <w:tcW w:w="851" w:type="dxa"/>
            <w:tcBorders>
              <w:top w:val="single" w:sz="4" w:space="0" w:color="auto"/>
              <w:right w:val="single" w:sz="4" w:space="0" w:color="auto"/>
            </w:tcBorders>
          </w:tcPr>
          <w:p w14:paraId="2B316005"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0.000</w:t>
            </w:r>
          </w:p>
        </w:tc>
        <w:tc>
          <w:tcPr>
            <w:tcW w:w="851" w:type="dxa"/>
            <w:tcBorders>
              <w:top w:val="single" w:sz="4" w:space="0" w:color="auto"/>
              <w:left w:val="single" w:sz="4" w:space="0" w:color="auto"/>
            </w:tcBorders>
          </w:tcPr>
          <w:p w14:paraId="203D6E32"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0.290</w:t>
            </w:r>
          </w:p>
        </w:tc>
      </w:tr>
      <w:tr w:rsidR="00137B6E" w:rsidRPr="005A6293" w14:paraId="7BFF223B" w14:textId="77777777" w:rsidTr="001D7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0" w:type="dxa"/>
          </w:tcPr>
          <w:p w14:paraId="2D2CD083" w14:textId="77777777" w:rsidR="00137B6E" w:rsidRPr="005A6293" w:rsidRDefault="00137B6E" w:rsidP="00434061">
            <w:pPr>
              <w:rPr>
                <w:b w:val="0"/>
                <w:bCs w:val="0"/>
              </w:rPr>
            </w:pPr>
            <w:r w:rsidRPr="005A6293">
              <w:rPr>
                <w:b w:val="0"/>
                <w:bCs w:val="0"/>
              </w:rPr>
              <w:t>female</w:t>
            </w:r>
          </w:p>
        </w:tc>
        <w:tc>
          <w:tcPr>
            <w:tcW w:w="450" w:type="dxa"/>
          </w:tcPr>
          <w:p w14:paraId="2B47ECDC"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1</w:t>
            </w:r>
          </w:p>
        </w:tc>
        <w:tc>
          <w:tcPr>
            <w:tcW w:w="851" w:type="dxa"/>
          </w:tcPr>
          <w:p w14:paraId="01568167"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4.20</w:t>
            </w:r>
          </w:p>
        </w:tc>
        <w:tc>
          <w:tcPr>
            <w:tcW w:w="851" w:type="dxa"/>
            <w:tcBorders>
              <w:right w:val="single" w:sz="4" w:space="0" w:color="auto"/>
            </w:tcBorders>
          </w:tcPr>
          <w:p w14:paraId="6EAEF8D9"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0.503</w:t>
            </w:r>
          </w:p>
        </w:tc>
        <w:tc>
          <w:tcPr>
            <w:tcW w:w="851" w:type="dxa"/>
            <w:tcBorders>
              <w:left w:val="single" w:sz="4" w:space="0" w:color="auto"/>
            </w:tcBorders>
          </w:tcPr>
          <w:p w14:paraId="498D9205"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2</w:t>
            </w:r>
          </w:p>
        </w:tc>
        <w:tc>
          <w:tcPr>
            <w:tcW w:w="851" w:type="dxa"/>
          </w:tcPr>
          <w:p w14:paraId="5727B27D"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0.2</w:t>
            </w:r>
          </w:p>
        </w:tc>
        <w:tc>
          <w:tcPr>
            <w:tcW w:w="851" w:type="dxa"/>
          </w:tcPr>
          <w:p w14:paraId="28F75C19"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0.4</w:t>
            </w:r>
          </w:p>
        </w:tc>
        <w:tc>
          <w:tcPr>
            <w:tcW w:w="851" w:type="dxa"/>
          </w:tcPr>
          <w:p w14:paraId="3494FA22"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0.647</w:t>
            </w:r>
          </w:p>
        </w:tc>
        <w:tc>
          <w:tcPr>
            <w:tcW w:w="851" w:type="dxa"/>
          </w:tcPr>
          <w:p w14:paraId="524CB607"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0.647</w:t>
            </w:r>
          </w:p>
        </w:tc>
        <w:tc>
          <w:tcPr>
            <w:tcW w:w="851" w:type="dxa"/>
            <w:tcBorders>
              <w:right w:val="single" w:sz="4" w:space="0" w:color="auto"/>
            </w:tcBorders>
          </w:tcPr>
          <w:p w14:paraId="63F015EA"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0.274</w:t>
            </w:r>
          </w:p>
        </w:tc>
        <w:tc>
          <w:tcPr>
            <w:tcW w:w="851" w:type="dxa"/>
            <w:tcBorders>
              <w:left w:val="single" w:sz="4" w:space="0" w:color="auto"/>
            </w:tcBorders>
          </w:tcPr>
          <w:p w14:paraId="0C859704"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p>
        </w:tc>
      </w:tr>
      <w:tr w:rsidR="00137B6E" w:rsidRPr="005A6293" w14:paraId="3EC2AD51" w14:textId="77777777" w:rsidTr="001D79D6">
        <w:tc>
          <w:tcPr>
            <w:cnfStyle w:val="001000000000" w:firstRow="0" w:lastRow="0" w:firstColumn="1" w:lastColumn="0" w:oddVBand="0" w:evenVBand="0" w:oddHBand="0" w:evenHBand="0" w:firstRowFirstColumn="0" w:firstRowLastColumn="0" w:lastRowFirstColumn="0" w:lastRowLastColumn="0"/>
            <w:tcW w:w="1230" w:type="dxa"/>
          </w:tcPr>
          <w:p w14:paraId="05D130F7" w14:textId="77777777" w:rsidR="00137B6E" w:rsidRPr="005A6293" w:rsidRDefault="00137B6E" w:rsidP="00434061">
            <w:pPr>
              <w:rPr>
                <w:b w:val="0"/>
                <w:bCs w:val="0"/>
              </w:rPr>
            </w:pPr>
            <w:r w:rsidRPr="005A6293">
              <w:rPr>
                <w:b w:val="0"/>
                <w:bCs w:val="0"/>
              </w:rPr>
              <w:t>2005</w:t>
            </w:r>
          </w:p>
        </w:tc>
        <w:tc>
          <w:tcPr>
            <w:tcW w:w="450" w:type="dxa"/>
          </w:tcPr>
          <w:p w14:paraId="45502D33"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2</w:t>
            </w:r>
          </w:p>
        </w:tc>
        <w:tc>
          <w:tcPr>
            <w:tcW w:w="851" w:type="dxa"/>
          </w:tcPr>
          <w:p w14:paraId="2FE2E395"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1.18</w:t>
            </w:r>
          </w:p>
        </w:tc>
        <w:tc>
          <w:tcPr>
            <w:tcW w:w="851" w:type="dxa"/>
            <w:tcBorders>
              <w:right w:val="single" w:sz="4" w:space="0" w:color="auto"/>
            </w:tcBorders>
          </w:tcPr>
          <w:p w14:paraId="2E418DBE"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0.208</w:t>
            </w:r>
          </w:p>
        </w:tc>
        <w:tc>
          <w:tcPr>
            <w:tcW w:w="851" w:type="dxa"/>
            <w:tcBorders>
              <w:left w:val="single" w:sz="4" w:space="0" w:color="auto"/>
            </w:tcBorders>
          </w:tcPr>
          <w:p w14:paraId="23E777DC"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3</w:t>
            </w:r>
          </w:p>
        </w:tc>
        <w:tc>
          <w:tcPr>
            <w:tcW w:w="851" w:type="dxa"/>
          </w:tcPr>
          <w:p w14:paraId="01EDF17E"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0.2</w:t>
            </w:r>
          </w:p>
        </w:tc>
        <w:tc>
          <w:tcPr>
            <w:tcW w:w="851" w:type="dxa"/>
          </w:tcPr>
          <w:p w14:paraId="20561597"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0.6</w:t>
            </w:r>
          </w:p>
        </w:tc>
        <w:tc>
          <w:tcPr>
            <w:tcW w:w="851" w:type="dxa"/>
          </w:tcPr>
          <w:p w14:paraId="2186F8C8"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0.840</w:t>
            </w:r>
          </w:p>
        </w:tc>
        <w:tc>
          <w:tcPr>
            <w:tcW w:w="851" w:type="dxa"/>
          </w:tcPr>
          <w:p w14:paraId="5202E09B"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1.487</w:t>
            </w:r>
          </w:p>
        </w:tc>
        <w:tc>
          <w:tcPr>
            <w:tcW w:w="851" w:type="dxa"/>
            <w:tcBorders>
              <w:right w:val="single" w:sz="4" w:space="0" w:color="auto"/>
            </w:tcBorders>
          </w:tcPr>
          <w:p w14:paraId="536F6CE1"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0.629</w:t>
            </w:r>
          </w:p>
        </w:tc>
        <w:tc>
          <w:tcPr>
            <w:tcW w:w="851" w:type="dxa"/>
            <w:tcBorders>
              <w:left w:val="single" w:sz="4" w:space="0" w:color="auto"/>
            </w:tcBorders>
          </w:tcPr>
          <w:p w14:paraId="74B0D405"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p>
        </w:tc>
      </w:tr>
      <w:tr w:rsidR="00137B6E" w:rsidRPr="005A6293" w14:paraId="56F6EE91" w14:textId="77777777" w:rsidTr="001D7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0" w:type="dxa"/>
          </w:tcPr>
          <w:p w14:paraId="4D7FCCAC" w14:textId="77777777" w:rsidR="00137B6E" w:rsidRPr="005A6293" w:rsidRDefault="00137B6E" w:rsidP="00434061">
            <w:pPr>
              <w:rPr>
                <w:b w:val="0"/>
                <w:bCs w:val="0"/>
              </w:rPr>
            </w:pPr>
          </w:p>
        </w:tc>
        <w:tc>
          <w:tcPr>
            <w:tcW w:w="450" w:type="dxa"/>
          </w:tcPr>
          <w:p w14:paraId="3ADBD0EE"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3</w:t>
            </w:r>
          </w:p>
        </w:tc>
        <w:tc>
          <w:tcPr>
            <w:tcW w:w="851" w:type="dxa"/>
          </w:tcPr>
          <w:p w14:paraId="1DEB0A43"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0.13</w:t>
            </w:r>
          </w:p>
        </w:tc>
        <w:tc>
          <w:tcPr>
            <w:tcW w:w="851" w:type="dxa"/>
            <w:tcBorders>
              <w:right w:val="single" w:sz="4" w:space="0" w:color="auto"/>
            </w:tcBorders>
          </w:tcPr>
          <w:p w14:paraId="5CF570F9"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0.044</w:t>
            </w:r>
          </w:p>
        </w:tc>
        <w:tc>
          <w:tcPr>
            <w:tcW w:w="851" w:type="dxa"/>
            <w:tcBorders>
              <w:left w:val="single" w:sz="4" w:space="0" w:color="auto"/>
            </w:tcBorders>
          </w:tcPr>
          <w:p w14:paraId="4EFBE8FB"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4</w:t>
            </w:r>
          </w:p>
        </w:tc>
        <w:tc>
          <w:tcPr>
            <w:tcW w:w="851" w:type="dxa"/>
          </w:tcPr>
          <w:p w14:paraId="3125CDEF"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0.2</w:t>
            </w:r>
          </w:p>
        </w:tc>
        <w:tc>
          <w:tcPr>
            <w:tcW w:w="851" w:type="dxa"/>
          </w:tcPr>
          <w:p w14:paraId="125A211E"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0.8</w:t>
            </w:r>
          </w:p>
        </w:tc>
        <w:tc>
          <w:tcPr>
            <w:tcW w:w="851" w:type="dxa"/>
          </w:tcPr>
          <w:p w14:paraId="26B546D4"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0.686</w:t>
            </w:r>
          </w:p>
        </w:tc>
        <w:tc>
          <w:tcPr>
            <w:tcW w:w="851" w:type="dxa"/>
          </w:tcPr>
          <w:p w14:paraId="136AFF12"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2.173</w:t>
            </w:r>
          </w:p>
        </w:tc>
        <w:tc>
          <w:tcPr>
            <w:tcW w:w="851" w:type="dxa"/>
            <w:tcBorders>
              <w:right w:val="single" w:sz="4" w:space="0" w:color="auto"/>
            </w:tcBorders>
          </w:tcPr>
          <w:p w14:paraId="0AC81708"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0.919</w:t>
            </w:r>
          </w:p>
        </w:tc>
        <w:tc>
          <w:tcPr>
            <w:tcW w:w="851" w:type="dxa"/>
            <w:tcBorders>
              <w:left w:val="single" w:sz="4" w:space="0" w:color="auto"/>
            </w:tcBorders>
          </w:tcPr>
          <w:p w14:paraId="392837F1"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p>
        </w:tc>
      </w:tr>
      <w:tr w:rsidR="00137B6E" w:rsidRPr="005A6293" w14:paraId="436983D8" w14:textId="77777777" w:rsidTr="001D79D6">
        <w:tc>
          <w:tcPr>
            <w:cnfStyle w:val="001000000000" w:firstRow="0" w:lastRow="0" w:firstColumn="1" w:lastColumn="0" w:oddVBand="0" w:evenVBand="0" w:oddHBand="0" w:evenHBand="0" w:firstRowFirstColumn="0" w:firstRowLastColumn="0" w:lastRowFirstColumn="0" w:lastRowLastColumn="0"/>
            <w:tcW w:w="1230" w:type="dxa"/>
          </w:tcPr>
          <w:p w14:paraId="5A2B1E98" w14:textId="77777777" w:rsidR="00137B6E" w:rsidRPr="005A6293" w:rsidRDefault="00137B6E" w:rsidP="00434061">
            <w:pPr>
              <w:rPr>
                <w:b w:val="0"/>
                <w:bCs w:val="0"/>
              </w:rPr>
            </w:pPr>
          </w:p>
        </w:tc>
        <w:tc>
          <w:tcPr>
            <w:tcW w:w="450" w:type="dxa"/>
          </w:tcPr>
          <w:p w14:paraId="434198F7"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p>
        </w:tc>
        <w:tc>
          <w:tcPr>
            <w:tcW w:w="851" w:type="dxa"/>
          </w:tcPr>
          <w:p w14:paraId="46961D36"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p>
        </w:tc>
        <w:tc>
          <w:tcPr>
            <w:tcW w:w="851" w:type="dxa"/>
            <w:tcBorders>
              <w:right w:val="single" w:sz="4" w:space="0" w:color="auto"/>
            </w:tcBorders>
          </w:tcPr>
          <w:p w14:paraId="07EB8686"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p>
        </w:tc>
        <w:tc>
          <w:tcPr>
            <w:tcW w:w="851" w:type="dxa"/>
            <w:tcBorders>
              <w:left w:val="single" w:sz="4" w:space="0" w:color="auto"/>
            </w:tcBorders>
          </w:tcPr>
          <w:p w14:paraId="7194775A"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5</w:t>
            </w:r>
          </w:p>
        </w:tc>
        <w:tc>
          <w:tcPr>
            <w:tcW w:w="851" w:type="dxa"/>
          </w:tcPr>
          <w:p w14:paraId="67B3AC22"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0.2</w:t>
            </w:r>
          </w:p>
        </w:tc>
        <w:tc>
          <w:tcPr>
            <w:tcW w:w="851" w:type="dxa"/>
          </w:tcPr>
          <w:p w14:paraId="72DF78AE"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1.0</w:t>
            </w:r>
          </w:p>
        </w:tc>
        <w:tc>
          <w:tcPr>
            <w:tcW w:w="851" w:type="dxa"/>
          </w:tcPr>
          <w:p w14:paraId="02258D5F"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0.191</w:t>
            </w:r>
          </w:p>
        </w:tc>
        <w:tc>
          <w:tcPr>
            <w:tcW w:w="851" w:type="dxa"/>
          </w:tcPr>
          <w:p w14:paraId="75AD2730"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2.364</w:t>
            </w:r>
          </w:p>
        </w:tc>
        <w:tc>
          <w:tcPr>
            <w:tcW w:w="851" w:type="dxa"/>
            <w:tcBorders>
              <w:right w:val="single" w:sz="4" w:space="0" w:color="auto"/>
            </w:tcBorders>
          </w:tcPr>
          <w:p w14:paraId="0EC546B1"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1.000</w:t>
            </w:r>
          </w:p>
        </w:tc>
        <w:tc>
          <w:tcPr>
            <w:tcW w:w="851" w:type="dxa"/>
            <w:tcBorders>
              <w:left w:val="single" w:sz="4" w:space="0" w:color="auto"/>
            </w:tcBorders>
          </w:tcPr>
          <w:p w14:paraId="4135AE38"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p>
        </w:tc>
      </w:tr>
      <w:tr w:rsidR="00137B6E" w:rsidRPr="005A6293" w14:paraId="134B0E29" w14:textId="77777777" w:rsidTr="001D7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0" w:type="dxa"/>
          </w:tcPr>
          <w:p w14:paraId="41F3C5B8" w14:textId="77777777" w:rsidR="00137B6E" w:rsidRPr="005A6293" w:rsidRDefault="00137B6E" w:rsidP="00434061">
            <w:pPr>
              <w:rPr>
                <w:b w:val="0"/>
                <w:bCs w:val="0"/>
              </w:rPr>
            </w:pPr>
          </w:p>
        </w:tc>
        <w:tc>
          <w:tcPr>
            <w:tcW w:w="450" w:type="dxa"/>
          </w:tcPr>
          <w:p w14:paraId="3FF4EBED"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p>
        </w:tc>
        <w:tc>
          <w:tcPr>
            <w:tcW w:w="851" w:type="dxa"/>
          </w:tcPr>
          <w:p w14:paraId="320BB2E6"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p>
        </w:tc>
        <w:tc>
          <w:tcPr>
            <w:tcW w:w="851" w:type="dxa"/>
            <w:tcBorders>
              <w:right w:val="single" w:sz="4" w:space="0" w:color="auto"/>
            </w:tcBorders>
          </w:tcPr>
          <w:p w14:paraId="05DAE631"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p>
        </w:tc>
        <w:tc>
          <w:tcPr>
            <w:tcW w:w="851" w:type="dxa"/>
            <w:tcBorders>
              <w:left w:val="single" w:sz="4" w:space="0" w:color="auto"/>
            </w:tcBorders>
          </w:tcPr>
          <w:p w14:paraId="39BDA7F7"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p>
        </w:tc>
        <w:tc>
          <w:tcPr>
            <w:tcW w:w="851" w:type="dxa"/>
          </w:tcPr>
          <w:p w14:paraId="3BE1711E"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p>
        </w:tc>
        <w:tc>
          <w:tcPr>
            <w:tcW w:w="851" w:type="dxa"/>
          </w:tcPr>
          <w:p w14:paraId="52BD6330"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p>
        </w:tc>
        <w:tc>
          <w:tcPr>
            <w:tcW w:w="851" w:type="dxa"/>
          </w:tcPr>
          <w:p w14:paraId="469319BB"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p>
        </w:tc>
        <w:tc>
          <w:tcPr>
            <w:tcW w:w="851" w:type="dxa"/>
          </w:tcPr>
          <w:p w14:paraId="144EE6FD"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p>
        </w:tc>
        <w:tc>
          <w:tcPr>
            <w:tcW w:w="851" w:type="dxa"/>
            <w:tcBorders>
              <w:right w:val="single" w:sz="4" w:space="0" w:color="auto"/>
            </w:tcBorders>
          </w:tcPr>
          <w:p w14:paraId="32003966"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p>
        </w:tc>
        <w:tc>
          <w:tcPr>
            <w:tcW w:w="851" w:type="dxa"/>
            <w:tcBorders>
              <w:left w:val="single" w:sz="4" w:space="0" w:color="auto"/>
            </w:tcBorders>
          </w:tcPr>
          <w:p w14:paraId="4DA6CE74"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p>
        </w:tc>
      </w:tr>
      <w:tr w:rsidR="00137B6E" w:rsidRPr="005A6293" w14:paraId="04BC851D" w14:textId="77777777" w:rsidTr="001D79D6">
        <w:tc>
          <w:tcPr>
            <w:cnfStyle w:val="001000000000" w:firstRow="0" w:lastRow="0" w:firstColumn="1" w:lastColumn="0" w:oddVBand="0" w:evenVBand="0" w:oddHBand="0" w:evenHBand="0" w:firstRowFirstColumn="0" w:firstRowLastColumn="0" w:lastRowFirstColumn="0" w:lastRowLastColumn="0"/>
            <w:tcW w:w="1230" w:type="dxa"/>
          </w:tcPr>
          <w:p w14:paraId="416B0274" w14:textId="77777777" w:rsidR="00137B6E" w:rsidRPr="005A6293" w:rsidRDefault="00137B6E" w:rsidP="00434061">
            <w:pPr>
              <w:rPr>
                <w:b w:val="0"/>
                <w:bCs w:val="0"/>
              </w:rPr>
            </w:pPr>
            <w:r w:rsidRPr="005A6293">
              <w:rPr>
                <w:b w:val="0"/>
                <w:bCs w:val="0"/>
              </w:rPr>
              <w:t>Kenya</w:t>
            </w:r>
          </w:p>
        </w:tc>
        <w:tc>
          <w:tcPr>
            <w:tcW w:w="450" w:type="dxa"/>
          </w:tcPr>
          <w:p w14:paraId="4149E186"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w:t>
            </w:r>
          </w:p>
        </w:tc>
        <w:tc>
          <w:tcPr>
            <w:tcW w:w="851" w:type="dxa"/>
          </w:tcPr>
          <w:p w14:paraId="4A5DB329"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0.00</w:t>
            </w:r>
          </w:p>
        </w:tc>
        <w:tc>
          <w:tcPr>
            <w:tcW w:w="851" w:type="dxa"/>
            <w:tcBorders>
              <w:right w:val="single" w:sz="4" w:space="0" w:color="auto"/>
            </w:tcBorders>
          </w:tcPr>
          <w:p w14:paraId="07AF11CD"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0.162</w:t>
            </w:r>
          </w:p>
        </w:tc>
        <w:tc>
          <w:tcPr>
            <w:tcW w:w="851" w:type="dxa"/>
            <w:tcBorders>
              <w:left w:val="single" w:sz="4" w:space="0" w:color="auto"/>
            </w:tcBorders>
          </w:tcPr>
          <w:p w14:paraId="624A9A25"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1</w:t>
            </w:r>
          </w:p>
        </w:tc>
        <w:tc>
          <w:tcPr>
            <w:tcW w:w="851" w:type="dxa"/>
          </w:tcPr>
          <w:p w14:paraId="630871E1"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0.2</w:t>
            </w:r>
          </w:p>
        </w:tc>
        <w:tc>
          <w:tcPr>
            <w:tcW w:w="851" w:type="dxa"/>
          </w:tcPr>
          <w:p w14:paraId="5605A8EB"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0.2</w:t>
            </w:r>
          </w:p>
        </w:tc>
        <w:tc>
          <w:tcPr>
            <w:tcW w:w="851" w:type="dxa"/>
          </w:tcPr>
          <w:p w14:paraId="322E1397"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0.191</w:t>
            </w:r>
          </w:p>
        </w:tc>
        <w:tc>
          <w:tcPr>
            <w:tcW w:w="851" w:type="dxa"/>
          </w:tcPr>
          <w:p w14:paraId="2CB267FD"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0.191</w:t>
            </w:r>
          </w:p>
        </w:tc>
        <w:tc>
          <w:tcPr>
            <w:tcW w:w="851" w:type="dxa"/>
            <w:tcBorders>
              <w:right w:val="single" w:sz="4" w:space="0" w:color="auto"/>
            </w:tcBorders>
          </w:tcPr>
          <w:p w14:paraId="534C3079"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0.066</w:t>
            </w:r>
          </w:p>
        </w:tc>
        <w:tc>
          <w:tcPr>
            <w:tcW w:w="851" w:type="dxa"/>
            <w:tcBorders>
              <w:left w:val="single" w:sz="4" w:space="0" w:color="auto"/>
            </w:tcBorders>
          </w:tcPr>
          <w:p w14:paraId="2CEC6A73"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0.227</w:t>
            </w:r>
          </w:p>
        </w:tc>
      </w:tr>
      <w:tr w:rsidR="00137B6E" w:rsidRPr="005A6293" w14:paraId="32ED992B" w14:textId="77777777" w:rsidTr="001D7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0" w:type="dxa"/>
          </w:tcPr>
          <w:p w14:paraId="4F4B5A03" w14:textId="77777777" w:rsidR="00137B6E" w:rsidRPr="005A6293" w:rsidRDefault="00137B6E" w:rsidP="00434061">
            <w:pPr>
              <w:rPr>
                <w:b w:val="0"/>
                <w:bCs w:val="0"/>
              </w:rPr>
            </w:pPr>
            <w:r w:rsidRPr="005A6293">
              <w:rPr>
                <w:b w:val="0"/>
                <w:bCs w:val="0"/>
              </w:rPr>
              <w:t>male</w:t>
            </w:r>
          </w:p>
        </w:tc>
        <w:tc>
          <w:tcPr>
            <w:tcW w:w="450" w:type="dxa"/>
          </w:tcPr>
          <w:p w14:paraId="18C912F0"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1</w:t>
            </w:r>
          </w:p>
        </w:tc>
        <w:tc>
          <w:tcPr>
            <w:tcW w:w="851" w:type="dxa"/>
          </w:tcPr>
          <w:p w14:paraId="74E83F9A"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5.02</w:t>
            </w:r>
          </w:p>
        </w:tc>
        <w:tc>
          <w:tcPr>
            <w:tcW w:w="851" w:type="dxa"/>
            <w:tcBorders>
              <w:right w:val="single" w:sz="4" w:space="0" w:color="auto"/>
            </w:tcBorders>
          </w:tcPr>
          <w:p w14:paraId="0CDCDC8D"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0.463</w:t>
            </w:r>
          </w:p>
        </w:tc>
        <w:tc>
          <w:tcPr>
            <w:tcW w:w="851" w:type="dxa"/>
            <w:tcBorders>
              <w:left w:val="single" w:sz="4" w:space="0" w:color="auto"/>
            </w:tcBorders>
          </w:tcPr>
          <w:p w14:paraId="1005CC64"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2</w:t>
            </w:r>
          </w:p>
        </w:tc>
        <w:tc>
          <w:tcPr>
            <w:tcW w:w="851" w:type="dxa"/>
          </w:tcPr>
          <w:p w14:paraId="497ED086"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0.2</w:t>
            </w:r>
          </w:p>
        </w:tc>
        <w:tc>
          <w:tcPr>
            <w:tcW w:w="851" w:type="dxa"/>
          </w:tcPr>
          <w:p w14:paraId="2112875D"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0.4</w:t>
            </w:r>
          </w:p>
        </w:tc>
        <w:tc>
          <w:tcPr>
            <w:tcW w:w="851" w:type="dxa"/>
          </w:tcPr>
          <w:p w14:paraId="5EDFB6BA"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1.004</w:t>
            </w:r>
          </w:p>
        </w:tc>
        <w:tc>
          <w:tcPr>
            <w:tcW w:w="851" w:type="dxa"/>
          </w:tcPr>
          <w:p w14:paraId="4771E366"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1.195</w:t>
            </w:r>
          </w:p>
        </w:tc>
        <w:tc>
          <w:tcPr>
            <w:tcW w:w="851" w:type="dxa"/>
            <w:tcBorders>
              <w:right w:val="single" w:sz="4" w:space="0" w:color="auto"/>
            </w:tcBorders>
          </w:tcPr>
          <w:p w14:paraId="772D941F"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0.414</w:t>
            </w:r>
          </w:p>
        </w:tc>
        <w:tc>
          <w:tcPr>
            <w:tcW w:w="851" w:type="dxa"/>
            <w:tcBorders>
              <w:left w:val="single" w:sz="4" w:space="0" w:color="auto"/>
            </w:tcBorders>
          </w:tcPr>
          <w:p w14:paraId="2A9861D3"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p>
        </w:tc>
      </w:tr>
      <w:tr w:rsidR="00137B6E" w:rsidRPr="005A6293" w14:paraId="5E73DC3B" w14:textId="77777777" w:rsidTr="001D79D6">
        <w:tc>
          <w:tcPr>
            <w:cnfStyle w:val="001000000000" w:firstRow="0" w:lastRow="0" w:firstColumn="1" w:lastColumn="0" w:oddVBand="0" w:evenVBand="0" w:oddHBand="0" w:evenHBand="0" w:firstRowFirstColumn="0" w:firstRowLastColumn="0" w:lastRowFirstColumn="0" w:lastRowLastColumn="0"/>
            <w:tcW w:w="1230" w:type="dxa"/>
          </w:tcPr>
          <w:p w14:paraId="6019E554" w14:textId="77777777" w:rsidR="00137B6E" w:rsidRPr="005A6293" w:rsidRDefault="00137B6E" w:rsidP="00434061">
            <w:pPr>
              <w:rPr>
                <w:b w:val="0"/>
                <w:bCs w:val="0"/>
              </w:rPr>
            </w:pPr>
            <w:r w:rsidRPr="005A6293">
              <w:rPr>
                <w:b w:val="0"/>
                <w:bCs w:val="0"/>
              </w:rPr>
              <w:t>2005</w:t>
            </w:r>
          </w:p>
        </w:tc>
        <w:tc>
          <w:tcPr>
            <w:tcW w:w="450" w:type="dxa"/>
          </w:tcPr>
          <w:p w14:paraId="5C7FB822"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2</w:t>
            </w:r>
          </w:p>
        </w:tc>
        <w:tc>
          <w:tcPr>
            <w:tcW w:w="851" w:type="dxa"/>
          </w:tcPr>
          <w:p w14:paraId="2AC7CA6B"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1.77</w:t>
            </w:r>
          </w:p>
        </w:tc>
        <w:tc>
          <w:tcPr>
            <w:tcW w:w="851" w:type="dxa"/>
            <w:tcBorders>
              <w:right w:val="single" w:sz="4" w:space="0" w:color="auto"/>
            </w:tcBorders>
          </w:tcPr>
          <w:p w14:paraId="4DAD2B16"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0.309</w:t>
            </w:r>
          </w:p>
        </w:tc>
        <w:tc>
          <w:tcPr>
            <w:tcW w:w="851" w:type="dxa"/>
            <w:tcBorders>
              <w:left w:val="single" w:sz="4" w:space="0" w:color="auto"/>
            </w:tcBorders>
          </w:tcPr>
          <w:p w14:paraId="075AB806"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3</w:t>
            </w:r>
          </w:p>
        </w:tc>
        <w:tc>
          <w:tcPr>
            <w:tcW w:w="851" w:type="dxa"/>
          </w:tcPr>
          <w:p w14:paraId="3E52672A"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0.2</w:t>
            </w:r>
          </w:p>
        </w:tc>
        <w:tc>
          <w:tcPr>
            <w:tcW w:w="851" w:type="dxa"/>
          </w:tcPr>
          <w:p w14:paraId="7A4C9DCE"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0.6</w:t>
            </w:r>
          </w:p>
        </w:tc>
        <w:tc>
          <w:tcPr>
            <w:tcW w:w="851" w:type="dxa"/>
          </w:tcPr>
          <w:p w14:paraId="684EE916"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1.004</w:t>
            </w:r>
          </w:p>
        </w:tc>
        <w:tc>
          <w:tcPr>
            <w:tcW w:w="851" w:type="dxa"/>
          </w:tcPr>
          <w:p w14:paraId="3650D792"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2.199</w:t>
            </w:r>
          </w:p>
        </w:tc>
        <w:tc>
          <w:tcPr>
            <w:tcW w:w="851" w:type="dxa"/>
            <w:tcBorders>
              <w:right w:val="single" w:sz="4" w:space="0" w:color="auto"/>
            </w:tcBorders>
          </w:tcPr>
          <w:p w14:paraId="566AC910"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0.762</w:t>
            </w:r>
          </w:p>
        </w:tc>
        <w:tc>
          <w:tcPr>
            <w:tcW w:w="851" w:type="dxa"/>
            <w:tcBorders>
              <w:left w:val="single" w:sz="4" w:space="0" w:color="auto"/>
            </w:tcBorders>
          </w:tcPr>
          <w:p w14:paraId="59B06086"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p>
        </w:tc>
      </w:tr>
      <w:tr w:rsidR="00137B6E" w:rsidRPr="005A6293" w14:paraId="47455911" w14:textId="77777777" w:rsidTr="001D79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0" w:type="dxa"/>
          </w:tcPr>
          <w:p w14:paraId="1DD49E53" w14:textId="77777777" w:rsidR="00137B6E" w:rsidRPr="005A6293" w:rsidRDefault="00137B6E" w:rsidP="00434061">
            <w:pPr>
              <w:rPr>
                <w:b w:val="0"/>
                <w:bCs w:val="0"/>
              </w:rPr>
            </w:pPr>
          </w:p>
        </w:tc>
        <w:tc>
          <w:tcPr>
            <w:tcW w:w="450" w:type="dxa"/>
          </w:tcPr>
          <w:p w14:paraId="00CA964C"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3</w:t>
            </w:r>
          </w:p>
        </w:tc>
        <w:tc>
          <w:tcPr>
            <w:tcW w:w="851" w:type="dxa"/>
          </w:tcPr>
          <w:p w14:paraId="76F4814D"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0.21</w:t>
            </w:r>
          </w:p>
        </w:tc>
        <w:tc>
          <w:tcPr>
            <w:tcW w:w="851" w:type="dxa"/>
            <w:tcBorders>
              <w:right w:val="single" w:sz="4" w:space="0" w:color="auto"/>
            </w:tcBorders>
          </w:tcPr>
          <w:p w14:paraId="1D1160CF"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0.066</w:t>
            </w:r>
          </w:p>
        </w:tc>
        <w:tc>
          <w:tcPr>
            <w:tcW w:w="851" w:type="dxa"/>
            <w:tcBorders>
              <w:left w:val="single" w:sz="4" w:space="0" w:color="auto"/>
            </w:tcBorders>
          </w:tcPr>
          <w:p w14:paraId="3EBBB18D"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4</w:t>
            </w:r>
          </w:p>
        </w:tc>
        <w:tc>
          <w:tcPr>
            <w:tcW w:w="851" w:type="dxa"/>
          </w:tcPr>
          <w:p w14:paraId="41974B95"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0.2</w:t>
            </w:r>
          </w:p>
        </w:tc>
        <w:tc>
          <w:tcPr>
            <w:tcW w:w="851" w:type="dxa"/>
          </w:tcPr>
          <w:p w14:paraId="643B7967"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0.8</w:t>
            </w:r>
          </w:p>
        </w:tc>
        <w:tc>
          <w:tcPr>
            <w:tcW w:w="851" w:type="dxa"/>
          </w:tcPr>
          <w:p w14:paraId="58AD624C"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0.435</w:t>
            </w:r>
          </w:p>
        </w:tc>
        <w:tc>
          <w:tcPr>
            <w:tcW w:w="851" w:type="dxa"/>
          </w:tcPr>
          <w:p w14:paraId="0EA0DD72"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2.634</w:t>
            </w:r>
          </w:p>
        </w:tc>
        <w:tc>
          <w:tcPr>
            <w:tcW w:w="851" w:type="dxa"/>
            <w:tcBorders>
              <w:right w:val="single" w:sz="4" w:space="0" w:color="auto"/>
            </w:tcBorders>
          </w:tcPr>
          <w:p w14:paraId="4C5C1E1A"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r w:rsidRPr="005A6293">
              <w:t>0.913</w:t>
            </w:r>
          </w:p>
        </w:tc>
        <w:tc>
          <w:tcPr>
            <w:tcW w:w="851" w:type="dxa"/>
            <w:tcBorders>
              <w:left w:val="single" w:sz="4" w:space="0" w:color="auto"/>
            </w:tcBorders>
          </w:tcPr>
          <w:p w14:paraId="04FBB46C" w14:textId="77777777" w:rsidR="00137B6E" w:rsidRPr="005A6293" w:rsidRDefault="00137B6E" w:rsidP="00434061">
            <w:pPr>
              <w:cnfStyle w:val="000000100000" w:firstRow="0" w:lastRow="0" w:firstColumn="0" w:lastColumn="0" w:oddVBand="0" w:evenVBand="0" w:oddHBand="1" w:evenHBand="0" w:firstRowFirstColumn="0" w:firstRowLastColumn="0" w:lastRowFirstColumn="0" w:lastRowLastColumn="0"/>
            </w:pPr>
          </w:p>
        </w:tc>
      </w:tr>
      <w:tr w:rsidR="00137B6E" w:rsidRPr="005A6293" w14:paraId="7E55C140" w14:textId="77777777" w:rsidTr="001D79D6">
        <w:tc>
          <w:tcPr>
            <w:cnfStyle w:val="001000000000" w:firstRow="0" w:lastRow="0" w:firstColumn="1" w:lastColumn="0" w:oddVBand="0" w:evenVBand="0" w:oddHBand="0" w:evenHBand="0" w:firstRowFirstColumn="0" w:firstRowLastColumn="0" w:lastRowFirstColumn="0" w:lastRowLastColumn="0"/>
            <w:tcW w:w="1230" w:type="dxa"/>
          </w:tcPr>
          <w:p w14:paraId="4A76C61B" w14:textId="77777777" w:rsidR="00137B6E" w:rsidRPr="005A6293" w:rsidRDefault="00137B6E" w:rsidP="00434061">
            <w:pPr>
              <w:rPr>
                <w:b w:val="0"/>
                <w:bCs w:val="0"/>
              </w:rPr>
            </w:pPr>
          </w:p>
        </w:tc>
        <w:tc>
          <w:tcPr>
            <w:tcW w:w="450" w:type="dxa"/>
          </w:tcPr>
          <w:p w14:paraId="499AC6FC"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p>
        </w:tc>
        <w:tc>
          <w:tcPr>
            <w:tcW w:w="851" w:type="dxa"/>
          </w:tcPr>
          <w:p w14:paraId="51D08ED5"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p>
        </w:tc>
        <w:tc>
          <w:tcPr>
            <w:tcW w:w="851" w:type="dxa"/>
            <w:tcBorders>
              <w:right w:val="single" w:sz="4" w:space="0" w:color="auto"/>
            </w:tcBorders>
          </w:tcPr>
          <w:p w14:paraId="490460B0"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p>
        </w:tc>
        <w:tc>
          <w:tcPr>
            <w:tcW w:w="851" w:type="dxa"/>
            <w:tcBorders>
              <w:left w:val="single" w:sz="4" w:space="0" w:color="auto"/>
            </w:tcBorders>
          </w:tcPr>
          <w:p w14:paraId="47FE1B93"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5</w:t>
            </w:r>
          </w:p>
        </w:tc>
        <w:tc>
          <w:tcPr>
            <w:tcW w:w="851" w:type="dxa"/>
          </w:tcPr>
          <w:p w14:paraId="7A74B5DC"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0.2</w:t>
            </w:r>
          </w:p>
        </w:tc>
        <w:tc>
          <w:tcPr>
            <w:tcW w:w="851" w:type="dxa"/>
          </w:tcPr>
          <w:p w14:paraId="6A71A27E"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1.0</w:t>
            </w:r>
          </w:p>
        </w:tc>
        <w:tc>
          <w:tcPr>
            <w:tcW w:w="851" w:type="dxa"/>
          </w:tcPr>
          <w:p w14:paraId="2473B96E"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0.251</w:t>
            </w:r>
          </w:p>
        </w:tc>
        <w:tc>
          <w:tcPr>
            <w:tcW w:w="851" w:type="dxa"/>
          </w:tcPr>
          <w:p w14:paraId="069D7BE5"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2.885</w:t>
            </w:r>
          </w:p>
        </w:tc>
        <w:tc>
          <w:tcPr>
            <w:tcW w:w="851" w:type="dxa"/>
            <w:tcBorders>
              <w:right w:val="single" w:sz="4" w:space="0" w:color="auto"/>
            </w:tcBorders>
          </w:tcPr>
          <w:p w14:paraId="62A6A5E1"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r w:rsidRPr="005A6293">
              <w:t>1.000</w:t>
            </w:r>
          </w:p>
        </w:tc>
        <w:tc>
          <w:tcPr>
            <w:tcW w:w="851" w:type="dxa"/>
            <w:tcBorders>
              <w:left w:val="single" w:sz="4" w:space="0" w:color="auto"/>
            </w:tcBorders>
          </w:tcPr>
          <w:p w14:paraId="2E369097" w14:textId="77777777" w:rsidR="00137B6E" w:rsidRPr="005A6293" w:rsidRDefault="00137B6E" w:rsidP="00434061">
            <w:pPr>
              <w:cnfStyle w:val="000000000000" w:firstRow="0" w:lastRow="0" w:firstColumn="0" w:lastColumn="0" w:oddVBand="0" w:evenVBand="0" w:oddHBand="0" w:evenHBand="0" w:firstRowFirstColumn="0" w:firstRowLastColumn="0" w:lastRowFirstColumn="0" w:lastRowLastColumn="0"/>
            </w:pPr>
          </w:p>
        </w:tc>
      </w:tr>
    </w:tbl>
    <w:p w14:paraId="3073BFEB" w14:textId="31DB641A" w:rsidR="00137B6E" w:rsidRPr="005A6293" w:rsidRDefault="001D79D6" w:rsidP="00137B6E">
      <w:pPr>
        <w:pStyle w:val="NoSpacing"/>
        <w:spacing w:line="480" w:lineRule="auto"/>
      </w:pPr>
      <w:r w:rsidRPr="005A6293">
        <w:rPr>
          <w:sz w:val="16"/>
          <w:szCs w:val="16"/>
        </w:rPr>
        <w:t>Source: Barro and Lee Dataset (2017)</w:t>
      </w:r>
    </w:p>
    <w:p w14:paraId="6515A80A" w14:textId="0FF2FEAD" w:rsidR="00082233" w:rsidRPr="005A6293" w:rsidRDefault="00082233" w:rsidP="0068257B">
      <w:pPr>
        <w:pStyle w:val="NoSpacing"/>
        <w:spacing w:line="480" w:lineRule="auto"/>
        <w:ind w:firstLine="720"/>
      </w:pPr>
      <w:r w:rsidRPr="005A6293">
        <w:t>By comparing the two Ginis, it is clear to see that males in Kenya have greater equality in education, which is denoted by the lower Gini measurement. The Gini is broken down into quintiles in the se</w:t>
      </w:r>
      <w:r w:rsidR="00517FF4" w:rsidRPr="005A6293">
        <w:t>cond to last column of table 9</w:t>
      </w:r>
      <w:r w:rsidR="007B2696" w:rsidRPr="005A6293">
        <w:t xml:space="preserve"> with </w:t>
      </w:r>
      <w:r w:rsidRPr="005A6293">
        <w:t xml:space="preserve">the measurement </w:t>
      </w:r>
      <m:oMath>
        <m:sSub>
          <m:sSubPr>
            <m:ctrlPr>
              <w:rPr>
                <w:rFonts w:ascii="Cambria Math" w:hAnsi="Cambria Math"/>
                <w:i/>
              </w:rPr>
            </m:ctrlPr>
          </m:sSubPr>
          <m:e>
            <m:r>
              <w:rPr>
                <w:rFonts w:ascii="Cambria Math" w:hAnsi="Cambria Math"/>
              </w:rPr>
              <m:t>Q</m:t>
            </m:r>
          </m:e>
          <m:sub>
            <m:r>
              <w:rPr>
                <w:rFonts w:ascii="Cambria Math" w:hAnsi="Cambria Math"/>
              </w:rPr>
              <m:t>s</m:t>
            </m:r>
          </m:sub>
        </m:sSub>
      </m:oMath>
      <w:r w:rsidRPr="005A6293">
        <w:rPr>
          <w:rFonts w:eastAsiaTheme="minorEastAsia"/>
        </w:rPr>
        <w:t>. While the low female Gini informs us that female education is also relatively equal, comparing the cumulative education obtained by each quintile (</w:t>
      </w:r>
      <m:oMath>
        <m:sSub>
          <m:sSubPr>
            <m:ctrlPr>
              <w:rPr>
                <w:rFonts w:ascii="Cambria Math" w:hAnsi="Cambria Math"/>
                <w:i/>
              </w:rPr>
            </m:ctrlPr>
          </m:sSubPr>
          <m:e>
            <m:r>
              <w:rPr>
                <w:rFonts w:ascii="Cambria Math" w:hAnsi="Cambria Math"/>
              </w:rPr>
              <m:t>Q</m:t>
            </m:r>
          </m:e>
          <m:sub>
            <m:r>
              <w:rPr>
                <w:rFonts w:ascii="Cambria Math" w:hAnsi="Cambria Math"/>
              </w:rPr>
              <m:t>s</m:t>
            </m:r>
          </m:sub>
        </m:sSub>
        <m:r>
          <w:rPr>
            <w:rFonts w:ascii="Cambria Math" w:hAnsi="Cambria Math"/>
          </w:rPr>
          <m:t>)</m:t>
        </m:r>
      </m:oMath>
      <w:r w:rsidRPr="005A6293">
        <w:rPr>
          <w:rFonts w:eastAsiaTheme="minorEastAsia"/>
        </w:rPr>
        <w:t xml:space="preserve"> informs us that most of the education is controlled by the third and fourth quintile (65%) and that there is none in the first quintile. </w:t>
      </w:r>
      <w:r w:rsidR="002D1637" w:rsidRPr="005A6293">
        <w:rPr>
          <w:rFonts w:eastAsiaTheme="minorEastAsia"/>
        </w:rPr>
        <w:t xml:space="preserve">The spread of education between quintiles equates to how equally or unequally females receive education; therefore, since the majority of education is captured by only two quintiles, I conclude that access to education is relatively unequal. </w:t>
      </w:r>
      <w:r w:rsidRPr="005A6293">
        <w:rPr>
          <w:rFonts w:eastAsiaTheme="minorEastAsia"/>
        </w:rPr>
        <w:t xml:space="preserve">Overall, the table informs us that females have a lower average number of years spent in education, the majority of female education is still concentrated in primary education, there is a higher proportion of males in education, and that males have a higher cumulative education as seen by the measurement </w:t>
      </w:r>
      <m:oMath>
        <m:sSub>
          <m:sSubPr>
            <m:ctrlPr>
              <w:rPr>
                <w:rFonts w:ascii="Cambria Math" w:hAnsi="Cambria Math"/>
                <w:i/>
              </w:rPr>
            </m:ctrlPr>
          </m:sSubPr>
          <m:e>
            <m:r>
              <w:rPr>
                <w:rFonts w:ascii="Cambria Math" w:hAnsi="Cambria Math"/>
              </w:rPr>
              <m:t>u</m:t>
            </m:r>
          </m:e>
          <m:sub>
            <m:r>
              <w:rPr>
                <w:rFonts w:ascii="Cambria Math" w:hAnsi="Cambria Math"/>
              </w:rPr>
              <m:t>s</m:t>
            </m:r>
          </m:sub>
        </m:sSub>
        <m:r>
          <w:rPr>
            <w:rFonts w:ascii="Cambria Math" w:hAnsi="Cambria Math"/>
          </w:rPr>
          <m:t xml:space="preserve">. </m:t>
        </m:r>
      </m:oMath>
    </w:p>
    <w:p w14:paraId="0ADC752E" w14:textId="58227F9C" w:rsidR="00082233" w:rsidRPr="005A6293" w:rsidRDefault="00082233" w:rsidP="0068257B">
      <w:pPr>
        <w:pStyle w:val="NoSpacing"/>
        <w:spacing w:line="480" w:lineRule="auto"/>
        <w:rPr>
          <w:rFonts w:eastAsia="Times New Roman" w:cs="Times New Roman"/>
          <w:color w:val="000000" w:themeColor="text1"/>
        </w:rPr>
      </w:pPr>
      <w:r w:rsidRPr="005A6293">
        <w:rPr>
          <w:rFonts w:eastAsia="Times New Roman" w:cs="Times New Roman"/>
          <w:color w:val="000000" w:themeColor="text1"/>
        </w:rPr>
        <w:tab/>
        <w:t>Quantitative measures such as enrollment statistics and the education Gini help to evaluate the progre</w:t>
      </w:r>
      <w:r w:rsidR="00A5326D" w:rsidRPr="005A6293">
        <w:rPr>
          <w:rFonts w:eastAsia="Times New Roman" w:cs="Times New Roman"/>
          <w:color w:val="000000" w:themeColor="text1"/>
        </w:rPr>
        <w:t xml:space="preserve">ss and fulfillment of </w:t>
      </w:r>
      <w:r w:rsidRPr="005A6293">
        <w:rPr>
          <w:rFonts w:eastAsia="Times New Roman" w:cs="Times New Roman"/>
          <w:color w:val="000000" w:themeColor="text1"/>
        </w:rPr>
        <w:t>two markers, access and attainment. The first measure, enrollment statistics, demonstrate what level of access males and females have at different levels of education, both at the</w:t>
      </w:r>
      <w:r w:rsidR="00500297" w:rsidRPr="005A6293">
        <w:rPr>
          <w:rFonts w:eastAsia="Times New Roman" w:cs="Times New Roman"/>
          <w:color w:val="000000" w:themeColor="text1"/>
        </w:rPr>
        <w:t xml:space="preserve"> national level and the </w:t>
      </w:r>
      <w:r w:rsidR="003B45C4" w:rsidRPr="005A6293">
        <w:rPr>
          <w:rFonts w:eastAsia="Times New Roman" w:cs="Times New Roman"/>
          <w:color w:val="000000" w:themeColor="text1"/>
        </w:rPr>
        <w:t>provincial</w:t>
      </w:r>
      <w:r w:rsidRPr="005A6293">
        <w:rPr>
          <w:rFonts w:eastAsia="Times New Roman" w:cs="Times New Roman"/>
          <w:color w:val="000000" w:themeColor="text1"/>
        </w:rPr>
        <w:t xml:space="preserve"> level. However, enrollment statisti</w:t>
      </w:r>
      <w:r w:rsidR="006A6355" w:rsidRPr="005A6293">
        <w:rPr>
          <w:rFonts w:eastAsia="Times New Roman" w:cs="Times New Roman"/>
          <w:color w:val="000000" w:themeColor="text1"/>
        </w:rPr>
        <w:t>cs cannot tell us more about gender</w:t>
      </w:r>
      <w:r w:rsidRPr="005A6293">
        <w:rPr>
          <w:rFonts w:eastAsia="Times New Roman" w:cs="Times New Roman"/>
          <w:color w:val="000000" w:themeColor="text1"/>
        </w:rPr>
        <w:t xml:space="preserve"> imbalances in education. The second measure employed in this paper, the education Gini, helps shed light on attai</w:t>
      </w:r>
      <w:r w:rsidR="006A6355" w:rsidRPr="005A6293">
        <w:rPr>
          <w:rFonts w:eastAsia="Times New Roman" w:cs="Times New Roman"/>
          <w:color w:val="000000" w:themeColor="text1"/>
        </w:rPr>
        <w:t>nment of education based off gender</w:t>
      </w:r>
      <w:r w:rsidRPr="005A6293">
        <w:rPr>
          <w:rFonts w:eastAsia="Times New Roman" w:cs="Times New Roman"/>
          <w:color w:val="000000" w:themeColor="text1"/>
        </w:rPr>
        <w:t>. Attainment takes into account measures such as years of schooling, investment in schooling, and other easily identifiable statistics. While these statistics prov</w:t>
      </w:r>
      <w:r w:rsidR="00F27BB9" w:rsidRPr="005A6293">
        <w:rPr>
          <w:rFonts w:eastAsia="Times New Roman" w:cs="Times New Roman"/>
          <w:color w:val="000000" w:themeColor="text1"/>
        </w:rPr>
        <w:t>ide greater understanding of gender</w:t>
      </w:r>
      <w:r w:rsidRPr="005A6293">
        <w:rPr>
          <w:rFonts w:eastAsia="Times New Roman" w:cs="Times New Roman"/>
          <w:color w:val="000000" w:themeColor="text1"/>
        </w:rPr>
        <w:t xml:space="preserve"> </w:t>
      </w:r>
      <w:r w:rsidRPr="005A6293">
        <w:rPr>
          <w:rFonts w:eastAsia="Times New Roman" w:cs="Times New Roman"/>
          <w:color w:val="000000" w:themeColor="text1"/>
        </w:rPr>
        <w:lastRenderedPageBreak/>
        <w:t>imbalances in education, they too cannot detail why there ar</w:t>
      </w:r>
      <w:r w:rsidR="00F27BB9" w:rsidRPr="005A6293">
        <w:rPr>
          <w:rFonts w:eastAsia="Times New Roman" w:cs="Times New Roman"/>
          <w:color w:val="000000" w:themeColor="text1"/>
        </w:rPr>
        <w:t>e gender</w:t>
      </w:r>
      <w:r w:rsidRPr="005A6293">
        <w:rPr>
          <w:rFonts w:eastAsia="Times New Roman" w:cs="Times New Roman"/>
          <w:color w:val="000000" w:themeColor="text1"/>
        </w:rPr>
        <w:t xml:space="preserve"> imbalances in ed</w:t>
      </w:r>
      <w:r w:rsidR="00B10915" w:rsidRPr="005A6293">
        <w:rPr>
          <w:rFonts w:eastAsia="Times New Roman" w:cs="Times New Roman"/>
          <w:color w:val="000000" w:themeColor="text1"/>
        </w:rPr>
        <w:t>ucation, just that there are</w:t>
      </w:r>
      <w:r w:rsidRPr="005A6293">
        <w:rPr>
          <w:rFonts w:eastAsia="Times New Roman" w:cs="Times New Roman"/>
          <w:color w:val="000000" w:themeColor="text1"/>
        </w:rPr>
        <w:t xml:space="preserve"> imba</w:t>
      </w:r>
      <w:r w:rsidR="00F27BB9" w:rsidRPr="005A6293">
        <w:rPr>
          <w:rFonts w:eastAsia="Times New Roman" w:cs="Times New Roman"/>
          <w:color w:val="000000" w:themeColor="text1"/>
        </w:rPr>
        <w:t xml:space="preserve">lances. </w:t>
      </w:r>
    </w:p>
    <w:p w14:paraId="30370E87" w14:textId="48B78453" w:rsidR="00510F78" w:rsidRPr="005A6293" w:rsidRDefault="00F27BB9" w:rsidP="0068257B">
      <w:pPr>
        <w:pStyle w:val="NoSpacing"/>
        <w:spacing w:line="480" w:lineRule="auto"/>
        <w:rPr>
          <w:rFonts w:eastAsia="Times New Roman" w:cs="Times New Roman"/>
          <w:bCs/>
          <w:i/>
          <w:color w:val="000000" w:themeColor="text1"/>
        </w:rPr>
      </w:pPr>
      <w:r w:rsidRPr="005A6293">
        <w:rPr>
          <w:rFonts w:eastAsia="Times New Roman" w:cs="Times New Roman"/>
          <w:bCs/>
          <w:i/>
          <w:color w:val="000000" w:themeColor="text1"/>
        </w:rPr>
        <w:t>Qualitative Measures</w:t>
      </w:r>
    </w:p>
    <w:p w14:paraId="3C54D39B" w14:textId="251CF843" w:rsidR="00082233" w:rsidRPr="005A6293" w:rsidRDefault="00082233" w:rsidP="00BA7D5A">
      <w:pPr>
        <w:pStyle w:val="NoSpacing"/>
        <w:spacing w:line="480" w:lineRule="auto"/>
        <w:rPr>
          <w:rFonts w:eastAsia="Times New Roman" w:cs="Times New Roman"/>
          <w:color w:val="000000" w:themeColor="text1"/>
        </w:rPr>
      </w:pPr>
      <w:r w:rsidRPr="005A6293">
        <w:rPr>
          <w:rFonts w:eastAsia="Times New Roman" w:cs="Times New Roman"/>
          <w:color w:val="000000" w:themeColor="text1"/>
        </w:rPr>
        <w:tab/>
        <w:t xml:space="preserve">Qualitative measures can help us unpack the last two markers of gender inequality in education, achievement and accomplishment. </w:t>
      </w:r>
      <w:r w:rsidR="00A16855">
        <w:rPr>
          <w:rFonts w:eastAsia="Times New Roman" w:cs="Times New Roman"/>
          <w:color w:val="000000" w:themeColor="text1"/>
        </w:rPr>
        <w:t>B</w:t>
      </w:r>
      <w:r w:rsidRPr="005A6293">
        <w:rPr>
          <w:rFonts w:eastAsia="Times New Roman" w:cs="Times New Roman"/>
          <w:color w:val="000000" w:themeColor="text1"/>
        </w:rPr>
        <w:t xml:space="preserve">oth markers measure more nuanced impacts of gender such as exclusion, marginalization, or differences in opportunities. While quantitative measures cannot capture these concepts, qualitative measures can and, therefore, qualitative work can </w:t>
      </w:r>
      <w:r w:rsidR="00D11A02" w:rsidRPr="005A6293">
        <w:rPr>
          <w:rFonts w:eastAsia="Times New Roman" w:cs="Times New Roman"/>
          <w:color w:val="000000" w:themeColor="text1"/>
        </w:rPr>
        <w:t xml:space="preserve">indicate why there is </w:t>
      </w:r>
      <w:r w:rsidRPr="005A6293">
        <w:rPr>
          <w:rFonts w:eastAsia="Times New Roman" w:cs="Times New Roman"/>
          <w:color w:val="000000" w:themeColor="text1"/>
        </w:rPr>
        <w:t xml:space="preserve">gender inequality whereas quantitative can </w:t>
      </w:r>
      <w:r w:rsidR="00D11A02" w:rsidRPr="005A6293">
        <w:rPr>
          <w:rFonts w:eastAsia="Times New Roman" w:cs="Times New Roman"/>
          <w:color w:val="000000" w:themeColor="text1"/>
        </w:rPr>
        <w:t>capture the result of gender inequality</w:t>
      </w:r>
      <w:r w:rsidRPr="005A6293">
        <w:rPr>
          <w:rFonts w:eastAsia="Times New Roman" w:cs="Times New Roman"/>
          <w:color w:val="000000" w:themeColor="text1"/>
        </w:rPr>
        <w:t xml:space="preserve">.  </w:t>
      </w:r>
      <w:r w:rsidR="00B95291">
        <w:rPr>
          <w:rFonts w:eastAsia="Times New Roman" w:cs="Times New Roman"/>
          <w:color w:val="000000" w:themeColor="text1"/>
        </w:rPr>
        <w:t xml:space="preserve">There are multiple qualitative examples of how gender norms influence the formal and informal mechanisms of education from Kenya. </w:t>
      </w:r>
    </w:p>
    <w:p w14:paraId="7DFF7A4F" w14:textId="004969E4" w:rsidR="00082233" w:rsidRPr="005A6293" w:rsidRDefault="00082233" w:rsidP="0068257B">
      <w:pPr>
        <w:pStyle w:val="NoSpacing"/>
        <w:tabs>
          <w:tab w:val="left" w:pos="720"/>
          <w:tab w:val="left" w:pos="1440"/>
          <w:tab w:val="left" w:pos="2160"/>
          <w:tab w:val="left" w:pos="2880"/>
          <w:tab w:val="left" w:pos="3600"/>
          <w:tab w:val="left" w:pos="4320"/>
          <w:tab w:val="left" w:pos="5040"/>
          <w:tab w:val="left" w:pos="5760"/>
          <w:tab w:val="left" w:pos="6948"/>
        </w:tabs>
        <w:spacing w:line="480" w:lineRule="auto"/>
        <w:rPr>
          <w:rFonts w:eastAsia="Times New Roman" w:cs="Times New Roman"/>
          <w:color w:val="000000" w:themeColor="text1"/>
        </w:rPr>
      </w:pPr>
      <w:r w:rsidRPr="005A6293">
        <w:rPr>
          <w:rFonts w:eastAsia="Times New Roman" w:cs="Times New Roman"/>
          <w:color w:val="000000" w:themeColor="text1"/>
        </w:rPr>
        <w:tab/>
        <w:t xml:space="preserve">Foulds’ study on the complexities of employing gender discourses in development initiatives, such as education, is a particularly salient example of </w:t>
      </w:r>
      <w:r w:rsidR="00345830" w:rsidRPr="005A6293">
        <w:rPr>
          <w:rFonts w:eastAsia="Times New Roman" w:cs="Times New Roman"/>
          <w:color w:val="000000" w:themeColor="text1"/>
        </w:rPr>
        <w:t xml:space="preserve">how formal mechanisms </w:t>
      </w:r>
      <w:r w:rsidR="00AB424B" w:rsidRPr="005A6293">
        <w:rPr>
          <w:rFonts w:eastAsia="Times New Roman" w:cs="Times New Roman"/>
          <w:color w:val="000000" w:themeColor="text1"/>
        </w:rPr>
        <w:t>of education are influenced by gender</w:t>
      </w:r>
      <w:r w:rsidRPr="005A6293">
        <w:rPr>
          <w:rFonts w:eastAsia="Times New Roman" w:cs="Times New Roman"/>
          <w:color w:val="000000" w:themeColor="text1"/>
        </w:rPr>
        <w:t xml:space="preserve">. Foulds analyzes images from textbooks in Kenya, and couples the imagery </w:t>
      </w:r>
      <w:r w:rsidR="00D96BC7" w:rsidRPr="005A6293">
        <w:rPr>
          <w:rFonts w:eastAsia="Times New Roman" w:cs="Times New Roman"/>
          <w:color w:val="000000" w:themeColor="text1"/>
        </w:rPr>
        <w:t>with student responses of</w:t>
      </w:r>
      <w:r w:rsidRPr="005A6293">
        <w:rPr>
          <w:rFonts w:eastAsia="Times New Roman" w:cs="Times New Roman"/>
          <w:color w:val="000000" w:themeColor="text1"/>
        </w:rPr>
        <w:t xml:space="preserve"> what they absorb from the teachings. The study </w:t>
      </w:r>
      <w:r w:rsidR="007E2BD7" w:rsidRPr="005A6293">
        <w:rPr>
          <w:rFonts w:eastAsia="Times New Roman" w:cs="Times New Roman"/>
          <w:color w:val="000000" w:themeColor="text1"/>
        </w:rPr>
        <w:t>has a</w:t>
      </w:r>
      <w:r w:rsidRPr="005A6293">
        <w:rPr>
          <w:rFonts w:eastAsia="Times New Roman" w:cs="Times New Roman"/>
          <w:color w:val="000000" w:themeColor="text1"/>
        </w:rPr>
        <w:t xml:space="preserve"> particular focus on how motherhood is constructed and understood both outside and</w:t>
      </w:r>
      <w:r w:rsidR="009D6910" w:rsidRPr="005A6293">
        <w:rPr>
          <w:rFonts w:eastAsia="Times New Roman" w:cs="Times New Roman"/>
          <w:color w:val="000000" w:themeColor="text1"/>
        </w:rPr>
        <w:t xml:space="preserve"> within the education system. One</w:t>
      </w:r>
      <w:r w:rsidRPr="005A6293">
        <w:rPr>
          <w:rFonts w:eastAsia="Times New Roman" w:cs="Times New Roman"/>
          <w:color w:val="000000" w:themeColor="text1"/>
        </w:rPr>
        <w:t xml:space="preserve"> image </w:t>
      </w:r>
      <w:r w:rsidR="009D6910" w:rsidRPr="005A6293">
        <w:rPr>
          <w:rFonts w:eastAsia="Times New Roman" w:cs="Times New Roman"/>
          <w:color w:val="000000" w:themeColor="text1"/>
        </w:rPr>
        <w:t xml:space="preserve">from the study </w:t>
      </w:r>
      <w:r w:rsidRPr="005A6293">
        <w:rPr>
          <w:rFonts w:eastAsia="Times New Roman" w:cs="Times New Roman"/>
          <w:color w:val="000000" w:themeColor="text1"/>
        </w:rPr>
        <w:t>depicts women voting while holding children. Foulds analyzes competing theoretical opinions on the idea of motherhood, here tied with political participation. As Foulds demonstrates, “the hidden curriculum appears in that there are no other images of women politically engaged that do not first position</w:t>
      </w:r>
      <w:r w:rsidR="00817287" w:rsidRPr="005A6293">
        <w:rPr>
          <w:rFonts w:eastAsia="Times New Roman" w:cs="Times New Roman"/>
          <w:color w:val="000000" w:themeColor="text1"/>
        </w:rPr>
        <w:t xml:space="preserve"> them as </w:t>
      </w:r>
      <w:r w:rsidR="00817287" w:rsidRPr="005A6293">
        <w:rPr>
          <w:rFonts w:eastAsia="Times New Roman" w:cs="Times New Roman"/>
          <w:color w:val="000000" w:themeColor="text1"/>
        </w:rPr>
        <w:lastRenderedPageBreak/>
        <w:t>mothers”</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37"/>
      </w:r>
      <w:r w:rsidRPr="005A6293">
        <w:rPr>
          <w:rFonts w:eastAsia="Times New Roman" w:cs="Times New Roman"/>
          <w:color w:val="000000" w:themeColor="text1"/>
        </w:rPr>
        <w:t xml:space="preserve"> The utilization of motherhood, and gender stereotypes in general, is complex due to power dynamics. One position is that the idea of a political, engaged citizen is compromised when it necessitates motherhood, while another position argues that the relegation of motherhood to subjugation denies how women have historically used “gender roles as sites for resistance and sources of empowe</w:t>
      </w:r>
      <w:r w:rsidR="00817287" w:rsidRPr="005A6293">
        <w:rPr>
          <w:rFonts w:eastAsia="Times New Roman" w:cs="Times New Roman"/>
          <w:color w:val="000000" w:themeColor="text1"/>
        </w:rPr>
        <w:t>rment”</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38"/>
      </w:r>
      <w:r w:rsidRPr="005A6293">
        <w:rPr>
          <w:rFonts w:eastAsia="Times New Roman" w:cs="Times New Roman"/>
          <w:color w:val="000000" w:themeColor="text1"/>
        </w:rPr>
        <w:t xml:space="preserve"> Foulds study does a good job demonstrating the intersection of the different categories I have presented as the main topics of qualitative studies on gender in education, while also highlighting the complexities of how gender interacts with education through different societal structures. </w:t>
      </w:r>
    </w:p>
    <w:p w14:paraId="213D311C" w14:textId="735B9F3E" w:rsidR="00082233" w:rsidRPr="005A6293" w:rsidRDefault="00082233" w:rsidP="0054494C">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Lizzi Milligan provides a</w:t>
      </w:r>
      <w:r w:rsidR="006F338E" w:rsidRPr="005A6293">
        <w:rPr>
          <w:rFonts w:eastAsia="Times New Roman" w:cs="Times New Roman"/>
          <w:color w:val="000000" w:themeColor="text1"/>
        </w:rPr>
        <w:t>nother example of how gender impacts formal mechanisms in education through gender stereotyping in course recommendations.</w:t>
      </w:r>
      <w:r w:rsidRPr="005A6293">
        <w:rPr>
          <w:rFonts w:eastAsia="Times New Roman" w:cs="Times New Roman"/>
          <w:color w:val="000000" w:themeColor="text1"/>
        </w:rPr>
        <w:t xml:space="preserve"> </w:t>
      </w:r>
      <w:r w:rsidR="006F338E" w:rsidRPr="005A6293">
        <w:rPr>
          <w:rFonts w:eastAsia="Times New Roman" w:cs="Times New Roman"/>
          <w:color w:val="000000" w:themeColor="text1"/>
        </w:rPr>
        <w:t xml:space="preserve">Her </w:t>
      </w:r>
      <w:r w:rsidRPr="005A6293">
        <w:rPr>
          <w:rFonts w:eastAsia="Times New Roman" w:cs="Times New Roman"/>
          <w:color w:val="000000" w:themeColor="text1"/>
        </w:rPr>
        <w:t>qualitative study of gender norm</w:t>
      </w:r>
      <w:r w:rsidR="00A63C4D" w:rsidRPr="005A6293">
        <w:rPr>
          <w:rFonts w:eastAsia="Times New Roman" w:cs="Times New Roman"/>
          <w:color w:val="000000" w:themeColor="text1"/>
        </w:rPr>
        <w:t>s in rural, southwest Kenya</w:t>
      </w:r>
      <w:r w:rsidRPr="005A6293">
        <w:rPr>
          <w:rFonts w:eastAsia="Times New Roman" w:cs="Times New Roman"/>
          <w:color w:val="000000" w:themeColor="text1"/>
        </w:rPr>
        <w:t xml:space="preserve"> demonstrates how gender norms influence performance in certain subjects. The study is of two secondary schools in rural Kenya, in the Kisii county. Milligan primarily analyzes teachers’ actions and attitudes at the two schools. Although each school boasts a policy that is gender-sensitive, teachers’ actions often reflect socially constructed gender norms and gender biases. One salient example comes from a girl named Faith, who participates in both interviews and an education diary provided by Milligan. It is clear from the diary that Faith has internalized teachers’ attitudes towards girls and their assumptions that lack of achievement in certain areas is due to the girls themselves and not due to gender biases and barriers. Milligan states that from the diary “she deems it to be her fault that she is </w:t>
      </w:r>
      <w:r w:rsidRPr="005A6293">
        <w:rPr>
          <w:rFonts w:eastAsia="Times New Roman" w:cs="Times New Roman"/>
          <w:color w:val="000000" w:themeColor="text1"/>
        </w:rPr>
        <w:lastRenderedPageBreak/>
        <w:t>not getting higher marks; particularly so in sciences” and later on in the interview Faith “reflected on teachers’ views that she had ‘bad attitude’ towards ce</w:t>
      </w:r>
      <w:r w:rsidR="00D904CC" w:rsidRPr="005A6293">
        <w:rPr>
          <w:rFonts w:eastAsia="Times New Roman" w:cs="Times New Roman"/>
          <w:color w:val="000000" w:themeColor="text1"/>
        </w:rPr>
        <w:t>rtain subjects”</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39"/>
      </w:r>
      <w:r w:rsidRPr="005A6293">
        <w:rPr>
          <w:rFonts w:eastAsia="Times New Roman" w:cs="Times New Roman"/>
          <w:color w:val="000000" w:themeColor="text1"/>
        </w:rPr>
        <w:t xml:space="preserve"> This case study provides a nuanced look at how gender can impact performance in certain subjects; although it can be direct, such as telling girls that they should stick to more feminine subjects, this study shows that gender biases in subjects can also be indirect, such as the assumption that girls do worse in sciences due to their bad attitude and lack of seriousness.  </w:t>
      </w:r>
    </w:p>
    <w:p w14:paraId="4391B618" w14:textId="5F50AAA5" w:rsidR="00082233" w:rsidRPr="005A6293" w:rsidRDefault="00082233" w:rsidP="0068257B">
      <w:pPr>
        <w:pStyle w:val="NoSpacing"/>
        <w:spacing w:line="480" w:lineRule="auto"/>
        <w:rPr>
          <w:rFonts w:eastAsia="Times New Roman" w:cs="Times New Roman"/>
          <w:color w:val="000000" w:themeColor="text1"/>
        </w:rPr>
      </w:pPr>
      <w:r w:rsidRPr="005A6293">
        <w:rPr>
          <w:rFonts w:eastAsia="Times New Roman" w:cs="Times New Roman"/>
          <w:color w:val="000000" w:themeColor="text1"/>
        </w:rPr>
        <w:tab/>
      </w:r>
      <w:r w:rsidR="007C2CF3" w:rsidRPr="005A6293">
        <w:rPr>
          <w:rFonts w:eastAsia="Times New Roman" w:cs="Times New Roman"/>
          <w:color w:val="000000" w:themeColor="text1"/>
        </w:rPr>
        <w:t xml:space="preserve">Other than the impact of gender on formal mechanisms of education in Kenya, qualitative studies also provide insightful analysis on some of the informal mechanisms of education, such as teacher attitudes and expectations. </w:t>
      </w:r>
      <w:r w:rsidRPr="005A6293">
        <w:rPr>
          <w:rFonts w:eastAsia="Times New Roman" w:cs="Times New Roman"/>
          <w:color w:val="000000" w:themeColor="text1"/>
        </w:rPr>
        <w:t>A case study of a primary boarding school in Kenya by Lucy Bence-Wilkins provides an illuminating reference on how teacher expectations and believes influence construction of gender identities for both male and females. In the study, teachers transmitted gendered messages through many channels. One channel was expectations; teachers “believed that boys were more likely to misbehave in class, whereas girls were more likely to be sexual</w:t>
      </w:r>
      <w:r w:rsidR="000D700D" w:rsidRPr="005A6293">
        <w:rPr>
          <w:rFonts w:eastAsia="Times New Roman" w:cs="Times New Roman"/>
          <w:color w:val="000000" w:themeColor="text1"/>
        </w:rPr>
        <w:t>ly active”</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40"/>
      </w:r>
      <w:r w:rsidRPr="005A6293">
        <w:rPr>
          <w:rFonts w:eastAsia="Times New Roman" w:cs="Times New Roman"/>
          <w:color w:val="000000" w:themeColor="text1"/>
        </w:rPr>
        <w:t xml:space="preserve"> Due to expectations of heightened sexuality among girls, girls often faced extensive ‘policing’ of their dress and behavior at school. Similarly, girls’ work was linked to the assumptions of their sexual behavior. One quote from an interview demonstrates this idea; a girl in her last year of primary school stated that “if we do badly on a test they punish us and they say bad things, like ‘you must have boyfriends, ah you must be </w:t>
      </w:r>
      <w:r w:rsidRPr="005A6293">
        <w:rPr>
          <w:rFonts w:eastAsia="Times New Roman" w:cs="Times New Roman"/>
          <w:color w:val="000000" w:themeColor="text1"/>
        </w:rPr>
        <w:lastRenderedPageBreak/>
        <w:t>having te</w:t>
      </w:r>
      <w:r w:rsidR="00F42186" w:rsidRPr="005A6293">
        <w:rPr>
          <w:rFonts w:eastAsia="Times New Roman" w:cs="Times New Roman"/>
          <w:color w:val="000000" w:themeColor="text1"/>
        </w:rPr>
        <w:t>n of them”</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41"/>
      </w:r>
      <w:r w:rsidRPr="005A6293">
        <w:rPr>
          <w:rFonts w:eastAsia="Times New Roman" w:cs="Times New Roman"/>
          <w:color w:val="000000" w:themeColor="text1"/>
        </w:rPr>
        <w:t xml:space="preserve"> Boys and girls also received different forms of punishment, both corporal and non-corporal, due to their gender. Boys received harsher corpor</w:t>
      </w:r>
      <w:r w:rsidR="00C26C85" w:rsidRPr="005A6293">
        <w:rPr>
          <w:rFonts w:eastAsia="Times New Roman" w:cs="Times New Roman"/>
          <w:color w:val="000000" w:themeColor="text1"/>
        </w:rPr>
        <w:t>al punishment due to the belief</w:t>
      </w:r>
      <w:r w:rsidRPr="005A6293">
        <w:rPr>
          <w:rFonts w:eastAsia="Times New Roman" w:cs="Times New Roman"/>
          <w:color w:val="000000" w:themeColor="text1"/>
        </w:rPr>
        <w:t xml:space="preserve"> from teachers that masculine qualities include strength and a higher pain tolerance. Similarly, cleaning punishments were used as a deliberate attack on the masculine identity of boys, whereas it was considered a normal punishment for girls due to feminine ideals. Teachers have the ability to regulate and control what they deem as appropriate gender ideals and identities, which in turn transmits concepts of masculinity and femininity to their students. </w:t>
      </w:r>
    </w:p>
    <w:p w14:paraId="1A1FD22C" w14:textId="1059AFE6" w:rsidR="00082233" w:rsidRPr="005A6293" w:rsidRDefault="00082233" w:rsidP="0068257B">
      <w:pPr>
        <w:pStyle w:val="NoSpacing"/>
        <w:spacing w:line="480" w:lineRule="auto"/>
        <w:rPr>
          <w:rFonts w:eastAsia="Times New Roman" w:cs="Times New Roman"/>
          <w:color w:val="000000" w:themeColor="text1"/>
        </w:rPr>
      </w:pPr>
      <w:r w:rsidRPr="005A6293">
        <w:rPr>
          <w:rFonts w:eastAsia="Times New Roman" w:cs="Times New Roman"/>
          <w:color w:val="000000" w:themeColor="text1"/>
        </w:rPr>
        <w:tab/>
        <w:t>The study by Lucy Bence-Wilkins of the primary school in Kenya also demonstrates the impact of gendered space in school</w:t>
      </w:r>
      <w:r w:rsidR="0054494C" w:rsidRPr="005A6293">
        <w:rPr>
          <w:rFonts w:eastAsia="Times New Roman" w:cs="Times New Roman"/>
          <w:color w:val="000000" w:themeColor="text1"/>
        </w:rPr>
        <w:t>, another informal mechanism referenced in the literature review</w:t>
      </w:r>
      <w:r w:rsidRPr="005A6293">
        <w:rPr>
          <w:rFonts w:eastAsia="Times New Roman" w:cs="Times New Roman"/>
          <w:color w:val="000000" w:themeColor="text1"/>
        </w:rPr>
        <w:t>. Interestingly, Bence-Wilkens explores how gender impacts all physical areas of school, including the staff room as well as the playing fields outside. Gender shaped every physical space at the school. Male teachers dominated the staff room; female teachers rarely entered the staff room, only utilizing it when they had to for meetings. Similarly, students faced the same gender dynamics in relation to the staff room, coupled with power dynamics of age. Several female students said in interviews that if they had to enter into the staff room, that they would try to do so in groups for greater power wi</w:t>
      </w:r>
      <w:r w:rsidR="000D700D" w:rsidRPr="005A6293">
        <w:rPr>
          <w:rFonts w:eastAsia="Times New Roman" w:cs="Times New Roman"/>
          <w:color w:val="000000" w:themeColor="text1"/>
        </w:rPr>
        <w:t>th numbers</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42"/>
      </w:r>
      <w:r w:rsidRPr="005A6293">
        <w:rPr>
          <w:rFonts w:eastAsia="Times New Roman" w:cs="Times New Roman"/>
          <w:color w:val="000000" w:themeColor="text1"/>
        </w:rPr>
        <w:t xml:space="preserve"> In the classroom, Bence-Wilkins presents similar findings as Dunne et. al. showcase in Ghana and Botswana. Pupils separated by gender in the classroom, during meals, and in the playing fields. On the playing fields in </w:t>
      </w:r>
      <w:r w:rsidR="002E3010" w:rsidRPr="005A6293">
        <w:rPr>
          <w:rFonts w:eastAsia="Times New Roman" w:cs="Times New Roman"/>
          <w:color w:val="000000" w:themeColor="text1"/>
        </w:rPr>
        <w:t>particular, Bence-Wilkens argue</w:t>
      </w:r>
      <w:r w:rsidRPr="005A6293">
        <w:rPr>
          <w:rFonts w:eastAsia="Times New Roman" w:cs="Times New Roman"/>
          <w:color w:val="000000" w:themeColor="text1"/>
        </w:rPr>
        <w:t xml:space="preserve">s that males dominated the space, </w:t>
      </w:r>
      <w:r w:rsidRPr="005A6293">
        <w:rPr>
          <w:rFonts w:eastAsia="Times New Roman" w:cs="Times New Roman"/>
          <w:color w:val="000000" w:themeColor="text1"/>
        </w:rPr>
        <w:lastRenderedPageBreak/>
        <w:t>which demonstrated the unequal power relations</w:t>
      </w:r>
      <w:r w:rsidR="00226A74" w:rsidRPr="005A6293">
        <w:rPr>
          <w:rFonts w:eastAsia="Times New Roman" w:cs="Times New Roman"/>
          <w:color w:val="000000" w:themeColor="text1"/>
        </w:rPr>
        <w:t xml:space="preserve"> of gender</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43"/>
      </w:r>
      <w:r w:rsidRPr="005A6293">
        <w:rPr>
          <w:rFonts w:eastAsia="Times New Roman" w:cs="Times New Roman"/>
          <w:color w:val="000000" w:themeColor="text1"/>
        </w:rPr>
        <w:t xml:space="preserve"> The social construction of gender influenced the space, both physical and verbal, afforded to girls in school.  </w:t>
      </w:r>
    </w:p>
    <w:p w14:paraId="51CEA532" w14:textId="52E40F9C" w:rsidR="00082233" w:rsidRPr="005A6293" w:rsidRDefault="00082233" w:rsidP="0068257B">
      <w:pPr>
        <w:pStyle w:val="NoSpacing"/>
        <w:spacing w:line="480" w:lineRule="auto"/>
        <w:rPr>
          <w:rFonts w:eastAsia="Times New Roman" w:cs="Times New Roman"/>
          <w:color w:val="000000" w:themeColor="text1"/>
        </w:rPr>
      </w:pPr>
      <w:r w:rsidRPr="005A6293">
        <w:rPr>
          <w:rFonts w:eastAsia="Times New Roman" w:cs="Times New Roman"/>
          <w:color w:val="000000" w:themeColor="text1"/>
        </w:rPr>
        <w:tab/>
      </w:r>
      <w:r w:rsidR="00DE7662" w:rsidRPr="005A6293">
        <w:rPr>
          <w:rFonts w:eastAsia="Times New Roman" w:cs="Times New Roman"/>
          <w:color w:val="000000" w:themeColor="text1"/>
        </w:rPr>
        <w:t xml:space="preserve">Finally, the last example of informal mechanisms from the literature review is gender violence. </w:t>
      </w:r>
      <w:r w:rsidRPr="005A6293">
        <w:rPr>
          <w:rFonts w:eastAsia="Times New Roman" w:cs="Times New Roman"/>
          <w:color w:val="000000" w:themeColor="text1"/>
        </w:rPr>
        <w:t>Bence-Wilkens</w:t>
      </w:r>
      <w:r w:rsidR="00DE7662" w:rsidRPr="005A6293">
        <w:rPr>
          <w:rFonts w:eastAsia="Times New Roman" w:cs="Times New Roman"/>
          <w:color w:val="000000" w:themeColor="text1"/>
        </w:rPr>
        <w:t>’</w:t>
      </w:r>
      <w:r w:rsidRPr="005A6293">
        <w:rPr>
          <w:rFonts w:eastAsia="Times New Roman" w:cs="Times New Roman"/>
          <w:color w:val="000000" w:themeColor="text1"/>
        </w:rPr>
        <w:t xml:space="preserve"> case study of a Kenyan primary school sheds light on how gender violence impacts education. She focuses on male sexual norms that were constructed and reinforced in school, mostly through offering gifts and money in exchange for relationships as well as by ‘big boys’. ‘Big boys’ is a term that refers to older boys, in the later stages of adolescence, that have been circumcised and have reached cultural adulthood. These boys reinforced their identity through aggressive behavior, which was deemed as more masculine. These boys were often responsible for bullying, verbal abuse, and unwanted sexual advances. Two quotes demonstrate how they utilize their identity as ‘big boys’ in gendered ways. The first comment demonstrates verbal abuse for ‘big boys’: “The girls are sometimes mistreated by the big boys… If you are the last to leave they can turn off the light then they will say b</w:t>
      </w:r>
      <w:r w:rsidR="00226A74" w:rsidRPr="005A6293">
        <w:rPr>
          <w:rFonts w:eastAsia="Times New Roman" w:cs="Times New Roman"/>
          <w:color w:val="000000" w:themeColor="text1"/>
        </w:rPr>
        <w:t>ad things”</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44"/>
      </w:r>
      <w:r w:rsidRPr="005A6293">
        <w:rPr>
          <w:rFonts w:eastAsia="Times New Roman" w:cs="Times New Roman"/>
          <w:color w:val="000000" w:themeColor="text1"/>
        </w:rPr>
        <w:t xml:space="preserve"> The second quote demonstrates unwanted sexual advances: “The big boys can get girlfriends from the lower classes… The girls fear boys, so they say no. So the boys go to the younger girls… They don’t know the consequences, they are st</w:t>
      </w:r>
      <w:r w:rsidR="0063457E" w:rsidRPr="005A6293">
        <w:rPr>
          <w:rFonts w:eastAsia="Times New Roman" w:cs="Times New Roman"/>
          <w:color w:val="000000" w:themeColor="text1"/>
        </w:rPr>
        <w:t>ill young”</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45"/>
      </w:r>
      <w:r w:rsidRPr="005A6293">
        <w:rPr>
          <w:rFonts w:eastAsia="Times New Roman" w:cs="Times New Roman"/>
          <w:color w:val="000000" w:themeColor="text1"/>
        </w:rPr>
        <w:t xml:space="preserve"> These quotes demonstrate both forms of gender violence analyzed by Dunne, Humphreys and Leach, implicit gender violence and explicit gender violence. </w:t>
      </w:r>
    </w:p>
    <w:p w14:paraId="7FA44661" w14:textId="28E8EB56" w:rsidR="00082233" w:rsidRPr="005A6293" w:rsidRDefault="003B64CF" w:rsidP="0068257B">
      <w:pPr>
        <w:pStyle w:val="NoSpacing"/>
        <w:spacing w:line="480" w:lineRule="auto"/>
        <w:rPr>
          <w:rFonts w:eastAsia="Times New Roman" w:cs="Times New Roman"/>
          <w:color w:val="000000" w:themeColor="text1"/>
        </w:rPr>
      </w:pPr>
      <w:r w:rsidRPr="005A6293">
        <w:rPr>
          <w:rFonts w:eastAsia="Times New Roman" w:cs="Times New Roman"/>
          <w:color w:val="000000" w:themeColor="text1"/>
        </w:rPr>
        <w:tab/>
      </w:r>
      <w:r w:rsidR="00082233" w:rsidRPr="005A6293">
        <w:rPr>
          <w:rFonts w:eastAsia="Times New Roman" w:cs="Times New Roman"/>
          <w:color w:val="000000" w:themeColor="text1"/>
        </w:rPr>
        <w:t xml:space="preserve">Achievement in school is limited based off gender when gender biases lead to exclusion, avoidance, and marginalization through relationships, expectations, and </w:t>
      </w:r>
      <w:r w:rsidR="00082233" w:rsidRPr="005A6293">
        <w:rPr>
          <w:rFonts w:eastAsia="Times New Roman" w:cs="Times New Roman"/>
          <w:color w:val="000000" w:themeColor="text1"/>
        </w:rPr>
        <w:lastRenderedPageBreak/>
        <w:t>curriculum. The above qualitative studies demonstrate that achievement in school is limited when there are explicit gender biases that marginalize females. Marginalization occurs when teachers expect females to perform worse in class, so they do not give them the same opportunities. Marginalization occurs when females do not receive the same verbal space in the classroom that boys commandeer. Marginaliza</w:t>
      </w:r>
      <w:r w:rsidR="00E40248" w:rsidRPr="005A6293">
        <w:rPr>
          <w:rFonts w:eastAsia="Times New Roman" w:cs="Times New Roman"/>
          <w:color w:val="000000" w:themeColor="text1"/>
        </w:rPr>
        <w:t>tion occurs when females are le</w:t>
      </w:r>
      <w:r w:rsidR="00082233" w:rsidRPr="005A6293">
        <w:rPr>
          <w:rFonts w:eastAsia="Times New Roman" w:cs="Times New Roman"/>
          <w:color w:val="000000" w:themeColor="text1"/>
        </w:rPr>
        <w:t xml:space="preserve">d towards occupations that have been feminized or receive punishment that relates to “feminine” qualities. Marginalization occurs when females face violence based off their gender. All of these mechanisms related to the gender identity of female creates an environment where females have a harder time gaining academic achievement. Therefore, there is gender inequality in educational achievement. Accomplishment refers to what students turn their educational achievements into after school. Due to lower achievements based on gender and higher barriers to education for higher-performing occupations such as STEM jobs, females also suffer gender inequality in accomplishments after education due to a sexual division of labor tied with gender. </w:t>
      </w:r>
    </w:p>
    <w:p w14:paraId="5C2CE18F" w14:textId="3D15E9E4" w:rsidR="00082233" w:rsidRPr="005A6293" w:rsidRDefault="00082233" w:rsidP="0068257B">
      <w:pPr>
        <w:pStyle w:val="NoSpacing"/>
        <w:spacing w:line="480" w:lineRule="auto"/>
        <w:rPr>
          <w:rFonts w:eastAsia="Times New Roman" w:cs="Times New Roman"/>
          <w:color w:val="000000" w:themeColor="text1"/>
        </w:rPr>
      </w:pPr>
      <w:r w:rsidRPr="005A6293">
        <w:rPr>
          <w:rFonts w:eastAsia="Times New Roman" w:cs="Times New Roman"/>
          <w:color w:val="000000" w:themeColor="text1"/>
        </w:rPr>
        <w:tab/>
        <w:t xml:space="preserve">Therefore, out of the four markers I have utilized to analyze gender inequalities in education in Kenya, females have only begun to experience equality in one of the markers: access. The other three, attainment, achievement and accomplishment, still show gender inequalities for females. Additionally, although attainment is becoming more equal over time, the persistent imbalance and inequality in achievement and accomplishment is worrying. When researchers study female education, it is important to view education in a more holistic manner, with both quantitative and qualitative </w:t>
      </w:r>
      <w:r w:rsidRPr="005A6293">
        <w:rPr>
          <w:rFonts w:eastAsia="Times New Roman" w:cs="Times New Roman"/>
          <w:color w:val="000000" w:themeColor="text1"/>
        </w:rPr>
        <w:lastRenderedPageBreak/>
        <w:t xml:space="preserve">research, </w:t>
      </w:r>
      <w:r w:rsidR="0012298D" w:rsidRPr="005A6293">
        <w:rPr>
          <w:rFonts w:eastAsia="Times New Roman" w:cs="Times New Roman"/>
          <w:color w:val="000000" w:themeColor="text1"/>
        </w:rPr>
        <w:t>in order</w:t>
      </w:r>
      <w:r w:rsidRPr="005A6293">
        <w:rPr>
          <w:rFonts w:eastAsia="Times New Roman" w:cs="Times New Roman"/>
          <w:color w:val="000000" w:themeColor="text1"/>
        </w:rPr>
        <w:t xml:space="preserve"> </w:t>
      </w:r>
      <w:r w:rsidR="000A1F47" w:rsidRPr="005A6293">
        <w:rPr>
          <w:rFonts w:eastAsia="Times New Roman" w:cs="Times New Roman"/>
          <w:color w:val="000000" w:themeColor="text1"/>
        </w:rPr>
        <w:t xml:space="preserve">to </w:t>
      </w:r>
      <w:r w:rsidRPr="005A6293">
        <w:rPr>
          <w:rFonts w:eastAsia="Times New Roman" w:cs="Times New Roman"/>
          <w:color w:val="000000" w:themeColor="text1"/>
        </w:rPr>
        <w:t>better understand the inequalities females st</w:t>
      </w:r>
      <w:r w:rsidR="000A1F47" w:rsidRPr="005A6293">
        <w:rPr>
          <w:rFonts w:eastAsia="Times New Roman" w:cs="Times New Roman"/>
          <w:color w:val="000000" w:themeColor="text1"/>
        </w:rPr>
        <w:t>ill face in education in Kenya and to</w:t>
      </w:r>
      <w:r w:rsidRPr="005A6293">
        <w:rPr>
          <w:rFonts w:eastAsia="Times New Roman" w:cs="Times New Roman"/>
          <w:color w:val="000000" w:themeColor="text1"/>
        </w:rPr>
        <w:t xml:space="preserve"> create better policy recommendations. </w:t>
      </w:r>
    </w:p>
    <w:p w14:paraId="496E4767" w14:textId="77777777" w:rsidR="00ED797C" w:rsidRPr="005A6293" w:rsidRDefault="00ED797C" w:rsidP="0068257B">
      <w:pPr>
        <w:pStyle w:val="NoSpacing"/>
        <w:spacing w:line="480" w:lineRule="auto"/>
        <w:rPr>
          <w:rFonts w:eastAsia="Times New Roman" w:cs="Times New Roman"/>
          <w:b/>
          <w:bCs/>
          <w:color w:val="000000" w:themeColor="text1"/>
        </w:rPr>
      </w:pPr>
      <w:r w:rsidRPr="005A6293">
        <w:rPr>
          <w:rFonts w:eastAsia="Times New Roman" w:cs="Times New Roman"/>
          <w:b/>
          <w:bCs/>
          <w:color w:val="000000" w:themeColor="text1"/>
        </w:rPr>
        <w:t>Economic Interaction</w:t>
      </w:r>
    </w:p>
    <w:p w14:paraId="40D62190" w14:textId="34955E3B" w:rsidR="00082233" w:rsidRPr="005A6293" w:rsidRDefault="00ED797C" w:rsidP="0068257B">
      <w:pPr>
        <w:pStyle w:val="NoSpacing"/>
        <w:spacing w:line="480" w:lineRule="auto"/>
        <w:rPr>
          <w:rFonts w:eastAsia="Times New Roman" w:cs="Times New Roman"/>
          <w:color w:val="000000" w:themeColor="text1"/>
        </w:rPr>
      </w:pPr>
      <w:r w:rsidRPr="005A6293">
        <w:rPr>
          <w:rFonts w:eastAsia="Times New Roman" w:cs="Times New Roman"/>
          <w:bCs/>
          <w:i/>
          <w:color w:val="000000" w:themeColor="text1"/>
        </w:rPr>
        <w:t>The Economy</w:t>
      </w:r>
      <w:r w:rsidR="00082233" w:rsidRPr="005A6293">
        <w:rPr>
          <w:rFonts w:eastAsia="Times New Roman" w:cs="Times New Roman"/>
          <w:color w:val="000000" w:themeColor="text1"/>
        </w:rPr>
        <w:t xml:space="preserve"> </w:t>
      </w:r>
    </w:p>
    <w:p w14:paraId="2DBC477E" w14:textId="36A21F26" w:rsidR="00082233" w:rsidRPr="005A6293" w:rsidRDefault="00082233" w:rsidP="0068257B">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 xml:space="preserve">Similar to many countries in Africa, Kenya was the site of a proxy </w:t>
      </w:r>
      <w:r w:rsidR="00796D72" w:rsidRPr="005A6293">
        <w:rPr>
          <w:rFonts w:eastAsia="Times New Roman" w:cs="Times New Roman"/>
          <w:color w:val="000000" w:themeColor="text1"/>
        </w:rPr>
        <w:t>war between Cold War ideals of C</w:t>
      </w:r>
      <w:r w:rsidRPr="005A6293">
        <w:rPr>
          <w:rFonts w:eastAsia="Times New Roman" w:cs="Times New Roman"/>
          <w:color w:val="000000" w:themeColor="text1"/>
        </w:rPr>
        <w:t>apital</w:t>
      </w:r>
      <w:r w:rsidR="00796D72" w:rsidRPr="005A6293">
        <w:rPr>
          <w:rFonts w:eastAsia="Times New Roman" w:cs="Times New Roman"/>
          <w:color w:val="000000" w:themeColor="text1"/>
        </w:rPr>
        <w:t>ism and C</w:t>
      </w:r>
      <w:r w:rsidRPr="005A6293">
        <w:rPr>
          <w:rFonts w:eastAsia="Times New Roman" w:cs="Times New Roman"/>
          <w:color w:val="000000" w:themeColor="text1"/>
        </w:rPr>
        <w:t xml:space="preserve">ommunism. </w:t>
      </w:r>
      <w:r w:rsidR="00F26608" w:rsidRPr="005A6293">
        <w:rPr>
          <w:rFonts w:eastAsia="Times New Roman" w:cs="Times New Roman"/>
          <w:color w:val="000000" w:themeColor="text1"/>
        </w:rPr>
        <w:t xml:space="preserve">President </w:t>
      </w:r>
      <w:r w:rsidRPr="005A6293">
        <w:rPr>
          <w:rFonts w:eastAsia="Times New Roman" w:cs="Times New Roman"/>
          <w:color w:val="000000" w:themeColor="text1"/>
        </w:rPr>
        <w:t>Kenyatta and fellow conservatives aligned more with Western values of capitalism</w:t>
      </w:r>
      <w:r w:rsidR="00900141" w:rsidRPr="005A6293">
        <w:rPr>
          <w:rFonts w:eastAsia="Times New Roman" w:cs="Times New Roman"/>
          <w:color w:val="000000" w:themeColor="text1"/>
        </w:rPr>
        <w:t xml:space="preserve"> right after independence in 1963</w:t>
      </w:r>
      <w:r w:rsidRPr="005A6293">
        <w:rPr>
          <w:rFonts w:eastAsia="Times New Roman" w:cs="Times New Roman"/>
          <w:color w:val="000000" w:themeColor="text1"/>
        </w:rPr>
        <w:t xml:space="preserve">, while Odinga led a group of top politicians more aligned with the East and communism values. Kenyatta eventually ousted Odinga, and pursued more capitalist policies in Kenya to encourage industrialization and large </w:t>
      </w:r>
      <w:r w:rsidR="0063457E" w:rsidRPr="005A6293">
        <w:rPr>
          <w:rFonts w:eastAsia="Times New Roman" w:cs="Times New Roman"/>
          <w:color w:val="000000" w:themeColor="text1"/>
        </w:rPr>
        <w:t>development projects</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46"/>
      </w:r>
      <w:r w:rsidRPr="005A6293">
        <w:rPr>
          <w:rFonts w:eastAsia="Times New Roman" w:cs="Times New Roman"/>
          <w:color w:val="000000" w:themeColor="text1"/>
        </w:rPr>
        <w:t xml:space="preserve"> There was initial high growth in the late 60s under Kenyatta, but the global terms of trade were shifting against primary producers in favor of manufacturers, which soon impacted</w:t>
      </w:r>
      <w:r w:rsidR="0063457E" w:rsidRPr="005A6293">
        <w:rPr>
          <w:rFonts w:eastAsia="Times New Roman" w:cs="Times New Roman"/>
          <w:color w:val="000000" w:themeColor="text1"/>
        </w:rPr>
        <w:t xml:space="preserve"> Kenya’s economy</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47"/>
      </w:r>
      <w:r w:rsidRPr="005A6293">
        <w:rPr>
          <w:rFonts w:eastAsia="Times New Roman" w:cs="Times New Roman"/>
          <w:color w:val="000000" w:themeColor="text1"/>
        </w:rPr>
        <w:t xml:space="preserve"> The 1970s started with </w:t>
      </w:r>
      <w:r w:rsidR="00F651DA" w:rsidRPr="005A6293">
        <w:rPr>
          <w:rFonts w:eastAsia="Times New Roman" w:cs="Times New Roman"/>
          <w:color w:val="000000" w:themeColor="text1"/>
        </w:rPr>
        <w:t>slowing</w:t>
      </w:r>
      <w:r w:rsidRPr="005A6293">
        <w:rPr>
          <w:rFonts w:eastAsia="Times New Roman" w:cs="Times New Roman"/>
          <w:color w:val="000000" w:themeColor="text1"/>
        </w:rPr>
        <w:t xml:space="preserve"> growth, increasing inequality, and a declining trade balance. The state turned to more central planning, in line with European Wes</w:t>
      </w:r>
      <w:r w:rsidR="00E06A29" w:rsidRPr="005A6293">
        <w:rPr>
          <w:rFonts w:eastAsia="Times New Roman" w:cs="Times New Roman"/>
          <w:color w:val="000000" w:themeColor="text1"/>
        </w:rPr>
        <w:t xml:space="preserve">tern powers rather than </w:t>
      </w:r>
      <w:r w:rsidR="00551E77" w:rsidRPr="005A6293">
        <w:rPr>
          <w:rFonts w:eastAsia="Times New Roman" w:cs="Times New Roman"/>
          <w:color w:val="000000" w:themeColor="text1"/>
        </w:rPr>
        <w:t>the United States’</w:t>
      </w:r>
      <w:r w:rsidRPr="005A6293">
        <w:rPr>
          <w:rFonts w:eastAsia="Times New Roman" w:cs="Times New Roman"/>
          <w:color w:val="000000" w:themeColor="text1"/>
        </w:rPr>
        <w:t xml:space="preserve"> distrust of state involvement in the economy. The </w:t>
      </w:r>
      <w:r w:rsidR="00551E77" w:rsidRPr="005A6293">
        <w:rPr>
          <w:rFonts w:eastAsia="Times New Roman" w:cs="Times New Roman"/>
          <w:color w:val="000000" w:themeColor="text1"/>
        </w:rPr>
        <w:t xml:space="preserve">global </w:t>
      </w:r>
      <w:r w:rsidRPr="005A6293">
        <w:rPr>
          <w:rFonts w:eastAsia="Times New Roman" w:cs="Times New Roman"/>
          <w:color w:val="000000" w:themeColor="text1"/>
        </w:rPr>
        <w:t xml:space="preserve">oil crisis </w:t>
      </w:r>
      <w:r w:rsidR="00A07B27" w:rsidRPr="005A6293">
        <w:rPr>
          <w:rFonts w:eastAsia="Times New Roman" w:cs="Times New Roman"/>
          <w:color w:val="000000" w:themeColor="text1"/>
        </w:rPr>
        <w:t>of 1973 decreased growth and le</w:t>
      </w:r>
      <w:r w:rsidRPr="005A6293">
        <w:rPr>
          <w:rFonts w:eastAsia="Times New Roman" w:cs="Times New Roman"/>
          <w:color w:val="000000" w:themeColor="text1"/>
        </w:rPr>
        <w:t>d to an inflation bubbl</w:t>
      </w:r>
      <w:r w:rsidR="0063457E" w:rsidRPr="005A6293">
        <w:rPr>
          <w:rFonts w:eastAsia="Times New Roman" w:cs="Times New Roman"/>
          <w:color w:val="000000" w:themeColor="text1"/>
        </w:rPr>
        <w:t xml:space="preserve">e in 1974 and </w:t>
      </w:r>
      <w:r w:rsidR="00290C9E" w:rsidRPr="005A6293">
        <w:rPr>
          <w:rFonts w:eastAsia="Times New Roman" w:cs="Times New Roman"/>
          <w:color w:val="000000" w:themeColor="text1"/>
        </w:rPr>
        <w:t>19</w:t>
      </w:r>
      <w:r w:rsidR="0063457E" w:rsidRPr="005A6293">
        <w:rPr>
          <w:rFonts w:eastAsia="Times New Roman" w:cs="Times New Roman"/>
          <w:color w:val="000000" w:themeColor="text1"/>
        </w:rPr>
        <w:t>75</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48"/>
      </w:r>
      <w:r w:rsidRPr="005A6293">
        <w:rPr>
          <w:rFonts w:eastAsia="Times New Roman" w:cs="Times New Roman"/>
          <w:color w:val="000000" w:themeColor="text1"/>
        </w:rPr>
        <w:t xml:space="preserve"> The economy turned around briefly in 1976 and </w:t>
      </w:r>
      <w:r w:rsidR="00141129" w:rsidRPr="005A6293">
        <w:rPr>
          <w:rFonts w:eastAsia="Times New Roman" w:cs="Times New Roman"/>
          <w:color w:val="000000" w:themeColor="text1"/>
        </w:rPr>
        <w:t>19</w:t>
      </w:r>
      <w:r w:rsidRPr="005A6293">
        <w:rPr>
          <w:rFonts w:eastAsia="Times New Roman" w:cs="Times New Roman"/>
          <w:color w:val="000000" w:themeColor="text1"/>
        </w:rPr>
        <w:t>77 due to a coffee boom</w:t>
      </w:r>
      <w:r w:rsidR="00F807C0" w:rsidRPr="005A6293">
        <w:rPr>
          <w:rFonts w:eastAsia="Times New Roman" w:cs="Times New Roman"/>
          <w:color w:val="000000" w:themeColor="text1"/>
        </w:rPr>
        <w:t>,</w:t>
      </w:r>
      <w:r w:rsidRPr="005A6293">
        <w:rPr>
          <w:rFonts w:eastAsia="Times New Roman" w:cs="Times New Roman"/>
          <w:color w:val="000000" w:themeColor="text1"/>
        </w:rPr>
        <w:t xml:space="preserve"> which resulted in </w:t>
      </w:r>
      <w:r w:rsidR="00A715E0" w:rsidRPr="005A6293">
        <w:rPr>
          <w:rFonts w:eastAsia="Times New Roman" w:cs="Times New Roman"/>
          <w:color w:val="000000" w:themeColor="text1"/>
        </w:rPr>
        <w:t>GDP growth that</w:t>
      </w:r>
      <w:r w:rsidRPr="005A6293">
        <w:rPr>
          <w:rFonts w:eastAsia="Times New Roman" w:cs="Times New Roman"/>
          <w:color w:val="000000" w:themeColor="text1"/>
        </w:rPr>
        <w:t xml:space="preserve"> was short lived due to structural problems th</w:t>
      </w:r>
      <w:r w:rsidR="0063457E" w:rsidRPr="005A6293">
        <w:rPr>
          <w:rFonts w:eastAsia="Times New Roman" w:cs="Times New Roman"/>
          <w:color w:val="000000" w:themeColor="text1"/>
        </w:rPr>
        <w:t>at could no longer be concealed</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49"/>
      </w:r>
      <w:r w:rsidRPr="005A6293">
        <w:rPr>
          <w:rFonts w:eastAsia="Times New Roman" w:cs="Times New Roman"/>
          <w:color w:val="000000" w:themeColor="text1"/>
        </w:rPr>
        <w:t xml:space="preserve"> This was the economy that Daniel arap Moi inherited when he became president in 1978. Western powers began to exert more influence over Moi’s government, and the state soon turned to structural </w:t>
      </w:r>
      <w:r w:rsidRPr="005A6293">
        <w:rPr>
          <w:rFonts w:eastAsia="Times New Roman" w:cs="Times New Roman"/>
          <w:color w:val="000000" w:themeColor="text1"/>
        </w:rPr>
        <w:lastRenderedPageBreak/>
        <w:t xml:space="preserve">adjustments proposed by the </w:t>
      </w:r>
      <w:r w:rsidR="008E2A58" w:rsidRPr="005A6293">
        <w:rPr>
          <w:rFonts w:eastAsia="Times New Roman" w:cs="Times New Roman"/>
          <w:color w:val="000000" w:themeColor="text1"/>
        </w:rPr>
        <w:t>International Monetary Fund (</w:t>
      </w:r>
      <w:r w:rsidRPr="005A6293">
        <w:rPr>
          <w:rFonts w:eastAsia="Times New Roman" w:cs="Times New Roman"/>
          <w:color w:val="000000" w:themeColor="text1"/>
        </w:rPr>
        <w:t>IMF</w:t>
      </w:r>
      <w:r w:rsidR="008E2A58" w:rsidRPr="005A6293">
        <w:rPr>
          <w:rFonts w:eastAsia="Times New Roman" w:cs="Times New Roman"/>
          <w:color w:val="000000" w:themeColor="text1"/>
        </w:rPr>
        <w:t>)</w:t>
      </w:r>
      <w:r w:rsidRPr="005A6293">
        <w:rPr>
          <w:rFonts w:eastAsia="Times New Roman" w:cs="Times New Roman"/>
          <w:color w:val="000000" w:themeColor="text1"/>
        </w:rPr>
        <w:t xml:space="preserve"> to relieve the growing debt, declining capital, rising interest rates, and declining</w:t>
      </w:r>
      <w:r w:rsidR="0063457E" w:rsidRPr="005A6293">
        <w:rPr>
          <w:rFonts w:eastAsia="Times New Roman" w:cs="Times New Roman"/>
          <w:color w:val="000000" w:themeColor="text1"/>
        </w:rPr>
        <w:t xml:space="preserve"> economic growth</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50"/>
      </w:r>
      <w:r w:rsidRPr="005A6293">
        <w:rPr>
          <w:rFonts w:eastAsia="Times New Roman" w:cs="Times New Roman"/>
          <w:color w:val="000000" w:themeColor="text1"/>
        </w:rPr>
        <w:t xml:space="preserve"> The structural adjustments largely worked to decrease state involvement in industries and increase trad</w:t>
      </w:r>
      <w:r w:rsidR="00A92EAB" w:rsidRPr="005A6293">
        <w:rPr>
          <w:rFonts w:eastAsia="Times New Roman" w:cs="Times New Roman"/>
          <w:color w:val="000000" w:themeColor="text1"/>
        </w:rPr>
        <w:t>e liberalization, but the lackluster</w:t>
      </w:r>
      <w:r w:rsidRPr="005A6293">
        <w:rPr>
          <w:rFonts w:eastAsia="Times New Roman" w:cs="Times New Roman"/>
          <w:color w:val="000000" w:themeColor="text1"/>
        </w:rPr>
        <w:t xml:space="preserve"> push for liberalization produced little results. Although GDP declined in 1983 and </w:t>
      </w:r>
      <w:r w:rsidR="004D2CBA" w:rsidRPr="005A6293">
        <w:rPr>
          <w:rFonts w:eastAsia="Times New Roman" w:cs="Times New Roman"/>
          <w:color w:val="000000" w:themeColor="text1"/>
        </w:rPr>
        <w:t>19</w:t>
      </w:r>
      <w:r w:rsidRPr="005A6293">
        <w:rPr>
          <w:rFonts w:eastAsia="Times New Roman" w:cs="Times New Roman"/>
          <w:color w:val="000000" w:themeColor="text1"/>
        </w:rPr>
        <w:t xml:space="preserve">84 due to a drought and rebounded in 1985 through </w:t>
      </w:r>
      <w:r w:rsidR="003E34D6" w:rsidRPr="005A6293">
        <w:rPr>
          <w:rFonts w:eastAsia="Times New Roman" w:cs="Times New Roman"/>
          <w:color w:val="000000" w:themeColor="text1"/>
        </w:rPr>
        <w:t>19</w:t>
      </w:r>
      <w:r w:rsidRPr="005A6293">
        <w:rPr>
          <w:rFonts w:eastAsia="Times New Roman" w:cs="Times New Roman"/>
          <w:color w:val="000000" w:themeColor="text1"/>
        </w:rPr>
        <w:t>87 due to a mini economic boom, Kenya was still under Western pressure to reform their f</w:t>
      </w:r>
      <w:r w:rsidR="0063457E" w:rsidRPr="005A6293">
        <w:rPr>
          <w:rFonts w:eastAsia="Times New Roman" w:cs="Times New Roman"/>
          <w:color w:val="000000" w:themeColor="text1"/>
        </w:rPr>
        <w:t>altering economy</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51"/>
      </w:r>
      <w:r w:rsidRPr="005A6293">
        <w:rPr>
          <w:rFonts w:eastAsia="Times New Roman" w:cs="Times New Roman"/>
          <w:color w:val="000000" w:themeColor="text1"/>
        </w:rPr>
        <w:t xml:space="preserve"> The </w:t>
      </w:r>
      <w:r w:rsidR="002F42C7" w:rsidRPr="005A6293">
        <w:rPr>
          <w:rFonts w:eastAsia="Times New Roman" w:cs="Times New Roman"/>
          <w:color w:val="000000" w:themeColor="text1"/>
        </w:rPr>
        <w:t xml:space="preserve">outside pressure </w:t>
      </w:r>
      <w:r w:rsidRPr="005A6293">
        <w:rPr>
          <w:rFonts w:eastAsia="Times New Roman" w:cs="Times New Roman"/>
          <w:color w:val="000000" w:themeColor="text1"/>
        </w:rPr>
        <w:t>climax</w:t>
      </w:r>
      <w:r w:rsidR="002F42C7" w:rsidRPr="005A6293">
        <w:rPr>
          <w:rFonts w:eastAsia="Times New Roman" w:cs="Times New Roman"/>
          <w:color w:val="000000" w:themeColor="text1"/>
        </w:rPr>
        <w:t>ed with</w:t>
      </w:r>
      <w:r w:rsidRPr="005A6293">
        <w:rPr>
          <w:rFonts w:eastAsia="Times New Roman" w:cs="Times New Roman"/>
          <w:color w:val="000000" w:themeColor="text1"/>
        </w:rPr>
        <w:t xml:space="preserve"> the withholding of aid </w:t>
      </w:r>
      <w:r w:rsidR="004A306A" w:rsidRPr="005A6293">
        <w:rPr>
          <w:rFonts w:eastAsia="Times New Roman" w:cs="Times New Roman"/>
          <w:color w:val="000000" w:themeColor="text1"/>
        </w:rPr>
        <w:t xml:space="preserve">by US donors </w:t>
      </w:r>
      <w:r w:rsidRPr="005A6293">
        <w:rPr>
          <w:rFonts w:eastAsia="Times New Roman" w:cs="Times New Roman"/>
          <w:color w:val="000000" w:themeColor="text1"/>
        </w:rPr>
        <w:t xml:space="preserve">in 1991 to induce rapid liberalization in 1992; coupled with the Goldenberg banking scandal of 1993, Kenya faced a major economic crisis in 1992 and </w:t>
      </w:r>
      <w:r w:rsidR="00CC6735" w:rsidRPr="005A6293">
        <w:rPr>
          <w:rFonts w:eastAsia="Times New Roman" w:cs="Times New Roman"/>
          <w:color w:val="000000" w:themeColor="text1"/>
        </w:rPr>
        <w:t>19</w:t>
      </w:r>
      <w:r w:rsidRPr="005A6293">
        <w:rPr>
          <w:rFonts w:eastAsia="Times New Roman" w:cs="Times New Roman"/>
          <w:color w:val="000000" w:themeColor="text1"/>
        </w:rPr>
        <w:t xml:space="preserve">93 due to rapid structural change, the anxiety and uncertainty produced by change, and </w:t>
      </w:r>
      <w:r w:rsidR="002F496C" w:rsidRPr="005A6293">
        <w:rPr>
          <w:rFonts w:eastAsia="Times New Roman" w:cs="Times New Roman"/>
          <w:color w:val="000000" w:themeColor="text1"/>
        </w:rPr>
        <w:t xml:space="preserve">a </w:t>
      </w:r>
      <w:r w:rsidRPr="005A6293">
        <w:rPr>
          <w:rFonts w:eastAsia="Times New Roman" w:cs="Times New Roman"/>
          <w:color w:val="000000" w:themeColor="text1"/>
        </w:rPr>
        <w:t>massive f</w:t>
      </w:r>
      <w:r w:rsidR="0063457E" w:rsidRPr="005A6293">
        <w:rPr>
          <w:rFonts w:eastAsia="Times New Roman" w:cs="Times New Roman"/>
          <w:color w:val="000000" w:themeColor="text1"/>
        </w:rPr>
        <w:t>inancial scandal</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52"/>
      </w:r>
      <w:r w:rsidRPr="005A6293">
        <w:rPr>
          <w:rFonts w:eastAsia="Times New Roman" w:cs="Times New Roman"/>
          <w:color w:val="000000" w:themeColor="text1"/>
        </w:rPr>
        <w:t xml:space="preserve"> Although the economy recovered from the crisis relatively well from 1994 through 1996, the end of the Moi presidency was marked by </w:t>
      </w:r>
      <w:r w:rsidR="00E710E4" w:rsidRPr="005A6293">
        <w:rPr>
          <w:rFonts w:eastAsia="Times New Roman" w:cs="Times New Roman"/>
          <w:color w:val="000000" w:themeColor="text1"/>
        </w:rPr>
        <w:t>economic</w:t>
      </w:r>
      <w:r w:rsidR="0063457E" w:rsidRPr="005A6293">
        <w:rPr>
          <w:rFonts w:eastAsia="Times New Roman" w:cs="Times New Roman"/>
          <w:color w:val="000000" w:themeColor="text1"/>
        </w:rPr>
        <w:t xml:space="preserve"> decline</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53"/>
      </w:r>
      <w:r w:rsidRPr="005A6293">
        <w:rPr>
          <w:rFonts w:eastAsia="Times New Roman" w:cs="Times New Roman"/>
          <w:color w:val="000000" w:themeColor="text1"/>
        </w:rPr>
        <w:t xml:space="preserve"> The first term of the Kibaki presidency </w:t>
      </w:r>
      <w:r w:rsidR="00150305" w:rsidRPr="005A6293">
        <w:rPr>
          <w:rFonts w:eastAsia="Times New Roman" w:cs="Times New Roman"/>
          <w:color w:val="000000" w:themeColor="text1"/>
        </w:rPr>
        <w:t xml:space="preserve">starting in 2002 </w:t>
      </w:r>
      <w:r w:rsidRPr="005A6293">
        <w:rPr>
          <w:rFonts w:eastAsia="Times New Roman" w:cs="Times New Roman"/>
          <w:color w:val="000000" w:themeColor="text1"/>
        </w:rPr>
        <w:t>turned around the economic performance</w:t>
      </w:r>
      <w:r w:rsidR="008B4421" w:rsidRPr="005A6293">
        <w:rPr>
          <w:rFonts w:eastAsia="Times New Roman" w:cs="Times New Roman"/>
          <w:color w:val="000000" w:themeColor="text1"/>
        </w:rPr>
        <w:t>. The economy</w:t>
      </w:r>
      <w:r w:rsidRPr="005A6293">
        <w:rPr>
          <w:rFonts w:eastAsia="Times New Roman" w:cs="Times New Roman"/>
          <w:color w:val="000000" w:themeColor="text1"/>
        </w:rPr>
        <w:t xml:space="preserve"> entered a strong period of growth between 2003 and 2007, r</w:t>
      </w:r>
      <w:r w:rsidR="009E14B3" w:rsidRPr="005A6293">
        <w:rPr>
          <w:rFonts w:eastAsia="Times New Roman" w:cs="Times New Roman"/>
          <w:color w:val="000000" w:themeColor="text1"/>
        </w:rPr>
        <w:t>esulting in increased GDP</w:t>
      </w:r>
      <w:r w:rsidRPr="005A6293">
        <w:rPr>
          <w:rFonts w:eastAsia="Times New Roman" w:cs="Times New Roman"/>
          <w:color w:val="000000" w:themeColor="text1"/>
        </w:rPr>
        <w:t xml:space="preserve"> from better administratio</w:t>
      </w:r>
      <w:r w:rsidR="0063457E" w:rsidRPr="005A6293">
        <w:rPr>
          <w:rFonts w:eastAsia="Times New Roman" w:cs="Times New Roman"/>
          <w:color w:val="000000" w:themeColor="text1"/>
        </w:rPr>
        <w:t>n of the economy</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54"/>
      </w:r>
      <w:r w:rsidRPr="005A6293">
        <w:rPr>
          <w:rFonts w:eastAsia="Times New Roman" w:cs="Times New Roman"/>
          <w:color w:val="000000" w:themeColor="text1"/>
        </w:rPr>
        <w:t xml:space="preserve"> However, the intense ethnic violence sparked from politics in 2007 as well as the world finan</w:t>
      </w:r>
      <w:r w:rsidR="00E64983" w:rsidRPr="005A6293">
        <w:rPr>
          <w:rFonts w:eastAsia="Times New Roman" w:cs="Times New Roman"/>
          <w:color w:val="000000" w:themeColor="text1"/>
        </w:rPr>
        <w:t>cial crisis in 2008 and 2009 le</w:t>
      </w:r>
      <w:r w:rsidRPr="005A6293">
        <w:rPr>
          <w:rFonts w:eastAsia="Times New Roman" w:cs="Times New Roman"/>
          <w:color w:val="000000" w:themeColor="text1"/>
        </w:rPr>
        <w:t xml:space="preserve">d to a downturn once again in the economy. Since 2011, growth has been relatively stable and modest. Overall, the economy of Kenya was marked by Cold War politics, intense Western intrusion to </w:t>
      </w:r>
      <w:r w:rsidRPr="005A6293">
        <w:rPr>
          <w:rFonts w:eastAsia="Times New Roman" w:cs="Times New Roman"/>
          <w:color w:val="000000" w:themeColor="text1"/>
        </w:rPr>
        <w:lastRenderedPageBreak/>
        <w:t xml:space="preserve">liberalize the economy, and growth fluctuations due to uncertainties and rapid structural adjustments. </w:t>
      </w:r>
    </w:p>
    <w:p w14:paraId="2B0F717C" w14:textId="2BE4A5F0" w:rsidR="00082233" w:rsidRPr="005A6293" w:rsidRDefault="001E6FFB" w:rsidP="0068257B">
      <w:pPr>
        <w:pStyle w:val="NoSpacing"/>
        <w:spacing w:line="480" w:lineRule="auto"/>
        <w:rPr>
          <w:rFonts w:eastAsia="Times New Roman" w:cs="Times New Roman"/>
          <w:color w:val="000000" w:themeColor="text1"/>
        </w:rPr>
      </w:pPr>
      <w:r w:rsidRPr="005A6293">
        <w:rPr>
          <w:rFonts w:eastAsia="Times New Roman" w:cs="Times New Roman"/>
          <w:i/>
          <w:color w:val="000000" w:themeColor="text1"/>
        </w:rPr>
        <w:t>Economic Measure</w:t>
      </w:r>
      <w:r w:rsidR="00082233" w:rsidRPr="005A6293">
        <w:rPr>
          <w:rFonts w:eastAsia="Times New Roman" w:cs="Times New Roman"/>
          <w:color w:val="000000" w:themeColor="text1"/>
        </w:rPr>
        <w:t xml:space="preserve"> </w:t>
      </w:r>
    </w:p>
    <w:p w14:paraId="21F981FA" w14:textId="42974F3C" w:rsidR="00082233" w:rsidRPr="005A6293" w:rsidRDefault="00082233" w:rsidP="0068257B">
      <w:pPr>
        <w:pStyle w:val="NoSpacing"/>
        <w:spacing w:line="480" w:lineRule="auto"/>
        <w:rPr>
          <w:rFonts w:eastAsia="Times New Roman" w:cs="Times New Roman"/>
          <w:color w:val="000000" w:themeColor="text1"/>
        </w:rPr>
      </w:pPr>
      <w:r w:rsidRPr="005A6293">
        <w:rPr>
          <w:rFonts w:eastAsia="Times New Roman" w:cs="Times New Roman"/>
          <w:color w:val="000000" w:themeColor="text1"/>
        </w:rPr>
        <w:tab/>
        <w:t xml:space="preserve">The </w:t>
      </w:r>
      <w:r w:rsidR="006143D6" w:rsidRPr="005A6293">
        <w:rPr>
          <w:rFonts w:eastAsia="Times New Roman" w:cs="Times New Roman"/>
          <w:color w:val="000000" w:themeColor="text1"/>
        </w:rPr>
        <w:t>measurement</w:t>
      </w:r>
      <w:r w:rsidRPr="005A6293">
        <w:rPr>
          <w:rFonts w:eastAsia="Times New Roman" w:cs="Times New Roman"/>
          <w:color w:val="000000" w:themeColor="text1"/>
        </w:rPr>
        <w:t xml:space="preserve"> of how the eco</w:t>
      </w:r>
      <w:r w:rsidR="007A4F13" w:rsidRPr="005A6293">
        <w:rPr>
          <w:rFonts w:eastAsia="Times New Roman" w:cs="Times New Roman"/>
          <w:color w:val="000000" w:themeColor="text1"/>
        </w:rPr>
        <w:t>nomy interacts with gender</w:t>
      </w:r>
      <w:r w:rsidRPr="005A6293">
        <w:rPr>
          <w:rFonts w:eastAsia="Times New Roman" w:cs="Times New Roman"/>
          <w:color w:val="000000" w:themeColor="text1"/>
        </w:rPr>
        <w:t xml:space="preserve"> and education is the sexual division of labor. </w:t>
      </w:r>
      <w:r w:rsidR="006E0C9D" w:rsidRPr="005A6293">
        <w:rPr>
          <w:rFonts w:eastAsia="Times New Roman" w:cs="Times New Roman"/>
          <w:color w:val="000000" w:themeColor="text1"/>
        </w:rPr>
        <w:t>F</w:t>
      </w:r>
      <w:r w:rsidRPr="005A6293">
        <w:rPr>
          <w:rFonts w:eastAsia="Times New Roman" w:cs="Times New Roman"/>
          <w:color w:val="000000" w:themeColor="text1"/>
        </w:rPr>
        <w:t>emale education directly influences the skills and opportunities females have for labor. However, the sexual division of labor also is influenced directly by gender, not just through education. Therefore, gender impact</w:t>
      </w:r>
      <w:r w:rsidR="007A4F13" w:rsidRPr="005A6293">
        <w:rPr>
          <w:rFonts w:eastAsia="Times New Roman" w:cs="Times New Roman"/>
          <w:color w:val="000000" w:themeColor="text1"/>
        </w:rPr>
        <w:t>s</w:t>
      </w:r>
      <w:r w:rsidRPr="005A6293">
        <w:rPr>
          <w:rFonts w:eastAsia="Times New Roman" w:cs="Times New Roman"/>
          <w:color w:val="000000" w:themeColor="text1"/>
        </w:rPr>
        <w:t xml:space="preserve"> labor opportunities through both the quality and quantity of education afforded to females as well as through the feminization of occupations. </w:t>
      </w:r>
    </w:p>
    <w:p w14:paraId="7BFC2B7C" w14:textId="546D628F" w:rsidR="00082233" w:rsidRPr="005A6293" w:rsidRDefault="00082233" w:rsidP="0068257B">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Sexual division of labor can be defined as “the division of tasks (sexual division of labour in the simplest sense); spheres of responsibility and authority; and contributions to the reproduction of th</w:t>
      </w:r>
      <w:r w:rsidR="003A13FD" w:rsidRPr="005A6293">
        <w:rPr>
          <w:rFonts w:eastAsia="Times New Roman" w:cs="Times New Roman"/>
          <w:color w:val="000000" w:themeColor="text1"/>
        </w:rPr>
        <w:t>e domestic unit”</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55"/>
      </w:r>
      <w:r w:rsidR="002E3010" w:rsidRPr="005A6293">
        <w:rPr>
          <w:rFonts w:eastAsia="Times New Roman" w:cs="Times New Roman"/>
          <w:color w:val="000000" w:themeColor="text1"/>
        </w:rPr>
        <w:t xml:space="preserve"> As implie</w:t>
      </w:r>
      <w:r w:rsidRPr="005A6293">
        <w:rPr>
          <w:rFonts w:eastAsia="Times New Roman" w:cs="Times New Roman"/>
          <w:color w:val="000000" w:themeColor="text1"/>
        </w:rPr>
        <w:t xml:space="preserve">d by the term, analysis of the sexual division of labor is </w:t>
      </w:r>
      <w:r w:rsidR="007A4F13" w:rsidRPr="005A6293">
        <w:rPr>
          <w:rFonts w:eastAsia="Times New Roman" w:cs="Times New Roman"/>
          <w:color w:val="000000" w:themeColor="text1"/>
        </w:rPr>
        <w:t>primarily concerned with how</w:t>
      </w:r>
      <w:r w:rsidRPr="005A6293">
        <w:rPr>
          <w:rFonts w:eastAsia="Times New Roman" w:cs="Times New Roman"/>
          <w:color w:val="000000" w:themeColor="text1"/>
        </w:rPr>
        <w:t xml:space="preserve"> gender impacts differences in labor. In Kenya, the sexual division of labor changed in many communities between the pre-colonial and colonial era both in productive and reproductive terms. A study by Francis explores how gender relations both shaped and changed with agrarian economic change in Koguta, a city in the Kisumu county of western Kenya. A fall in agriculture, and an increased dependence on wage labor and remittances have impacted the sexual division of labor throughout the late colonial period and the early post-colonial period. The author demonstrates that changes to power and authority through male dominated wage labor has changed women’s role as </w:t>
      </w:r>
      <w:r w:rsidRPr="005A6293">
        <w:rPr>
          <w:rFonts w:eastAsia="Times New Roman" w:cs="Times New Roman"/>
          <w:color w:val="000000" w:themeColor="text1"/>
        </w:rPr>
        <w:lastRenderedPageBreak/>
        <w:t>laborers as well as authority in</w:t>
      </w:r>
      <w:r w:rsidR="003A13FD" w:rsidRPr="005A6293">
        <w:rPr>
          <w:rFonts w:eastAsia="Times New Roman" w:cs="Times New Roman"/>
          <w:color w:val="000000" w:themeColor="text1"/>
        </w:rPr>
        <w:t xml:space="preserve"> their own homes</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56"/>
      </w:r>
      <w:r w:rsidRPr="005A6293">
        <w:rPr>
          <w:rFonts w:eastAsia="Times New Roman" w:cs="Times New Roman"/>
          <w:color w:val="000000" w:themeColor="text1"/>
        </w:rPr>
        <w:t xml:space="preserve"> Wage labor, in the case of the Luo in Koguta, is primarily a male dominated activity. This sexual division of labor, restricted access to wage labor for many women, negatively impacts women’s power as well as economic opportunities and output. </w:t>
      </w:r>
    </w:p>
    <w:p w14:paraId="141D21D2" w14:textId="7463D793" w:rsidR="00082233" w:rsidRPr="005A6293" w:rsidRDefault="00082233" w:rsidP="0068257B">
      <w:pPr>
        <w:pStyle w:val="NoSpacing"/>
        <w:spacing w:line="480" w:lineRule="auto"/>
        <w:ind w:firstLine="720"/>
        <w:rPr>
          <w:rFonts w:eastAsia="Times New Roman" w:cs="Times New Roman"/>
          <w:color w:val="000000" w:themeColor="text1"/>
        </w:rPr>
      </w:pPr>
      <w:r w:rsidRPr="005A6293">
        <w:rPr>
          <w:rFonts w:eastAsia="Times New Roman" w:cs="Times New Roman"/>
          <w:color w:val="000000" w:themeColor="text1"/>
        </w:rPr>
        <w:t>Another study on the sexual division of labor that finds a connection between wage labor and the male gender is by Holtzman. Holtzman studies the construction of the male identity in Sambura county in north-west Kenya. Holtzman analyzes the decline in pastoralism in Sambura around Kenyan independence, and the increased amount of male migratory wage laborers from Sambura. Holtzman posits that the pool of wage laborers is primarily composed of young, males due to the construction of the male identity in Sambura, specifically related to young males breaking away from being provided for by their mothers and providing their own source of food as a marker of bein</w:t>
      </w:r>
      <w:r w:rsidR="00254301" w:rsidRPr="005A6293">
        <w:rPr>
          <w:rFonts w:eastAsia="Times New Roman" w:cs="Times New Roman"/>
          <w:color w:val="000000" w:themeColor="text1"/>
        </w:rPr>
        <w:t>g an adult male</w:t>
      </w:r>
      <w:r w:rsidRPr="005A6293">
        <w:rPr>
          <w:rFonts w:eastAsia="Times New Roman" w:cs="Times New Roman"/>
          <w:color w:val="000000" w:themeColor="text1"/>
        </w:rPr>
        <w:t>.</w:t>
      </w:r>
      <w:r w:rsidR="00AB36E1" w:rsidRPr="005A6293">
        <w:rPr>
          <w:rStyle w:val="FootnoteReference"/>
          <w:rFonts w:eastAsia="Times New Roman" w:cs="Times New Roman"/>
          <w:color w:val="000000" w:themeColor="text1"/>
        </w:rPr>
        <w:footnoteReference w:id="257"/>
      </w:r>
      <w:r w:rsidRPr="005A6293">
        <w:rPr>
          <w:rFonts w:eastAsia="Times New Roman" w:cs="Times New Roman"/>
          <w:color w:val="000000" w:themeColor="text1"/>
        </w:rPr>
        <w:t xml:space="preserve"> Once again, gender impacts the opportunities presented to both males and females. In both cases, wage labor was often restricted to males. In the case of Francis, the restrictio</w:t>
      </w:r>
      <w:r w:rsidR="009C1518" w:rsidRPr="005A6293">
        <w:rPr>
          <w:rFonts w:eastAsia="Times New Roman" w:cs="Times New Roman"/>
          <w:color w:val="000000" w:themeColor="text1"/>
        </w:rPr>
        <w:t>n of females from wage labor le</w:t>
      </w:r>
      <w:r w:rsidRPr="005A6293">
        <w:rPr>
          <w:rFonts w:eastAsia="Times New Roman" w:cs="Times New Roman"/>
          <w:color w:val="000000" w:themeColor="text1"/>
        </w:rPr>
        <w:t xml:space="preserve">d to women being dependent on males for cash that is generated through wage labor. </w:t>
      </w:r>
    </w:p>
    <w:p w14:paraId="5F4298DC" w14:textId="5393C0CF" w:rsidR="00082233" w:rsidRPr="005A6293" w:rsidRDefault="00ED797C" w:rsidP="0068257B">
      <w:pPr>
        <w:pStyle w:val="NoSpacing"/>
        <w:spacing w:line="480" w:lineRule="auto"/>
        <w:rPr>
          <w:rFonts w:eastAsia="Times New Roman" w:cs="Times New Roman"/>
          <w:b/>
          <w:bCs/>
          <w:color w:val="000000" w:themeColor="text1"/>
        </w:rPr>
      </w:pPr>
      <w:r w:rsidRPr="005A6293">
        <w:rPr>
          <w:rFonts w:eastAsia="Times New Roman" w:cs="Times New Roman"/>
          <w:b/>
          <w:bCs/>
          <w:color w:val="000000" w:themeColor="text1"/>
        </w:rPr>
        <w:t>Political Interaction</w:t>
      </w:r>
    </w:p>
    <w:p w14:paraId="5D279BE0" w14:textId="1D857F13" w:rsidR="00ED797C" w:rsidRPr="005A6293" w:rsidRDefault="00ED797C" w:rsidP="0068257B">
      <w:pPr>
        <w:pStyle w:val="NoSpacing"/>
        <w:spacing w:line="480" w:lineRule="auto"/>
        <w:rPr>
          <w:rFonts w:eastAsia="Times New Roman" w:cs="Times New Roman"/>
          <w:bCs/>
          <w:i/>
          <w:color w:val="000000" w:themeColor="text1"/>
        </w:rPr>
      </w:pPr>
      <w:r w:rsidRPr="005A6293">
        <w:rPr>
          <w:rFonts w:eastAsia="Times New Roman" w:cs="Times New Roman"/>
          <w:bCs/>
          <w:i/>
          <w:color w:val="000000" w:themeColor="text1"/>
        </w:rPr>
        <w:t>Political Structure</w:t>
      </w:r>
    </w:p>
    <w:p w14:paraId="731D294B" w14:textId="564F6B80" w:rsidR="00082233" w:rsidRPr="005A6293" w:rsidRDefault="00082233" w:rsidP="0068257B">
      <w:pPr>
        <w:pStyle w:val="NoSpacing"/>
        <w:spacing w:line="480" w:lineRule="auto"/>
      </w:pPr>
      <w:r w:rsidRPr="005A6293">
        <w:tab/>
        <w:t>Kenyan independence ushere</w:t>
      </w:r>
      <w:r w:rsidR="004B2998" w:rsidRPr="005A6293">
        <w:t>d in a new system of African le</w:t>
      </w:r>
      <w:r w:rsidRPr="005A6293">
        <w:t>d, elect</w:t>
      </w:r>
      <w:r w:rsidR="00A07D22" w:rsidRPr="005A6293">
        <w:t>oral democracy. However, Kenyan</w:t>
      </w:r>
      <w:r w:rsidRPr="005A6293">
        <w:t xml:space="preserve"> leaders soon consolidated power into a more hierarchical model that catered to elites, educated young men from powerful ethnic groups, due to a </w:t>
      </w:r>
      <w:r w:rsidRPr="005A6293">
        <w:lastRenderedPageBreak/>
        <w:t>“brief and shallow tradition of dem</w:t>
      </w:r>
      <w:r w:rsidR="00173733" w:rsidRPr="005A6293">
        <w:t>ocratic accountability” that le</w:t>
      </w:r>
      <w:r w:rsidRPr="005A6293">
        <w:t>d to “a natural tendency amongst Kenya’s new rulers to see their interests as identical to those</w:t>
      </w:r>
      <w:r w:rsidR="00B7771C" w:rsidRPr="005A6293">
        <w:t xml:space="preserve"> of the country”</w:t>
      </w:r>
      <w:r w:rsidRPr="005A6293">
        <w:t>.</w:t>
      </w:r>
      <w:r w:rsidR="00AB36E1" w:rsidRPr="005A6293">
        <w:rPr>
          <w:rStyle w:val="FootnoteReference"/>
        </w:rPr>
        <w:footnoteReference w:id="258"/>
      </w:r>
      <w:r w:rsidRPr="005A6293">
        <w:t xml:space="preserve"> Jomo Kenyatta, Kenya’s first leader and president, began to lead again by the ‘command and control’ system similar to British coloni</w:t>
      </w:r>
      <w:r w:rsidR="007023DF" w:rsidRPr="005A6293">
        <w:t>al rule. As Hornsby articulates, “h</w:t>
      </w:r>
      <w:r w:rsidRPr="005A6293">
        <w:t>e (Kenyatta) built a structure of power, organized around himself, his ethnic community (Kikuyu) and their interests, and a broad coalition of others who interests he assisted. Because this coalition delivered development, ot</w:t>
      </w:r>
      <w:r w:rsidR="00B7771C" w:rsidRPr="005A6293">
        <w:t>hers acquiesced”</w:t>
      </w:r>
      <w:r w:rsidRPr="005A6293">
        <w:t>.</w:t>
      </w:r>
      <w:r w:rsidR="00AB36E1" w:rsidRPr="005A6293">
        <w:rPr>
          <w:rStyle w:val="FootnoteReference"/>
        </w:rPr>
        <w:footnoteReference w:id="259"/>
      </w:r>
      <w:r w:rsidR="007023DF" w:rsidRPr="005A6293">
        <w:t xml:space="preserve"> </w:t>
      </w:r>
      <w:r w:rsidRPr="005A6293">
        <w:t>Kenya under Kenyatta’s presidency was democratic, but pseudo-democratic due the lack of sustained, multiple political parties and unquestioned presidential power. Kenya’s second president, Daniel a</w:t>
      </w:r>
      <w:r w:rsidR="006509A5" w:rsidRPr="005A6293">
        <w:t>rap Moi an ally of Kenyatta, le</w:t>
      </w:r>
      <w:r w:rsidRPr="005A6293">
        <w:t>d Kenya in much the same way during his presidency from 1978-2002. Moi’s presidency was marked by economic stagnation and crisis, politics dominated by Western wants and desires, and authoritarian a</w:t>
      </w:r>
      <w:r w:rsidR="00B7771C" w:rsidRPr="005A6293">
        <w:t>nd populist rule</w:t>
      </w:r>
      <w:r w:rsidRPr="005A6293">
        <w:t>.</w:t>
      </w:r>
      <w:r w:rsidR="00AB36E1" w:rsidRPr="005A6293">
        <w:rPr>
          <w:rStyle w:val="FootnoteReference"/>
        </w:rPr>
        <w:footnoteReference w:id="260"/>
      </w:r>
      <w:r w:rsidRPr="005A6293">
        <w:t xml:space="preserve"> Notably, Moi was the only president not from the Kikuyu ethnic group, but rather from the Kalenjin. Even still, the Kikuyu ethnic group still maintained elite power throughout the period, and retook control of Kenya again under the third president, Mwai Kibaki. Political pressures on Moi from external sources, Western powers unsatisfied with how the economy was being liberalized,</w:t>
      </w:r>
      <w:r w:rsidR="00DF0F53" w:rsidRPr="005A6293">
        <w:t xml:space="preserve"> as well as internal sources le</w:t>
      </w:r>
      <w:r w:rsidRPr="005A6293">
        <w:t>d to the reintroduction of multiple political</w:t>
      </w:r>
      <w:r w:rsidR="00B7771C" w:rsidRPr="005A6293">
        <w:t xml:space="preserve"> parties in 1991</w:t>
      </w:r>
      <w:r w:rsidRPr="005A6293">
        <w:t>.</w:t>
      </w:r>
      <w:r w:rsidR="0037277E" w:rsidRPr="005A6293">
        <w:rPr>
          <w:rStyle w:val="FootnoteReference"/>
        </w:rPr>
        <w:footnoteReference w:id="261"/>
      </w:r>
      <w:r w:rsidRPr="005A6293">
        <w:t xml:space="preserve"> Still, it was not until 2002 that Moi lost his presidency to Kibaki. The office of president passing for Moi to Kibaki in 2002 garnered hope for a truly democratic political system in Kenya, with power passing peacefully from one </w:t>
      </w:r>
      <w:r w:rsidR="00B7771C" w:rsidRPr="005A6293">
        <w:t xml:space="preserve">party to </w:t>
      </w:r>
      <w:r w:rsidR="00B7771C" w:rsidRPr="005A6293">
        <w:lastRenderedPageBreak/>
        <w:t>another</w:t>
      </w:r>
      <w:r w:rsidR="00763669" w:rsidRPr="005A6293">
        <w:t xml:space="preserve"> as a marker of democratic consolidation</w:t>
      </w:r>
      <w:r w:rsidRPr="005A6293">
        <w:t>.</w:t>
      </w:r>
      <w:r w:rsidR="0037277E" w:rsidRPr="005A6293">
        <w:rPr>
          <w:rStyle w:val="FootnoteReference"/>
        </w:rPr>
        <w:footnoteReference w:id="262"/>
      </w:r>
      <w:r w:rsidRPr="005A6293">
        <w:t xml:space="preserve"> Despite the new hope, real change is hard to come by. The new political elites followed the same path that was paved by those before them, and no real structural or social change came about due to the K</w:t>
      </w:r>
      <w:r w:rsidR="00B7771C" w:rsidRPr="005A6293">
        <w:t>ibaki presidency</w:t>
      </w:r>
      <w:r w:rsidRPr="005A6293">
        <w:t>.</w:t>
      </w:r>
      <w:r w:rsidR="0037277E" w:rsidRPr="005A6293">
        <w:rPr>
          <w:rStyle w:val="FootnoteReference"/>
        </w:rPr>
        <w:footnoteReference w:id="263"/>
      </w:r>
      <w:r w:rsidRPr="005A6293">
        <w:t xml:space="preserve"> Although, key structures such as the economy, foreign aid, and security did begin to flourish under Kibaki. However, the election cycle of 2007 resulted in violent and bloody clashes between ethnic groups, due to the prioritization and parallel marginalization of specific ethnic groups. The result was a power sharing agreement that placed a Luo, Raila Odinga, in the role of Prime Minis</w:t>
      </w:r>
      <w:r w:rsidR="00B7771C" w:rsidRPr="005A6293">
        <w:t>ter under Kibaki</w:t>
      </w:r>
      <w:r w:rsidRPr="005A6293">
        <w:t>.</w:t>
      </w:r>
      <w:r w:rsidR="0037277E" w:rsidRPr="005A6293">
        <w:rPr>
          <w:rStyle w:val="FootnoteReference"/>
        </w:rPr>
        <w:footnoteReference w:id="264"/>
      </w:r>
      <w:r w:rsidRPr="005A6293">
        <w:t xml:space="preserve"> Finally, the president who took the reins from Kibaki was Uhuru Kenyatta, once again from the Kikuyu ethnic group. Kenyatta is still president today after disputed elections in 2017 against Raila Odinga. </w:t>
      </w:r>
    </w:p>
    <w:p w14:paraId="40C61BEE" w14:textId="49CA5C54" w:rsidR="00082233" w:rsidRPr="005A6293" w:rsidRDefault="00082233" w:rsidP="0068257B">
      <w:pPr>
        <w:pStyle w:val="NoSpacing"/>
        <w:spacing w:line="480" w:lineRule="auto"/>
      </w:pPr>
      <w:r w:rsidRPr="005A6293">
        <w:tab/>
        <w:t>Politics in Kenya have followed the same pattern since independence in 1963. The first, and most seminal pattern is the tension between ethnic groups. This pattern dates back to colonialism, where specific ethnic groups were prioritized over others under the colonial government.</w:t>
      </w:r>
      <w:r w:rsidR="00111FC0" w:rsidRPr="005A6293">
        <w:rPr>
          <w:rStyle w:val="FootnoteReference"/>
        </w:rPr>
        <w:footnoteReference w:id="265"/>
      </w:r>
      <w:r w:rsidRPr="005A6293">
        <w:t xml:space="preserve"> These groups grew strong through greater populations numbers, greater education, and greater opportunities in the colonial state. These groups</w:t>
      </w:r>
      <w:r w:rsidR="00AA1122" w:rsidRPr="005A6293">
        <w:t>, such as the Kikuyu who crafted</w:t>
      </w:r>
      <w:r w:rsidRPr="005A6293">
        <w:t xml:space="preserve"> power under colonialism</w:t>
      </w:r>
      <w:r w:rsidR="00AA1122" w:rsidRPr="005A6293">
        <w:t>,</w:t>
      </w:r>
      <w:r w:rsidRPr="005A6293">
        <w:t xml:space="preserve"> consolidated and strengthened their power in Kenya post-1963. Ethnicity based policies were rampant</w:t>
      </w:r>
      <w:r w:rsidR="009E5FDE" w:rsidRPr="005A6293">
        <w:t xml:space="preserve"> throughout the post-independent period</w:t>
      </w:r>
      <w:r w:rsidRPr="005A6293">
        <w:t xml:space="preserve">, which lead to increased tensions as </w:t>
      </w:r>
      <w:r w:rsidRPr="005A6293">
        <w:lastRenderedPageBreak/>
        <w:t>communities from ethnic groups outside of political power were routinely marginalized. This culminated in the 2007 election cycle</w:t>
      </w:r>
      <w:r w:rsidR="009C7CCE" w:rsidRPr="005A6293">
        <w:t xml:space="preserve"> ethnic protests and violence</w:t>
      </w:r>
      <w:r w:rsidRPr="005A6293">
        <w:t xml:space="preserve">, with somewhere around 1,000 deaths and hundreds of thousands misplaced people. This pattern continues </w:t>
      </w:r>
      <w:r w:rsidR="009C7CCE" w:rsidRPr="005A6293">
        <w:t>even until today, with</w:t>
      </w:r>
      <w:r w:rsidRPr="005A6293">
        <w:t xml:space="preserve"> political tension between Kenyatta, a Kikuyu, and Odinga, a Luo. Kenyatta won the most recent elections, and Odinga promptly called for new elections due to inconsistencies with voting. New elections were granted, but without any real change to the election system Odinga abstained from the election, and Kenyatta returned to power. The other consistent pattern is the tension between political policies and who they benefit. </w:t>
      </w:r>
    </w:p>
    <w:p w14:paraId="0B2A52B4" w14:textId="070BE2EC" w:rsidR="00082233" w:rsidRPr="005A6293" w:rsidRDefault="00082233" w:rsidP="0068257B">
      <w:pPr>
        <w:pStyle w:val="NoSpacing"/>
        <w:spacing w:line="480" w:lineRule="auto"/>
        <w:ind w:firstLine="720"/>
      </w:pPr>
      <w:r w:rsidRPr="005A6293">
        <w:t xml:space="preserve">Charles Hornsby provides a detailed analysis of the history of Kenya in the post-colonial period. </w:t>
      </w:r>
      <w:r w:rsidR="00AB42ED" w:rsidRPr="005A6293">
        <w:t xml:space="preserve">He </w:t>
      </w:r>
      <w:r w:rsidR="00AE35CE" w:rsidRPr="005A6293">
        <w:t>identifies</w:t>
      </w:r>
      <w:r w:rsidRPr="005A6293">
        <w:t xml:space="preserve"> a struggle between different types of policies seen throughout the entire period that is illuminating for conceptualizing the political structures of independent Kenya. He identities the three policy types as: predatory policies, utilitarian policies, and popular policies. The predatory policies benefited elites in power, the utilitarian policies benefited the majority although also often increased inequality, and the popular policies were </w:t>
      </w:r>
      <w:r w:rsidR="0039565D" w:rsidRPr="005A6293">
        <w:t>massively supported but not</w:t>
      </w:r>
      <w:r w:rsidRPr="005A6293">
        <w:t xml:space="preserve"> econom</w:t>
      </w:r>
      <w:r w:rsidR="007C6CCF" w:rsidRPr="005A6293">
        <w:t>ically efficient</w:t>
      </w:r>
      <w:r w:rsidRPr="005A6293">
        <w:t>.</w:t>
      </w:r>
      <w:r w:rsidR="0037277E" w:rsidRPr="005A6293">
        <w:rPr>
          <w:rStyle w:val="FootnoteReference"/>
        </w:rPr>
        <w:footnoteReference w:id="266"/>
      </w:r>
      <w:r w:rsidRPr="005A6293">
        <w:t xml:space="preserve"> T</w:t>
      </w:r>
      <w:r w:rsidR="003855D6" w:rsidRPr="005A6293">
        <w:t>hese three policy categories are</w:t>
      </w:r>
      <w:r w:rsidRPr="005A6293">
        <w:t xml:space="preserve"> important for conceptualizing major educational policies enacted throughout the post-colonial period</w:t>
      </w:r>
      <w:r w:rsidR="00BE262D" w:rsidRPr="005A6293">
        <w:t xml:space="preserve">, and I </w:t>
      </w:r>
      <w:r w:rsidR="003855D6" w:rsidRPr="005A6293">
        <w:t>employ some of this categorization for analyzing the educational policies</w:t>
      </w:r>
      <w:r w:rsidRPr="005A6293">
        <w:t xml:space="preserve">. </w:t>
      </w:r>
    </w:p>
    <w:p w14:paraId="71B383AD" w14:textId="06ADB908" w:rsidR="00082233" w:rsidRPr="005A6293" w:rsidRDefault="00082233" w:rsidP="0068257B">
      <w:pPr>
        <w:pStyle w:val="NoSpacing"/>
        <w:spacing w:line="480" w:lineRule="auto"/>
        <w:ind w:firstLine="720"/>
      </w:pPr>
      <w:r w:rsidRPr="005A6293">
        <w:t xml:space="preserve">The political system of Kenya has evolved into a multi-party democracy. However, politics are still driven by ethnic alliances, elite power, and international intervention. Although </w:t>
      </w:r>
      <w:r w:rsidR="00F65B3F" w:rsidRPr="005A6293">
        <w:t xml:space="preserve">there was and </w:t>
      </w:r>
      <w:r w:rsidRPr="005A6293">
        <w:t xml:space="preserve">authoritarianism </w:t>
      </w:r>
      <w:r w:rsidR="00F65B3F" w:rsidRPr="005A6293">
        <w:t xml:space="preserve">swing </w:t>
      </w:r>
      <w:r w:rsidRPr="005A6293">
        <w:t xml:space="preserve">under Daniel arap Moi, </w:t>
      </w:r>
      <w:r w:rsidRPr="005A6293">
        <w:lastRenderedPageBreak/>
        <w:t xml:space="preserve">Kenya has more or less maintained tenants of democracy in political decision making, even if many of the policies have been skewed by a </w:t>
      </w:r>
      <w:r w:rsidR="005C1A2B" w:rsidRPr="005A6293">
        <w:t>hierarchical</w:t>
      </w:r>
      <w:r w:rsidRPr="005A6293">
        <w:t xml:space="preserve"> </w:t>
      </w:r>
      <w:r w:rsidR="00987E39" w:rsidRPr="005A6293">
        <w:t>government with</w:t>
      </w:r>
      <w:r w:rsidRPr="005A6293">
        <w:t xml:space="preserve"> preferences specific ethnic groups. This political system is the backdrop against which the rel</w:t>
      </w:r>
      <w:r w:rsidR="00995E90" w:rsidRPr="005A6293">
        <w:t>ationship between gender</w:t>
      </w:r>
      <w:r w:rsidRPr="005A6293">
        <w:t xml:space="preserve"> and education has played out. As discussed earlier, political policies such as the three FPEs had major ramifications </w:t>
      </w:r>
      <w:r w:rsidR="00995E90" w:rsidRPr="005A6293">
        <w:t>on the relationship between gender</w:t>
      </w:r>
      <w:r w:rsidRPr="005A6293">
        <w:t xml:space="preserve"> and education. </w:t>
      </w:r>
      <w:r w:rsidR="0022059C" w:rsidRPr="005A6293">
        <w:t>T</w:t>
      </w:r>
      <w:r w:rsidRPr="005A6293">
        <w:t>he FPEs are mostly popular policies; policies enacted due to popular demand, but lacking in economic efficiency, which has doomed the long-term feasibility of at least the first two FP</w:t>
      </w:r>
      <w:r w:rsidR="00BE262D" w:rsidRPr="005A6293">
        <w:t xml:space="preserve">Es. </w:t>
      </w:r>
      <w:r w:rsidRPr="005A6293">
        <w:t xml:space="preserve"> </w:t>
      </w:r>
    </w:p>
    <w:p w14:paraId="0ECF7E35" w14:textId="5EFFA344" w:rsidR="00082233" w:rsidRPr="005A6293" w:rsidRDefault="00963917" w:rsidP="0068257B">
      <w:pPr>
        <w:pStyle w:val="NoSpacing"/>
        <w:spacing w:line="480" w:lineRule="auto"/>
        <w:rPr>
          <w:bCs/>
          <w:i/>
        </w:rPr>
      </w:pPr>
      <w:r w:rsidRPr="005A6293">
        <w:rPr>
          <w:bCs/>
          <w:i/>
        </w:rPr>
        <w:t>Political Measure</w:t>
      </w:r>
    </w:p>
    <w:p w14:paraId="4929828E" w14:textId="1C9ABA38" w:rsidR="00082233" w:rsidRPr="005A6293" w:rsidRDefault="00082233" w:rsidP="0068257B">
      <w:pPr>
        <w:pStyle w:val="NoSpacing"/>
        <w:spacing w:line="480" w:lineRule="auto"/>
      </w:pPr>
      <w:r w:rsidRPr="005A6293">
        <w:rPr>
          <w:b/>
        </w:rPr>
        <w:tab/>
      </w:r>
      <w:r w:rsidR="008A6DA5" w:rsidRPr="005A6293">
        <w:t>P</w:t>
      </w:r>
      <w:r w:rsidRPr="005A6293">
        <w:t>o</w:t>
      </w:r>
      <w:r w:rsidR="00163640">
        <w:t>litical educational policies have</w:t>
      </w:r>
      <w:r w:rsidRPr="005A6293">
        <w:t xml:space="preserve"> alre</w:t>
      </w:r>
      <w:r w:rsidR="00A86B27" w:rsidRPr="005A6293">
        <w:t>ady been discussed in detail in the section on education</w:t>
      </w:r>
      <w:r w:rsidRPr="005A6293">
        <w:t xml:space="preserve">. The desire for greater, more equal education underlined the independence movement and, therefore, was of great political importance in the post-colonial era, especially in the first few decades. Starting under Kenyatta, education was the subject of multiple policies, reports, studies, and political promises. One of the main reasons education was so ardently pursued was because education was seen as a direct avenue to economic growth. Therefore, greater quantity and quality of education was pursued fervently under the Kenyatta presidency. For the first ten years, Kenya focused on secondary education to develop a higher-skilled labor force to stimulate economic growth. However, the demand for universal, free education soon turned the attention of the government to primary education. The result in the 1970s and 80s under both Kenyatta and Moi was the continual attempt to lessen or eradicate school fees and other financial barriers to education. These policies would be classified by Hornsby as popular policies, driven by popular demand but not always economically and financially </w:t>
      </w:r>
      <w:r w:rsidRPr="005A6293">
        <w:lastRenderedPageBreak/>
        <w:t>sound. As seen above, the first two FPEs were riddled with problems that made them unfeasible in the long-term because there was no sound alternative for funding. These educational policies are of particular interest because they were political motivated, meaning that they were enacted in a large part because of political promises and demands. Additionally, these policies had huge ramifications on education for females; the quantity increased, which has led t</w:t>
      </w:r>
      <w:r w:rsidR="00995E90" w:rsidRPr="005A6293">
        <w:t>o relative equality based on gender</w:t>
      </w:r>
      <w:r w:rsidRPr="005A6293">
        <w:t xml:space="preserve"> for access to education. Although these policies do not address gender </w:t>
      </w:r>
      <w:r w:rsidR="00995E90" w:rsidRPr="005A6293">
        <w:t>directly</w:t>
      </w:r>
      <w:r w:rsidR="00AF12C8" w:rsidRPr="005A6293">
        <w:t>, other</w:t>
      </w:r>
      <w:r w:rsidRPr="005A6293">
        <w:t xml:space="preserve"> policie</w:t>
      </w:r>
      <w:r w:rsidR="00AF12C8" w:rsidRPr="005A6293">
        <w:t>s do</w:t>
      </w:r>
      <w:r w:rsidRPr="005A6293">
        <w:t xml:space="preserve">. </w:t>
      </w:r>
    </w:p>
    <w:p w14:paraId="744B09BB" w14:textId="51D7BBEA" w:rsidR="00082233" w:rsidRPr="005A6293" w:rsidRDefault="00082233" w:rsidP="0068257B">
      <w:pPr>
        <w:pStyle w:val="NoSpacing"/>
        <w:spacing w:line="480" w:lineRule="auto"/>
      </w:pPr>
      <w:r w:rsidRPr="005A6293">
        <w:tab/>
        <w:t>Gender norms and values have changed drastically throughout the decades following independence. A quote from an MP regarding women in 1966 summed up their margin</w:t>
      </w:r>
      <w:r w:rsidR="00DC232E" w:rsidRPr="005A6293">
        <w:t>alized role in many communities:</w:t>
      </w:r>
      <w:r w:rsidRPr="005A6293">
        <w:t xml:space="preserve"> </w:t>
      </w:r>
      <w:r w:rsidR="00DC232E" w:rsidRPr="005A6293">
        <w:t>“t</w:t>
      </w:r>
      <w:r w:rsidRPr="005A6293">
        <w:t>he first duty of a woman, any woman, is to get a husband. This is the first qualification of a woman. If she fails to get a husband, she has failed her first examination and she is not</w:t>
      </w:r>
      <w:r w:rsidR="007C6CCF" w:rsidRPr="005A6293">
        <w:t xml:space="preserve"> worthy to represent anybody…”</w:t>
      </w:r>
      <w:r w:rsidRPr="005A6293">
        <w:t>.</w:t>
      </w:r>
      <w:r w:rsidR="0037277E" w:rsidRPr="005A6293">
        <w:rPr>
          <w:rStyle w:val="FootnoteReference"/>
        </w:rPr>
        <w:footnoteReference w:id="267"/>
      </w:r>
      <w:r w:rsidRPr="005A6293">
        <w:t xml:space="preserve"> From there, women’s rights and gender equality has progressed to where women have greater education, economic employment, rights, and power. Gender equality in education has a heightened place on the political agenda both globally and in Kenya. This has led to the “gender sensitive”, “gender inclusive”, “gender lite”, or “gender responsive” policies in m</w:t>
      </w:r>
      <w:r w:rsidR="007C6CCF" w:rsidRPr="005A6293">
        <w:t>any areas of Kenya</w:t>
      </w:r>
      <w:r w:rsidRPr="005A6293">
        <w:t>.</w:t>
      </w:r>
      <w:r w:rsidR="0037277E" w:rsidRPr="005A6293">
        <w:rPr>
          <w:rStyle w:val="FootnoteReference"/>
        </w:rPr>
        <w:footnoteReference w:id="268"/>
      </w:r>
      <w:r w:rsidRPr="005A6293">
        <w:t xml:space="preserve"> Government policies, research, and training on gender responsive education was not introduced until 20</w:t>
      </w:r>
      <w:r w:rsidR="007C6CCF" w:rsidRPr="005A6293">
        <w:t>08</w:t>
      </w:r>
      <w:r w:rsidRPr="005A6293">
        <w:t>.</w:t>
      </w:r>
      <w:r w:rsidR="0037277E" w:rsidRPr="005A6293">
        <w:rPr>
          <w:rStyle w:val="FootnoteReference"/>
        </w:rPr>
        <w:footnoteReference w:id="269"/>
      </w:r>
      <w:r w:rsidRPr="005A6293">
        <w:t xml:space="preserve"> Gender specific policies, proposed by both the government and specific education institutions, </w:t>
      </w:r>
      <w:r w:rsidRPr="005A6293">
        <w:lastRenderedPageBreak/>
        <w:t>include: affirmative action for girls’ education, expansion of gender inclusive and safe environments, providing support to non-formal education institutions, changes to curriculum, and teach</w:t>
      </w:r>
      <w:r w:rsidR="007C6CCF" w:rsidRPr="005A6293">
        <w:t>er training on gender equality</w:t>
      </w:r>
      <w:r w:rsidRPr="005A6293">
        <w:t>.</w:t>
      </w:r>
      <w:r w:rsidR="0037277E" w:rsidRPr="005A6293">
        <w:rPr>
          <w:rStyle w:val="FootnoteReference"/>
        </w:rPr>
        <w:footnoteReference w:id="270"/>
      </w:r>
      <w:r w:rsidRPr="005A6293">
        <w:t xml:space="preserve"> Although global and domestic actors introduce research and policies geared to accomplish gender equality in education, these policies often fall short. Unterhalter and North uncover in their research on the Millennium Development Goals in Kenya that many officials and educators believe that gender equali</w:t>
      </w:r>
      <w:r w:rsidR="00A40A5A" w:rsidRPr="005A6293">
        <w:t>ty is “properly taken care of”</w:t>
      </w:r>
      <w:r w:rsidRPr="005A6293">
        <w:t>.</w:t>
      </w:r>
      <w:r w:rsidR="0037277E" w:rsidRPr="005A6293">
        <w:rPr>
          <w:rStyle w:val="FootnoteReference"/>
        </w:rPr>
        <w:footnoteReference w:id="271"/>
      </w:r>
      <w:r w:rsidR="006355DD" w:rsidRPr="005A6293">
        <w:t xml:space="preserve"> Similarly,</w:t>
      </w:r>
      <w:r w:rsidRPr="005A6293">
        <w:t xml:space="preserve"> in Milligan’s study teachers recognized the difficulties females face in education, but often they enact their own socially constructed ideals of gender in their classrooms</w:t>
      </w:r>
      <w:r w:rsidR="0054662C" w:rsidRPr="005A6293">
        <w:t xml:space="preserve"> that maintained gender-biases</w:t>
      </w:r>
      <w:r w:rsidRPr="005A6293">
        <w:t xml:space="preserve"> through their teachings and encouragement of</w:t>
      </w:r>
      <w:r w:rsidR="00A40A5A" w:rsidRPr="005A6293">
        <w:t xml:space="preserve"> their students</w:t>
      </w:r>
      <w:r w:rsidRPr="005A6293">
        <w:t>.</w:t>
      </w:r>
      <w:r w:rsidR="0037277E" w:rsidRPr="005A6293">
        <w:rPr>
          <w:rStyle w:val="FootnoteReference"/>
        </w:rPr>
        <w:footnoteReference w:id="272"/>
      </w:r>
      <w:r w:rsidRPr="005A6293">
        <w:t xml:space="preserve"> Therefore, while Kenya in the past couple of decad</w:t>
      </w:r>
      <w:r w:rsidR="003C2154" w:rsidRPr="005A6293">
        <w:t xml:space="preserve">es has made huge strides in </w:t>
      </w:r>
      <w:r w:rsidRPr="005A6293">
        <w:t xml:space="preserve">equality in education, such as almost equal access, </w:t>
      </w:r>
      <w:r w:rsidR="00566EF1" w:rsidRPr="005A6293">
        <w:t xml:space="preserve">full </w:t>
      </w:r>
      <w:r w:rsidRPr="005A6293">
        <w:t xml:space="preserve">gender equality still lags behind despite government policies enacted to foster gender equality in education. </w:t>
      </w:r>
    </w:p>
    <w:p w14:paraId="78363472" w14:textId="0F8D3B3E" w:rsidR="00082233" w:rsidRPr="005A6293" w:rsidRDefault="00082233" w:rsidP="0013708C">
      <w:pPr>
        <w:pStyle w:val="NoSpacing"/>
        <w:spacing w:line="480" w:lineRule="auto"/>
      </w:pPr>
      <w:r w:rsidRPr="005A6293">
        <w:tab/>
        <w:t xml:space="preserve">The interaction of politics </w:t>
      </w:r>
      <w:r w:rsidR="00652629" w:rsidRPr="005A6293">
        <w:t>with</w:t>
      </w:r>
      <w:r w:rsidR="003C2154" w:rsidRPr="005A6293">
        <w:t xml:space="preserve"> gender</w:t>
      </w:r>
      <w:r w:rsidRPr="005A6293">
        <w:t xml:space="preserve"> and edu</w:t>
      </w:r>
      <w:r w:rsidR="003C2154" w:rsidRPr="005A6293">
        <w:t>cation has increased some areas of</w:t>
      </w:r>
      <w:r w:rsidRPr="005A6293">
        <w:t xml:space="preserve"> equality in education, </w:t>
      </w:r>
      <w:r w:rsidR="00226DE6" w:rsidRPr="005A6293">
        <w:t>but has not produced full gender equality in education as of today.</w:t>
      </w:r>
      <w:r w:rsidRPr="005A6293">
        <w:t xml:space="preserve"> Education</w:t>
      </w:r>
      <w:r w:rsidR="00780369" w:rsidRPr="005A6293">
        <w:t>al policies have increased girl</w:t>
      </w:r>
      <w:r w:rsidRPr="005A6293">
        <w:t>s</w:t>
      </w:r>
      <w:r w:rsidR="00780369" w:rsidRPr="005A6293">
        <w:t>’</w:t>
      </w:r>
      <w:r w:rsidRPr="005A6293">
        <w:t xml:space="preserve"> access to education, but as for quality measures such as achievement and accomplishment, policies have yielded few results. This is largely because the same gender norms that hinder gender equality in education also impact the political institution. These cultural norms lag, and</w:t>
      </w:r>
      <w:r w:rsidR="00A042AD" w:rsidRPr="005A6293">
        <w:t xml:space="preserve"> </w:t>
      </w:r>
      <w:r w:rsidRPr="005A6293">
        <w:t xml:space="preserve">some barriers to </w:t>
      </w:r>
      <w:r w:rsidRPr="005A6293">
        <w:lastRenderedPageBreak/>
        <w:t>gender equality remain persistently stubborn to changing. The persistence of these norms impa</w:t>
      </w:r>
      <w:r w:rsidR="009F7C15" w:rsidRPr="005A6293">
        <w:t xml:space="preserve">ct the interaction between </w:t>
      </w:r>
      <w:r w:rsidRPr="005A6293">
        <w:t xml:space="preserve">gender, education, and politics. </w:t>
      </w:r>
    </w:p>
    <w:p w14:paraId="5286F592" w14:textId="77777777" w:rsidR="00082233" w:rsidRPr="005A6293" w:rsidRDefault="00082233" w:rsidP="0068257B">
      <w:pPr>
        <w:pStyle w:val="NoSpacing"/>
        <w:spacing w:line="480" w:lineRule="auto"/>
        <w:rPr>
          <w:b/>
          <w:bCs/>
        </w:rPr>
      </w:pPr>
      <w:r w:rsidRPr="005A6293">
        <w:rPr>
          <w:b/>
          <w:bCs/>
        </w:rPr>
        <w:t>Conclusion</w:t>
      </w:r>
    </w:p>
    <w:p w14:paraId="5822B9B4" w14:textId="2B8DD037" w:rsidR="00BE262D" w:rsidRPr="005A6293" w:rsidRDefault="00082233" w:rsidP="00A47C72">
      <w:pPr>
        <w:pStyle w:val="NoSpacing"/>
        <w:spacing w:line="480" w:lineRule="auto"/>
      </w:pPr>
      <w:r w:rsidRPr="005A6293">
        <w:tab/>
        <w:t>The focus of this chapter w</w:t>
      </w:r>
      <w:r w:rsidR="009F7C15" w:rsidRPr="005A6293">
        <w:t>as the interaction between gender</w:t>
      </w:r>
      <w:r w:rsidR="004E197F">
        <w:t xml:space="preserve"> and education and the</w:t>
      </w:r>
      <w:r w:rsidRPr="005A6293">
        <w:t xml:space="preserve"> presence of gender inequality in education througho</w:t>
      </w:r>
      <w:r w:rsidR="009F7C15" w:rsidRPr="005A6293">
        <w:t>ut most of the period. While some</w:t>
      </w:r>
      <w:r w:rsidRPr="005A6293">
        <w:t xml:space="preserve"> imbalances have largely successfully been addressed through government policies and international pressure, gender gaps persistently remain in education. This</w:t>
      </w:r>
      <w:r w:rsidR="009F7C15" w:rsidRPr="005A6293">
        <w:t xml:space="preserve"> relationship between gender</w:t>
      </w:r>
      <w:r w:rsidRPr="005A6293">
        <w:t xml:space="preserve"> and education impacts the economic and political structures of Kenya. The economy experiences lower growth and a sexual division of labor due to differences in female education as well as gender norms outside of education. Likewise, the political structure boasts progressive policies, but continues to experience the i</w:t>
      </w:r>
      <w:r w:rsidR="00086A31" w:rsidRPr="005A6293">
        <w:t>mpact of skewed gender norms, which</w:t>
      </w:r>
      <w:r w:rsidRPr="005A6293">
        <w:t xml:space="preserve"> impacts the education system with inefficient gender equality policies. This is the situation in Kenya as of tod</w:t>
      </w:r>
      <w:r w:rsidR="00BE262D" w:rsidRPr="005A6293">
        <w:t xml:space="preserve">ay, the concluding chapter </w:t>
      </w:r>
      <w:r w:rsidRPr="005A6293">
        <w:t>address</w:t>
      </w:r>
      <w:r w:rsidR="00BE262D" w:rsidRPr="005A6293">
        <w:t>es</w:t>
      </w:r>
      <w:r w:rsidRPr="005A6293">
        <w:t xml:space="preserve"> where to go from here and introduce policy and research recommendations. </w:t>
      </w:r>
    </w:p>
    <w:p w14:paraId="64B88A1A" w14:textId="77777777" w:rsidR="00BE262D" w:rsidRPr="005A6293" w:rsidRDefault="00BE262D">
      <w:r w:rsidRPr="005A6293">
        <w:br w:type="page"/>
      </w:r>
    </w:p>
    <w:p w14:paraId="473B0AA1" w14:textId="77777777" w:rsidR="00082233" w:rsidRPr="005A6293" w:rsidRDefault="00082233" w:rsidP="00BE262D">
      <w:pPr>
        <w:pStyle w:val="NoSpacing"/>
        <w:spacing w:line="480" w:lineRule="auto"/>
        <w:jc w:val="center"/>
        <w:rPr>
          <w:b/>
          <w:bCs/>
        </w:rPr>
      </w:pPr>
      <w:r w:rsidRPr="005A6293">
        <w:rPr>
          <w:b/>
          <w:bCs/>
        </w:rPr>
        <w:lastRenderedPageBreak/>
        <w:t>Conclusion</w:t>
      </w:r>
    </w:p>
    <w:p w14:paraId="3F138CF8" w14:textId="3A573D14" w:rsidR="00082233" w:rsidRPr="005A6293" w:rsidRDefault="009F4DAA" w:rsidP="0068257B">
      <w:pPr>
        <w:spacing w:line="480" w:lineRule="auto"/>
      </w:pPr>
      <w:r w:rsidRPr="005A6293">
        <w:tab/>
      </w:r>
      <w:r w:rsidR="00CB3664" w:rsidRPr="005A6293">
        <w:t>In t</w:t>
      </w:r>
      <w:r w:rsidR="00B22A96" w:rsidRPr="005A6293">
        <w:t>his thesis</w:t>
      </w:r>
      <w:r w:rsidR="00CB3664" w:rsidRPr="005A6293">
        <w:t>, I analyze</w:t>
      </w:r>
      <w:r w:rsidR="00B22A96" w:rsidRPr="005A6293">
        <w:t xml:space="preserve"> the relat</w:t>
      </w:r>
      <w:r w:rsidR="009F7C15" w:rsidRPr="005A6293">
        <w:t xml:space="preserve">ionship between education </w:t>
      </w:r>
      <w:r w:rsidR="00B22A96" w:rsidRPr="005A6293">
        <w:t>a</w:t>
      </w:r>
      <w:r w:rsidR="00E32AFC">
        <w:t>nd gender in Kenya, and explore</w:t>
      </w:r>
      <w:r w:rsidR="00B22A96" w:rsidRPr="005A6293">
        <w:t xml:space="preserve"> how that specific relationship interacts with economics and politics. Throughout three time-periods – pre-colonial, colonial, and post-colonial </w:t>
      </w:r>
      <w:r w:rsidR="0029639B" w:rsidRPr="005A6293">
        <w:t>–</w:t>
      </w:r>
      <w:r w:rsidR="00B22A96" w:rsidRPr="005A6293">
        <w:t xml:space="preserve"> </w:t>
      </w:r>
      <w:r w:rsidR="0029639B" w:rsidRPr="005A6293">
        <w:t>the relat</w:t>
      </w:r>
      <w:r w:rsidR="009F7C15" w:rsidRPr="005A6293">
        <w:t xml:space="preserve">ionship between education </w:t>
      </w:r>
      <w:r w:rsidR="0029639B" w:rsidRPr="005A6293">
        <w:t xml:space="preserve">and gender changes due to shifting norms. These changes impact the interaction with economics and politics. These themes are important because it reframes the way we conceptualize development. </w:t>
      </w:r>
    </w:p>
    <w:p w14:paraId="3674B234" w14:textId="5F240E8C" w:rsidR="00435930" w:rsidRPr="005A6293" w:rsidRDefault="00435930" w:rsidP="0068257B">
      <w:pPr>
        <w:spacing w:line="480" w:lineRule="auto"/>
      </w:pPr>
      <w:r w:rsidRPr="005A6293">
        <w:tab/>
        <w:t xml:space="preserve">My thesis was driven by the central </w:t>
      </w:r>
      <w:r w:rsidR="00301261">
        <w:t>research question: how does the</w:t>
      </w:r>
      <w:r w:rsidRPr="005A6293">
        <w:t xml:space="preserve"> relationship between education and gender interact with other societal structures, such as politics and economics overtime? After extensive historical analysis, I posit that social norms of gender influence</w:t>
      </w:r>
      <w:r w:rsidR="00FD5CCE" w:rsidRPr="005A6293">
        <w:t xml:space="preserve"> education, which in turn interacts with</w:t>
      </w:r>
      <w:r w:rsidRPr="005A6293">
        <w:t xml:space="preserve"> the politic</w:t>
      </w:r>
      <w:r w:rsidR="00FD5CCE" w:rsidRPr="005A6293">
        <w:t>al structures</w:t>
      </w:r>
      <w:r w:rsidRPr="005A6293">
        <w:t xml:space="preserve"> and the economy of Kenya. </w:t>
      </w:r>
      <w:r w:rsidR="006204E1" w:rsidRPr="005A6293">
        <w:t>Throughout each time-period, a multitude of actors define</w:t>
      </w:r>
      <w:r w:rsidR="00D63427" w:rsidRPr="005A6293">
        <w:t>d</w:t>
      </w:r>
      <w:r w:rsidR="006204E1" w:rsidRPr="005A6293">
        <w:t xml:space="preserve">, accepted, rejected, and </w:t>
      </w:r>
      <w:r w:rsidR="00F855EC" w:rsidRPr="005A6293">
        <w:t>incorporated gender norms</w:t>
      </w:r>
      <w:r w:rsidR="00D63427" w:rsidRPr="005A6293">
        <w:t xml:space="preserve"> into the education system, which shaped female education. I measure how the norms change and the impact of these changes on education through four measures: access, attainment, achievement, and accomplishment. Additionally, I determine how these norms work through education and interact in specific ways with political and economic institutions in Kenya.</w:t>
      </w:r>
      <w:r w:rsidR="00F855EC" w:rsidRPr="005A6293">
        <w:t xml:space="preserve"> </w:t>
      </w:r>
      <w:r w:rsidR="00CD429C" w:rsidRPr="005A6293">
        <w:t xml:space="preserve">While this thesis provides no </w:t>
      </w:r>
      <w:r w:rsidR="0084422A" w:rsidRPr="005A6293">
        <w:t>definitive</w:t>
      </w:r>
      <w:r w:rsidR="00CD429C" w:rsidRPr="005A6293">
        <w:t xml:space="preserve"> policy </w:t>
      </w:r>
      <w:r w:rsidR="0084422A" w:rsidRPr="005A6293">
        <w:t xml:space="preserve">recommendation, </w:t>
      </w:r>
      <w:r w:rsidR="00006EA3" w:rsidRPr="005A6293">
        <w:t xml:space="preserve">it is still important because it informs us what type of policy addressing gender in education is necessary: one that recognizes the complexities of how education is informed by gender hierarchies and gender norms. </w:t>
      </w:r>
      <w:r w:rsidR="00501D5A" w:rsidRPr="005A6293">
        <w:t xml:space="preserve">Additionally, this thesis demonstrates multiple areas through which education is influenced by gender that would need to be addressed be policy recommendations. Furthermore, this thesis provides reasons for why addressing gender </w:t>
      </w:r>
      <w:r w:rsidR="00501D5A" w:rsidRPr="005A6293">
        <w:lastRenderedPageBreak/>
        <w:t xml:space="preserve">inequality in education is important. First, it is important for development, as the capabilities theory predicts. Additionally, gender inequality in education also impacts economic and political structures and, therefore, addressing gender gaps in education also works to address gender gaps in other social structures. Finally, this thesis defends the notion that it is necessary to address gender inequality in education because education is a freedom that has intrinsic value. </w:t>
      </w:r>
    </w:p>
    <w:p w14:paraId="122E46C6" w14:textId="5A33DA43" w:rsidR="003333EF" w:rsidRPr="005A6293" w:rsidRDefault="004B1DAE" w:rsidP="0068257B">
      <w:pPr>
        <w:spacing w:line="480" w:lineRule="auto"/>
      </w:pPr>
      <w:r w:rsidRPr="005A6293">
        <w:tab/>
      </w:r>
      <w:r w:rsidR="001101E7" w:rsidRPr="005A6293">
        <w:t>Education in Kenya has historically been utilized to promote development of some kind, whether it is social development, economic development, or national development. Currently, development projects with various goals typically have one common feature: the utilization of Western norms to promote “modernization” or development. However, this thesis has hi</w:t>
      </w:r>
      <w:r w:rsidR="00FA56A8" w:rsidRPr="005A6293">
        <w:t>ghlighted negative outcomes due to</w:t>
      </w:r>
      <w:r w:rsidR="001101E7" w:rsidRPr="005A6293">
        <w:t xml:space="preserve"> the influx of Western norms, as seen during the colonial period. This produces a great irony: the use of Western norms to enhance social and economic development in Kenya despite the historic reality of negative outcomes due to utilization of Western norms for development. While this paper does not fully address this issue, it has serious policy implications for future development projects. Development practitioners and advocates need to resist the notion that Western norms are universally good, superior, and ahistorical. </w:t>
      </w:r>
    </w:p>
    <w:p w14:paraId="4E5DF731" w14:textId="39DDBF4B" w:rsidR="00630F0E" w:rsidRPr="005A6293" w:rsidRDefault="00630F0E" w:rsidP="0068257B">
      <w:pPr>
        <w:spacing w:line="480" w:lineRule="auto"/>
        <w:rPr>
          <w:b/>
        </w:rPr>
      </w:pPr>
      <w:r w:rsidRPr="005A6293">
        <w:rPr>
          <w:b/>
        </w:rPr>
        <w:t>Review</w:t>
      </w:r>
      <w:r w:rsidR="003F70A5" w:rsidRPr="005A6293">
        <w:rPr>
          <w:b/>
        </w:rPr>
        <w:t xml:space="preserve"> of Themes</w:t>
      </w:r>
    </w:p>
    <w:p w14:paraId="45E7920D" w14:textId="0F93FBBE" w:rsidR="00B22A96" w:rsidRPr="005A6293" w:rsidRDefault="00F75A1F" w:rsidP="0068257B">
      <w:pPr>
        <w:spacing w:line="480" w:lineRule="auto"/>
        <w:rPr>
          <w:rFonts w:cs="Times New Roman"/>
        </w:rPr>
      </w:pPr>
      <w:r w:rsidRPr="005A6293">
        <w:tab/>
        <w:t xml:space="preserve">The </w:t>
      </w:r>
      <w:r w:rsidR="004A1882" w:rsidRPr="005A6293">
        <w:t xml:space="preserve">main theme from the pre-colonial period revolved around </w:t>
      </w:r>
      <w:r w:rsidR="00300E4A" w:rsidRPr="005A6293">
        <w:rPr>
          <w:rFonts w:cs="Times New Roman"/>
        </w:rPr>
        <w:t>indigenous</w:t>
      </w:r>
      <w:r w:rsidR="004A1882" w:rsidRPr="005A6293">
        <w:t xml:space="preserve"> education and its relationship with gender norms.</w:t>
      </w:r>
      <w:r w:rsidR="007E3097" w:rsidRPr="005A6293">
        <w:t xml:space="preserve"> Although each ethnic group had different educational, economic and political structures, some common themes among these structures are present throughout Kenya. Primarily, </w:t>
      </w:r>
      <w:r w:rsidR="00300E4A" w:rsidRPr="005A6293">
        <w:rPr>
          <w:rFonts w:cs="Times New Roman"/>
        </w:rPr>
        <w:t>indigenous</w:t>
      </w:r>
      <w:r w:rsidR="007E3097" w:rsidRPr="005A6293">
        <w:t xml:space="preserve"> education had five </w:t>
      </w:r>
      <w:r w:rsidR="007E3097" w:rsidRPr="005A6293">
        <w:lastRenderedPageBreak/>
        <w:t xml:space="preserve">common principles: </w:t>
      </w:r>
      <w:r w:rsidR="007E3097" w:rsidRPr="005A6293">
        <w:rPr>
          <w:rFonts w:cs="Times New Roman"/>
        </w:rPr>
        <w:t xml:space="preserve">preparationism, functionalism, communalism, perennialism and wholisticism. These principles drove </w:t>
      </w:r>
      <w:r w:rsidR="00300E4A" w:rsidRPr="005A6293">
        <w:rPr>
          <w:rFonts w:cs="Times New Roman"/>
        </w:rPr>
        <w:t>indigenous</w:t>
      </w:r>
      <w:r w:rsidR="007E3097" w:rsidRPr="005A6293">
        <w:rPr>
          <w:rFonts w:cs="Times New Roman"/>
        </w:rPr>
        <w:t xml:space="preserve"> education to be tailored to specific roles, practical, communal, to advance multiple skills, and to preserve and reproduce the culture and traditions of different ethnic groups. </w:t>
      </w:r>
      <w:r w:rsidR="007D3B50" w:rsidRPr="005A6293">
        <w:rPr>
          <w:rFonts w:cs="Times New Roman"/>
        </w:rPr>
        <w:t xml:space="preserve">The relationship between education and gender is measured in each time-period chapter with four measurements: access, attainment, achievement, and accomplishment. For the pre-colonial period, I argue that access and attainment are unrestricted, but that achievement and accomplishment are restricted by gender norms. </w:t>
      </w:r>
      <w:r w:rsidR="005E0AE2" w:rsidRPr="005A6293">
        <w:rPr>
          <w:rFonts w:cs="Times New Roman"/>
        </w:rPr>
        <w:t>Through</w:t>
      </w:r>
      <w:r w:rsidR="00244601">
        <w:rPr>
          <w:rFonts w:cs="Times New Roman"/>
        </w:rPr>
        <w:t>out</w:t>
      </w:r>
      <w:r w:rsidR="005E0AE2" w:rsidRPr="005A6293">
        <w:rPr>
          <w:rFonts w:cs="Times New Roman"/>
        </w:rPr>
        <w:t xml:space="preserve"> the time-period,</w:t>
      </w:r>
      <w:r w:rsidR="0024157D" w:rsidRPr="005A6293">
        <w:rPr>
          <w:rFonts w:cs="Times New Roman"/>
        </w:rPr>
        <w:t xml:space="preserve"> education and gender</w:t>
      </w:r>
      <w:r w:rsidR="00564B3E" w:rsidRPr="005A6293">
        <w:rPr>
          <w:rFonts w:cs="Times New Roman"/>
        </w:rPr>
        <w:t xml:space="preserve"> interacted in a manner</w:t>
      </w:r>
      <w:r w:rsidR="0044458D" w:rsidRPr="005A6293">
        <w:rPr>
          <w:rFonts w:cs="Times New Roman"/>
        </w:rPr>
        <w:t xml:space="preserve"> that impact</w:t>
      </w:r>
      <w:r w:rsidR="0024157D" w:rsidRPr="005A6293">
        <w:rPr>
          <w:rFonts w:cs="Times New Roman"/>
        </w:rPr>
        <w:t>ed economic and political roles</w:t>
      </w:r>
      <w:r w:rsidR="0044458D" w:rsidRPr="005A6293">
        <w:rPr>
          <w:rFonts w:cs="Times New Roman"/>
        </w:rPr>
        <w:t xml:space="preserve">. </w:t>
      </w:r>
      <w:r w:rsidR="0024157D" w:rsidRPr="005A6293">
        <w:rPr>
          <w:rFonts w:cs="Times New Roman"/>
        </w:rPr>
        <w:t xml:space="preserve">As with every time-period chapter, </w:t>
      </w:r>
      <w:r w:rsidR="00575182" w:rsidRPr="005A6293">
        <w:rPr>
          <w:rFonts w:cs="Times New Roman"/>
        </w:rPr>
        <w:t>I measured how</w:t>
      </w:r>
      <w:r w:rsidR="0024157D" w:rsidRPr="005A6293">
        <w:rPr>
          <w:rFonts w:cs="Times New Roman"/>
        </w:rPr>
        <w:t xml:space="preserve"> education and gender interacted with the economy</w:t>
      </w:r>
      <w:r w:rsidR="00575182" w:rsidRPr="005A6293">
        <w:rPr>
          <w:rFonts w:cs="Times New Roman"/>
        </w:rPr>
        <w:t xml:space="preserve"> by analyzing</w:t>
      </w:r>
      <w:r w:rsidR="0024157D" w:rsidRPr="005A6293">
        <w:rPr>
          <w:rFonts w:cs="Times New Roman"/>
        </w:rPr>
        <w:t xml:space="preserve"> the sexual division of labor. </w:t>
      </w:r>
      <w:r w:rsidR="00B8427B" w:rsidRPr="005A6293">
        <w:rPr>
          <w:rFonts w:cs="Times New Roman"/>
        </w:rPr>
        <w:t>During the pre-colonial period, t</w:t>
      </w:r>
      <w:r w:rsidR="0024157D" w:rsidRPr="005A6293">
        <w:rPr>
          <w:rFonts w:cs="Times New Roman"/>
        </w:rPr>
        <w:t>here was a clear sexual division of labor based off gender, which was informed by the specific education that males and females received. Additionally, the political measure</w:t>
      </w:r>
      <w:r w:rsidR="00DE04B0" w:rsidRPr="005A6293">
        <w:rPr>
          <w:rFonts w:cs="Times New Roman"/>
        </w:rPr>
        <w:t>ment,</w:t>
      </w:r>
      <w:r w:rsidR="0024157D" w:rsidRPr="005A6293">
        <w:rPr>
          <w:rFonts w:cs="Times New Roman"/>
        </w:rPr>
        <w:t xml:space="preserve"> educational policies</w:t>
      </w:r>
      <w:r w:rsidR="00DE04B0" w:rsidRPr="005A6293">
        <w:rPr>
          <w:rFonts w:cs="Times New Roman"/>
        </w:rPr>
        <w:t xml:space="preserve">, </w:t>
      </w:r>
      <w:r w:rsidR="0024157D" w:rsidRPr="005A6293">
        <w:rPr>
          <w:rFonts w:cs="Times New Roman"/>
        </w:rPr>
        <w:t xml:space="preserve">indicated </w:t>
      </w:r>
      <w:r w:rsidR="00FF0C7E" w:rsidRPr="005A6293">
        <w:rPr>
          <w:rFonts w:cs="Times New Roman"/>
        </w:rPr>
        <w:t xml:space="preserve">that politics influenced gender in education opportunities for political participation. </w:t>
      </w:r>
      <w:r w:rsidR="0024157D" w:rsidRPr="005A6293">
        <w:rPr>
          <w:rFonts w:cs="Times New Roman"/>
        </w:rPr>
        <w:t xml:space="preserve">Overall, the main theme of the period was one of separation for males and females; while there was subordination in many communities, it was not so clear cut as it becomes during the colonial period. </w:t>
      </w:r>
    </w:p>
    <w:p w14:paraId="7EB69DB8" w14:textId="1CD5F1FA" w:rsidR="00242711" w:rsidRPr="005A6293" w:rsidRDefault="00242711" w:rsidP="0068257B">
      <w:pPr>
        <w:spacing w:line="480" w:lineRule="auto"/>
        <w:rPr>
          <w:rFonts w:cs="Times New Roman"/>
        </w:rPr>
      </w:pPr>
      <w:r w:rsidRPr="005A6293">
        <w:rPr>
          <w:rFonts w:cs="Times New Roman"/>
        </w:rPr>
        <w:tab/>
        <w:t>With the introduction of missionary education, which was formalized in the early colonial perio</w:t>
      </w:r>
      <w:r w:rsidR="00841D77" w:rsidRPr="005A6293">
        <w:rPr>
          <w:rFonts w:cs="Times New Roman"/>
        </w:rPr>
        <w:t xml:space="preserve">d, gender norms began to change </w:t>
      </w:r>
      <w:r w:rsidRPr="005A6293">
        <w:rPr>
          <w:rFonts w:cs="Times New Roman"/>
        </w:rPr>
        <w:t>the relationship between</w:t>
      </w:r>
      <w:r w:rsidR="009F7C15" w:rsidRPr="005A6293">
        <w:rPr>
          <w:rFonts w:cs="Times New Roman"/>
        </w:rPr>
        <w:t xml:space="preserve"> education</w:t>
      </w:r>
      <w:r w:rsidRPr="005A6293">
        <w:rPr>
          <w:rFonts w:cs="Times New Roman"/>
        </w:rPr>
        <w:t xml:space="preserve"> and</w:t>
      </w:r>
      <w:r w:rsidR="00D827EE" w:rsidRPr="005A6293">
        <w:rPr>
          <w:rFonts w:cs="Times New Roman"/>
        </w:rPr>
        <w:t xml:space="preserve"> gender. Missionaries imported W</w:t>
      </w:r>
      <w:r w:rsidRPr="005A6293">
        <w:rPr>
          <w:rFonts w:cs="Times New Roman"/>
        </w:rPr>
        <w:t xml:space="preserve">estern norms, which postulated gender ideals based off Victorian and religious notions. </w:t>
      </w:r>
      <w:r w:rsidR="00071877" w:rsidRPr="005A6293">
        <w:rPr>
          <w:rFonts w:cs="Times New Roman"/>
        </w:rPr>
        <w:t>Therefore, under the colonial period, educatio</w:t>
      </w:r>
      <w:r w:rsidR="005243A4" w:rsidRPr="005A6293">
        <w:rPr>
          <w:rFonts w:cs="Times New Roman"/>
        </w:rPr>
        <w:t xml:space="preserve">nal inequality began to increase </w:t>
      </w:r>
      <w:r w:rsidR="00071877" w:rsidRPr="005A6293">
        <w:rPr>
          <w:rFonts w:cs="Times New Roman"/>
        </w:rPr>
        <w:t xml:space="preserve">due to gender identities. </w:t>
      </w:r>
      <w:r w:rsidR="00C574C5" w:rsidRPr="005A6293">
        <w:rPr>
          <w:rFonts w:cs="Times New Roman"/>
        </w:rPr>
        <w:t xml:space="preserve">These changes impacted how education interacted with the economic and political structures. </w:t>
      </w:r>
      <w:r w:rsidR="00C574C5" w:rsidRPr="005A6293">
        <w:rPr>
          <w:rFonts w:cs="Times New Roman"/>
        </w:rPr>
        <w:lastRenderedPageBreak/>
        <w:t xml:space="preserve">Additionally, tensions between settlers and Africans, the introduction of overarching structures, and racial subordination impacted societal structures in the colonial period. </w:t>
      </w:r>
      <w:r w:rsidR="00AD0A4E" w:rsidRPr="005A6293">
        <w:rPr>
          <w:rFonts w:cs="Times New Roman"/>
        </w:rPr>
        <w:t xml:space="preserve">One of the main focuses of the third chapter is dedicated to how Africans internalized, accepted, or rebelled against the changes that Europeans exerted on their society. These reactions were tied to education, specifically through the independent school movement. Therefore, education became a site of </w:t>
      </w:r>
      <w:r w:rsidR="007E31C3" w:rsidRPr="005A6293">
        <w:rPr>
          <w:rFonts w:cs="Times New Roman"/>
        </w:rPr>
        <w:t xml:space="preserve">norms and culture for both European missionaries as well as Kenyans. </w:t>
      </w:r>
      <w:r w:rsidR="009957E2" w:rsidRPr="005A6293">
        <w:rPr>
          <w:rFonts w:cs="Times New Roman"/>
        </w:rPr>
        <w:t xml:space="preserve">The four measurements for gender and education all indicated that gender norms during the colonial period restricted education for females in various ways; this was the only time-period were all four measurements indicated that gender norms restricted education. </w:t>
      </w:r>
      <w:r w:rsidR="006A75FA" w:rsidRPr="005A6293">
        <w:rPr>
          <w:rFonts w:cs="Times New Roman"/>
        </w:rPr>
        <w:t>The economic measure</w:t>
      </w:r>
      <w:r w:rsidR="009957E2" w:rsidRPr="005A6293">
        <w:rPr>
          <w:rFonts w:cs="Times New Roman"/>
        </w:rPr>
        <w:t>ment</w:t>
      </w:r>
      <w:r w:rsidR="006A75FA" w:rsidRPr="005A6293">
        <w:rPr>
          <w:rFonts w:cs="Times New Roman"/>
        </w:rPr>
        <w:t xml:space="preserve"> for the period indicate</w:t>
      </w:r>
      <w:r w:rsidR="009957E2" w:rsidRPr="005A6293">
        <w:rPr>
          <w:rFonts w:cs="Times New Roman"/>
        </w:rPr>
        <w:t>d</w:t>
      </w:r>
      <w:r w:rsidR="006A75FA" w:rsidRPr="005A6293">
        <w:rPr>
          <w:rFonts w:cs="Times New Roman"/>
        </w:rPr>
        <w:t xml:space="preserve"> that the sexual division of labor was heavily influenced by the impact of Western gender ideals in education. </w:t>
      </w:r>
      <w:r w:rsidR="00451450" w:rsidRPr="005A6293">
        <w:rPr>
          <w:rFonts w:cs="Times New Roman"/>
        </w:rPr>
        <w:t>The political measure</w:t>
      </w:r>
      <w:r w:rsidR="009957E2" w:rsidRPr="005A6293">
        <w:rPr>
          <w:rFonts w:cs="Times New Roman"/>
        </w:rPr>
        <w:t>ment</w:t>
      </w:r>
      <w:r w:rsidR="00451450" w:rsidRPr="005A6293">
        <w:rPr>
          <w:rFonts w:cs="Times New Roman"/>
        </w:rPr>
        <w:t xml:space="preserve"> also highlight</w:t>
      </w:r>
      <w:r w:rsidR="009957E2" w:rsidRPr="005A6293">
        <w:rPr>
          <w:rFonts w:cs="Times New Roman"/>
        </w:rPr>
        <w:t>ed</w:t>
      </w:r>
      <w:r w:rsidR="00451450" w:rsidRPr="005A6293">
        <w:rPr>
          <w:rFonts w:cs="Times New Roman"/>
        </w:rPr>
        <w:t xml:space="preserve"> the shifting relationship between education and gender and how it impacted politics. </w:t>
      </w:r>
      <w:r w:rsidR="009957E2" w:rsidRPr="005A6293">
        <w:rPr>
          <w:rFonts w:cs="Times New Roman"/>
        </w:rPr>
        <w:t>The</w:t>
      </w:r>
      <w:r w:rsidR="00451450" w:rsidRPr="005A6293">
        <w:rPr>
          <w:rFonts w:cs="Times New Roman"/>
        </w:rPr>
        <w:t xml:space="preserve"> measure</w:t>
      </w:r>
      <w:r w:rsidR="009957E2" w:rsidRPr="005A6293">
        <w:rPr>
          <w:rFonts w:cs="Times New Roman"/>
        </w:rPr>
        <w:t>ment</w:t>
      </w:r>
      <w:r w:rsidR="00451450" w:rsidRPr="005A6293">
        <w:rPr>
          <w:rFonts w:cs="Times New Roman"/>
        </w:rPr>
        <w:t xml:space="preserve"> indicated that politics impacted education due to gender ideals that were incorporated in educational policies. </w:t>
      </w:r>
      <w:r w:rsidR="00581E0B" w:rsidRPr="005A6293">
        <w:rPr>
          <w:rFonts w:cs="Times New Roman"/>
        </w:rPr>
        <w:t xml:space="preserve">During </w:t>
      </w:r>
      <w:r w:rsidR="00EF6F7A" w:rsidRPr="005A6293">
        <w:rPr>
          <w:rFonts w:cs="Times New Roman"/>
        </w:rPr>
        <w:t>the colonial era, I demonstrate that there is</w:t>
      </w:r>
      <w:r w:rsidR="007645C6" w:rsidRPr="005A6293">
        <w:rPr>
          <w:rFonts w:cs="Times New Roman"/>
        </w:rPr>
        <w:t xml:space="preserve"> growth to</w:t>
      </w:r>
      <w:r w:rsidR="00581E0B" w:rsidRPr="005A6293">
        <w:rPr>
          <w:rFonts w:cs="Times New Roman"/>
        </w:rPr>
        <w:t xml:space="preserve"> the impact of gender on education, economics, and politics. </w:t>
      </w:r>
    </w:p>
    <w:p w14:paraId="53E4875D" w14:textId="3F88F3F7" w:rsidR="007E31C3" w:rsidRPr="005A6293" w:rsidRDefault="007E31C3" w:rsidP="0068257B">
      <w:pPr>
        <w:spacing w:line="480" w:lineRule="auto"/>
        <w:rPr>
          <w:rFonts w:cs="Times New Roman"/>
        </w:rPr>
      </w:pPr>
      <w:r w:rsidRPr="005A6293">
        <w:rPr>
          <w:rFonts w:cs="Times New Roman"/>
        </w:rPr>
        <w:tab/>
        <w:t xml:space="preserve">Finally, the last time-period under review is the post-colonial era. </w:t>
      </w:r>
      <w:r w:rsidR="00A9245E" w:rsidRPr="005A6293">
        <w:rPr>
          <w:rFonts w:cs="Times New Roman"/>
        </w:rPr>
        <w:t>During the post-colonial era, there have been</w:t>
      </w:r>
      <w:r w:rsidR="00E253AF" w:rsidRPr="005A6293">
        <w:rPr>
          <w:rFonts w:cs="Times New Roman"/>
        </w:rPr>
        <w:t xml:space="preserve"> a lot of structural changes to education. Additionally, gender norms are not static and always changing, which has impacted education in numerous ways. Chapter four analyzes these changes to the rela</w:t>
      </w:r>
      <w:r w:rsidR="002C4595" w:rsidRPr="005A6293">
        <w:rPr>
          <w:rFonts w:cs="Times New Roman"/>
        </w:rPr>
        <w:t>tionship between education</w:t>
      </w:r>
      <w:r w:rsidR="00E253AF" w:rsidRPr="005A6293">
        <w:rPr>
          <w:rFonts w:cs="Times New Roman"/>
        </w:rPr>
        <w:t xml:space="preserve"> and gender a</w:t>
      </w:r>
      <w:r w:rsidR="002C4595" w:rsidRPr="005A6293">
        <w:rPr>
          <w:rFonts w:cs="Times New Roman"/>
        </w:rPr>
        <w:t xml:space="preserve">nd determines that although some </w:t>
      </w:r>
      <w:r w:rsidR="00E253AF" w:rsidRPr="005A6293">
        <w:rPr>
          <w:rFonts w:cs="Times New Roman"/>
        </w:rPr>
        <w:t xml:space="preserve">imbalances in education are largely being corrected from the colonial era, gender inequality is still a persistent problem within education. </w:t>
      </w:r>
      <w:r w:rsidR="00071381" w:rsidRPr="005A6293">
        <w:rPr>
          <w:rFonts w:cs="Times New Roman"/>
        </w:rPr>
        <w:t xml:space="preserve">Access and attainment during the post-colonial period </w:t>
      </w:r>
      <w:r w:rsidR="00071381" w:rsidRPr="005A6293">
        <w:rPr>
          <w:rFonts w:cs="Times New Roman"/>
        </w:rPr>
        <w:lastRenderedPageBreak/>
        <w:t xml:space="preserve">indicate near to total educational equality based off gender, but achievement and accomplishment are still restricted by gender norms. </w:t>
      </w:r>
      <w:r w:rsidR="000408F8" w:rsidRPr="005A6293">
        <w:rPr>
          <w:rFonts w:cs="Times New Roman"/>
        </w:rPr>
        <w:t xml:space="preserve">This is demonstrated with the quantitative and qualitative data employed. </w:t>
      </w:r>
      <w:r w:rsidR="00E253AF" w:rsidRPr="005A6293">
        <w:rPr>
          <w:rFonts w:cs="Times New Roman"/>
        </w:rPr>
        <w:t xml:space="preserve">These inequalities have major implications for economics and politics, which face persistent gaps based off gender. </w:t>
      </w:r>
      <w:r w:rsidR="006E2329" w:rsidRPr="005A6293">
        <w:rPr>
          <w:rFonts w:cs="Times New Roman"/>
        </w:rPr>
        <w:t>The economic measurement</w:t>
      </w:r>
      <w:r w:rsidR="00DF2780" w:rsidRPr="005A6293">
        <w:rPr>
          <w:rFonts w:cs="Times New Roman"/>
        </w:rPr>
        <w:t xml:space="preserve"> helps highlight how education continues to impact the sexual division of labor</w:t>
      </w:r>
      <w:r w:rsidR="006E2329" w:rsidRPr="005A6293">
        <w:rPr>
          <w:rFonts w:cs="Times New Roman"/>
        </w:rPr>
        <w:t xml:space="preserve"> due to gender norms</w:t>
      </w:r>
      <w:r w:rsidR="00DF2780" w:rsidRPr="005A6293">
        <w:rPr>
          <w:rFonts w:cs="Times New Roman"/>
        </w:rPr>
        <w:t>. As for the political measure</w:t>
      </w:r>
      <w:r w:rsidR="0002324B" w:rsidRPr="005A6293">
        <w:rPr>
          <w:rFonts w:cs="Times New Roman"/>
        </w:rPr>
        <w:t>ment</w:t>
      </w:r>
      <w:r w:rsidR="00DF2780" w:rsidRPr="005A6293">
        <w:rPr>
          <w:rFonts w:cs="Times New Roman"/>
        </w:rPr>
        <w:t xml:space="preserve">, </w:t>
      </w:r>
      <w:r w:rsidR="00447E3B" w:rsidRPr="005A6293">
        <w:rPr>
          <w:rFonts w:cs="Times New Roman"/>
        </w:rPr>
        <w:t xml:space="preserve">it is clear that gender ideals impact education through the political structures. Educational policies, whether they are specifically tailored to gender or not, impact the manner in which gender informs the educational structure. </w:t>
      </w:r>
      <w:r w:rsidR="00175955" w:rsidRPr="005A6293">
        <w:rPr>
          <w:rFonts w:cs="Times New Roman"/>
        </w:rPr>
        <w:t xml:space="preserve">These developments are important to analyze because of the impact on individual development as well as social development of the nation. </w:t>
      </w:r>
      <w:r w:rsidR="009F35A9" w:rsidRPr="005A6293">
        <w:rPr>
          <w:rFonts w:cs="Times New Roman"/>
        </w:rPr>
        <w:t xml:space="preserve">I include a summary of all the variables of interest in the table below. </w:t>
      </w:r>
    </w:p>
    <w:p w14:paraId="17D13341" w14:textId="04042CF7" w:rsidR="006E6AFC" w:rsidRPr="005A6293" w:rsidRDefault="00517FF4" w:rsidP="0068257B">
      <w:pPr>
        <w:spacing w:line="480" w:lineRule="auto"/>
        <w:rPr>
          <w:rFonts w:cs="Times New Roman"/>
        </w:rPr>
      </w:pPr>
      <w:r w:rsidRPr="005A6293">
        <w:rPr>
          <w:rFonts w:cs="Times New Roman"/>
        </w:rPr>
        <w:t>Table 10</w:t>
      </w:r>
      <w:r w:rsidR="00862155" w:rsidRPr="005A6293">
        <w:rPr>
          <w:rFonts w:cs="Times New Roman"/>
        </w:rPr>
        <w:t xml:space="preserve">. Summary of </w:t>
      </w:r>
      <w:r w:rsidR="00D22963" w:rsidRPr="005A6293">
        <w:rPr>
          <w:rFonts w:cs="Times New Roman"/>
        </w:rPr>
        <w:t>Variables</w:t>
      </w:r>
    </w:p>
    <w:tbl>
      <w:tblPr>
        <w:tblStyle w:val="PlainTable32"/>
        <w:tblW w:w="0" w:type="auto"/>
        <w:tblLook w:val="04A0" w:firstRow="1" w:lastRow="0" w:firstColumn="1" w:lastColumn="0" w:noHBand="0" w:noVBand="1"/>
      </w:tblPr>
      <w:tblGrid>
        <w:gridCol w:w="1936"/>
        <w:gridCol w:w="2238"/>
        <w:gridCol w:w="2205"/>
        <w:gridCol w:w="2333"/>
      </w:tblGrid>
      <w:tr w:rsidR="00675DAD" w:rsidRPr="005A6293" w14:paraId="4F56CF39" w14:textId="1BC9143D" w:rsidTr="000107E1">
        <w:trPr>
          <w:cnfStyle w:val="100000000000" w:firstRow="1" w:lastRow="0" w:firstColumn="0" w:lastColumn="0" w:oddVBand="0" w:evenVBand="0" w:oddHBand="0" w:evenHBand="0" w:firstRowFirstColumn="0" w:firstRowLastColumn="0" w:lastRowFirstColumn="0" w:lastRowLastColumn="0"/>
          <w:trHeight w:val="351"/>
        </w:trPr>
        <w:tc>
          <w:tcPr>
            <w:cnfStyle w:val="001000000100" w:firstRow="0" w:lastRow="0" w:firstColumn="1" w:lastColumn="0" w:oddVBand="0" w:evenVBand="0" w:oddHBand="0" w:evenHBand="0" w:firstRowFirstColumn="1" w:firstRowLastColumn="0" w:lastRowFirstColumn="0" w:lastRowLastColumn="0"/>
            <w:tcW w:w="1936" w:type="dxa"/>
          </w:tcPr>
          <w:p w14:paraId="21076604" w14:textId="77777777" w:rsidR="00B12A57" w:rsidRPr="005A6293" w:rsidRDefault="00B12A57" w:rsidP="00B12A57">
            <w:pPr>
              <w:rPr>
                <w:b w:val="0"/>
              </w:rPr>
            </w:pPr>
          </w:p>
        </w:tc>
        <w:tc>
          <w:tcPr>
            <w:tcW w:w="2238" w:type="dxa"/>
          </w:tcPr>
          <w:p w14:paraId="33E173F5" w14:textId="21214C3A" w:rsidR="00B12A57" w:rsidRPr="005A6293" w:rsidRDefault="00B12A57" w:rsidP="00B12A57">
            <w:pPr>
              <w:cnfStyle w:val="100000000000" w:firstRow="1" w:lastRow="0" w:firstColumn="0" w:lastColumn="0" w:oddVBand="0" w:evenVBand="0" w:oddHBand="0" w:evenHBand="0" w:firstRowFirstColumn="0" w:firstRowLastColumn="0" w:lastRowFirstColumn="0" w:lastRowLastColumn="0"/>
              <w:rPr>
                <w:b w:val="0"/>
              </w:rPr>
            </w:pPr>
            <w:r w:rsidRPr="005A6293">
              <w:rPr>
                <w:b w:val="0"/>
              </w:rPr>
              <w:t>pre-colonial</w:t>
            </w:r>
          </w:p>
        </w:tc>
        <w:tc>
          <w:tcPr>
            <w:tcW w:w="2205" w:type="dxa"/>
          </w:tcPr>
          <w:p w14:paraId="6B2A42F0" w14:textId="157604AC" w:rsidR="00B12A57" w:rsidRPr="005A6293" w:rsidRDefault="00B12A57" w:rsidP="00B12A57">
            <w:pPr>
              <w:cnfStyle w:val="100000000000" w:firstRow="1" w:lastRow="0" w:firstColumn="0" w:lastColumn="0" w:oddVBand="0" w:evenVBand="0" w:oddHBand="0" w:evenHBand="0" w:firstRowFirstColumn="0" w:firstRowLastColumn="0" w:lastRowFirstColumn="0" w:lastRowLastColumn="0"/>
              <w:rPr>
                <w:b w:val="0"/>
              </w:rPr>
            </w:pPr>
            <w:r w:rsidRPr="005A6293">
              <w:rPr>
                <w:b w:val="0"/>
              </w:rPr>
              <w:t>Colonial</w:t>
            </w:r>
          </w:p>
        </w:tc>
        <w:tc>
          <w:tcPr>
            <w:tcW w:w="2333" w:type="dxa"/>
          </w:tcPr>
          <w:p w14:paraId="0C1A3B1C" w14:textId="78D93238" w:rsidR="00B12A57" w:rsidRPr="005A6293" w:rsidRDefault="00B12A57" w:rsidP="00B12A57">
            <w:pPr>
              <w:cnfStyle w:val="100000000000" w:firstRow="1" w:lastRow="0" w:firstColumn="0" w:lastColumn="0" w:oddVBand="0" w:evenVBand="0" w:oddHBand="0" w:evenHBand="0" w:firstRowFirstColumn="0" w:firstRowLastColumn="0" w:lastRowFirstColumn="0" w:lastRowLastColumn="0"/>
              <w:rPr>
                <w:b w:val="0"/>
              </w:rPr>
            </w:pPr>
            <w:r w:rsidRPr="005A6293">
              <w:rPr>
                <w:b w:val="0"/>
              </w:rPr>
              <w:t>Post-colonial</w:t>
            </w:r>
          </w:p>
        </w:tc>
      </w:tr>
      <w:tr w:rsidR="00675DAD" w:rsidRPr="005A6293" w14:paraId="54BB4D5A" w14:textId="655A5791" w:rsidTr="00010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tcPr>
          <w:p w14:paraId="5058960C" w14:textId="135F7A5D" w:rsidR="00675DAD" w:rsidRPr="005A6293" w:rsidRDefault="00B12A57" w:rsidP="00B12A57">
            <w:r w:rsidRPr="005A6293">
              <w:t>Education and gender</w:t>
            </w:r>
          </w:p>
        </w:tc>
        <w:tc>
          <w:tcPr>
            <w:tcW w:w="2238" w:type="dxa"/>
          </w:tcPr>
          <w:p w14:paraId="71812A1D" w14:textId="12930DF6" w:rsidR="00B12A57" w:rsidRPr="005A6293" w:rsidRDefault="00675DAD" w:rsidP="00B12A57">
            <w:pPr>
              <w:cnfStyle w:val="000000100000" w:firstRow="0" w:lastRow="0" w:firstColumn="0" w:lastColumn="0" w:oddVBand="0" w:evenVBand="0" w:oddHBand="1" w:evenHBand="0" w:firstRowFirstColumn="0" w:firstRowLastColumn="0" w:lastRowFirstColumn="0" w:lastRowLastColumn="0"/>
            </w:pPr>
            <w:r w:rsidRPr="005A6293">
              <w:t xml:space="preserve"> </w:t>
            </w:r>
          </w:p>
        </w:tc>
        <w:tc>
          <w:tcPr>
            <w:tcW w:w="2205" w:type="dxa"/>
          </w:tcPr>
          <w:p w14:paraId="03399FFD" w14:textId="2E8B595B" w:rsidR="00B12A57" w:rsidRPr="005A6293" w:rsidRDefault="00B12A57" w:rsidP="00B12A57">
            <w:pPr>
              <w:cnfStyle w:val="000000100000" w:firstRow="0" w:lastRow="0" w:firstColumn="0" w:lastColumn="0" w:oddVBand="0" w:evenVBand="0" w:oddHBand="1" w:evenHBand="0" w:firstRowFirstColumn="0" w:firstRowLastColumn="0" w:lastRowFirstColumn="0" w:lastRowLastColumn="0"/>
            </w:pPr>
          </w:p>
        </w:tc>
        <w:tc>
          <w:tcPr>
            <w:tcW w:w="2333" w:type="dxa"/>
          </w:tcPr>
          <w:p w14:paraId="55DE50EF" w14:textId="32EFBA5F" w:rsidR="00B12A57" w:rsidRPr="005A6293" w:rsidRDefault="00B12A57" w:rsidP="00B12A57">
            <w:pPr>
              <w:cnfStyle w:val="000000100000" w:firstRow="0" w:lastRow="0" w:firstColumn="0" w:lastColumn="0" w:oddVBand="0" w:evenVBand="0" w:oddHBand="1" w:evenHBand="0" w:firstRowFirstColumn="0" w:firstRowLastColumn="0" w:lastRowFirstColumn="0" w:lastRowLastColumn="0"/>
            </w:pPr>
          </w:p>
        </w:tc>
      </w:tr>
      <w:tr w:rsidR="000107E1" w:rsidRPr="005A6293" w14:paraId="7945DA8E" w14:textId="77777777" w:rsidTr="000107E1">
        <w:tc>
          <w:tcPr>
            <w:cnfStyle w:val="001000000000" w:firstRow="0" w:lastRow="0" w:firstColumn="1" w:lastColumn="0" w:oddVBand="0" w:evenVBand="0" w:oddHBand="0" w:evenHBand="0" w:firstRowFirstColumn="0" w:firstRowLastColumn="0" w:lastRowFirstColumn="0" w:lastRowLastColumn="0"/>
            <w:tcW w:w="1936" w:type="dxa"/>
          </w:tcPr>
          <w:p w14:paraId="3CB65D81" w14:textId="5E02BA1F" w:rsidR="000107E1" w:rsidRPr="005A6293" w:rsidRDefault="000107E1" w:rsidP="00B12A57">
            <w:pPr>
              <w:rPr>
                <w:b w:val="0"/>
                <w:caps w:val="0"/>
              </w:rPr>
            </w:pPr>
            <w:r w:rsidRPr="005A6293">
              <w:rPr>
                <w:b w:val="0"/>
                <w:caps w:val="0"/>
              </w:rPr>
              <w:t>Access</w:t>
            </w:r>
          </w:p>
        </w:tc>
        <w:tc>
          <w:tcPr>
            <w:tcW w:w="2238" w:type="dxa"/>
          </w:tcPr>
          <w:p w14:paraId="3B2DE32C" w14:textId="77B87E9C" w:rsidR="000107E1" w:rsidRPr="005A6293" w:rsidRDefault="00724C33" w:rsidP="00B12A57">
            <w:pPr>
              <w:cnfStyle w:val="000000000000" w:firstRow="0" w:lastRow="0" w:firstColumn="0" w:lastColumn="0" w:oddVBand="0" w:evenVBand="0" w:oddHBand="0" w:evenHBand="0" w:firstRowFirstColumn="0" w:firstRowLastColumn="0" w:lastRowFirstColumn="0" w:lastRowLastColumn="0"/>
            </w:pPr>
            <w:r w:rsidRPr="005A6293">
              <w:t>Unrestricted</w:t>
            </w:r>
          </w:p>
        </w:tc>
        <w:tc>
          <w:tcPr>
            <w:tcW w:w="2205" w:type="dxa"/>
          </w:tcPr>
          <w:p w14:paraId="6A70E97F" w14:textId="7EC3B318" w:rsidR="000107E1" w:rsidRPr="005A6293" w:rsidRDefault="000107E1" w:rsidP="00B12A57">
            <w:pPr>
              <w:cnfStyle w:val="000000000000" w:firstRow="0" w:lastRow="0" w:firstColumn="0" w:lastColumn="0" w:oddVBand="0" w:evenVBand="0" w:oddHBand="0" w:evenHBand="0" w:firstRowFirstColumn="0" w:firstRowLastColumn="0" w:lastRowFirstColumn="0" w:lastRowLastColumn="0"/>
            </w:pPr>
            <w:r w:rsidRPr="005A6293">
              <w:t>Restricted</w:t>
            </w:r>
          </w:p>
        </w:tc>
        <w:tc>
          <w:tcPr>
            <w:tcW w:w="2333" w:type="dxa"/>
          </w:tcPr>
          <w:p w14:paraId="08BA972A" w14:textId="15F340C6" w:rsidR="000107E1" w:rsidRPr="005A6293" w:rsidRDefault="00724C33" w:rsidP="00B12A57">
            <w:pPr>
              <w:cnfStyle w:val="000000000000" w:firstRow="0" w:lastRow="0" w:firstColumn="0" w:lastColumn="0" w:oddVBand="0" w:evenVBand="0" w:oddHBand="0" w:evenHBand="0" w:firstRowFirstColumn="0" w:firstRowLastColumn="0" w:lastRowFirstColumn="0" w:lastRowLastColumn="0"/>
            </w:pPr>
            <w:r w:rsidRPr="005A6293">
              <w:t>Unrestricted</w:t>
            </w:r>
          </w:p>
        </w:tc>
      </w:tr>
      <w:tr w:rsidR="000107E1" w:rsidRPr="005A6293" w14:paraId="3816BBA0" w14:textId="77777777" w:rsidTr="00010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tcPr>
          <w:p w14:paraId="4865C83A" w14:textId="29AB19B8" w:rsidR="000107E1" w:rsidRPr="005A6293" w:rsidRDefault="000107E1" w:rsidP="00B12A57">
            <w:pPr>
              <w:rPr>
                <w:b w:val="0"/>
                <w:caps w:val="0"/>
              </w:rPr>
            </w:pPr>
            <w:r w:rsidRPr="005A6293">
              <w:rPr>
                <w:b w:val="0"/>
                <w:caps w:val="0"/>
              </w:rPr>
              <w:t>Attainment</w:t>
            </w:r>
          </w:p>
        </w:tc>
        <w:tc>
          <w:tcPr>
            <w:tcW w:w="2238" w:type="dxa"/>
          </w:tcPr>
          <w:p w14:paraId="03BF24AD" w14:textId="7BDE3063" w:rsidR="000107E1" w:rsidRPr="005A6293" w:rsidRDefault="00724C33" w:rsidP="00B12A57">
            <w:pPr>
              <w:cnfStyle w:val="000000100000" w:firstRow="0" w:lastRow="0" w:firstColumn="0" w:lastColumn="0" w:oddVBand="0" w:evenVBand="0" w:oddHBand="1" w:evenHBand="0" w:firstRowFirstColumn="0" w:firstRowLastColumn="0" w:lastRowFirstColumn="0" w:lastRowLastColumn="0"/>
            </w:pPr>
            <w:r w:rsidRPr="005A6293">
              <w:t>Unrestricted</w:t>
            </w:r>
          </w:p>
        </w:tc>
        <w:tc>
          <w:tcPr>
            <w:tcW w:w="2205" w:type="dxa"/>
          </w:tcPr>
          <w:p w14:paraId="56EEBEE3" w14:textId="34BA919C" w:rsidR="000107E1" w:rsidRPr="005A6293" w:rsidRDefault="000107E1" w:rsidP="00B12A57">
            <w:pPr>
              <w:cnfStyle w:val="000000100000" w:firstRow="0" w:lastRow="0" w:firstColumn="0" w:lastColumn="0" w:oddVBand="0" w:evenVBand="0" w:oddHBand="1" w:evenHBand="0" w:firstRowFirstColumn="0" w:firstRowLastColumn="0" w:lastRowFirstColumn="0" w:lastRowLastColumn="0"/>
            </w:pPr>
            <w:r w:rsidRPr="005A6293">
              <w:t>Restricted</w:t>
            </w:r>
          </w:p>
        </w:tc>
        <w:tc>
          <w:tcPr>
            <w:tcW w:w="2333" w:type="dxa"/>
          </w:tcPr>
          <w:p w14:paraId="201DF397" w14:textId="3008BAAE" w:rsidR="000107E1" w:rsidRPr="005A6293" w:rsidRDefault="007F2BD2" w:rsidP="00B12A57">
            <w:pPr>
              <w:cnfStyle w:val="000000100000" w:firstRow="0" w:lastRow="0" w:firstColumn="0" w:lastColumn="0" w:oddVBand="0" w:evenVBand="0" w:oddHBand="1" w:evenHBand="0" w:firstRowFirstColumn="0" w:firstRowLastColumn="0" w:lastRowFirstColumn="0" w:lastRowLastColumn="0"/>
            </w:pPr>
            <w:r w:rsidRPr="005A6293">
              <w:t xml:space="preserve">Almost </w:t>
            </w:r>
            <w:r w:rsidR="00724C33" w:rsidRPr="005A6293">
              <w:t>Unrestricted</w:t>
            </w:r>
          </w:p>
        </w:tc>
      </w:tr>
      <w:tr w:rsidR="000107E1" w:rsidRPr="005A6293" w14:paraId="75D6E614" w14:textId="77777777" w:rsidTr="000107E1">
        <w:tc>
          <w:tcPr>
            <w:cnfStyle w:val="001000000000" w:firstRow="0" w:lastRow="0" w:firstColumn="1" w:lastColumn="0" w:oddVBand="0" w:evenVBand="0" w:oddHBand="0" w:evenHBand="0" w:firstRowFirstColumn="0" w:firstRowLastColumn="0" w:lastRowFirstColumn="0" w:lastRowLastColumn="0"/>
            <w:tcW w:w="1936" w:type="dxa"/>
          </w:tcPr>
          <w:p w14:paraId="714CD35F" w14:textId="2406753F" w:rsidR="000107E1" w:rsidRPr="005A6293" w:rsidRDefault="000107E1" w:rsidP="00B12A57">
            <w:pPr>
              <w:rPr>
                <w:b w:val="0"/>
                <w:caps w:val="0"/>
              </w:rPr>
            </w:pPr>
            <w:r w:rsidRPr="005A6293">
              <w:rPr>
                <w:b w:val="0"/>
                <w:caps w:val="0"/>
              </w:rPr>
              <w:t>Achievement</w:t>
            </w:r>
          </w:p>
        </w:tc>
        <w:tc>
          <w:tcPr>
            <w:tcW w:w="2238" w:type="dxa"/>
          </w:tcPr>
          <w:p w14:paraId="2B55C61E" w14:textId="6CDF7046" w:rsidR="000107E1" w:rsidRPr="005A6293" w:rsidRDefault="000107E1" w:rsidP="00B12A57">
            <w:pPr>
              <w:cnfStyle w:val="000000000000" w:firstRow="0" w:lastRow="0" w:firstColumn="0" w:lastColumn="0" w:oddVBand="0" w:evenVBand="0" w:oddHBand="0" w:evenHBand="0" w:firstRowFirstColumn="0" w:firstRowLastColumn="0" w:lastRowFirstColumn="0" w:lastRowLastColumn="0"/>
            </w:pPr>
            <w:r w:rsidRPr="005A6293">
              <w:t>Restricted</w:t>
            </w:r>
          </w:p>
        </w:tc>
        <w:tc>
          <w:tcPr>
            <w:tcW w:w="2205" w:type="dxa"/>
          </w:tcPr>
          <w:p w14:paraId="149E483D" w14:textId="7470EB1B" w:rsidR="000107E1" w:rsidRPr="005A6293" w:rsidRDefault="000107E1" w:rsidP="00B12A57">
            <w:pPr>
              <w:cnfStyle w:val="000000000000" w:firstRow="0" w:lastRow="0" w:firstColumn="0" w:lastColumn="0" w:oddVBand="0" w:evenVBand="0" w:oddHBand="0" w:evenHBand="0" w:firstRowFirstColumn="0" w:firstRowLastColumn="0" w:lastRowFirstColumn="0" w:lastRowLastColumn="0"/>
            </w:pPr>
            <w:r w:rsidRPr="005A6293">
              <w:t>Restricted</w:t>
            </w:r>
          </w:p>
        </w:tc>
        <w:tc>
          <w:tcPr>
            <w:tcW w:w="2333" w:type="dxa"/>
          </w:tcPr>
          <w:p w14:paraId="17460FC0" w14:textId="323C3B24" w:rsidR="000107E1" w:rsidRPr="005A6293" w:rsidRDefault="000107E1" w:rsidP="00B12A57">
            <w:pPr>
              <w:cnfStyle w:val="000000000000" w:firstRow="0" w:lastRow="0" w:firstColumn="0" w:lastColumn="0" w:oddVBand="0" w:evenVBand="0" w:oddHBand="0" w:evenHBand="0" w:firstRowFirstColumn="0" w:firstRowLastColumn="0" w:lastRowFirstColumn="0" w:lastRowLastColumn="0"/>
            </w:pPr>
            <w:r w:rsidRPr="005A6293">
              <w:t>Restricted</w:t>
            </w:r>
          </w:p>
        </w:tc>
      </w:tr>
      <w:tr w:rsidR="000107E1" w:rsidRPr="005A6293" w14:paraId="13E89E04" w14:textId="77777777" w:rsidTr="00010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tcPr>
          <w:p w14:paraId="6379D05F" w14:textId="26CCBDB7" w:rsidR="000107E1" w:rsidRPr="005A6293" w:rsidRDefault="000107E1" w:rsidP="00B12A57">
            <w:pPr>
              <w:rPr>
                <w:b w:val="0"/>
                <w:caps w:val="0"/>
              </w:rPr>
            </w:pPr>
            <w:r w:rsidRPr="005A6293">
              <w:rPr>
                <w:b w:val="0"/>
                <w:caps w:val="0"/>
              </w:rPr>
              <w:t>Accomplishment</w:t>
            </w:r>
          </w:p>
        </w:tc>
        <w:tc>
          <w:tcPr>
            <w:tcW w:w="2238" w:type="dxa"/>
          </w:tcPr>
          <w:p w14:paraId="533BAD3E" w14:textId="5D1EB99D" w:rsidR="000107E1" w:rsidRPr="005A6293" w:rsidRDefault="000107E1" w:rsidP="00B12A57">
            <w:pPr>
              <w:cnfStyle w:val="000000100000" w:firstRow="0" w:lastRow="0" w:firstColumn="0" w:lastColumn="0" w:oddVBand="0" w:evenVBand="0" w:oddHBand="1" w:evenHBand="0" w:firstRowFirstColumn="0" w:firstRowLastColumn="0" w:lastRowFirstColumn="0" w:lastRowLastColumn="0"/>
            </w:pPr>
            <w:r w:rsidRPr="005A6293">
              <w:t>Restricted</w:t>
            </w:r>
          </w:p>
        </w:tc>
        <w:tc>
          <w:tcPr>
            <w:tcW w:w="2205" w:type="dxa"/>
          </w:tcPr>
          <w:p w14:paraId="33721078" w14:textId="2AF8580E" w:rsidR="000107E1" w:rsidRPr="005A6293" w:rsidRDefault="000107E1" w:rsidP="00B12A57">
            <w:pPr>
              <w:cnfStyle w:val="000000100000" w:firstRow="0" w:lastRow="0" w:firstColumn="0" w:lastColumn="0" w:oddVBand="0" w:evenVBand="0" w:oddHBand="1" w:evenHBand="0" w:firstRowFirstColumn="0" w:firstRowLastColumn="0" w:lastRowFirstColumn="0" w:lastRowLastColumn="0"/>
            </w:pPr>
            <w:r w:rsidRPr="005A6293">
              <w:t>Restricted</w:t>
            </w:r>
          </w:p>
        </w:tc>
        <w:tc>
          <w:tcPr>
            <w:tcW w:w="2333" w:type="dxa"/>
          </w:tcPr>
          <w:p w14:paraId="39EEA97B" w14:textId="4BB5A932" w:rsidR="000107E1" w:rsidRPr="005A6293" w:rsidRDefault="000107E1" w:rsidP="00B12A57">
            <w:pPr>
              <w:cnfStyle w:val="000000100000" w:firstRow="0" w:lastRow="0" w:firstColumn="0" w:lastColumn="0" w:oddVBand="0" w:evenVBand="0" w:oddHBand="1" w:evenHBand="0" w:firstRowFirstColumn="0" w:firstRowLastColumn="0" w:lastRowFirstColumn="0" w:lastRowLastColumn="0"/>
            </w:pPr>
            <w:r w:rsidRPr="005A6293">
              <w:t>Restricted</w:t>
            </w:r>
          </w:p>
        </w:tc>
      </w:tr>
      <w:tr w:rsidR="00675DAD" w:rsidRPr="005A6293" w14:paraId="61D1213B" w14:textId="4CD3B2F2" w:rsidTr="000107E1">
        <w:tc>
          <w:tcPr>
            <w:cnfStyle w:val="001000000000" w:firstRow="0" w:lastRow="0" w:firstColumn="1" w:lastColumn="0" w:oddVBand="0" w:evenVBand="0" w:oddHBand="0" w:evenHBand="0" w:firstRowFirstColumn="0" w:firstRowLastColumn="0" w:lastRowFirstColumn="0" w:lastRowLastColumn="0"/>
            <w:tcW w:w="1936" w:type="dxa"/>
          </w:tcPr>
          <w:p w14:paraId="3093687D" w14:textId="50921F07" w:rsidR="00B12A57" w:rsidRPr="005A6293" w:rsidRDefault="00B12A57" w:rsidP="00B12A57">
            <w:r w:rsidRPr="005A6293">
              <w:t>economics</w:t>
            </w:r>
          </w:p>
        </w:tc>
        <w:tc>
          <w:tcPr>
            <w:tcW w:w="2238" w:type="dxa"/>
          </w:tcPr>
          <w:p w14:paraId="221C5862" w14:textId="7B0569F2" w:rsidR="00B12A57" w:rsidRPr="005A6293" w:rsidRDefault="00B12A57" w:rsidP="00B12A57">
            <w:pPr>
              <w:cnfStyle w:val="000000000000" w:firstRow="0" w:lastRow="0" w:firstColumn="0" w:lastColumn="0" w:oddVBand="0" w:evenVBand="0" w:oddHBand="0" w:evenHBand="0" w:firstRowFirstColumn="0" w:firstRowLastColumn="0" w:lastRowFirstColumn="0" w:lastRowLastColumn="0"/>
            </w:pPr>
          </w:p>
        </w:tc>
        <w:tc>
          <w:tcPr>
            <w:tcW w:w="2205" w:type="dxa"/>
          </w:tcPr>
          <w:p w14:paraId="34775A54" w14:textId="19BE6200" w:rsidR="00B12A57" w:rsidRPr="005A6293" w:rsidRDefault="00B12A57" w:rsidP="00B12A57">
            <w:pPr>
              <w:cnfStyle w:val="000000000000" w:firstRow="0" w:lastRow="0" w:firstColumn="0" w:lastColumn="0" w:oddVBand="0" w:evenVBand="0" w:oddHBand="0" w:evenHBand="0" w:firstRowFirstColumn="0" w:firstRowLastColumn="0" w:lastRowFirstColumn="0" w:lastRowLastColumn="0"/>
            </w:pPr>
          </w:p>
        </w:tc>
        <w:tc>
          <w:tcPr>
            <w:tcW w:w="2333" w:type="dxa"/>
          </w:tcPr>
          <w:p w14:paraId="7084CABF" w14:textId="37C261DB" w:rsidR="00B12A57" w:rsidRPr="005A6293" w:rsidRDefault="00B12A57" w:rsidP="00B12A57">
            <w:pPr>
              <w:cnfStyle w:val="000000000000" w:firstRow="0" w:lastRow="0" w:firstColumn="0" w:lastColumn="0" w:oddVBand="0" w:evenVBand="0" w:oddHBand="0" w:evenHBand="0" w:firstRowFirstColumn="0" w:firstRowLastColumn="0" w:lastRowFirstColumn="0" w:lastRowLastColumn="0"/>
            </w:pPr>
          </w:p>
        </w:tc>
      </w:tr>
      <w:tr w:rsidR="000107E1" w:rsidRPr="005A6293" w14:paraId="26EE3BA6" w14:textId="77777777" w:rsidTr="00010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tcPr>
          <w:p w14:paraId="326476C6" w14:textId="163143DE" w:rsidR="000107E1" w:rsidRPr="005A6293" w:rsidRDefault="000107E1" w:rsidP="00B12A57">
            <w:pPr>
              <w:rPr>
                <w:b w:val="0"/>
                <w:caps w:val="0"/>
              </w:rPr>
            </w:pPr>
            <w:r w:rsidRPr="005A6293">
              <w:rPr>
                <w:b w:val="0"/>
                <w:caps w:val="0"/>
              </w:rPr>
              <w:t>Division of Labor</w:t>
            </w:r>
          </w:p>
        </w:tc>
        <w:tc>
          <w:tcPr>
            <w:tcW w:w="2238" w:type="dxa"/>
          </w:tcPr>
          <w:p w14:paraId="532D4E0A" w14:textId="388A3E96" w:rsidR="000107E1" w:rsidRPr="005A6293" w:rsidRDefault="000107E1" w:rsidP="00B12A57">
            <w:pPr>
              <w:cnfStyle w:val="000000100000" w:firstRow="0" w:lastRow="0" w:firstColumn="0" w:lastColumn="0" w:oddVBand="0" w:evenVBand="0" w:oddHBand="1" w:evenHBand="0" w:firstRowFirstColumn="0" w:firstRowLastColumn="0" w:lastRowFirstColumn="0" w:lastRowLastColumn="0"/>
            </w:pPr>
            <w:r w:rsidRPr="005A6293">
              <w:t xml:space="preserve">Yes </w:t>
            </w:r>
            <w:r w:rsidR="009F1490" w:rsidRPr="005A6293">
              <w:t>–</w:t>
            </w:r>
            <w:r w:rsidRPr="005A6293">
              <w:t xml:space="preserve"> High</w:t>
            </w:r>
            <w:r w:rsidR="009F1490" w:rsidRPr="005A6293">
              <w:t xml:space="preserve"> </w:t>
            </w:r>
          </w:p>
        </w:tc>
        <w:tc>
          <w:tcPr>
            <w:tcW w:w="2205" w:type="dxa"/>
          </w:tcPr>
          <w:p w14:paraId="0C17B3BF" w14:textId="7B111ACF" w:rsidR="000107E1" w:rsidRPr="005A6293" w:rsidRDefault="000107E1" w:rsidP="00B12A57">
            <w:pPr>
              <w:cnfStyle w:val="000000100000" w:firstRow="0" w:lastRow="0" w:firstColumn="0" w:lastColumn="0" w:oddVBand="0" w:evenVBand="0" w:oddHBand="1" w:evenHBand="0" w:firstRowFirstColumn="0" w:firstRowLastColumn="0" w:lastRowFirstColumn="0" w:lastRowLastColumn="0"/>
            </w:pPr>
            <w:r w:rsidRPr="005A6293">
              <w:t xml:space="preserve">Yes </w:t>
            </w:r>
            <w:r w:rsidR="009F1490" w:rsidRPr="005A6293">
              <w:t>–</w:t>
            </w:r>
            <w:r w:rsidRPr="005A6293">
              <w:t xml:space="preserve"> High</w:t>
            </w:r>
            <w:r w:rsidR="009F1490" w:rsidRPr="005A6293">
              <w:t xml:space="preserve"> </w:t>
            </w:r>
          </w:p>
        </w:tc>
        <w:tc>
          <w:tcPr>
            <w:tcW w:w="2333" w:type="dxa"/>
          </w:tcPr>
          <w:p w14:paraId="04575F43" w14:textId="334A0F25" w:rsidR="000107E1" w:rsidRPr="005A6293" w:rsidRDefault="000107E1" w:rsidP="00B12A57">
            <w:pPr>
              <w:cnfStyle w:val="000000100000" w:firstRow="0" w:lastRow="0" w:firstColumn="0" w:lastColumn="0" w:oddVBand="0" w:evenVBand="0" w:oddHBand="1" w:evenHBand="0" w:firstRowFirstColumn="0" w:firstRowLastColumn="0" w:lastRowFirstColumn="0" w:lastRowLastColumn="0"/>
            </w:pPr>
            <w:r w:rsidRPr="005A6293">
              <w:t>Yes – Medium</w:t>
            </w:r>
          </w:p>
        </w:tc>
      </w:tr>
      <w:tr w:rsidR="000107E1" w:rsidRPr="005A6293" w14:paraId="3E575988" w14:textId="3163039D" w:rsidTr="000107E1">
        <w:trPr>
          <w:trHeight w:val="306"/>
        </w:trPr>
        <w:tc>
          <w:tcPr>
            <w:cnfStyle w:val="001000000000" w:firstRow="0" w:lastRow="0" w:firstColumn="1" w:lastColumn="0" w:oddVBand="0" w:evenVBand="0" w:oddHBand="0" w:evenHBand="0" w:firstRowFirstColumn="0" w:firstRowLastColumn="0" w:lastRowFirstColumn="0" w:lastRowLastColumn="0"/>
            <w:tcW w:w="1936" w:type="dxa"/>
          </w:tcPr>
          <w:p w14:paraId="2EF4B0AC" w14:textId="4D506AE2" w:rsidR="00B12A57" w:rsidRPr="005A6293" w:rsidRDefault="00B12A57" w:rsidP="00B12A57">
            <w:r w:rsidRPr="005A6293">
              <w:t>politics</w:t>
            </w:r>
          </w:p>
        </w:tc>
        <w:tc>
          <w:tcPr>
            <w:tcW w:w="2238" w:type="dxa"/>
          </w:tcPr>
          <w:p w14:paraId="7C2A80F6" w14:textId="7C1555AD" w:rsidR="00B12A57" w:rsidRPr="005A6293" w:rsidRDefault="00B12A57" w:rsidP="00B12A57">
            <w:pPr>
              <w:cnfStyle w:val="000000000000" w:firstRow="0" w:lastRow="0" w:firstColumn="0" w:lastColumn="0" w:oddVBand="0" w:evenVBand="0" w:oddHBand="0" w:evenHBand="0" w:firstRowFirstColumn="0" w:firstRowLastColumn="0" w:lastRowFirstColumn="0" w:lastRowLastColumn="0"/>
            </w:pPr>
          </w:p>
        </w:tc>
        <w:tc>
          <w:tcPr>
            <w:tcW w:w="2205" w:type="dxa"/>
          </w:tcPr>
          <w:p w14:paraId="05A24C57" w14:textId="5984C7AE" w:rsidR="00B12A57" w:rsidRPr="005A6293" w:rsidRDefault="00B12A57" w:rsidP="00B12A57">
            <w:pPr>
              <w:cnfStyle w:val="000000000000" w:firstRow="0" w:lastRow="0" w:firstColumn="0" w:lastColumn="0" w:oddVBand="0" w:evenVBand="0" w:oddHBand="0" w:evenHBand="0" w:firstRowFirstColumn="0" w:firstRowLastColumn="0" w:lastRowFirstColumn="0" w:lastRowLastColumn="0"/>
            </w:pPr>
          </w:p>
        </w:tc>
        <w:tc>
          <w:tcPr>
            <w:tcW w:w="2333" w:type="dxa"/>
          </w:tcPr>
          <w:p w14:paraId="3E8E6C30" w14:textId="55ED4589" w:rsidR="00B12A57" w:rsidRPr="005A6293" w:rsidRDefault="00B12A57" w:rsidP="00B12A57">
            <w:pPr>
              <w:cnfStyle w:val="000000000000" w:firstRow="0" w:lastRow="0" w:firstColumn="0" w:lastColumn="0" w:oddVBand="0" w:evenVBand="0" w:oddHBand="0" w:evenHBand="0" w:firstRowFirstColumn="0" w:firstRowLastColumn="0" w:lastRowFirstColumn="0" w:lastRowLastColumn="0"/>
            </w:pPr>
          </w:p>
        </w:tc>
      </w:tr>
      <w:tr w:rsidR="000107E1" w:rsidRPr="005A6293" w14:paraId="08B76D1C" w14:textId="77777777" w:rsidTr="000107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6" w:type="dxa"/>
          </w:tcPr>
          <w:p w14:paraId="42E25AFF" w14:textId="08ECB62B" w:rsidR="000107E1" w:rsidRPr="005A6293" w:rsidRDefault="000107E1" w:rsidP="00B12A57">
            <w:pPr>
              <w:rPr>
                <w:b w:val="0"/>
                <w:caps w:val="0"/>
              </w:rPr>
            </w:pPr>
            <w:r w:rsidRPr="005A6293">
              <w:rPr>
                <w:b w:val="0"/>
                <w:caps w:val="0"/>
              </w:rPr>
              <w:t>Policies</w:t>
            </w:r>
          </w:p>
        </w:tc>
        <w:tc>
          <w:tcPr>
            <w:tcW w:w="2238" w:type="dxa"/>
          </w:tcPr>
          <w:p w14:paraId="00C9AE66" w14:textId="6BEC35C5" w:rsidR="000107E1" w:rsidRPr="005A6293" w:rsidRDefault="000107E1" w:rsidP="00B12A57">
            <w:pPr>
              <w:cnfStyle w:val="000000100000" w:firstRow="0" w:lastRow="0" w:firstColumn="0" w:lastColumn="0" w:oddVBand="0" w:evenVBand="0" w:oddHBand="1" w:evenHBand="0" w:firstRowFirstColumn="0" w:firstRowLastColumn="0" w:lastRowFirstColumn="0" w:lastRowLastColumn="0"/>
            </w:pPr>
            <w:r w:rsidRPr="005A6293">
              <w:t xml:space="preserve">Yes </w:t>
            </w:r>
            <w:r w:rsidR="009F1490" w:rsidRPr="005A6293">
              <w:t xml:space="preserve">– Low </w:t>
            </w:r>
          </w:p>
        </w:tc>
        <w:tc>
          <w:tcPr>
            <w:tcW w:w="2205" w:type="dxa"/>
          </w:tcPr>
          <w:p w14:paraId="543436A7" w14:textId="5B80A102" w:rsidR="000107E1" w:rsidRPr="005A6293" w:rsidRDefault="000107E1" w:rsidP="001C33FD">
            <w:pPr>
              <w:cnfStyle w:val="000000100000" w:firstRow="0" w:lastRow="0" w:firstColumn="0" w:lastColumn="0" w:oddVBand="0" w:evenVBand="0" w:oddHBand="1" w:evenHBand="0" w:firstRowFirstColumn="0" w:firstRowLastColumn="0" w:lastRowFirstColumn="0" w:lastRowLastColumn="0"/>
            </w:pPr>
            <w:r w:rsidRPr="005A6293">
              <w:t xml:space="preserve">Yes </w:t>
            </w:r>
            <w:r w:rsidR="009F1490" w:rsidRPr="005A6293">
              <w:t>–</w:t>
            </w:r>
            <w:r w:rsidRPr="005A6293">
              <w:t xml:space="preserve"> High</w:t>
            </w:r>
            <w:r w:rsidR="009F1490" w:rsidRPr="005A6293">
              <w:t xml:space="preserve"> </w:t>
            </w:r>
          </w:p>
        </w:tc>
        <w:tc>
          <w:tcPr>
            <w:tcW w:w="2333" w:type="dxa"/>
          </w:tcPr>
          <w:p w14:paraId="722175F7" w14:textId="6B6B4351" w:rsidR="000107E1" w:rsidRPr="005A6293" w:rsidRDefault="000107E1" w:rsidP="001C33FD">
            <w:pPr>
              <w:cnfStyle w:val="000000100000" w:firstRow="0" w:lastRow="0" w:firstColumn="0" w:lastColumn="0" w:oddVBand="0" w:evenVBand="0" w:oddHBand="1" w:evenHBand="0" w:firstRowFirstColumn="0" w:firstRowLastColumn="0" w:lastRowFirstColumn="0" w:lastRowLastColumn="0"/>
            </w:pPr>
            <w:r w:rsidRPr="005A6293">
              <w:t xml:space="preserve">Yes </w:t>
            </w:r>
            <w:r w:rsidR="009F1490" w:rsidRPr="005A6293">
              <w:t>–</w:t>
            </w:r>
            <w:r w:rsidRPr="005A6293">
              <w:t xml:space="preserve"> Medium</w:t>
            </w:r>
            <w:r w:rsidR="009F1490" w:rsidRPr="005A6293">
              <w:t xml:space="preserve"> </w:t>
            </w:r>
          </w:p>
        </w:tc>
      </w:tr>
    </w:tbl>
    <w:p w14:paraId="266F152A" w14:textId="77777777" w:rsidR="000107E1" w:rsidRPr="005A6293" w:rsidRDefault="000107E1" w:rsidP="0068257B">
      <w:pPr>
        <w:spacing w:line="480" w:lineRule="auto"/>
        <w:rPr>
          <w:b/>
        </w:rPr>
      </w:pPr>
    </w:p>
    <w:p w14:paraId="33EB86C5" w14:textId="255E5C1A" w:rsidR="000A2B3B" w:rsidRPr="005A6293" w:rsidRDefault="00630F0E" w:rsidP="0068257B">
      <w:pPr>
        <w:spacing w:line="480" w:lineRule="auto"/>
        <w:rPr>
          <w:b/>
        </w:rPr>
      </w:pPr>
      <w:r w:rsidRPr="005A6293">
        <w:rPr>
          <w:b/>
        </w:rPr>
        <w:t>Significance and Contributions to the Literature</w:t>
      </w:r>
    </w:p>
    <w:p w14:paraId="77A6FB48" w14:textId="6DD16142" w:rsidR="00B22A96" w:rsidRPr="005A6293" w:rsidRDefault="00CB3664" w:rsidP="0068257B">
      <w:pPr>
        <w:spacing w:line="480" w:lineRule="auto"/>
        <w:ind w:firstLine="720"/>
      </w:pPr>
      <w:r w:rsidRPr="005A6293">
        <w:t>I provide</w:t>
      </w:r>
      <w:r w:rsidR="00B22A96" w:rsidRPr="005A6293">
        <w:t xml:space="preserve"> a detailed look at the interaction between education, politics, and economics in Kenya throughout three different time periods. While this thesis does not represent a fully holistic look at these three societal structures, the strength of this thesis is that by focusing on specific links between the three structures, I am able to </w:t>
      </w:r>
      <w:r w:rsidR="00B22A96" w:rsidRPr="005A6293">
        <w:lastRenderedPageBreak/>
        <w:t>demonstrate different avenues through which these structures are linked.</w:t>
      </w:r>
      <w:r w:rsidRPr="005A6293">
        <w:t xml:space="preserve"> The strength of this paper</w:t>
      </w:r>
      <w:r w:rsidR="00CD5407" w:rsidRPr="005A6293">
        <w:t xml:space="preserve"> is that it provides an in-depth </w:t>
      </w:r>
      <w:r w:rsidR="002D7336" w:rsidRPr="005A6293">
        <w:t xml:space="preserve">historical </w:t>
      </w:r>
      <w:r w:rsidR="00CD5407" w:rsidRPr="005A6293">
        <w:t>analysis to address the complexities of the relationship between gender norms and education</w:t>
      </w:r>
      <w:r w:rsidR="00B22A96" w:rsidRPr="005A6293">
        <w:t xml:space="preserve">. </w:t>
      </w:r>
      <w:r w:rsidR="00CD5407" w:rsidRPr="005A6293">
        <w:t xml:space="preserve">As gender norms and education structures separately shifted and changed throughout Kenya’s history, it is important to pin down the specific relationship throughout each time-period. </w:t>
      </w:r>
      <w:r w:rsidRPr="005A6293">
        <w:t>I</w:t>
      </w:r>
      <w:r w:rsidR="00B22A96" w:rsidRPr="005A6293">
        <w:t xml:space="preserve"> </w:t>
      </w:r>
      <w:r w:rsidR="00A1030C" w:rsidRPr="005A6293">
        <w:t>also</w:t>
      </w:r>
      <w:r w:rsidRPr="005A6293">
        <w:t xml:space="preserve"> demonstrate</w:t>
      </w:r>
      <w:r w:rsidR="00B22A96" w:rsidRPr="005A6293">
        <w:t xml:space="preserve"> new ways to conceptualize and study </w:t>
      </w:r>
      <w:r w:rsidR="000A395B" w:rsidRPr="005A6293">
        <w:t>education</w:t>
      </w:r>
      <w:r w:rsidR="00B22A96" w:rsidRPr="005A6293">
        <w:t xml:space="preserve"> and gender. This has real world applications because it demonstrates the historical</w:t>
      </w:r>
      <w:r w:rsidR="000A395B" w:rsidRPr="005A6293">
        <w:t xml:space="preserve"> complexities of education</w:t>
      </w:r>
      <w:r w:rsidR="00B22A96" w:rsidRPr="005A6293">
        <w:t xml:space="preserve"> and gender and the insufficient response of development to this relationship. To make efficient and effective policies </w:t>
      </w:r>
      <w:r w:rsidR="007645C6" w:rsidRPr="005A6293">
        <w:t>relating to female education, it is necessary to</w:t>
      </w:r>
      <w:r w:rsidR="00B22A96" w:rsidRPr="005A6293">
        <w:t xml:space="preserve"> have a better understand of the dynamics that impact female education as well as the impacts on other parts of society.</w:t>
      </w:r>
    </w:p>
    <w:p w14:paraId="1F639793" w14:textId="46F84B14" w:rsidR="00630F0E" w:rsidRPr="005A6293" w:rsidRDefault="00630F0E" w:rsidP="0068257B">
      <w:pPr>
        <w:spacing w:line="480" w:lineRule="auto"/>
        <w:rPr>
          <w:b/>
        </w:rPr>
      </w:pPr>
      <w:r w:rsidRPr="005A6293">
        <w:rPr>
          <w:b/>
        </w:rPr>
        <w:t xml:space="preserve">Implications and Avenues of Future Research </w:t>
      </w:r>
    </w:p>
    <w:p w14:paraId="0E149011" w14:textId="421190A6" w:rsidR="00B22A96" w:rsidRPr="005A6293" w:rsidRDefault="00996749" w:rsidP="0068257B">
      <w:pPr>
        <w:spacing w:line="480" w:lineRule="auto"/>
      </w:pPr>
      <w:r w:rsidRPr="005A6293">
        <w:tab/>
        <w:t>The implications flow from the conclusions of chapter four, namely that gender inequality is a persistent problem in education due to the construction of gender norms in Kenya. Since this thesis is founded on a capabilities approach, equitable education is a fundamental freedom that increases individual freedoms and societal development. Equitable education is important. Thus far, Kenya has not achieved equitable e</w:t>
      </w:r>
      <w:r w:rsidR="007645C6" w:rsidRPr="005A6293">
        <w:t>ducation based on gender,</w:t>
      </w:r>
      <w:r w:rsidRPr="005A6293">
        <w:t xml:space="preserve"> consider</w:t>
      </w:r>
      <w:r w:rsidR="007645C6" w:rsidRPr="005A6293">
        <w:t>ing</w:t>
      </w:r>
      <w:r w:rsidRPr="005A6293">
        <w:t xml:space="preserve"> both quantitative and qualitative data. </w:t>
      </w:r>
      <w:r w:rsidR="00802D2A" w:rsidRPr="005A6293">
        <w:t xml:space="preserve">Despite this, many believe that due to the quantitative data that education equity is increasing. However, </w:t>
      </w:r>
      <w:r w:rsidR="00070F2B">
        <w:t xml:space="preserve">when </w:t>
      </w:r>
      <w:r w:rsidR="007645C6" w:rsidRPr="005A6293">
        <w:t>the</w:t>
      </w:r>
      <w:r w:rsidR="00802D2A" w:rsidRPr="005A6293">
        <w:t xml:space="preserve"> full rel</w:t>
      </w:r>
      <w:r w:rsidR="003430FD" w:rsidRPr="005A6293">
        <w:t>ationship between education</w:t>
      </w:r>
      <w:r w:rsidR="00802D2A" w:rsidRPr="005A6293">
        <w:t xml:space="preserve"> and gender</w:t>
      </w:r>
      <w:r w:rsidR="007645C6" w:rsidRPr="005A6293">
        <w:t xml:space="preserve"> is reviewed</w:t>
      </w:r>
      <w:r w:rsidR="00802D2A" w:rsidRPr="005A6293">
        <w:t xml:space="preserve">, it is clear that there are still persistent, systemic problems to achieving education equality based off gender. </w:t>
      </w:r>
    </w:p>
    <w:p w14:paraId="40D26B8D" w14:textId="37C3408B" w:rsidR="00BA47D4" w:rsidRPr="005A6293" w:rsidRDefault="00BA47D4" w:rsidP="0068257B">
      <w:pPr>
        <w:spacing w:line="480" w:lineRule="auto"/>
      </w:pPr>
      <w:r w:rsidRPr="005A6293">
        <w:lastRenderedPageBreak/>
        <w:tab/>
        <w:t>This analysis is important for anyone participating in development in Kenya, including: governments, NGOs, and experts. To fully rectify inequality in education, one must understand the complexities of the rel</w:t>
      </w:r>
      <w:r w:rsidR="000A395B" w:rsidRPr="005A6293">
        <w:t>ationship between education</w:t>
      </w:r>
      <w:r w:rsidRPr="005A6293">
        <w:t xml:space="preserve"> and gender. Additionally, it is important to understand how this relationship impacts other areas that development deems important, such as economics and politics. </w:t>
      </w:r>
      <w:r w:rsidR="00A95635" w:rsidRPr="005A6293">
        <w:t xml:space="preserve">Although </w:t>
      </w:r>
      <w:r w:rsidR="00CB3664" w:rsidRPr="005A6293">
        <w:t>I</w:t>
      </w:r>
      <w:r w:rsidR="00A95635" w:rsidRPr="005A6293">
        <w:t xml:space="preserve"> only focused on one freedom (education), the unfreedoms present in education create unfreedoms in other areas. </w:t>
      </w:r>
      <w:r w:rsidR="0081036B" w:rsidRPr="005A6293">
        <w:t xml:space="preserve">While there is no easy fix to this problem, by gaining more insight into the complex web of freedoms and unfreedoms, we can create more effective policies. </w:t>
      </w:r>
    </w:p>
    <w:p w14:paraId="326D3938" w14:textId="0013234C" w:rsidR="00A473C2" w:rsidRPr="005A6293" w:rsidRDefault="00A473C2" w:rsidP="0068257B">
      <w:pPr>
        <w:spacing w:line="480" w:lineRule="auto"/>
      </w:pPr>
      <w:r w:rsidRPr="005A6293">
        <w:tab/>
        <w:t xml:space="preserve">Finally, there are many avenues of future research which flow from this paper. </w:t>
      </w:r>
      <w:r w:rsidR="00CB3664" w:rsidRPr="005A6293">
        <w:t>I have</w:t>
      </w:r>
      <w:r w:rsidRPr="005A6293">
        <w:t xml:space="preserve"> only looked at one freedom and corresponding unfreedom; however, many other related freedoms and unfreedoms are clearly related to education. Further research is needed to understand this web of freedoms and how they interact. </w:t>
      </w:r>
      <w:r w:rsidR="00461CD3" w:rsidRPr="005A6293">
        <w:t>For example, Sen indicates five categories for freedoms: “political freedoms, economic facilities, social opportunities, transparency guarantees and protective security”.</w:t>
      </w:r>
      <w:r w:rsidR="00461CD3" w:rsidRPr="005A6293">
        <w:rPr>
          <w:rStyle w:val="FootnoteReference"/>
        </w:rPr>
        <w:footnoteReference w:id="273"/>
      </w:r>
      <w:r w:rsidR="00461CD3" w:rsidRPr="005A6293">
        <w:t xml:space="preserve"> Education is a social opportunity, but equally important are freedoms that are part of the other four categories and understanding how they interact together, such as education and poverty for example. </w:t>
      </w:r>
      <w:r w:rsidR="005F22AE" w:rsidRPr="005A6293">
        <w:t xml:space="preserve">These avenues of extended research are important because of the underlying assumptions of this thesis, that freedoms are important as a goal of development, tool of development, and as fundamental rights. </w:t>
      </w:r>
      <w:r w:rsidR="00380A39" w:rsidRPr="005A6293">
        <w:t xml:space="preserve">If we let these assumptions drive our research, then we can produce more work that advocates for development due to its intrinsic value to individuals and their rights. </w:t>
      </w:r>
    </w:p>
    <w:p w14:paraId="6C13CEB2" w14:textId="77777777" w:rsidR="00082233" w:rsidRPr="005A6293" w:rsidRDefault="00082233" w:rsidP="00706F27">
      <w:pPr>
        <w:spacing w:line="480" w:lineRule="auto"/>
      </w:pPr>
      <w:r w:rsidRPr="005A6293">
        <w:br w:type="page"/>
      </w:r>
    </w:p>
    <w:p w14:paraId="4A24C9EC" w14:textId="12531248" w:rsidR="00DC1B5C" w:rsidRPr="005A6293" w:rsidRDefault="00082233" w:rsidP="006A58E7">
      <w:pPr>
        <w:spacing w:after="160" w:line="480" w:lineRule="auto"/>
        <w:jc w:val="center"/>
        <w:outlineLvl w:val="0"/>
        <w:rPr>
          <w:rFonts w:cs="Times New Roman"/>
          <w:b/>
        </w:rPr>
      </w:pPr>
      <w:r w:rsidRPr="005A6293">
        <w:rPr>
          <w:rFonts w:cs="Times New Roman"/>
          <w:b/>
        </w:rPr>
        <w:lastRenderedPageBreak/>
        <w:t>Bibliography</w:t>
      </w:r>
    </w:p>
    <w:p w14:paraId="131CCC3C" w14:textId="77777777" w:rsidR="00082233" w:rsidRPr="005A6293" w:rsidRDefault="00082233" w:rsidP="00DC1B5C">
      <w:pPr>
        <w:ind w:left="720" w:hanging="720"/>
        <w:rPr>
          <w:rFonts w:cs="Times New Roman"/>
        </w:rPr>
      </w:pPr>
      <w:r w:rsidRPr="005A6293">
        <w:rPr>
          <w:rFonts w:cs="Times New Roman"/>
        </w:rPr>
        <w:t xml:space="preserve">Adeyemi, Michael and Augustus Adeyinka. “The Principles and Content of African Traditional Education.” </w:t>
      </w:r>
      <w:r w:rsidRPr="005A6293">
        <w:rPr>
          <w:rFonts w:cs="Times New Roman"/>
          <w:i/>
          <w:iCs/>
        </w:rPr>
        <w:t>Education Philosophy and Theory</w:t>
      </w:r>
      <w:r w:rsidRPr="005A6293">
        <w:rPr>
          <w:rFonts w:cs="Times New Roman"/>
        </w:rPr>
        <w:t xml:space="preserve"> vol. 35, no. 4 (2003). pp. 425-440.</w:t>
      </w:r>
    </w:p>
    <w:p w14:paraId="7C8D28C0" w14:textId="77777777" w:rsidR="00DC1B5C" w:rsidRPr="005A6293" w:rsidRDefault="00DC1B5C" w:rsidP="00F63D67">
      <w:pPr>
        <w:rPr>
          <w:rFonts w:cs="Times New Roman"/>
        </w:rPr>
      </w:pPr>
    </w:p>
    <w:p w14:paraId="6DCF50B3" w14:textId="1B8B7F2B" w:rsidR="003624FF" w:rsidRPr="005A6293" w:rsidRDefault="003624FF" w:rsidP="00DC1B5C">
      <w:pPr>
        <w:ind w:left="720" w:hanging="720"/>
        <w:rPr>
          <w:rFonts w:cs="Times New Roman"/>
        </w:rPr>
      </w:pPr>
      <w:r w:rsidRPr="005A6293">
        <w:rPr>
          <w:rFonts w:cs="Times New Roman"/>
        </w:rPr>
        <w:t xml:space="preserve">Barnett, Michael and Thomas G. Weiss. “Humanitarianism: A Brief History of the Present.” in </w:t>
      </w:r>
      <w:r w:rsidRPr="005A6293">
        <w:rPr>
          <w:rFonts w:cs="Times New Roman"/>
          <w:i/>
        </w:rPr>
        <w:t>Humanitarianism in Question: Politics, Power, Ethics</w:t>
      </w:r>
      <w:r w:rsidRPr="005A6293">
        <w:rPr>
          <w:rFonts w:cs="Times New Roman"/>
        </w:rPr>
        <w:t xml:space="preserve">. eds. Michael Barnett and Thomas G. Weiss. New York, New York. Cornell University Press. 2008. </w:t>
      </w:r>
    </w:p>
    <w:p w14:paraId="4E613959" w14:textId="77777777" w:rsidR="00DC1B5C" w:rsidRPr="005A6293" w:rsidRDefault="00DC1B5C" w:rsidP="00DC1B5C">
      <w:pPr>
        <w:ind w:left="720" w:hanging="720"/>
        <w:rPr>
          <w:rFonts w:cs="Times New Roman"/>
        </w:rPr>
      </w:pPr>
    </w:p>
    <w:p w14:paraId="25200974" w14:textId="05B4EF34" w:rsidR="00082233" w:rsidRPr="005A6293" w:rsidRDefault="00082233" w:rsidP="00DC1B5C">
      <w:pPr>
        <w:ind w:left="720" w:hanging="720"/>
        <w:rPr>
          <w:rFonts w:cs="Times New Roman"/>
        </w:rPr>
      </w:pPr>
      <w:r w:rsidRPr="005A6293">
        <w:rPr>
          <w:rFonts w:cs="Times New Roman"/>
        </w:rPr>
        <w:t>B</w:t>
      </w:r>
      <w:r w:rsidR="00B10170" w:rsidRPr="005A6293">
        <w:rPr>
          <w:rFonts w:cs="Times New Roman"/>
        </w:rPr>
        <w:t>arro, Robert and Jong-Wha Lee. “</w:t>
      </w:r>
      <w:r w:rsidRPr="005A6293">
        <w:rPr>
          <w:rFonts w:cs="Times New Roman"/>
        </w:rPr>
        <w:t>A New Data Set of Educational Attainment in the Wo</w:t>
      </w:r>
      <w:r w:rsidR="00B10170" w:rsidRPr="005A6293">
        <w:rPr>
          <w:rFonts w:cs="Times New Roman"/>
        </w:rPr>
        <w:t>rld, 1950-2010.”</w:t>
      </w:r>
      <w:r w:rsidRPr="005A6293">
        <w:rPr>
          <w:rFonts w:cs="Times New Roman"/>
        </w:rPr>
        <w:t xml:space="preserve"> </w:t>
      </w:r>
      <w:r w:rsidRPr="005A6293">
        <w:rPr>
          <w:rFonts w:cs="Times New Roman"/>
          <w:i/>
          <w:iCs/>
        </w:rPr>
        <w:t>Journal of Development Economics</w:t>
      </w:r>
      <w:r w:rsidRPr="005A6293">
        <w:rPr>
          <w:rFonts w:cs="Times New Roman"/>
        </w:rPr>
        <w:t xml:space="preserve"> vol. 104, (2013). pp.184-198.</w:t>
      </w:r>
    </w:p>
    <w:p w14:paraId="02E1ED44" w14:textId="77777777" w:rsidR="00DC1B5C" w:rsidRPr="005A6293" w:rsidRDefault="00DC1B5C" w:rsidP="00DC1B5C">
      <w:pPr>
        <w:ind w:left="720" w:hanging="720"/>
        <w:rPr>
          <w:rFonts w:cs="Times New Roman"/>
        </w:rPr>
      </w:pPr>
    </w:p>
    <w:p w14:paraId="11D3F724" w14:textId="77777777" w:rsidR="003E17E9" w:rsidRPr="005A6293" w:rsidRDefault="003E17E9" w:rsidP="00DC1B5C">
      <w:pPr>
        <w:ind w:left="720" w:hanging="720"/>
        <w:rPr>
          <w:rFonts w:eastAsia="Times New Roman" w:cs="Times New Roman"/>
          <w:color w:val="000000" w:themeColor="text1"/>
        </w:rPr>
      </w:pPr>
      <w:r w:rsidRPr="005A6293">
        <w:rPr>
          <w:rFonts w:eastAsia="Times New Roman" w:cs="Times New Roman"/>
          <w:color w:val="000000" w:themeColor="text1"/>
        </w:rPr>
        <w:t xml:space="preserve">Bence-Wilkins, Lucy. “Reproducing Inequalities: How Schools in Kenya Shape Gendered Power Relations Among Adolescent Pupils.” in </w:t>
      </w:r>
      <w:r w:rsidRPr="005A6293">
        <w:rPr>
          <w:rFonts w:eastAsia="Times New Roman" w:cs="Times New Roman"/>
          <w:i/>
          <w:iCs/>
          <w:color w:val="000000" w:themeColor="text1"/>
        </w:rPr>
        <w:t>Journal of the University of East London Undergraduate Conference</w:t>
      </w:r>
      <w:r w:rsidRPr="005A6293">
        <w:rPr>
          <w:rFonts w:eastAsia="Times New Roman" w:cs="Times New Roman"/>
          <w:color w:val="000000" w:themeColor="text1"/>
        </w:rPr>
        <w:t xml:space="preserve">. London. University of East London. 2011.  </w:t>
      </w:r>
    </w:p>
    <w:p w14:paraId="30580CB1" w14:textId="77777777" w:rsidR="00DC1B5C" w:rsidRPr="005A6293" w:rsidRDefault="00DC1B5C" w:rsidP="00DC1B5C">
      <w:pPr>
        <w:ind w:left="720" w:hanging="720"/>
        <w:rPr>
          <w:rFonts w:eastAsia="Times New Roman" w:cs="Times New Roman"/>
          <w:color w:val="000000" w:themeColor="text1"/>
        </w:rPr>
      </w:pPr>
    </w:p>
    <w:p w14:paraId="772CEED9" w14:textId="62A14A1F" w:rsidR="003E17E9" w:rsidRPr="005A6293" w:rsidRDefault="003E17E9" w:rsidP="00DC1B5C">
      <w:pPr>
        <w:ind w:left="720" w:hanging="720"/>
        <w:rPr>
          <w:rFonts w:eastAsia="Times New Roman" w:cs="Times New Roman"/>
          <w:color w:val="000000" w:themeColor="text1"/>
        </w:rPr>
      </w:pPr>
      <w:r w:rsidRPr="005A6293">
        <w:rPr>
          <w:rFonts w:eastAsia="Times New Roman" w:cs="Times New Roman"/>
          <w:color w:val="000000" w:themeColor="text1"/>
        </w:rPr>
        <w:t xml:space="preserve">Blackden, Mark, Sudharshan Canagarajah, Stephan Klasen and David Lawson. “Gender and Growth in Sub-Saharan Africa: Issues and Evidence.” </w:t>
      </w:r>
      <w:r w:rsidRPr="005A6293">
        <w:rPr>
          <w:rFonts w:eastAsia="Times New Roman" w:cs="Times New Roman"/>
          <w:i/>
          <w:iCs/>
          <w:color w:val="000000" w:themeColor="text1"/>
        </w:rPr>
        <w:t>Research Paper, UNU-WIDER, United Nations University</w:t>
      </w:r>
      <w:r w:rsidRPr="005A6293">
        <w:rPr>
          <w:rFonts w:eastAsia="Times New Roman" w:cs="Times New Roman"/>
          <w:color w:val="000000" w:themeColor="text1"/>
        </w:rPr>
        <w:t xml:space="preserve">, No. 2006/37. 2006. </w:t>
      </w:r>
    </w:p>
    <w:p w14:paraId="3717025D" w14:textId="77777777" w:rsidR="00DC1B5C" w:rsidRPr="005A6293" w:rsidRDefault="00DC1B5C" w:rsidP="00DC1B5C">
      <w:pPr>
        <w:ind w:left="720" w:hanging="720"/>
        <w:rPr>
          <w:rFonts w:eastAsia="Times New Roman" w:cs="Times New Roman"/>
          <w:color w:val="000000" w:themeColor="text1"/>
        </w:rPr>
      </w:pPr>
    </w:p>
    <w:p w14:paraId="73783CF5" w14:textId="0B864218" w:rsidR="004C46FA" w:rsidRPr="005A6293" w:rsidRDefault="004C46FA" w:rsidP="00DC1B5C">
      <w:pPr>
        <w:ind w:left="720" w:hanging="720"/>
      </w:pPr>
      <w:r w:rsidRPr="005A6293">
        <w:t xml:space="preserve">Bogonko, Sorobea. </w:t>
      </w:r>
      <w:r w:rsidRPr="005A6293">
        <w:rPr>
          <w:i/>
        </w:rPr>
        <w:t>A History of Modern Education in Kenya (1895-1991).</w:t>
      </w:r>
      <w:r w:rsidRPr="005A6293">
        <w:t xml:space="preserve"> Nairobi. Evans Brothers Ltd. 1992.</w:t>
      </w:r>
    </w:p>
    <w:p w14:paraId="08C26FC6" w14:textId="77777777" w:rsidR="00DC1B5C" w:rsidRPr="005A6293" w:rsidRDefault="00DC1B5C" w:rsidP="00DC1B5C">
      <w:pPr>
        <w:ind w:left="720" w:hanging="720"/>
      </w:pPr>
    </w:p>
    <w:p w14:paraId="45EF3892" w14:textId="6C312C4B" w:rsidR="003E17E9" w:rsidRPr="005A6293" w:rsidRDefault="003E17E9" w:rsidP="00DC1B5C">
      <w:pPr>
        <w:ind w:left="720" w:hanging="720"/>
        <w:rPr>
          <w:rFonts w:eastAsia="Times New Roman" w:cs="Times New Roman"/>
          <w:color w:val="000000" w:themeColor="text1"/>
        </w:rPr>
      </w:pPr>
      <w:r w:rsidRPr="005A6293">
        <w:rPr>
          <w:rFonts w:eastAsia="Times New Roman" w:cs="Times New Roman"/>
          <w:color w:val="000000" w:themeColor="text1"/>
        </w:rPr>
        <w:t xml:space="preserve">Bongaarts, John. “Completing the Fertility Transition in the Developing World: The Role of Educational Differences and Fertility Preferences.” </w:t>
      </w:r>
      <w:r w:rsidRPr="005A6293">
        <w:rPr>
          <w:rFonts w:eastAsia="Times New Roman" w:cs="Times New Roman"/>
          <w:i/>
          <w:iCs/>
          <w:color w:val="000000" w:themeColor="text1"/>
        </w:rPr>
        <w:t>Population Studies</w:t>
      </w:r>
      <w:r w:rsidRPr="005A6293">
        <w:rPr>
          <w:rFonts w:eastAsia="Times New Roman" w:cs="Times New Roman"/>
          <w:color w:val="000000" w:themeColor="text1"/>
        </w:rPr>
        <w:t xml:space="preserve"> vol. 57, no. 3 (2003). pp. 321-335.</w:t>
      </w:r>
    </w:p>
    <w:p w14:paraId="2646A512" w14:textId="77777777" w:rsidR="00DC1B5C" w:rsidRPr="005A6293" w:rsidRDefault="00DC1B5C" w:rsidP="00DC1B5C">
      <w:pPr>
        <w:ind w:left="720" w:hanging="720"/>
        <w:rPr>
          <w:rFonts w:eastAsia="Times New Roman" w:cs="Times New Roman"/>
          <w:color w:val="000000" w:themeColor="text1"/>
        </w:rPr>
      </w:pPr>
    </w:p>
    <w:p w14:paraId="59176EEC" w14:textId="77777777" w:rsidR="00082233" w:rsidRPr="005A6293" w:rsidRDefault="00082233" w:rsidP="00DC1B5C">
      <w:pPr>
        <w:ind w:left="720" w:hanging="720"/>
        <w:rPr>
          <w:rFonts w:cs="Times New Roman"/>
        </w:rPr>
      </w:pPr>
      <w:r w:rsidRPr="005A6293">
        <w:rPr>
          <w:rFonts w:cs="Times New Roman"/>
        </w:rPr>
        <w:t xml:space="preserve">Castelló, Amparo and Rafael Doménech. “Human Capital Inequality and Economic Growth: Some New Evidence.” </w:t>
      </w:r>
      <w:r w:rsidRPr="005A6293">
        <w:rPr>
          <w:rFonts w:cs="Times New Roman"/>
          <w:i/>
          <w:iCs/>
        </w:rPr>
        <w:t>The Economic Journal</w:t>
      </w:r>
      <w:r w:rsidRPr="005A6293">
        <w:rPr>
          <w:rFonts w:cs="Times New Roman"/>
        </w:rPr>
        <w:t xml:space="preserve"> vol. 112, (2002). pp. 187-200.</w:t>
      </w:r>
    </w:p>
    <w:p w14:paraId="7F376878" w14:textId="77777777" w:rsidR="00DC1B5C" w:rsidRPr="005A6293" w:rsidRDefault="00DC1B5C" w:rsidP="00DC1B5C">
      <w:pPr>
        <w:ind w:left="720" w:hanging="720"/>
        <w:rPr>
          <w:rFonts w:cs="Times New Roman"/>
        </w:rPr>
      </w:pPr>
    </w:p>
    <w:p w14:paraId="73072E05" w14:textId="77777777" w:rsidR="00082233" w:rsidRPr="005A6293" w:rsidRDefault="00082233" w:rsidP="00DC1B5C">
      <w:pPr>
        <w:ind w:left="720" w:hanging="720"/>
        <w:rPr>
          <w:rFonts w:cs="Times New Roman"/>
        </w:rPr>
      </w:pPr>
      <w:r w:rsidRPr="005A6293">
        <w:rPr>
          <w:rFonts w:cs="Times New Roman"/>
        </w:rPr>
        <w:t xml:space="preserve">Chege, Fatuma and Daniel Sifuna. </w:t>
      </w:r>
      <w:r w:rsidRPr="005A6293">
        <w:rPr>
          <w:rFonts w:cs="Times New Roman"/>
          <w:i/>
          <w:iCs/>
        </w:rPr>
        <w:t>Girls’ and Women’s Education in Kenya: Gender Perspectives and Trends</w:t>
      </w:r>
      <w:r w:rsidRPr="005A6293">
        <w:rPr>
          <w:rFonts w:cs="Times New Roman"/>
        </w:rPr>
        <w:t xml:space="preserve">. Nairobi. UNESCO. 2006. </w:t>
      </w:r>
    </w:p>
    <w:p w14:paraId="7700EDCA" w14:textId="77777777" w:rsidR="00DC1B5C" w:rsidRPr="005A6293" w:rsidRDefault="00DC1B5C" w:rsidP="00EB5569">
      <w:pPr>
        <w:rPr>
          <w:rFonts w:cs="Times New Roman"/>
        </w:rPr>
      </w:pPr>
    </w:p>
    <w:p w14:paraId="687057A2" w14:textId="5EC73603" w:rsidR="00082233" w:rsidRPr="005A6293" w:rsidRDefault="00B10170" w:rsidP="00DC1B5C">
      <w:pPr>
        <w:ind w:left="720" w:hanging="720"/>
        <w:rPr>
          <w:rFonts w:cs="Times New Roman"/>
        </w:rPr>
      </w:pPr>
      <w:r w:rsidRPr="005A6293">
        <w:rPr>
          <w:rFonts w:cs="Times New Roman"/>
        </w:rPr>
        <w:t>Dunne, Máiréad. “</w:t>
      </w:r>
      <w:r w:rsidR="00082233" w:rsidRPr="005A6293">
        <w:rPr>
          <w:rFonts w:cs="Times New Roman"/>
        </w:rPr>
        <w:t>S</w:t>
      </w:r>
      <w:r w:rsidRPr="005A6293">
        <w:rPr>
          <w:rFonts w:cs="Times New Roman"/>
        </w:rPr>
        <w:t>chools and Gendered Identities.”</w:t>
      </w:r>
      <w:r w:rsidR="00082233" w:rsidRPr="005A6293">
        <w:rPr>
          <w:rFonts w:cs="Times New Roman"/>
        </w:rPr>
        <w:t xml:space="preserve"> 2007.</w:t>
      </w:r>
    </w:p>
    <w:p w14:paraId="79AF63FA" w14:textId="77777777" w:rsidR="00DC1B5C" w:rsidRPr="005A6293" w:rsidRDefault="00DC1B5C" w:rsidP="00DC1B5C">
      <w:pPr>
        <w:ind w:left="720" w:hanging="720"/>
        <w:rPr>
          <w:rFonts w:cs="Times New Roman"/>
        </w:rPr>
      </w:pPr>
    </w:p>
    <w:p w14:paraId="30054FA3" w14:textId="77777777" w:rsidR="003E17E9" w:rsidRPr="005A6293" w:rsidRDefault="003E17E9" w:rsidP="00DC1B5C">
      <w:pPr>
        <w:ind w:left="720" w:hanging="720"/>
        <w:rPr>
          <w:rFonts w:eastAsia="Times New Roman" w:cs="Times New Roman"/>
          <w:color w:val="000000" w:themeColor="text1"/>
        </w:rPr>
      </w:pPr>
      <w:r w:rsidRPr="005A6293">
        <w:rPr>
          <w:rFonts w:eastAsia="Times New Roman" w:cs="Times New Roman"/>
          <w:color w:val="000000" w:themeColor="text1"/>
        </w:rPr>
        <w:t xml:space="preserve">Dunne, Máiréad, Fiona Leach, Bagele Chilisa, Tapologo Maundeni, Richard Tabulawa, Nick Kutor, Londa Dzama Forde and Alex Asamoah. </w:t>
      </w:r>
      <w:r w:rsidRPr="005A6293">
        <w:rPr>
          <w:rFonts w:eastAsia="Times New Roman" w:cs="Times New Roman"/>
          <w:i/>
          <w:iCs/>
          <w:color w:val="000000" w:themeColor="text1"/>
        </w:rPr>
        <w:t>Gendered School Experiences: The Impact on Retention and Achievement in Botswana and Ghana</w:t>
      </w:r>
      <w:r w:rsidRPr="005A6293">
        <w:rPr>
          <w:rFonts w:eastAsia="Times New Roman" w:cs="Times New Roman"/>
          <w:color w:val="000000" w:themeColor="text1"/>
        </w:rPr>
        <w:t xml:space="preserve">. London. Department for International Development. 2005. </w:t>
      </w:r>
    </w:p>
    <w:p w14:paraId="589B68ED" w14:textId="77777777" w:rsidR="00DC1B5C" w:rsidRPr="005A6293" w:rsidRDefault="00DC1B5C" w:rsidP="00DC1B5C">
      <w:pPr>
        <w:ind w:left="720" w:hanging="720"/>
        <w:rPr>
          <w:rFonts w:eastAsia="Times New Roman" w:cs="Times New Roman"/>
          <w:color w:val="000000" w:themeColor="text1"/>
        </w:rPr>
      </w:pPr>
    </w:p>
    <w:p w14:paraId="6D4FF8B6" w14:textId="0BF5F290" w:rsidR="003E17E9" w:rsidRPr="005A6293" w:rsidRDefault="003E17E9" w:rsidP="00DC1B5C">
      <w:pPr>
        <w:ind w:left="720" w:hanging="720"/>
        <w:rPr>
          <w:rFonts w:eastAsia="Times New Roman" w:cs="Times New Roman"/>
          <w:color w:val="000000" w:themeColor="text1"/>
        </w:rPr>
      </w:pPr>
      <w:r w:rsidRPr="005A6293">
        <w:rPr>
          <w:rFonts w:eastAsia="Times New Roman" w:cs="Times New Roman"/>
          <w:color w:val="000000" w:themeColor="text1"/>
        </w:rPr>
        <w:lastRenderedPageBreak/>
        <w:t xml:space="preserve">Dunne, Máiréad, Sara Humphreys and Fiona Leach. “Gender Violence in Schools in the Developing World.” </w:t>
      </w:r>
      <w:r w:rsidRPr="005A6293">
        <w:rPr>
          <w:rFonts w:eastAsia="Times New Roman" w:cs="Times New Roman"/>
          <w:i/>
          <w:iCs/>
          <w:color w:val="000000" w:themeColor="text1"/>
        </w:rPr>
        <w:t>Gender and Education</w:t>
      </w:r>
      <w:r w:rsidRPr="005A6293">
        <w:rPr>
          <w:rFonts w:eastAsia="Times New Roman" w:cs="Times New Roman"/>
          <w:color w:val="000000" w:themeColor="text1"/>
        </w:rPr>
        <w:t xml:space="preserve"> vol. 18, no. 1 (2006). pp. 75-98.</w:t>
      </w:r>
    </w:p>
    <w:p w14:paraId="5D1536B8" w14:textId="77777777" w:rsidR="00DC1B5C" w:rsidRPr="005A6293" w:rsidRDefault="00DC1B5C" w:rsidP="00DC1B5C">
      <w:pPr>
        <w:ind w:left="720" w:hanging="720"/>
        <w:rPr>
          <w:rFonts w:eastAsia="Times New Roman" w:cs="Times New Roman"/>
          <w:color w:val="000000" w:themeColor="text1"/>
        </w:rPr>
      </w:pPr>
    </w:p>
    <w:p w14:paraId="0916C1F0" w14:textId="6323A72F" w:rsidR="003A2913" w:rsidRPr="005A6293" w:rsidRDefault="003A2913" w:rsidP="00DC1B5C">
      <w:pPr>
        <w:ind w:left="720" w:hanging="720"/>
      </w:pPr>
      <w:r w:rsidRPr="005A6293">
        <w:t xml:space="preserve">Feierman, Steven. “A Century of Ironies in East Africa (c.1780-1890).” in </w:t>
      </w:r>
      <w:r w:rsidRPr="005A6293">
        <w:rPr>
          <w:i/>
        </w:rPr>
        <w:t>African History: From Earliest Times to Independence</w:t>
      </w:r>
      <w:r w:rsidRPr="005A6293">
        <w:t xml:space="preserve">. eds. Philip Curtin, Steven Feierman, Leonard Thompson, and Jan Vansina. Harlow, England. Pearson Education Limited. 1995. pp. 352-376. </w:t>
      </w:r>
    </w:p>
    <w:p w14:paraId="11E11CE5" w14:textId="77777777" w:rsidR="00DC1B5C" w:rsidRPr="005A6293" w:rsidRDefault="00DC1B5C" w:rsidP="00DC1B5C">
      <w:pPr>
        <w:ind w:left="720" w:hanging="720"/>
      </w:pPr>
    </w:p>
    <w:p w14:paraId="49AA1CA0" w14:textId="77777777" w:rsidR="003E17E9" w:rsidRPr="005A6293" w:rsidRDefault="003E17E9" w:rsidP="00DC1B5C">
      <w:pPr>
        <w:ind w:left="720" w:hanging="720"/>
        <w:rPr>
          <w:rFonts w:eastAsia="Times New Roman" w:cs="Times New Roman"/>
          <w:color w:val="000000" w:themeColor="text1"/>
        </w:rPr>
      </w:pPr>
      <w:r w:rsidRPr="005A6293">
        <w:rPr>
          <w:rFonts w:eastAsia="Times New Roman" w:cs="Times New Roman"/>
          <w:color w:val="000000" w:themeColor="text1"/>
        </w:rPr>
        <w:t xml:space="preserve">Foulds, Kim. “Buzzwords at Play: Gender, Education, and Political Participation in Kenya.” </w:t>
      </w:r>
      <w:r w:rsidRPr="005A6293">
        <w:rPr>
          <w:rFonts w:eastAsia="Times New Roman" w:cs="Times New Roman"/>
          <w:i/>
          <w:iCs/>
          <w:color w:val="000000" w:themeColor="text1"/>
        </w:rPr>
        <w:t>Gender and Education</w:t>
      </w:r>
      <w:r w:rsidRPr="005A6293">
        <w:rPr>
          <w:rFonts w:eastAsia="Times New Roman" w:cs="Times New Roman"/>
          <w:color w:val="000000" w:themeColor="text1"/>
        </w:rPr>
        <w:t xml:space="preserve"> vol. 26, no. 6 (2014). pp. 653-671.</w:t>
      </w:r>
    </w:p>
    <w:p w14:paraId="041E2DD3" w14:textId="77777777" w:rsidR="00DC1B5C" w:rsidRPr="005A6293" w:rsidRDefault="00DC1B5C" w:rsidP="00DC1B5C">
      <w:pPr>
        <w:ind w:left="720" w:hanging="720"/>
        <w:rPr>
          <w:rFonts w:eastAsia="Times New Roman" w:cs="Times New Roman"/>
          <w:color w:val="000000" w:themeColor="text1"/>
        </w:rPr>
      </w:pPr>
    </w:p>
    <w:p w14:paraId="1110B987" w14:textId="0572028C" w:rsidR="003E17E9" w:rsidRPr="005A6293" w:rsidRDefault="003E17E9" w:rsidP="00DC1B5C">
      <w:pPr>
        <w:ind w:left="720" w:hanging="720"/>
        <w:rPr>
          <w:rFonts w:eastAsia="Times New Roman" w:cs="Times New Roman"/>
          <w:color w:val="000000" w:themeColor="text1"/>
        </w:rPr>
      </w:pPr>
      <w:r w:rsidRPr="005A6293">
        <w:rPr>
          <w:rFonts w:eastAsia="Times New Roman" w:cs="Times New Roman"/>
          <w:color w:val="000000" w:themeColor="text1"/>
        </w:rPr>
        <w:t xml:space="preserve">Francis, Elizabeth. “Migration and Changing Divisions of Labour: Gender Relations and Economic Change in Koguta, Western Kenya.” </w:t>
      </w:r>
      <w:r w:rsidRPr="005A6293">
        <w:rPr>
          <w:rFonts w:eastAsia="Times New Roman" w:cs="Times New Roman"/>
          <w:i/>
          <w:iCs/>
          <w:color w:val="000000" w:themeColor="text1"/>
        </w:rPr>
        <w:t xml:space="preserve">Africa: Journal of the International African Institute </w:t>
      </w:r>
      <w:r w:rsidRPr="005A6293">
        <w:rPr>
          <w:rFonts w:eastAsia="Times New Roman" w:cs="Times New Roman"/>
          <w:color w:val="000000" w:themeColor="text1"/>
        </w:rPr>
        <w:t>vol. 65, no. 2 (1995). pp. 197-216.</w:t>
      </w:r>
    </w:p>
    <w:p w14:paraId="14D0A6B6" w14:textId="77777777" w:rsidR="00DC1B5C" w:rsidRPr="005A6293" w:rsidRDefault="00DC1B5C" w:rsidP="00DC1B5C">
      <w:pPr>
        <w:ind w:left="720" w:hanging="720"/>
        <w:rPr>
          <w:rFonts w:eastAsia="Times New Roman" w:cs="Times New Roman"/>
          <w:color w:val="000000" w:themeColor="text1"/>
        </w:rPr>
      </w:pPr>
    </w:p>
    <w:p w14:paraId="23DAD966" w14:textId="3E272446" w:rsidR="003E17E9" w:rsidRPr="005A6293" w:rsidRDefault="003E17E9" w:rsidP="00DC1B5C">
      <w:pPr>
        <w:ind w:left="720" w:hanging="720"/>
      </w:pPr>
      <w:r w:rsidRPr="005A6293">
        <w:t xml:space="preserve">Frankema, Ewout and Marlous van Waijenburg. “Structural Impediments to African Growth? New Evidence from Real Wages in British Africa, 1880-1965.” </w:t>
      </w:r>
      <w:r w:rsidRPr="005A6293">
        <w:rPr>
          <w:i/>
        </w:rPr>
        <w:t>Center for Global Economic History Working Paper Series</w:t>
      </w:r>
      <w:r w:rsidRPr="005A6293">
        <w:t xml:space="preserve"> </w:t>
      </w:r>
      <w:r w:rsidRPr="005A6293">
        <w:rPr>
          <w:i/>
        </w:rPr>
        <w:t>no. 24</w:t>
      </w:r>
      <w:r w:rsidRPr="005A6293">
        <w:t xml:space="preserve">, (2011). </w:t>
      </w:r>
    </w:p>
    <w:p w14:paraId="23984A4B" w14:textId="77777777" w:rsidR="00DC1B5C" w:rsidRPr="005A6293" w:rsidRDefault="00DC1B5C" w:rsidP="00DC1B5C">
      <w:pPr>
        <w:ind w:left="720" w:hanging="720"/>
      </w:pPr>
    </w:p>
    <w:p w14:paraId="669A77BD" w14:textId="7BB91464" w:rsidR="003E17E9" w:rsidRPr="005A6293" w:rsidRDefault="003E17E9" w:rsidP="00DC1B5C">
      <w:pPr>
        <w:ind w:left="720" w:hanging="720"/>
        <w:rPr>
          <w:rFonts w:cs="Times New Roman"/>
        </w:rPr>
      </w:pPr>
      <w:r w:rsidRPr="005A6293">
        <w:rPr>
          <w:rFonts w:cs="Times New Roman"/>
        </w:rPr>
        <w:t xml:space="preserve">Furedi, Frank. “The African Crowd in Nairobi: Popular Movements and Elite Politics.” </w:t>
      </w:r>
      <w:r w:rsidRPr="005A6293">
        <w:rPr>
          <w:rFonts w:cs="Times New Roman"/>
          <w:i/>
          <w:iCs/>
        </w:rPr>
        <w:t>Journal of African History</w:t>
      </w:r>
      <w:r w:rsidRPr="005A6293">
        <w:rPr>
          <w:rFonts w:cs="Times New Roman"/>
        </w:rPr>
        <w:t xml:space="preserve"> vol. 14, no. 2 (1973). pp. 275-290. </w:t>
      </w:r>
    </w:p>
    <w:p w14:paraId="2466DF3D" w14:textId="77777777" w:rsidR="00DC1B5C" w:rsidRPr="005A6293" w:rsidRDefault="00DC1B5C" w:rsidP="00DC1B5C">
      <w:pPr>
        <w:ind w:left="720" w:hanging="720"/>
        <w:rPr>
          <w:rFonts w:cs="Times New Roman"/>
        </w:rPr>
      </w:pPr>
    </w:p>
    <w:p w14:paraId="6E3EABC8" w14:textId="4066C331" w:rsidR="003A2913" w:rsidRPr="005A6293" w:rsidRDefault="003A2913" w:rsidP="00DC1B5C">
      <w:pPr>
        <w:ind w:left="720" w:hanging="720"/>
      </w:pPr>
      <w:r w:rsidRPr="005A6293">
        <w:t xml:space="preserve">Furley, O.W. and T. Watson. </w:t>
      </w:r>
      <w:r w:rsidRPr="005A6293">
        <w:rPr>
          <w:i/>
        </w:rPr>
        <w:t>A History of Education in East Africa</w:t>
      </w:r>
      <w:r w:rsidRPr="005A6293">
        <w:t>. New York City, New York. NOK Publishers International Ltd. 1978.</w:t>
      </w:r>
    </w:p>
    <w:p w14:paraId="198EDF49" w14:textId="77777777" w:rsidR="00DC1B5C" w:rsidRPr="005A6293" w:rsidRDefault="00DC1B5C" w:rsidP="00DC1B5C">
      <w:pPr>
        <w:ind w:left="720" w:hanging="720"/>
      </w:pPr>
    </w:p>
    <w:p w14:paraId="38DED8C3" w14:textId="77777777" w:rsidR="00082233" w:rsidRPr="005A6293" w:rsidRDefault="00082233" w:rsidP="00DC1B5C">
      <w:pPr>
        <w:ind w:left="720" w:hanging="720"/>
        <w:rPr>
          <w:rFonts w:eastAsia="Times New Roman" w:cs="Times New Roman"/>
        </w:rPr>
      </w:pPr>
      <w:r w:rsidRPr="005A6293">
        <w:rPr>
          <w:rFonts w:cs="Times New Roman"/>
        </w:rPr>
        <w:t xml:space="preserve">Garcia-Penalosa, Cecilia. </w:t>
      </w:r>
      <w:r w:rsidRPr="005A6293">
        <w:rPr>
          <w:rFonts w:eastAsia="Times New Roman" w:cs="Times New Roman"/>
        </w:rPr>
        <w:t xml:space="preserve">“The Paradox of Education or the Good Side of Inequality.” </w:t>
      </w:r>
      <w:r w:rsidRPr="005A6293">
        <w:rPr>
          <w:rFonts w:eastAsia="Times New Roman" w:cs="Times New Roman"/>
          <w:i/>
          <w:iCs/>
        </w:rPr>
        <w:t xml:space="preserve">Oxford Economic Papers </w:t>
      </w:r>
      <w:r w:rsidRPr="005A6293">
        <w:rPr>
          <w:rFonts w:eastAsia="Times New Roman" w:cs="Times New Roman"/>
        </w:rPr>
        <w:t>vol. 47, no. 2, (April 1995). pp. 265-285.</w:t>
      </w:r>
    </w:p>
    <w:p w14:paraId="1918A8DF" w14:textId="77777777" w:rsidR="00DC1B5C" w:rsidRPr="005A6293" w:rsidRDefault="00DC1B5C" w:rsidP="00DC1B5C">
      <w:pPr>
        <w:ind w:left="720" w:hanging="720"/>
        <w:rPr>
          <w:rFonts w:cs="Times New Roman"/>
        </w:rPr>
      </w:pPr>
    </w:p>
    <w:p w14:paraId="66241554" w14:textId="77777777" w:rsidR="003A2913" w:rsidRPr="005A6293" w:rsidRDefault="003A2913" w:rsidP="00DC1B5C">
      <w:pPr>
        <w:ind w:left="720" w:hanging="720"/>
      </w:pPr>
      <w:r w:rsidRPr="005A6293">
        <w:t xml:space="preserve">Hastings, Adrian. </w:t>
      </w:r>
      <w:r w:rsidRPr="005A6293">
        <w:rPr>
          <w:i/>
        </w:rPr>
        <w:t>The Church in Africa, 1450-1950</w:t>
      </w:r>
      <w:r w:rsidRPr="005A6293">
        <w:t>. Oxford. Clarendon Press. 1996.</w:t>
      </w:r>
    </w:p>
    <w:p w14:paraId="62133313" w14:textId="77777777" w:rsidR="00DC1B5C" w:rsidRPr="005A6293" w:rsidRDefault="00DC1B5C" w:rsidP="00DC1B5C">
      <w:pPr>
        <w:ind w:left="720" w:hanging="720"/>
      </w:pPr>
    </w:p>
    <w:p w14:paraId="4E332576" w14:textId="43C56573" w:rsidR="003E17E9" w:rsidRPr="005A6293" w:rsidRDefault="003E17E9" w:rsidP="00DC1B5C">
      <w:pPr>
        <w:ind w:left="720" w:hanging="720"/>
        <w:rPr>
          <w:rFonts w:cs="Times New Roman"/>
        </w:rPr>
      </w:pPr>
      <w:r w:rsidRPr="005A6293">
        <w:rPr>
          <w:rFonts w:cs="Times New Roman"/>
        </w:rPr>
        <w:t xml:space="preserve">Holtzman, Jon. “Age, Masculinity, and Migration: Gender and Wage Labor among Sambura Pastoralists in Northern Kenya.” in </w:t>
      </w:r>
      <w:r w:rsidRPr="005A6293">
        <w:rPr>
          <w:rFonts w:cs="Times New Roman"/>
          <w:i/>
          <w:iCs/>
        </w:rPr>
        <w:t>Gender at Work in Economic Life</w:t>
      </w:r>
      <w:r w:rsidRPr="005A6293">
        <w:rPr>
          <w:rFonts w:cs="Times New Roman"/>
        </w:rPr>
        <w:t xml:space="preserve">. ed. Gracia Clark. Walnut Creek, California. Alta Mira Press. 2003. </w:t>
      </w:r>
    </w:p>
    <w:p w14:paraId="159B455C" w14:textId="77777777" w:rsidR="00DC1B5C" w:rsidRPr="005A6293" w:rsidRDefault="00DC1B5C" w:rsidP="00DC1B5C">
      <w:pPr>
        <w:ind w:left="720" w:hanging="720"/>
        <w:rPr>
          <w:rFonts w:cs="Times New Roman"/>
        </w:rPr>
      </w:pPr>
    </w:p>
    <w:p w14:paraId="66EE7C51" w14:textId="3AFB9FA9" w:rsidR="003A2913" w:rsidRPr="005A6293" w:rsidRDefault="003A2913" w:rsidP="00DC1B5C">
      <w:pPr>
        <w:ind w:left="720" w:hanging="720"/>
        <w:rPr>
          <w:rFonts w:cs="Times New Roman"/>
        </w:rPr>
      </w:pPr>
      <w:r w:rsidRPr="005A6293">
        <w:rPr>
          <w:rFonts w:cs="Times New Roman"/>
        </w:rPr>
        <w:t xml:space="preserve">Hornsby, Charles. </w:t>
      </w:r>
      <w:r w:rsidRPr="005A6293">
        <w:rPr>
          <w:rFonts w:cs="Times New Roman"/>
          <w:i/>
        </w:rPr>
        <w:t>Kenya: A History Since Independence</w:t>
      </w:r>
      <w:r w:rsidRPr="005A6293">
        <w:rPr>
          <w:rFonts w:cs="Times New Roman"/>
        </w:rPr>
        <w:t xml:space="preserve">. London, England. I.B. Tauris. 2012. </w:t>
      </w:r>
    </w:p>
    <w:p w14:paraId="00C08BA7" w14:textId="77777777" w:rsidR="00DC1B5C" w:rsidRPr="005A6293" w:rsidRDefault="00DC1B5C" w:rsidP="00DC1B5C">
      <w:pPr>
        <w:ind w:left="720" w:hanging="720"/>
        <w:rPr>
          <w:rFonts w:cs="Times New Roman"/>
        </w:rPr>
      </w:pPr>
    </w:p>
    <w:p w14:paraId="366A67D7" w14:textId="4CF6B2B7" w:rsidR="003E17E9" w:rsidRPr="005A6293" w:rsidRDefault="003E17E9" w:rsidP="00DC1B5C">
      <w:pPr>
        <w:ind w:left="720" w:hanging="720"/>
        <w:rPr>
          <w:rFonts w:eastAsia="Times New Roman" w:cs="Times New Roman"/>
          <w:color w:val="000000" w:themeColor="text1"/>
        </w:rPr>
      </w:pPr>
      <w:r w:rsidRPr="005A6293">
        <w:rPr>
          <w:rFonts w:eastAsia="Times New Roman" w:cs="Times New Roman"/>
          <w:color w:val="000000" w:themeColor="text1"/>
        </w:rPr>
        <w:t xml:space="preserve">Humphreys, Sara, Chi-Chi Undie and Máiréad Dunne. “Gender, Sexuality and Development: Key Issues in Education and Society in Sub-Saharan Africa.” in </w:t>
      </w:r>
      <w:r w:rsidRPr="005A6293">
        <w:rPr>
          <w:rFonts w:eastAsia="Times New Roman" w:cs="Times New Roman"/>
          <w:i/>
          <w:iCs/>
          <w:color w:val="000000" w:themeColor="text1"/>
        </w:rPr>
        <w:t>Gender, Sexuality and Development: Education and Society in Sub-Saharan Africa</w:t>
      </w:r>
      <w:r w:rsidRPr="005A6293">
        <w:rPr>
          <w:rFonts w:eastAsia="Times New Roman" w:cs="Times New Roman"/>
          <w:color w:val="000000" w:themeColor="text1"/>
        </w:rPr>
        <w:t>. ed. Máiréad Dunne. Rotterdam, The Netherlands. Sense Publishers. 2008.</w:t>
      </w:r>
    </w:p>
    <w:p w14:paraId="75BA461A" w14:textId="77777777" w:rsidR="00DC1B5C" w:rsidRPr="005A6293" w:rsidRDefault="00DC1B5C" w:rsidP="00DC1B5C">
      <w:pPr>
        <w:ind w:left="720" w:hanging="720"/>
        <w:rPr>
          <w:rFonts w:eastAsia="Times New Roman" w:cs="Times New Roman"/>
          <w:color w:val="000000" w:themeColor="text1"/>
        </w:rPr>
      </w:pPr>
    </w:p>
    <w:p w14:paraId="3DAC2560" w14:textId="77777777" w:rsidR="00091F5D" w:rsidRPr="005A6293" w:rsidRDefault="003E17E9" w:rsidP="00DC1B5C">
      <w:pPr>
        <w:ind w:left="720" w:hanging="720"/>
        <w:rPr>
          <w:rFonts w:eastAsia="Times New Roman" w:cs="Times New Roman"/>
          <w:color w:val="000000" w:themeColor="text1"/>
        </w:rPr>
      </w:pPr>
      <w:r w:rsidRPr="005A6293">
        <w:rPr>
          <w:rFonts w:eastAsia="Times New Roman" w:cs="Times New Roman"/>
          <w:color w:val="000000" w:themeColor="text1"/>
        </w:rPr>
        <w:t xml:space="preserve">Kabeer, Naila. “Gender Equality and Women’s Empowerment: A Critical Analysis of the Third Millennium Development Goal 1.” </w:t>
      </w:r>
      <w:r w:rsidRPr="005A6293">
        <w:rPr>
          <w:rFonts w:eastAsia="Times New Roman" w:cs="Times New Roman"/>
          <w:i/>
          <w:iCs/>
          <w:color w:val="000000" w:themeColor="text1"/>
        </w:rPr>
        <w:t>Gender and Development</w:t>
      </w:r>
      <w:r w:rsidRPr="005A6293">
        <w:rPr>
          <w:rFonts w:eastAsia="Times New Roman" w:cs="Times New Roman"/>
          <w:color w:val="000000" w:themeColor="text1"/>
        </w:rPr>
        <w:t xml:space="preserve"> vol. 13, no. 1 (2005). pp. 13-24.</w:t>
      </w:r>
    </w:p>
    <w:p w14:paraId="06205BBF" w14:textId="77777777" w:rsidR="00DC1B5C" w:rsidRPr="005A6293" w:rsidRDefault="00DC1B5C" w:rsidP="00DC1B5C">
      <w:pPr>
        <w:ind w:left="720" w:hanging="720"/>
        <w:rPr>
          <w:rFonts w:eastAsia="Times New Roman" w:cs="Times New Roman"/>
          <w:color w:val="000000" w:themeColor="text1"/>
        </w:rPr>
      </w:pPr>
    </w:p>
    <w:p w14:paraId="4E20C3A5" w14:textId="284DCC4B" w:rsidR="003E17E9" w:rsidRPr="005A6293" w:rsidRDefault="00091F5D" w:rsidP="00DC1B5C">
      <w:pPr>
        <w:ind w:left="720" w:hanging="720"/>
        <w:rPr>
          <w:rFonts w:eastAsia="Times New Roman" w:cs="Times New Roman"/>
          <w:color w:val="000000" w:themeColor="text1"/>
        </w:rPr>
      </w:pPr>
      <w:r w:rsidRPr="005A6293">
        <w:rPr>
          <w:rFonts w:eastAsia="Times New Roman" w:cs="Times New Roman"/>
          <w:color w:val="000000" w:themeColor="text1"/>
        </w:rPr>
        <w:t xml:space="preserve">Kaul, Nitasha. </w:t>
      </w:r>
      <w:r w:rsidRPr="005A6293">
        <w:rPr>
          <w:rFonts w:eastAsia="Times New Roman" w:cs="Times New Roman"/>
          <w:i/>
          <w:color w:val="000000" w:themeColor="text1"/>
        </w:rPr>
        <w:t>Imagining Economics Otherwise: Encounters with Identity/ Difference</w:t>
      </w:r>
      <w:r w:rsidRPr="005A6293">
        <w:rPr>
          <w:rFonts w:eastAsia="Times New Roman" w:cs="Times New Roman"/>
          <w:color w:val="000000" w:themeColor="text1"/>
        </w:rPr>
        <w:t xml:space="preserve">. New York, New York. Routledge. 2008.  </w:t>
      </w:r>
      <w:r w:rsidR="003E17E9" w:rsidRPr="005A6293">
        <w:rPr>
          <w:rFonts w:eastAsia="Times New Roman" w:cs="Times New Roman"/>
          <w:color w:val="000000" w:themeColor="text1"/>
        </w:rPr>
        <w:t xml:space="preserve"> </w:t>
      </w:r>
    </w:p>
    <w:p w14:paraId="3144005B" w14:textId="77777777" w:rsidR="00DC1B5C" w:rsidRPr="005A6293" w:rsidRDefault="00DC1B5C" w:rsidP="00DC1B5C">
      <w:pPr>
        <w:ind w:left="720" w:hanging="720"/>
      </w:pPr>
    </w:p>
    <w:p w14:paraId="3F09C96A" w14:textId="67D3E183" w:rsidR="003E17E9" w:rsidRPr="005A6293" w:rsidRDefault="003E17E9" w:rsidP="00DC1B5C">
      <w:pPr>
        <w:ind w:left="720" w:hanging="720"/>
        <w:rPr>
          <w:rFonts w:eastAsia="Times New Roman" w:cs="Times New Roman"/>
          <w:color w:val="000000" w:themeColor="text1"/>
        </w:rPr>
      </w:pPr>
      <w:r w:rsidRPr="005A6293">
        <w:rPr>
          <w:rFonts w:eastAsia="Times New Roman" w:cs="Times New Roman"/>
          <w:color w:val="000000" w:themeColor="text1"/>
        </w:rPr>
        <w:t xml:space="preserve">Klasen, Stephan and Francesca Lamanna. “The Impact of Gender Inequality in Education and Employment on Economic Growth: New Evidence for a Panel of Countries.” </w:t>
      </w:r>
      <w:r w:rsidRPr="005A6293">
        <w:rPr>
          <w:rFonts w:eastAsia="Times New Roman" w:cs="Times New Roman"/>
          <w:i/>
          <w:iCs/>
          <w:color w:val="000000" w:themeColor="text1"/>
        </w:rPr>
        <w:t>Feminist Economics</w:t>
      </w:r>
      <w:r w:rsidRPr="005A6293">
        <w:rPr>
          <w:rFonts w:eastAsia="Times New Roman" w:cs="Times New Roman"/>
          <w:color w:val="000000" w:themeColor="text1"/>
        </w:rPr>
        <w:t xml:space="preserve"> vol. 15, no. 3 (2009). pp. 91-132. </w:t>
      </w:r>
    </w:p>
    <w:p w14:paraId="18CE80CC" w14:textId="77777777" w:rsidR="00DC1B5C" w:rsidRPr="005A6293" w:rsidRDefault="00DC1B5C" w:rsidP="00DC1B5C">
      <w:pPr>
        <w:ind w:left="720" w:hanging="720"/>
        <w:rPr>
          <w:rFonts w:eastAsia="Times New Roman" w:cs="Times New Roman"/>
          <w:color w:val="000000" w:themeColor="text1"/>
        </w:rPr>
      </w:pPr>
    </w:p>
    <w:p w14:paraId="599C3D61" w14:textId="407A3E1F" w:rsidR="003A2913" w:rsidRPr="005A6293" w:rsidRDefault="003A2913" w:rsidP="00DC1B5C">
      <w:pPr>
        <w:ind w:left="720" w:hanging="720"/>
      </w:pPr>
      <w:r w:rsidRPr="005A6293">
        <w:t xml:space="preserve">Lonsdale, John and Bruce Berman. “Coping with the Contradictions: The Development of the Colonial State in Kenya, 1895-1914.” </w:t>
      </w:r>
      <w:r w:rsidRPr="005A6293">
        <w:rPr>
          <w:i/>
        </w:rPr>
        <w:t xml:space="preserve">Journal of African History </w:t>
      </w:r>
      <w:r w:rsidRPr="005A6293">
        <w:t>vol. 20, (1979). pp. 487-505.</w:t>
      </w:r>
    </w:p>
    <w:p w14:paraId="452FCE80" w14:textId="77777777" w:rsidR="00DC1B5C" w:rsidRPr="005A6293" w:rsidRDefault="00DC1B5C" w:rsidP="00DC1B5C">
      <w:pPr>
        <w:ind w:left="720" w:hanging="720"/>
      </w:pPr>
    </w:p>
    <w:p w14:paraId="5D1FAF13" w14:textId="77777777" w:rsidR="003E17E9" w:rsidRPr="005A6293" w:rsidRDefault="003E17E9" w:rsidP="00DC1B5C">
      <w:pPr>
        <w:ind w:left="720" w:hanging="720"/>
        <w:rPr>
          <w:rFonts w:eastAsia="Times New Roman" w:cs="Times New Roman"/>
          <w:color w:val="000000" w:themeColor="text1"/>
        </w:rPr>
      </w:pPr>
      <w:r w:rsidRPr="005A6293">
        <w:rPr>
          <w:rFonts w:eastAsia="Times New Roman" w:cs="Times New Roman"/>
          <w:color w:val="000000" w:themeColor="text1"/>
        </w:rPr>
        <w:t xml:space="preserve">Milligan, Lizzi. “‘They Are Not Serious Like the Boys’: Gender Norms and Contradictions for Girls in Rural Kenya.” </w:t>
      </w:r>
      <w:r w:rsidRPr="005A6293">
        <w:rPr>
          <w:rFonts w:eastAsia="Times New Roman" w:cs="Times New Roman"/>
          <w:i/>
          <w:iCs/>
          <w:color w:val="000000" w:themeColor="text1"/>
        </w:rPr>
        <w:t>Gender and Education</w:t>
      </w:r>
      <w:r w:rsidRPr="005A6293">
        <w:rPr>
          <w:rFonts w:eastAsia="Times New Roman" w:cs="Times New Roman"/>
          <w:color w:val="000000" w:themeColor="text1"/>
        </w:rPr>
        <w:t xml:space="preserve"> vol. 26, no. 5 (2014). pp. 465-476. </w:t>
      </w:r>
    </w:p>
    <w:p w14:paraId="5611EDC6" w14:textId="77777777" w:rsidR="00DC1B5C" w:rsidRPr="005A6293" w:rsidRDefault="00DC1B5C" w:rsidP="00DC1B5C">
      <w:pPr>
        <w:ind w:left="720" w:hanging="720"/>
        <w:rPr>
          <w:rFonts w:eastAsia="Times New Roman" w:cs="Times New Roman"/>
          <w:color w:val="000000" w:themeColor="text1"/>
        </w:rPr>
      </w:pPr>
    </w:p>
    <w:p w14:paraId="2D1A1837" w14:textId="77581511" w:rsidR="003E17E9" w:rsidRPr="005A6293" w:rsidRDefault="003E17E9" w:rsidP="00DC1B5C">
      <w:pPr>
        <w:ind w:left="720" w:hanging="720"/>
        <w:rPr>
          <w:rFonts w:eastAsia="Times New Roman" w:cs="Times New Roman"/>
          <w:color w:val="000000" w:themeColor="text1"/>
        </w:rPr>
      </w:pPr>
      <w:r w:rsidRPr="005A6293">
        <w:rPr>
          <w:rFonts w:eastAsia="Times New Roman" w:cs="Times New Roman"/>
          <w:color w:val="000000" w:themeColor="text1"/>
        </w:rPr>
        <w:t xml:space="preserve">Miske, Shirley and Diana VanBelle-Prouty. “Schools Are for Girls Too: Creating an Environment of Validation.” </w:t>
      </w:r>
      <w:r w:rsidRPr="005A6293">
        <w:rPr>
          <w:rFonts w:eastAsia="Times New Roman" w:cs="Times New Roman"/>
          <w:i/>
          <w:iCs/>
          <w:color w:val="000000" w:themeColor="text1"/>
        </w:rPr>
        <w:t>Health and Human Resources Analysis for Africa Project</w:t>
      </w:r>
      <w:r w:rsidRPr="005A6293">
        <w:rPr>
          <w:rFonts w:eastAsia="Times New Roman" w:cs="Times New Roman"/>
          <w:color w:val="000000" w:themeColor="text1"/>
        </w:rPr>
        <w:t xml:space="preserve">. Technical paper no. 41. 1997. </w:t>
      </w:r>
    </w:p>
    <w:p w14:paraId="092D22E4" w14:textId="77777777" w:rsidR="00DC1B5C" w:rsidRPr="005A6293" w:rsidRDefault="00DC1B5C" w:rsidP="00DC1B5C">
      <w:pPr>
        <w:ind w:left="720" w:hanging="720"/>
        <w:rPr>
          <w:rFonts w:eastAsia="Times New Roman" w:cs="Times New Roman"/>
          <w:i/>
          <w:iCs/>
          <w:color w:val="000000" w:themeColor="text1"/>
        </w:rPr>
      </w:pPr>
    </w:p>
    <w:p w14:paraId="73B5BCBA" w14:textId="77777777" w:rsidR="00082233" w:rsidRPr="005A6293" w:rsidRDefault="00082233" w:rsidP="00DC1B5C">
      <w:pPr>
        <w:ind w:left="720" w:hanging="720"/>
        <w:rPr>
          <w:rFonts w:cs="Times New Roman"/>
        </w:rPr>
      </w:pPr>
      <w:r w:rsidRPr="005A6293">
        <w:rPr>
          <w:rFonts w:cs="Times New Roman"/>
        </w:rPr>
        <w:t xml:space="preserve">Mule, Lucy. “Feast of Famine for Female Education in Kenya?: A Structural Approach to Gender Equity.” in </w:t>
      </w:r>
      <w:r w:rsidRPr="005A6293">
        <w:rPr>
          <w:rFonts w:cs="Times New Roman"/>
          <w:i/>
          <w:iCs/>
        </w:rPr>
        <w:t>The Structure and Agency of Women’s Education</w:t>
      </w:r>
      <w:r w:rsidRPr="005A6293">
        <w:rPr>
          <w:rFonts w:cs="Times New Roman"/>
        </w:rPr>
        <w:t xml:space="preserve">. ed. Mary Ann Maslak. Albany. State University of New York Press. 2008. </w:t>
      </w:r>
    </w:p>
    <w:p w14:paraId="23A04618" w14:textId="77777777" w:rsidR="00DC1B5C" w:rsidRPr="005A6293" w:rsidRDefault="00DC1B5C" w:rsidP="00DC1B5C">
      <w:pPr>
        <w:ind w:left="720" w:hanging="720"/>
        <w:rPr>
          <w:rFonts w:cs="Times New Roman"/>
        </w:rPr>
      </w:pPr>
    </w:p>
    <w:p w14:paraId="2B9C0165" w14:textId="175FAE1D" w:rsidR="003A2913" w:rsidRPr="005A6293" w:rsidRDefault="003A2913" w:rsidP="00DC1B5C">
      <w:pPr>
        <w:ind w:left="720" w:hanging="720"/>
      </w:pPr>
      <w:r w:rsidRPr="005A6293">
        <w:t xml:space="preserve">Mutongi, Kenda. </w:t>
      </w:r>
      <w:r w:rsidRPr="005A6293">
        <w:rPr>
          <w:i/>
        </w:rPr>
        <w:t>Worries of the Heart: Widows, Family, and Community in Kenya</w:t>
      </w:r>
      <w:r w:rsidRPr="005A6293">
        <w:t xml:space="preserve">. Chicago, Illinois. University of Chicago Press. 2007. </w:t>
      </w:r>
    </w:p>
    <w:p w14:paraId="56ADC236" w14:textId="77777777" w:rsidR="00DC1B5C" w:rsidRPr="005A6293" w:rsidRDefault="00DC1B5C" w:rsidP="00DC1B5C">
      <w:pPr>
        <w:ind w:left="720" w:hanging="720"/>
      </w:pPr>
    </w:p>
    <w:p w14:paraId="2DF8BE8B" w14:textId="77777777" w:rsidR="003A2913" w:rsidRPr="005A6293" w:rsidRDefault="00082233" w:rsidP="00DC1B5C">
      <w:pPr>
        <w:ind w:left="720" w:hanging="720"/>
        <w:rPr>
          <w:rFonts w:cs="Times New Roman"/>
        </w:rPr>
      </w:pPr>
      <w:r w:rsidRPr="005A6293">
        <w:rPr>
          <w:rFonts w:cs="Times New Roman"/>
        </w:rPr>
        <w:t xml:space="preserve">Nussbaum, Martha. </w:t>
      </w:r>
      <w:r w:rsidRPr="005A6293">
        <w:rPr>
          <w:rFonts w:cs="Times New Roman"/>
          <w:i/>
          <w:iCs/>
        </w:rPr>
        <w:t>Creating Capabilities: The Human Development Approach</w:t>
      </w:r>
      <w:r w:rsidRPr="005A6293">
        <w:rPr>
          <w:rFonts w:cs="Times New Roman"/>
        </w:rPr>
        <w:t xml:space="preserve">. Cambridge, Massachusetts. The Belknap Press of Harvard University. 2011. </w:t>
      </w:r>
    </w:p>
    <w:p w14:paraId="630073FF" w14:textId="77777777" w:rsidR="00DC1B5C" w:rsidRPr="005A6293" w:rsidRDefault="00DC1B5C" w:rsidP="00DC1B5C">
      <w:pPr>
        <w:ind w:left="720" w:hanging="720"/>
        <w:rPr>
          <w:rFonts w:cs="Times New Roman"/>
        </w:rPr>
      </w:pPr>
    </w:p>
    <w:p w14:paraId="7061CB17" w14:textId="43C662AE" w:rsidR="003A2913" w:rsidRPr="005A6293" w:rsidRDefault="003A2913" w:rsidP="00DC1B5C">
      <w:pPr>
        <w:ind w:left="720" w:hanging="720"/>
        <w:rPr>
          <w:rFonts w:eastAsia="Times New Roman" w:cs="Times New Roman"/>
          <w:color w:val="000000" w:themeColor="text1"/>
        </w:rPr>
      </w:pPr>
      <w:r w:rsidRPr="005A6293">
        <w:rPr>
          <w:rFonts w:eastAsia="Times New Roman" w:cs="Times New Roman"/>
          <w:color w:val="000000" w:themeColor="text1"/>
        </w:rPr>
        <w:t xml:space="preserve">Odaga, Adhiambo and Ward Heneveld. “Girls and Schools in Sub-Saharan Africa: From Analysis to Action.” </w:t>
      </w:r>
      <w:r w:rsidRPr="005A6293">
        <w:rPr>
          <w:rFonts w:eastAsia="Times New Roman" w:cs="Times New Roman"/>
          <w:i/>
          <w:iCs/>
          <w:color w:val="000000" w:themeColor="text1"/>
        </w:rPr>
        <w:t xml:space="preserve">World Bank Publications </w:t>
      </w:r>
      <w:r w:rsidRPr="005A6293">
        <w:rPr>
          <w:rFonts w:eastAsia="Times New Roman" w:cs="Times New Roman"/>
          <w:color w:val="000000" w:themeColor="text1"/>
        </w:rPr>
        <w:t>vol. 298, (1995).</w:t>
      </w:r>
    </w:p>
    <w:p w14:paraId="71247445" w14:textId="77777777" w:rsidR="00DC1B5C" w:rsidRPr="005A6293" w:rsidRDefault="00DC1B5C" w:rsidP="003C3067"/>
    <w:p w14:paraId="1E1A561C" w14:textId="2CF07878" w:rsidR="006D72C4" w:rsidRPr="005A6293" w:rsidRDefault="006D72C4" w:rsidP="00DC1B5C">
      <w:pPr>
        <w:ind w:left="720" w:hanging="720"/>
      </w:pPr>
      <w:r w:rsidRPr="005A6293">
        <w:t xml:space="preserve">Peet, Richard and Elaine Hartwick. </w:t>
      </w:r>
      <w:r w:rsidRPr="005A6293">
        <w:rPr>
          <w:i/>
        </w:rPr>
        <w:t>Theories of Development: Contentions, Arguments, Alternatives Third Edition</w:t>
      </w:r>
      <w:r w:rsidRPr="005A6293">
        <w:t xml:space="preserve">. New York City, New York. The Guilford Press. 2015. </w:t>
      </w:r>
    </w:p>
    <w:p w14:paraId="1E8D7401" w14:textId="77777777" w:rsidR="00DC1B5C" w:rsidRPr="005A6293" w:rsidRDefault="00DC1B5C" w:rsidP="00DC1B5C">
      <w:pPr>
        <w:ind w:left="720" w:hanging="720"/>
      </w:pPr>
    </w:p>
    <w:p w14:paraId="4C7E4855" w14:textId="28B45847" w:rsidR="00082233" w:rsidRPr="005A6293" w:rsidRDefault="00A23415" w:rsidP="00DC1B5C">
      <w:pPr>
        <w:ind w:left="720" w:hanging="720"/>
        <w:rPr>
          <w:rFonts w:cs="Times New Roman"/>
        </w:rPr>
      </w:pPr>
      <w:r w:rsidRPr="005A6293">
        <w:rPr>
          <w:rFonts w:cs="Times New Roman"/>
        </w:rPr>
        <w:t>Risman,</w:t>
      </w:r>
      <w:r w:rsidR="00082233" w:rsidRPr="005A6293">
        <w:rPr>
          <w:rFonts w:cs="Times New Roman"/>
        </w:rPr>
        <w:t xml:space="preserve"> Barbara. “Gender as a Social Structure: Theory Wrestling with Activism.” </w:t>
      </w:r>
      <w:r w:rsidR="00082233" w:rsidRPr="005A6293">
        <w:rPr>
          <w:rFonts w:cs="Times New Roman"/>
          <w:i/>
          <w:iCs/>
        </w:rPr>
        <w:t>Gender &amp; Society</w:t>
      </w:r>
      <w:r w:rsidR="00082233" w:rsidRPr="005A6293">
        <w:rPr>
          <w:rFonts w:cs="Times New Roman"/>
        </w:rPr>
        <w:t xml:space="preserve"> vol. 18, no. 4, (August 2004). pp. 429-450. </w:t>
      </w:r>
    </w:p>
    <w:p w14:paraId="33A8046F" w14:textId="77777777" w:rsidR="00DC1B5C" w:rsidRPr="005A6293" w:rsidRDefault="00DC1B5C" w:rsidP="00DC1B5C">
      <w:pPr>
        <w:ind w:left="720" w:hanging="720"/>
        <w:rPr>
          <w:rFonts w:cs="Times New Roman"/>
        </w:rPr>
      </w:pPr>
    </w:p>
    <w:p w14:paraId="25D2EA2D" w14:textId="74F1769D" w:rsidR="00C60A98" w:rsidRPr="005A6293" w:rsidRDefault="00C60A98" w:rsidP="00DC1B5C">
      <w:pPr>
        <w:ind w:left="720" w:hanging="720"/>
        <w:rPr>
          <w:rFonts w:cs="Times New Roman"/>
        </w:rPr>
      </w:pPr>
      <w:r w:rsidRPr="005A6293">
        <w:rPr>
          <w:rFonts w:cs="Times New Roman"/>
        </w:rPr>
        <w:t xml:space="preserve">Ruggie, John Gerard. “What Makes the World Hang Together? Neo-Utilitarianism and the Social Constructivist Challenge.” </w:t>
      </w:r>
      <w:r w:rsidRPr="005A6293">
        <w:rPr>
          <w:rFonts w:cs="Times New Roman"/>
          <w:i/>
        </w:rPr>
        <w:t>International Organization</w:t>
      </w:r>
      <w:r w:rsidRPr="005A6293">
        <w:rPr>
          <w:rFonts w:cs="Times New Roman"/>
        </w:rPr>
        <w:t xml:space="preserve"> vol. 52, no. 4 (1998). pp. 855–85.</w:t>
      </w:r>
    </w:p>
    <w:p w14:paraId="4FBEE765" w14:textId="77777777" w:rsidR="00DC1B5C" w:rsidRPr="005A6293" w:rsidRDefault="00DC1B5C" w:rsidP="00DC1B5C">
      <w:pPr>
        <w:ind w:left="720" w:hanging="720"/>
        <w:rPr>
          <w:rFonts w:cs="Times New Roman"/>
        </w:rPr>
      </w:pPr>
    </w:p>
    <w:p w14:paraId="6C995C4E" w14:textId="3B5E509C" w:rsidR="003E17E9" w:rsidRPr="005A6293" w:rsidRDefault="003E17E9" w:rsidP="00DC1B5C">
      <w:pPr>
        <w:ind w:left="720" w:hanging="720"/>
        <w:rPr>
          <w:rFonts w:eastAsia="Times New Roman" w:cs="Times New Roman"/>
          <w:color w:val="000000" w:themeColor="text1"/>
        </w:rPr>
      </w:pPr>
      <w:r w:rsidRPr="005A6293">
        <w:rPr>
          <w:rFonts w:eastAsia="Times New Roman" w:cs="Times New Roman"/>
          <w:color w:val="000000" w:themeColor="text1"/>
        </w:rPr>
        <w:lastRenderedPageBreak/>
        <w:t xml:space="preserve">Ruto, Sara Jerop. “Sexual Abuse of School Age Children: Evidence from Kenya.” </w:t>
      </w:r>
      <w:r w:rsidRPr="005A6293">
        <w:rPr>
          <w:rFonts w:eastAsia="Times New Roman" w:cs="Times New Roman"/>
          <w:i/>
          <w:iCs/>
          <w:color w:val="000000" w:themeColor="text1"/>
        </w:rPr>
        <w:t>Journal of International Cooperation in Education</w:t>
      </w:r>
      <w:r w:rsidRPr="005A6293">
        <w:rPr>
          <w:rFonts w:eastAsia="Times New Roman" w:cs="Times New Roman"/>
          <w:color w:val="000000" w:themeColor="text1"/>
        </w:rPr>
        <w:t xml:space="preserve"> vol. 12, no. 1 (2009). pp. 177-192.</w:t>
      </w:r>
    </w:p>
    <w:p w14:paraId="69BFFC0F" w14:textId="77777777" w:rsidR="00DC1B5C" w:rsidRPr="005A6293" w:rsidRDefault="00DC1B5C" w:rsidP="00DC1B5C">
      <w:pPr>
        <w:ind w:left="720" w:hanging="720"/>
        <w:rPr>
          <w:rFonts w:eastAsia="Times New Roman" w:cs="Times New Roman"/>
          <w:color w:val="000000" w:themeColor="text1"/>
        </w:rPr>
      </w:pPr>
    </w:p>
    <w:p w14:paraId="506ED1EE" w14:textId="77777777" w:rsidR="00082233" w:rsidRPr="005A6293" w:rsidRDefault="00082233" w:rsidP="00DC1B5C">
      <w:pPr>
        <w:ind w:left="720" w:hanging="720"/>
        <w:rPr>
          <w:rFonts w:cs="Times New Roman"/>
        </w:rPr>
      </w:pPr>
      <w:r w:rsidRPr="005A6293">
        <w:rPr>
          <w:rFonts w:cs="Times New Roman"/>
        </w:rPr>
        <w:t xml:space="preserve">Sen, Amartya. </w:t>
      </w:r>
      <w:r w:rsidRPr="005A6293">
        <w:rPr>
          <w:rFonts w:cs="Times New Roman"/>
          <w:i/>
          <w:iCs/>
        </w:rPr>
        <w:t>Inequality Reexamined</w:t>
      </w:r>
      <w:r w:rsidRPr="005A6293">
        <w:rPr>
          <w:rFonts w:cs="Times New Roman"/>
        </w:rPr>
        <w:t xml:space="preserve">. Cambridge, Massachusetts. Harvard University Press. 1992. </w:t>
      </w:r>
    </w:p>
    <w:p w14:paraId="0535BAA6" w14:textId="77777777" w:rsidR="00DC1B5C" w:rsidRPr="005A6293" w:rsidRDefault="00DC1B5C" w:rsidP="00DC1B5C">
      <w:pPr>
        <w:ind w:left="720" w:hanging="720"/>
        <w:rPr>
          <w:rFonts w:cs="Times New Roman"/>
        </w:rPr>
      </w:pPr>
    </w:p>
    <w:p w14:paraId="467872B9" w14:textId="77777777" w:rsidR="00082233" w:rsidRPr="005A6293" w:rsidRDefault="00082233" w:rsidP="00DC1B5C">
      <w:pPr>
        <w:ind w:left="720" w:hanging="720"/>
        <w:rPr>
          <w:rFonts w:cs="Times New Roman"/>
        </w:rPr>
      </w:pPr>
      <w:r w:rsidRPr="005A6293">
        <w:rPr>
          <w:rFonts w:cs="Times New Roman"/>
        </w:rPr>
        <w:t xml:space="preserve">Sen, Amartya. “Introduction.” in </w:t>
      </w:r>
      <w:r w:rsidRPr="005A6293">
        <w:rPr>
          <w:rFonts w:cs="Times New Roman"/>
          <w:i/>
          <w:iCs/>
        </w:rPr>
        <w:t>Development as Freedom</w:t>
      </w:r>
      <w:r w:rsidRPr="005A6293">
        <w:rPr>
          <w:rFonts w:cs="Times New Roman"/>
        </w:rPr>
        <w:t xml:space="preserve">. Oxford. Oxford University Press. 1999. </w:t>
      </w:r>
    </w:p>
    <w:p w14:paraId="1043C4F9" w14:textId="77777777" w:rsidR="00176A52" w:rsidRPr="005A6293" w:rsidRDefault="00176A52" w:rsidP="00DC1B5C">
      <w:pPr>
        <w:ind w:left="720" w:hanging="720"/>
        <w:rPr>
          <w:rFonts w:cs="Times New Roman"/>
        </w:rPr>
      </w:pPr>
    </w:p>
    <w:p w14:paraId="602CA007" w14:textId="21826F7A" w:rsidR="00176A52" w:rsidRPr="005A6293" w:rsidRDefault="00176A52" w:rsidP="00E06095">
      <w:pPr>
        <w:ind w:left="720" w:hanging="720"/>
        <w:rPr>
          <w:rFonts w:cs="Times New Roman"/>
        </w:rPr>
      </w:pPr>
      <w:r w:rsidRPr="005A6293">
        <w:rPr>
          <w:rFonts w:cs="Times New Roman"/>
        </w:rPr>
        <w:t xml:space="preserve">Sifuna, Daniel. </w:t>
      </w:r>
      <w:r w:rsidRPr="005A6293">
        <w:rPr>
          <w:rFonts w:cs="Times New Roman"/>
          <w:i/>
        </w:rPr>
        <w:t>Development of Education in Africa: The Kenyan Experience</w:t>
      </w:r>
      <w:r w:rsidRPr="005A6293">
        <w:rPr>
          <w:rFonts w:cs="Times New Roman"/>
        </w:rPr>
        <w:t>. Nairobi. Initiatives Publishers. 1990.</w:t>
      </w:r>
    </w:p>
    <w:p w14:paraId="794614B2" w14:textId="77777777" w:rsidR="00DC1B5C" w:rsidRPr="005A6293" w:rsidRDefault="00DC1B5C" w:rsidP="00DC1B5C">
      <w:pPr>
        <w:ind w:left="720" w:hanging="720"/>
        <w:rPr>
          <w:rFonts w:cs="Times New Roman"/>
        </w:rPr>
      </w:pPr>
    </w:p>
    <w:p w14:paraId="79369151" w14:textId="4EA058C4" w:rsidR="003A3036" w:rsidRPr="005A6293" w:rsidRDefault="003A3036" w:rsidP="00DC1B5C">
      <w:pPr>
        <w:ind w:left="720" w:hanging="720"/>
        <w:rPr>
          <w:rFonts w:eastAsia="Times New Roman" w:cs="Times New Roman"/>
          <w:color w:val="000000" w:themeColor="text1"/>
        </w:rPr>
      </w:pPr>
      <w:r w:rsidRPr="005A6293">
        <w:rPr>
          <w:rFonts w:eastAsia="Times New Roman" w:cs="Times New Roman"/>
          <w:color w:val="000000" w:themeColor="text1"/>
        </w:rPr>
        <w:t xml:space="preserve">Sifuna, Daniel. “The Illusion of Universal Free Primary Education in Kenya.” </w:t>
      </w:r>
      <w:r w:rsidRPr="005A6293">
        <w:rPr>
          <w:rFonts w:eastAsia="Times New Roman" w:cs="Times New Roman"/>
          <w:i/>
          <w:iCs/>
          <w:color w:val="000000" w:themeColor="text1"/>
        </w:rPr>
        <w:t xml:space="preserve">Wajibu, A Jounral of Social and Religious Concern </w:t>
      </w:r>
      <w:r w:rsidRPr="005A6293">
        <w:rPr>
          <w:rFonts w:eastAsia="Times New Roman" w:cs="Times New Roman"/>
          <w:color w:val="000000" w:themeColor="text1"/>
        </w:rPr>
        <w:t xml:space="preserve">vol. 19, no. 2 (2004). pp. 5-8. </w:t>
      </w:r>
    </w:p>
    <w:p w14:paraId="1094D8D1" w14:textId="77777777" w:rsidR="00DC1B5C" w:rsidRPr="005A6293" w:rsidRDefault="00DC1B5C" w:rsidP="00DC1B5C">
      <w:pPr>
        <w:ind w:left="720" w:hanging="720"/>
      </w:pPr>
    </w:p>
    <w:p w14:paraId="09405693" w14:textId="72ACB983" w:rsidR="003A3036" w:rsidRPr="005A6293" w:rsidRDefault="003A3036" w:rsidP="00DC1B5C">
      <w:pPr>
        <w:ind w:left="720" w:hanging="720"/>
        <w:rPr>
          <w:rFonts w:cs="Times New Roman"/>
        </w:rPr>
      </w:pPr>
      <w:r w:rsidRPr="005A6293">
        <w:rPr>
          <w:rFonts w:cs="Times New Roman"/>
        </w:rPr>
        <w:t xml:space="preserve">Sikkink, Kathryn and Martha Finnemore. “International Norm Dynamics and Political Change.” </w:t>
      </w:r>
      <w:r w:rsidRPr="005A6293">
        <w:rPr>
          <w:rFonts w:cs="Times New Roman"/>
          <w:i/>
        </w:rPr>
        <w:t>International Organization</w:t>
      </w:r>
      <w:r w:rsidRPr="005A6293">
        <w:rPr>
          <w:rFonts w:cs="Times New Roman"/>
        </w:rPr>
        <w:t xml:space="preserve"> vol. 52, no. 4 (1998). pp. 887–917.</w:t>
      </w:r>
    </w:p>
    <w:p w14:paraId="394E8FFC" w14:textId="77777777" w:rsidR="00DC1B5C" w:rsidRPr="005A6293" w:rsidRDefault="00DC1B5C" w:rsidP="00DC1B5C">
      <w:pPr>
        <w:ind w:left="720" w:hanging="720"/>
        <w:rPr>
          <w:rFonts w:cs="Times New Roman"/>
        </w:rPr>
      </w:pPr>
    </w:p>
    <w:p w14:paraId="743504B7" w14:textId="572D42D7" w:rsidR="003E17E9" w:rsidRPr="005A6293" w:rsidRDefault="003E17E9" w:rsidP="00DC1B5C">
      <w:pPr>
        <w:ind w:left="720" w:hanging="720"/>
        <w:rPr>
          <w:rFonts w:cs="Times New Roman"/>
        </w:rPr>
      </w:pPr>
      <w:r w:rsidRPr="005A6293">
        <w:rPr>
          <w:rFonts w:cs="Times New Roman"/>
        </w:rPr>
        <w:t xml:space="preserve">Sobania, Neal. </w:t>
      </w:r>
      <w:r w:rsidRPr="005A6293">
        <w:rPr>
          <w:rFonts w:cs="Times New Roman"/>
          <w:i/>
          <w:iCs/>
        </w:rPr>
        <w:t>Culture and Customs of Kenya</w:t>
      </w:r>
      <w:r w:rsidRPr="005A6293">
        <w:rPr>
          <w:rFonts w:cs="Times New Roman"/>
        </w:rPr>
        <w:t>. Westport, Connecticut. Greenwood Press. 2003.</w:t>
      </w:r>
    </w:p>
    <w:p w14:paraId="15F68A05" w14:textId="77777777" w:rsidR="00DC1B5C" w:rsidRPr="005A6293" w:rsidRDefault="00DC1B5C" w:rsidP="00DC1B5C">
      <w:pPr>
        <w:ind w:left="720" w:hanging="720"/>
        <w:rPr>
          <w:rFonts w:cs="Times New Roman"/>
        </w:rPr>
      </w:pPr>
    </w:p>
    <w:p w14:paraId="4561B433" w14:textId="61F257CE" w:rsidR="003E17E9" w:rsidRPr="005A6293" w:rsidRDefault="003E17E9" w:rsidP="00DC1B5C">
      <w:pPr>
        <w:ind w:left="720" w:hanging="720"/>
        <w:rPr>
          <w:rFonts w:cs="Times New Roman"/>
        </w:rPr>
      </w:pPr>
      <w:r w:rsidRPr="005A6293">
        <w:rPr>
          <w:rFonts w:cs="Times New Roman"/>
        </w:rPr>
        <w:t xml:space="preserve">Somerset, Anthony. “Universalising Primary Education in Kenya: The Elusive Goal.” </w:t>
      </w:r>
      <w:r w:rsidRPr="005A6293">
        <w:rPr>
          <w:rFonts w:cs="Times New Roman"/>
          <w:i/>
          <w:iCs/>
        </w:rPr>
        <w:t>Comparative Education</w:t>
      </w:r>
      <w:r w:rsidRPr="005A6293">
        <w:rPr>
          <w:rFonts w:cs="Times New Roman"/>
        </w:rPr>
        <w:t xml:space="preserve"> vol. 45, no. 2 (2009). pp. 233-250.</w:t>
      </w:r>
    </w:p>
    <w:p w14:paraId="2E19A2A1" w14:textId="77777777" w:rsidR="00DC1B5C" w:rsidRPr="005A6293" w:rsidRDefault="00DC1B5C" w:rsidP="00DC1B5C">
      <w:pPr>
        <w:ind w:left="720" w:hanging="720"/>
        <w:rPr>
          <w:rFonts w:cs="Times New Roman"/>
        </w:rPr>
      </w:pPr>
    </w:p>
    <w:p w14:paraId="15D60631" w14:textId="77777777" w:rsidR="00082233" w:rsidRPr="005A6293" w:rsidRDefault="00082233" w:rsidP="00DC1B5C">
      <w:pPr>
        <w:ind w:left="720" w:hanging="720"/>
        <w:rPr>
          <w:rFonts w:cs="Times New Roman"/>
        </w:rPr>
      </w:pPr>
      <w:r w:rsidRPr="005A6293">
        <w:rPr>
          <w:rFonts w:cs="Times New Roman"/>
        </w:rPr>
        <w:t xml:space="preserve">Stromquist, Nelly P. “The Intersection of Public Policies and Gender: Understanding State Action in Education.” in </w:t>
      </w:r>
      <w:r w:rsidRPr="005A6293">
        <w:rPr>
          <w:rFonts w:cs="Times New Roman"/>
          <w:i/>
          <w:iCs/>
        </w:rPr>
        <w:t>The Structure and Agency of Women’s Education</w:t>
      </w:r>
      <w:r w:rsidRPr="005A6293">
        <w:rPr>
          <w:rFonts w:cs="Times New Roman"/>
        </w:rPr>
        <w:t xml:space="preserve">. ed. Mary Ann Maslak. Albany. State University of New York Press. 2008. </w:t>
      </w:r>
    </w:p>
    <w:p w14:paraId="2880D8E6" w14:textId="77777777" w:rsidR="00DC1B5C" w:rsidRPr="005A6293" w:rsidRDefault="00DC1B5C" w:rsidP="00DC1B5C">
      <w:pPr>
        <w:ind w:left="720" w:hanging="720"/>
        <w:rPr>
          <w:rFonts w:cs="Times New Roman"/>
        </w:rPr>
      </w:pPr>
    </w:p>
    <w:p w14:paraId="0CFBF2B0" w14:textId="076A93DF" w:rsidR="003A2913" w:rsidRPr="005A6293" w:rsidRDefault="003A2913" w:rsidP="00DC1B5C">
      <w:pPr>
        <w:ind w:left="720" w:hanging="720"/>
      </w:pPr>
      <w:r w:rsidRPr="005A6293">
        <w:t xml:space="preserve">Sweet, James. “The Iberian Roots of American Racist Thought.” </w:t>
      </w:r>
      <w:r w:rsidRPr="005A6293">
        <w:rPr>
          <w:i/>
        </w:rPr>
        <w:t>The William and Mary Quarterly</w:t>
      </w:r>
      <w:r w:rsidRPr="005A6293">
        <w:t xml:space="preserve"> vol. 54, no. 1 (1997). pp. 143-166.</w:t>
      </w:r>
    </w:p>
    <w:p w14:paraId="15308229" w14:textId="77777777" w:rsidR="00DC1B5C" w:rsidRPr="005A6293" w:rsidRDefault="00DC1B5C" w:rsidP="003C3067"/>
    <w:p w14:paraId="4EB83741" w14:textId="77777777" w:rsidR="00082233" w:rsidRPr="005A6293" w:rsidRDefault="00082233" w:rsidP="00DC1B5C">
      <w:pPr>
        <w:ind w:left="720" w:hanging="720"/>
        <w:rPr>
          <w:rFonts w:cs="Times New Roman"/>
        </w:rPr>
      </w:pPr>
      <w:r w:rsidRPr="005A6293">
        <w:rPr>
          <w:rFonts w:cs="Times New Roman"/>
        </w:rPr>
        <w:t xml:space="preserve">Thomas, Vinod and Yan Wang. “Distribution of Opportunities Key to Development.” in </w:t>
      </w:r>
      <w:r w:rsidRPr="005A6293">
        <w:rPr>
          <w:rFonts w:cs="Times New Roman"/>
          <w:i/>
          <w:iCs/>
        </w:rPr>
        <w:t>Inequality in Education: Comparative and International Perspectives</w:t>
      </w:r>
      <w:r w:rsidRPr="005A6293">
        <w:rPr>
          <w:rFonts w:cs="Times New Roman"/>
        </w:rPr>
        <w:t xml:space="preserve">. eds. Daniel Holsinger and James Jacob. Hong Kong. Comparative Education Research Center. 2008. pp. 34-58. </w:t>
      </w:r>
    </w:p>
    <w:p w14:paraId="00FE1DC3" w14:textId="77777777" w:rsidR="00DC1B5C" w:rsidRPr="005A6293" w:rsidRDefault="00DC1B5C" w:rsidP="00DC1B5C">
      <w:pPr>
        <w:ind w:left="720" w:hanging="720"/>
        <w:rPr>
          <w:rFonts w:cs="Times New Roman"/>
        </w:rPr>
      </w:pPr>
    </w:p>
    <w:p w14:paraId="5C4804A5" w14:textId="3A90FBD9" w:rsidR="00D75D14" w:rsidRPr="005A6293" w:rsidRDefault="00082233" w:rsidP="00DC1B5C">
      <w:pPr>
        <w:ind w:left="720" w:hanging="720"/>
        <w:rPr>
          <w:rFonts w:cs="Times New Roman"/>
        </w:rPr>
      </w:pPr>
      <w:r w:rsidRPr="005A6293">
        <w:rPr>
          <w:rFonts w:cs="Times New Roman"/>
        </w:rPr>
        <w:t xml:space="preserve">Thomas, Vinod, Yan Wang, and Xibo Fan. “Measuring Education Inequality: Gini Coefficients of Education for 140 Countries, 1960-2000.” </w:t>
      </w:r>
      <w:r w:rsidRPr="005A6293">
        <w:rPr>
          <w:rFonts w:cs="Times New Roman"/>
          <w:i/>
          <w:iCs/>
        </w:rPr>
        <w:t>Journal of Education Planning and Administration</w:t>
      </w:r>
      <w:r w:rsidRPr="005A6293">
        <w:rPr>
          <w:rFonts w:cs="Times New Roman"/>
        </w:rPr>
        <w:t xml:space="preserve"> vol. 17, no. 1, (2003). pp. 5-33</w:t>
      </w:r>
      <w:r w:rsidR="00DC1B5C" w:rsidRPr="005A6293">
        <w:rPr>
          <w:rFonts w:cs="Times New Roman"/>
        </w:rPr>
        <w:t>.</w:t>
      </w:r>
    </w:p>
    <w:p w14:paraId="2FC88487" w14:textId="77777777" w:rsidR="00DC1B5C" w:rsidRPr="005A6293" w:rsidRDefault="00DC1B5C" w:rsidP="00DC1B5C">
      <w:pPr>
        <w:ind w:left="720" w:hanging="720"/>
        <w:rPr>
          <w:rFonts w:cs="Times New Roman"/>
        </w:rPr>
      </w:pPr>
    </w:p>
    <w:p w14:paraId="51E70455" w14:textId="4070AC16" w:rsidR="00D75D14" w:rsidRPr="005A6293" w:rsidRDefault="00D75D14" w:rsidP="00DC1B5C">
      <w:pPr>
        <w:ind w:left="720" w:hanging="720"/>
        <w:rPr>
          <w:rFonts w:cs="Times New Roman"/>
        </w:rPr>
      </w:pPr>
      <w:r w:rsidRPr="005A6293">
        <w:rPr>
          <w:rFonts w:cs="Times New Roman"/>
        </w:rPr>
        <w:t xml:space="preserve">Tignor, Robert. </w:t>
      </w:r>
      <w:r w:rsidRPr="005A6293">
        <w:rPr>
          <w:rFonts w:cs="Times New Roman"/>
          <w:i/>
        </w:rPr>
        <w:t>Colonial Transformation of Kenya: The Kamba, Kikuyu, and Maasai from 1900-1939</w:t>
      </w:r>
      <w:r w:rsidRPr="005A6293">
        <w:rPr>
          <w:rFonts w:cs="Times New Roman"/>
        </w:rPr>
        <w:t>. Princeton. Princeton University Press. 1976.</w:t>
      </w:r>
    </w:p>
    <w:p w14:paraId="0A5BFD42" w14:textId="77777777" w:rsidR="00DC1B5C" w:rsidRPr="005A6293" w:rsidRDefault="00DC1B5C" w:rsidP="00DC1B5C">
      <w:pPr>
        <w:ind w:left="720" w:hanging="720"/>
        <w:rPr>
          <w:rFonts w:cs="Times New Roman"/>
        </w:rPr>
      </w:pPr>
    </w:p>
    <w:p w14:paraId="3349D4F8" w14:textId="15918304" w:rsidR="003E17E9" w:rsidRPr="005A6293" w:rsidRDefault="003E17E9" w:rsidP="00DC1B5C">
      <w:pPr>
        <w:ind w:left="720" w:hanging="720"/>
        <w:rPr>
          <w:rFonts w:cs="Times New Roman"/>
        </w:rPr>
      </w:pPr>
      <w:r w:rsidRPr="005A6293">
        <w:rPr>
          <w:rFonts w:cs="Times New Roman"/>
        </w:rPr>
        <w:t xml:space="preserve">Unterhalter, Elaine and Amy North. “Responding to the Gender and Education Millennium Development Goals in South Africa and Kenya: Reflections on </w:t>
      </w:r>
      <w:r w:rsidRPr="005A6293">
        <w:rPr>
          <w:rFonts w:cs="Times New Roman"/>
        </w:rPr>
        <w:lastRenderedPageBreak/>
        <w:t xml:space="preserve">Education Rights, Gender Equality, Capabilities and Global Justice.” </w:t>
      </w:r>
      <w:r w:rsidRPr="005A6293">
        <w:rPr>
          <w:rFonts w:cs="Times New Roman"/>
          <w:i/>
          <w:iCs/>
        </w:rPr>
        <w:t>Compare: A Journal of Comparative and International Education</w:t>
      </w:r>
      <w:r w:rsidRPr="005A6293">
        <w:rPr>
          <w:rFonts w:cs="Times New Roman"/>
        </w:rPr>
        <w:t xml:space="preserve"> vol. 41, no. 4 (2011). pp. 495-511.</w:t>
      </w:r>
    </w:p>
    <w:p w14:paraId="060F876D" w14:textId="77777777" w:rsidR="00DC1B5C" w:rsidRPr="005A6293" w:rsidRDefault="00DC1B5C" w:rsidP="00DC1B5C">
      <w:pPr>
        <w:ind w:left="720" w:hanging="720"/>
        <w:rPr>
          <w:rFonts w:cs="Times New Roman"/>
        </w:rPr>
      </w:pPr>
    </w:p>
    <w:p w14:paraId="7086EC30" w14:textId="77AAE3D4" w:rsidR="003E17E9" w:rsidRPr="005A6293" w:rsidRDefault="003E17E9" w:rsidP="00DC1B5C">
      <w:pPr>
        <w:ind w:left="720" w:hanging="720"/>
        <w:rPr>
          <w:rFonts w:eastAsia="Times New Roman" w:cs="Times New Roman"/>
          <w:color w:val="000000" w:themeColor="text1"/>
        </w:rPr>
      </w:pPr>
      <w:r w:rsidRPr="005A6293">
        <w:rPr>
          <w:rFonts w:cs="Times New Roman"/>
        </w:rPr>
        <w:t xml:space="preserve">Wane, </w:t>
      </w:r>
      <w:r w:rsidRPr="005A6293">
        <w:t xml:space="preserve">Njoki Nathani and Wambui Gathenya. </w:t>
      </w:r>
      <w:r w:rsidRPr="005A6293">
        <w:rPr>
          <w:rFonts w:eastAsia="Times New Roman" w:cs="Times New Roman"/>
          <w:color w:val="000000" w:themeColor="text1"/>
        </w:rPr>
        <w:t xml:space="preserve">“The Yokes of Gender and Class: The Policy Reforms and Implications for Equitable Access to Education in Kenya.” </w:t>
      </w:r>
      <w:r w:rsidRPr="005A6293">
        <w:rPr>
          <w:rFonts w:eastAsia="Times New Roman" w:cs="Times New Roman"/>
          <w:i/>
          <w:iCs/>
          <w:color w:val="000000" w:themeColor="text1"/>
        </w:rPr>
        <w:t>Managing Global Transitions</w:t>
      </w:r>
      <w:r w:rsidRPr="005A6293">
        <w:rPr>
          <w:rFonts w:eastAsia="Times New Roman" w:cs="Times New Roman"/>
          <w:color w:val="000000" w:themeColor="text1"/>
        </w:rPr>
        <w:t xml:space="preserve"> vol. 1, no. 2 (2003). pp. 169-194. </w:t>
      </w:r>
    </w:p>
    <w:p w14:paraId="1072ED47" w14:textId="77777777" w:rsidR="004D5E01" w:rsidRPr="005A6293" w:rsidRDefault="004D5E01" w:rsidP="00DC1B5C">
      <w:pPr>
        <w:ind w:left="720" w:hanging="720"/>
        <w:rPr>
          <w:rFonts w:eastAsia="Times New Roman" w:cs="Times New Roman"/>
          <w:color w:val="000000" w:themeColor="text1"/>
        </w:rPr>
      </w:pPr>
    </w:p>
    <w:p w14:paraId="244EC593" w14:textId="77777777" w:rsidR="00082233" w:rsidRPr="005A6293" w:rsidRDefault="00082233" w:rsidP="00DC1B5C">
      <w:pPr>
        <w:ind w:left="720" w:hanging="720"/>
        <w:rPr>
          <w:rFonts w:cs="Times New Roman"/>
        </w:rPr>
      </w:pPr>
      <w:r w:rsidRPr="005A6293">
        <w:rPr>
          <w:rFonts w:cs="Times New Roman"/>
        </w:rPr>
        <w:t xml:space="preserve">Warrington, Molly and Susan Kiragu. “‘It Makes More Sense to Educate a Boy’: Girls ‘Against the Odds’ in Kajiado, Kenya.” </w:t>
      </w:r>
      <w:r w:rsidRPr="005A6293">
        <w:rPr>
          <w:rFonts w:cs="Times New Roman"/>
          <w:i/>
          <w:iCs/>
        </w:rPr>
        <w:t>International Journal of Educational Development</w:t>
      </w:r>
      <w:r w:rsidRPr="005A6293">
        <w:rPr>
          <w:rFonts w:cs="Times New Roman"/>
        </w:rPr>
        <w:t xml:space="preserve"> vol. 32, (2012). pp. 301-309.</w:t>
      </w:r>
    </w:p>
    <w:p w14:paraId="2405688E" w14:textId="77777777" w:rsidR="004D5E01" w:rsidRPr="005A6293" w:rsidRDefault="004D5E01" w:rsidP="00DC1B5C">
      <w:pPr>
        <w:ind w:left="720" w:hanging="720"/>
        <w:rPr>
          <w:rFonts w:cs="Times New Roman"/>
        </w:rPr>
      </w:pPr>
    </w:p>
    <w:p w14:paraId="02FE8D46" w14:textId="5ED43967" w:rsidR="003A2913" w:rsidRPr="005A6293" w:rsidRDefault="003A2913" w:rsidP="00DC1B5C">
      <w:pPr>
        <w:ind w:left="720" w:hanging="720"/>
        <w:rPr>
          <w:rFonts w:cs="Times New Roman"/>
        </w:rPr>
      </w:pPr>
      <w:r w:rsidRPr="005A6293">
        <w:rPr>
          <w:rFonts w:cs="Times New Roman"/>
        </w:rPr>
        <w:t xml:space="preserve">Waruta, D.W. “The Educational Mission of the Church: An African Perspective.” in </w:t>
      </w:r>
      <w:r w:rsidRPr="005A6293">
        <w:rPr>
          <w:rFonts w:cs="Times New Roman"/>
          <w:i/>
        </w:rPr>
        <w:t>Mission in African Christianity: Critical Essays in Missiology</w:t>
      </w:r>
      <w:r w:rsidRPr="005A6293">
        <w:rPr>
          <w:rFonts w:cs="Times New Roman"/>
        </w:rPr>
        <w:t xml:space="preserve">. eds. A. Nasimiyu-Wasike and D.W. Waruta. Nairobi, Kenya. Uzima Press. 1993. pp. 108-131. </w:t>
      </w:r>
    </w:p>
    <w:p w14:paraId="7E88C60E" w14:textId="77777777" w:rsidR="004D5E01" w:rsidRPr="005A6293" w:rsidRDefault="004D5E01" w:rsidP="00DC1B5C">
      <w:pPr>
        <w:ind w:left="720" w:hanging="720"/>
        <w:rPr>
          <w:rFonts w:cs="Times New Roman"/>
        </w:rPr>
      </w:pPr>
    </w:p>
    <w:p w14:paraId="7CFE5C82" w14:textId="77777777" w:rsidR="00082233" w:rsidRPr="005A6293" w:rsidRDefault="00082233" w:rsidP="00DC1B5C">
      <w:pPr>
        <w:ind w:left="720" w:hanging="720"/>
        <w:rPr>
          <w:rFonts w:cs="Times New Roman"/>
        </w:rPr>
      </w:pPr>
      <w:r w:rsidRPr="005A6293">
        <w:rPr>
          <w:rFonts w:cs="Times New Roman"/>
        </w:rPr>
        <w:t xml:space="preserve">White, Bob. “Talk About School: Education and the Colonial Project in French and British Africa, (1860-1960).” </w:t>
      </w:r>
      <w:r w:rsidRPr="005A6293">
        <w:rPr>
          <w:rFonts w:cs="Times New Roman"/>
          <w:i/>
          <w:iCs/>
        </w:rPr>
        <w:t xml:space="preserve">Comparative Education </w:t>
      </w:r>
      <w:r w:rsidRPr="005A6293">
        <w:rPr>
          <w:rFonts w:cs="Times New Roman"/>
        </w:rPr>
        <w:t>vol. 32, no. 1, (March 1996). pp. 9-25.</w:t>
      </w:r>
    </w:p>
    <w:p w14:paraId="02AF083E" w14:textId="593A3FA1" w:rsidR="009D0DEB" w:rsidRPr="005A6293" w:rsidRDefault="009D0DEB" w:rsidP="00DC1B5C">
      <w:pPr>
        <w:ind w:left="720" w:hanging="720"/>
        <w:rPr>
          <w:rFonts w:cs="Times New Roman"/>
        </w:rPr>
      </w:pPr>
    </w:p>
    <w:p w14:paraId="6FCE525A" w14:textId="75A8D9DF" w:rsidR="009D0DEB" w:rsidRPr="005A6293" w:rsidRDefault="009D0DEB" w:rsidP="00DC1B5C">
      <w:pPr>
        <w:ind w:left="720" w:hanging="720"/>
        <w:rPr>
          <w:rFonts w:cs="Times New Roman"/>
        </w:rPr>
      </w:pPr>
      <w:r w:rsidRPr="005A6293">
        <w:rPr>
          <w:rFonts w:cs="Times New Roman"/>
        </w:rPr>
        <w:t xml:space="preserve">White, Luise. </w:t>
      </w:r>
      <w:r w:rsidRPr="005A6293">
        <w:rPr>
          <w:rFonts w:cs="Times New Roman"/>
          <w:i/>
        </w:rPr>
        <w:t>The Comforts of Home: Prostitution in Colonial Nairobi</w:t>
      </w:r>
      <w:r w:rsidRPr="005A6293">
        <w:rPr>
          <w:rFonts w:cs="Times New Roman"/>
        </w:rPr>
        <w:t>. Chicago, Illinois. The University of Chicago. 1990.</w:t>
      </w:r>
    </w:p>
    <w:p w14:paraId="6023094F" w14:textId="77777777" w:rsidR="004D5E01" w:rsidRPr="005A6293" w:rsidRDefault="004D5E01" w:rsidP="00DC1B5C">
      <w:pPr>
        <w:ind w:left="720" w:hanging="720"/>
        <w:rPr>
          <w:rFonts w:cs="Times New Roman"/>
        </w:rPr>
      </w:pPr>
    </w:p>
    <w:p w14:paraId="650D0C02" w14:textId="0EAB09CD" w:rsidR="00082233" w:rsidRPr="005A6293" w:rsidRDefault="00082233" w:rsidP="00DC1B5C">
      <w:pPr>
        <w:ind w:left="720" w:hanging="720"/>
        <w:rPr>
          <w:rFonts w:cs="Times New Roman"/>
        </w:rPr>
      </w:pPr>
      <w:r w:rsidRPr="005A6293">
        <w:rPr>
          <w:rFonts w:cs="Times New Roman"/>
        </w:rPr>
        <w:t xml:space="preserve">Wiesner-Hanks, Merry E. </w:t>
      </w:r>
      <w:r w:rsidRPr="005A6293">
        <w:rPr>
          <w:rFonts w:cs="Times New Roman"/>
          <w:i/>
          <w:iCs/>
        </w:rPr>
        <w:t>Gender in History: Global Perspectives</w:t>
      </w:r>
      <w:r w:rsidRPr="005A6293">
        <w:rPr>
          <w:rFonts w:cs="Times New Roman"/>
        </w:rPr>
        <w:t>. Hoboken, New Jersey. Wiley-Blackwell. 2011.</w:t>
      </w:r>
    </w:p>
    <w:p w14:paraId="3B291037" w14:textId="77777777" w:rsidR="004D5E01" w:rsidRPr="005A6293" w:rsidRDefault="004D5E01" w:rsidP="00DC1B5C">
      <w:pPr>
        <w:ind w:left="720" w:hanging="720"/>
        <w:rPr>
          <w:rFonts w:cs="Times New Roman"/>
        </w:rPr>
      </w:pPr>
    </w:p>
    <w:p w14:paraId="6ED2ED0A" w14:textId="77777777" w:rsidR="00082233" w:rsidRPr="005A6293" w:rsidRDefault="00082233" w:rsidP="00DC1B5C">
      <w:pPr>
        <w:ind w:left="720" w:hanging="720"/>
      </w:pPr>
      <w:r w:rsidRPr="005A6293">
        <w:t xml:space="preserve">Woodberry, Robert. “The Missionary Roots of Liberal Democracy.” </w:t>
      </w:r>
      <w:r w:rsidRPr="005A6293">
        <w:rPr>
          <w:i/>
        </w:rPr>
        <w:t>The American Political Science Review</w:t>
      </w:r>
      <w:r w:rsidRPr="005A6293">
        <w:t xml:space="preserve"> vol. 106, no. 2 (2012). pp. 244-274. </w:t>
      </w:r>
    </w:p>
    <w:p w14:paraId="315FD2C4" w14:textId="77777777" w:rsidR="004D5E01" w:rsidRPr="005A6293" w:rsidRDefault="004D5E01" w:rsidP="00DC1B5C">
      <w:pPr>
        <w:ind w:left="720" w:hanging="720"/>
      </w:pPr>
    </w:p>
    <w:p w14:paraId="059128F4" w14:textId="77777777" w:rsidR="008264BE" w:rsidRPr="005A6293" w:rsidRDefault="00082233" w:rsidP="00DC1B5C">
      <w:pPr>
        <w:ind w:left="720" w:hanging="720"/>
      </w:pPr>
      <w:r w:rsidRPr="005A6293">
        <w:t xml:space="preserve">Woolman, David. “Educational Reconstruction and Post-Colonial Curriculum Development: A Comparative Study of Four African Countries.” </w:t>
      </w:r>
      <w:r w:rsidRPr="005A6293">
        <w:rPr>
          <w:i/>
        </w:rPr>
        <w:t>International Education Journal</w:t>
      </w:r>
      <w:r w:rsidRPr="005A6293">
        <w:t xml:space="preserve"> vol. 2, no. 5 (2001). pp. 27-46.</w:t>
      </w:r>
    </w:p>
    <w:p w14:paraId="4425794D" w14:textId="77777777" w:rsidR="004D5E01" w:rsidRPr="005A6293" w:rsidRDefault="004D5E01" w:rsidP="00DC1B5C">
      <w:pPr>
        <w:ind w:left="720" w:hanging="720"/>
      </w:pPr>
    </w:p>
    <w:p w14:paraId="2FB753BE" w14:textId="379301B5" w:rsidR="008264BE" w:rsidRPr="008264BE" w:rsidRDefault="008264BE" w:rsidP="00DC1B5C">
      <w:pPr>
        <w:ind w:left="720" w:hanging="720"/>
      </w:pPr>
      <w:r w:rsidRPr="005A6293">
        <w:t>Yousafzai, Malala. “Financing the Future: Education 2030.” Speech. New York. September 25, 2017. United Nations.</w:t>
      </w:r>
      <w:r w:rsidRPr="008264BE">
        <w:t xml:space="preserve"> </w:t>
      </w:r>
    </w:p>
    <w:p w14:paraId="3E4A6BFF" w14:textId="1D5BC788" w:rsidR="00082233" w:rsidRDefault="00082233" w:rsidP="00706F27">
      <w:pPr>
        <w:spacing w:line="480" w:lineRule="auto"/>
        <w:ind w:left="720" w:hanging="720"/>
      </w:pPr>
    </w:p>
    <w:sectPr w:rsidR="00082233" w:rsidSect="00FD07E1">
      <w:footerReference w:type="default" r:id="rId14"/>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96C94" w14:textId="77777777" w:rsidR="0019011F" w:rsidRDefault="0019011F" w:rsidP="00C574C5">
      <w:r>
        <w:separator/>
      </w:r>
    </w:p>
  </w:endnote>
  <w:endnote w:type="continuationSeparator" w:id="0">
    <w:p w14:paraId="6CC844DD" w14:textId="77777777" w:rsidR="0019011F" w:rsidRDefault="0019011F" w:rsidP="00C5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ymbol">
    <w:panose1 w:val="05050102010706020507"/>
    <w:charset w:val="02"/>
    <w:family w:val="auto"/>
    <w:pitch w:val="variable"/>
    <w:sig w:usb0="00000000" w:usb1="10000000" w:usb2="00000000" w:usb3="00000000" w:csb0="80000000"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4C095" w14:textId="77777777" w:rsidR="002573F2" w:rsidRDefault="002573F2" w:rsidP="00B7614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6CA00D" w14:textId="77777777" w:rsidR="002573F2" w:rsidRDefault="002573F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8963A" w14:textId="77777777" w:rsidR="002573F2" w:rsidRDefault="002573F2" w:rsidP="00B7614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D7100">
      <w:rPr>
        <w:rStyle w:val="PageNumber"/>
        <w:noProof/>
      </w:rPr>
      <w:t>ix</w:t>
    </w:r>
    <w:r>
      <w:rPr>
        <w:rStyle w:val="PageNumber"/>
      </w:rPr>
      <w:fldChar w:fldCharType="end"/>
    </w:r>
  </w:p>
  <w:p w14:paraId="09780DB5" w14:textId="77777777" w:rsidR="002573F2" w:rsidRDefault="002573F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39700" w14:textId="77777777" w:rsidR="002573F2" w:rsidRDefault="002573F2" w:rsidP="00B7614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D7100">
      <w:rPr>
        <w:rStyle w:val="PageNumber"/>
        <w:noProof/>
      </w:rPr>
      <w:t>1</w:t>
    </w:r>
    <w:r>
      <w:rPr>
        <w:rStyle w:val="PageNumber"/>
      </w:rPr>
      <w:fldChar w:fldCharType="end"/>
    </w:r>
  </w:p>
  <w:p w14:paraId="2DB4A5DB" w14:textId="77777777" w:rsidR="002573F2" w:rsidRDefault="002573F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32B55" w14:textId="77777777" w:rsidR="0019011F" w:rsidRDefault="0019011F" w:rsidP="00C574C5">
      <w:r>
        <w:separator/>
      </w:r>
    </w:p>
  </w:footnote>
  <w:footnote w:type="continuationSeparator" w:id="0">
    <w:p w14:paraId="1A938BA9" w14:textId="77777777" w:rsidR="0019011F" w:rsidRDefault="0019011F" w:rsidP="00C574C5">
      <w:r>
        <w:continuationSeparator/>
      </w:r>
    </w:p>
  </w:footnote>
  <w:footnote w:id="1">
    <w:p w14:paraId="7AB290E4" w14:textId="48992888" w:rsidR="002573F2" w:rsidRDefault="002573F2">
      <w:pPr>
        <w:pStyle w:val="FootnoteText"/>
      </w:pPr>
      <w:r>
        <w:rPr>
          <w:rStyle w:val="FootnoteReference"/>
        </w:rPr>
        <w:footnoteRef/>
      </w:r>
      <w:r>
        <w:t xml:space="preserve"> Njoki Nathani Wane and Wambui Gathenya, </w:t>
      </w:r>
      <w:r w:rsidRPr="24C89BF9">
        <w:rPr>
          <w:rFonts w:eastAsia="Times New Roman" w:cs="Times New Roman"/>
          <w:color w:val="000000" w:themeColor="text1"/>
        </w:rPr>
        <w:t>“The Yokes of Gender and Class: The Policy Reforms and Implications for Equitab</w:t>
      </w:r>
      <w:r>
        <w:rPr>
          <w:rFonts w:eastAsia="Times New Roman" w:cs="Times New Roman"/>
          <w:color w:val="000000" w:themeColor="text1"/>
        </w:rPr>
        <w:t>le Access to Education in Kenya,</w:t>
      </w:r>
      <w:r w:rsidRPr="24C89BF9">
        <w:rPr>
          <w:rFonts w:eastAsia="Times New Roman" w:cs="Times New Roman"/>
          <w:color w:val="000000" w:themeColor="text1"/>
        </w:rPr>
        <w:t xml:space="preserve">” </w:t>
      </w:r>
      <w:r w:rsidRPr="24C89BF9">
        <w:rPr>
          <w:rFonts w:eastAsia="Times New Roman" w:cs="Times New Roman"/>
          <w:i/>
          <w:iCs/>
          <w:color w:val="000000" w:themeColor="text1"/>
        </w:rPr>
        <w:t>Managing Global Transitions</w:t>
      </w:r>
      <w:r>
        <w:rPr>
          <w:rFonts w:eastAsia="Times New Roman" w:cs="Times New Roman"/>
          <w:color w:val="000000" w:themeColor="text1"/>
        </w:rPr>
        <w:t xml:space="preserve"> </w:t>
      </w:r>
      <w:r w:rsidRPr="24C89BF9">
        <w:rPr>
          <w:rFonts w:eastAsia="Times New Roman" w:cs="Times New Roman"/>
          <w:color w:val="000000" w:themeColor="text1"/>
        </w:rPr>
        <w:t>1</w:t>
      </w:r>
      <w:r>
        <w:rPr>
          <w:rFonts w:eastAsia="Times New Roman" w:cs="Times New Roman"/>
          <w:color w:val="000000" w:themeColor="text1"/>
        </w:rPr>
        <w:t xml:space="preserve">, no. 2 (2003): </w:t>
      </w:r>
      <w:r w:rsidRPr="24C89BF9">
        <w:rPr>
          <w:rFonts w:eastAsia="Times New Roman" w:cs="Times New Roman"/>
          <w:color w:val="000000" w:themeColor="text1"/>
        </w:rPr>
        <w:t>169-194.</w:t>
      </w:r>
    </w:p>
  </w:footnote>
  <w:footnote w:id="2">
    <w:p w14:paraId="4724CDA4" w14:textId="2ADC962D" w:rsidR="002573F2" w:rsidRPr="008543B1" w:rsidRDefault="002573F2">
      <w:pPr>
        <w:pStyle w:val="FootnoteText"/>
      </w:pPr>
      <w:r>
        <w:rPr>
          <w:rStyle w:val="FootnoteReference"/>
        </w:rPr>
        <w:footnoteRef/>
      </w:r>
      <w:r>
        <w:t xml:space="preserve"> Malala Yousafzai, “Financing the Future: Education 2030,” (speech, New York, September 25, 2017), United Nations. </w:t>
      </w:r>
    </w:p>
  </w:footnote>
  <w:footnote w:id="3">
    <w:p w14:paraId="668394C5" w14:textId="69BA7CC6" w:rsidR="002573F2" w:rsidRDefault="002573F2" w:rsidP="009917E5">
      <w:pPr>
        <w:pStyle w:val="FootnoteText"/>
      </w:pPr>
      <w:r>
        <w:rPr>
          <w:rStyle w:val="FootnoteReference"/>
        </w:rPr>
        <w:footnoteRef/>
      </w:r>
      <w:r>
        <w:t xml:space="preserve"> Table 1 is a summary table of all my variables I examine throughout the thesis. For all four measures of education and gender, I only have two summary values: unrestricted or restricted. Each value is a judgement of if gender norms restricted that measurement of education and gender. I chose to utilize only two values, as I do not want to compare if some measurements are more or less restricted. As for economics and politics, I utilize four values: no, yes – low, yes – medium, and yes – high. These values represent the impact on economics and politics by the relationship between education and gender, and quantify the magnitude of impact. </w:t>
      </w:r>
    </w:p>
  </w:footnote>
  <w:footnote w:id="4">
    <w:p w14:paraId="25499847" w14:textId="44AD8664" w:rsidR="002573F2" w:rsidRPr="00C807F6" w:rsidRDefault="002573F2">
      <w:pPr>
        <w:pStyle w:val="FootnoteText"/>
      </w:pPr>
      <w:r>
        <w:rPr>
          <w:rStyle w:val="FootnoteReference"/>
        </w:rPr>
        <w:footnoteRef/>
      </w:r>
      <w:r>
        <w:t xml:space="preserve"> Amartya Sen, “Introduction,” in </w:t>
      </w:r>
      <w:r>
        <w:rPr>
          <w:i/>
        </w:rPr>
        <w:t>Development as Freedom</w:t>
      </w:r>
      <w:r>
        <w:t xml:space="preserve">, (Oxford: Oxford University Press, 1999), 3-11. </w:t>
      </w:r>
    </w:p>
  </w:footnote>
  <w:footnote w:id="5">
    <w:p w14:paraId="0846498F" w14:textId="3EDE9B94" w:rsidR="002573F2" w:rsidRDefault="002573F2">
      <w:pPr>
        <w:pStyle w:val="FootnoteText"/>
      </w:pPr>
      <w:r>
        <w:rPr>
          <w:rStyle w:val="FootnoteReference"/>
        </w:rPr>
        <w:footnoteRef/>
      </w:r>
      <w:r>
        <w:t xml:space="preserve"> Charles </w:t>
      </w:r>
      <w:r>
        <w:rPr>
          <w:rFonts w:cs="Times New Roman"/>
        </w:rPr>
        <w:t xml:space="preserve">Hornsby, </w:t>
      </w:r>
      <w:r>
        <w:rPr>
          <w:rFonts w:cs="Times New Roman"/>
          <w:i/>
        </w:rPr>
        <w:t>Kenya: A History Since Independence</w:t>
      </w:r>
      <w:r>
        <w:rPr>
          <w:rFonts w:cs="Times New Roman"/>
        </w:rPr>
        <w:t xml:space="preserve">, (London, England: I.B. Tauris, 2012), 22-3. </w:t>
      </w:r>
    </w:p>
  </w:footnote>
  <w:footnote w:id="6">
    <w:p w14:paraId="31760EDF" w14:textId="69E6DB85" w:rsidR="002573F2" w:rsidRPr="00A2487A" w:rsidRDefault="002573F2">
      <w:pPr>
        <w:pStyle w:val="FootnoteText"/>
      </w:pPr>
      <w:r>
        <w:rPr>
          <w:rStyle w:val="FootnoteReference"/>
        </w:rPr>
        <w:footnoteRef/>
      </w:r>
      <w:r>
        <w:t xml:space="preserve"> </w:t>
      </w:r>
      <w:r>
        <w:rPr>
          <w:rFonts w:cs="Times New Roman"/>
        </w:rPr>
        <w:t xml:space="preserve">Ibid., 22-3. </w:t>
      </w:r>
    </w:p>
  </w:footnote>
  <w:footnote w:id="7">
    <w:p w14:paraId="10D735AF" w14:textId="230CE766" w:rsidR="002573F2" w:rsidRDefault="002573F2">
      <w:pPr>
        <w:pStyle w:val="FootnoteText"/>
      </w:pPr>
      <w:r>
        <w:rPr>
          <w:rStyle w:val="FootnoteReference"/>
        </w:rPr>
        <w:footnoteRef/>
      </w:r>
      <w:r>
        <w:t xml:space="preserve"> Ibid., 21</w:t>
      </w:r>
    </w:p>
  </w:footnote>
  <w:footnote w:id="8">
    <w:p w14:paraId="1F993CB6" w14:textId="24469A73" w:rsidR="002573F2" w:rsidRPr="00DD6B03" w:rsidRDefault="002573F2" w:rsidP="00DD6B03">
      <w:pPr>
        <w:pStyle w:val="FootnoteText"/>
      </w:pPr>
      <w:r>
        <w:rPr>
          <w:rStyle w:val="FootnoteReference"/>
        </w:rPr>
        <w:footnoteRef/>
      </w:r>
      <w:r>
        <w:t xml:space="preserve"> </w:t>
      </w:r>
      <w:r w:rsidRPr="60B85027">
        <w:rPr>
          <w:rFonts w:cs="Times New Roman"/>
        </w:rPr>
        <w:t>Neal</w:t>
      </w:r>
      <w:r>
        <w:rPr>
          <w:rFonts w:cs="Times New Roman"/>
        </w:rPr>
        <w:t xml:space="preserve"> Sobania,</w:t>
      </w:r>
      <w:r w:rsidRPr="60B85027">
        <w:rPr>
          <w:rFonts w:cs="Times New Roman"/>
        </w:rPr>
        <w:t xml:space="preserve"> </w:t>
      </w:r>
      <w:r w:rsidRPr="60B85027">
        <w:rPr>
          <w:rFonts w:cs="Times New Roman"/>
          <w:i/>
          <w:iCs/>
        </w:rPr>
        <w:t>Culture and Customs of Kenya</w:t>
      </w:r>
      <w:r>
        <w:rPr>
          <w:rFonts w:cs="Times New Roman"/>
        </w:rPr>
        <w:t>,</w:t>
      </w:r>
      <w:r w:rsidRPr="60B85027">
        <w:rPr>
          <w:rFonts w:cs="Times New Roman"/>
        </w:rPr>
        <w:t xml:space="preserve"> </w:t>
      </w:r>
      <w:r>
        <w:rPr>
          <w:rFonts w:cs="Times New Roman"/>
        </w:rPr>
        <w:t>(Westport, Connecticut: Greenwood Press,</w:t>
      </w:r>
      <w:r w:rsidRPr="60B85027">
        <w:rPr>
          <w:rFonts w:cs="Times New Roman"/>
        </w:rPr>
        <w:t xml:space="preserve"> 2003</w:t>
      </w:r>
      <w:r>
        <w:rPr>
          <w:rFonts w:cs="Times New Roman"/>
        </w:rPr>
        <w:t>), xvii</w:t>
      </w:r>
      <w:r w:rsidRPr="60B85027">
        <w:rPr>
          <w:rFonts w:cs="Times New Roman"/>
        </w:rPr>
        <w:t>.</w:t>
      </w:r>
    </w:p>
  </w:footnote>
  <w:footnote w:id="9">
    <w:p w14:paraId="56C50E55" w14:textId="6A9BFA5F" w:rsidR="002573F2" w:rsidRDefault="002573F2">
      <w:pPr>
        <w:pStyle w:val="FootnoteText"/>
      </w:pPr>
      <w:r>
        <w:rPr>
          <w:rStyle w:val="FootnoteReference"/>
        </w:rPr>
        <w:footnoteRef/>
      </w:r>
      <w:r>
        <w:t xml:space="preserve"> Ibid., xvii. </w:t>
      </w:r>
    </w:p>
  </w:footnote>
  <w:footnote w:id="10">
    <w:p w14:paraId="704D4234" w14:textId="374DD21D" w:rsidR="002573F2" w:rsidRDefault="002573F2">
      <w:pPr>
        <w:pStyle w:val="FootnoteText"/>
      </w:pPr>
      <w:r>
        <w:rPr>
          <w:rStyle w:val="FootnoteReference"/>
        </w:rPr>
        <w:footnoteRef/>
      </w:r>
      <w:r>
        <w:t xml:space="preserve"> Ibid., xviii.</w:t>
      </w:r>
    </w:p>
  </w:footnote>
  <w:footnote w:id="11">
    <w:p w14:paraId="06984FB3" w14:textId="550D235F" w:rsidR="002573F2" w:rsidRPr="002313DD" w:rsidRDefault="002573F2">
      <w:pPr>
        <w:pStyle w:val="FootnoteText"/>
      </w:pPr>
      <w:r>
        <w:rPr>
          <w:rStyle w:val="FootnoteReference"/>
        </w:rPr>
        <w:footnoteRef/>
      </w:r>
      <w:r>
        <w:t xml:space="preserve"> Oliver W. Furley and Thomas Watson, </w:t>
      </w:r>
      <w:r>
        <w:rPr>
          <w:i/>
        </w:rPr>
        <w:t>A History of Education in East Africa</w:t>
      </w:r>
      <w:r>
        <w:t xml:space="preserve"> (New York City, New York: NOK Publishers International Ltd, 1978), 69. </w:t>
      </w:r>
    </w:p>
  </w:footnote>
  <w:footnote w:id="12">
    <w:p w14:paraId="7C2C9E95" w14:textId="051A3BE6" w:rsidR="002573F2" w:rsidRDefault="002573F2">
      <w:pPr>
        <w:pStyle w:val="FootnoteText"/>
      </w:pPr>
      <w:r>
        <w:rPr>
          <w:rStyle w:val="FootnoteReference"/>
        </w:rPr>
        <w:footnoteRef/>
      </w:r>
      <w:r>
        <w:t xml:space="preserve"> </w:t>
      </w:r>
      <w:r>
        <w:rPr>
          <w:rFonts w:cs="Times New Roman"/>
        </w:rPr>
        <w:t>Sobania,</w:t>
      </w:r>
      <w:r w:rsidRPr="60B85027">
        <w:rPr>
          <w:rFonts w:cs="Times New Roman"/>
        </w:rPr>
        <w:t xml:space="preserve"> </w:t>
      </w:r>
      <w:r w:rsidRPr="60B85027">
        <w:rPr>
          <w:rFonts w:cs="Times New Roman"/>
          <w:i/>
          <w:iCs/>
        </w:rPr>
        <w:t>Culture and Customs of Kenya</w:t>
      </w:r>
      <w:r>
        <w:rPr>
          <w:rFonts w:cs="Times New Roman"/>
        </w:rPr>
        <w:t>, xviii</w:t>
      </w:r>
      <w:r>
        <w:t>.</w:t>
      </w:r>
    </w:p>
  </w:footnote>
  <w:footnote w:id="13">
    <w:p w14:paraId="3A48033B" w14:textId="74610C88" w:rsidR="002573F2" w:rsidRDefault="002573F2">
      <w:pPr>
        <w:pStyle w:val="FootnoteText"/>
      </w:pPr>
      <w:r>
        <w:rPr>
          <w:rStyle w:val="FootnoteReference"/>
        </w:rPr>
        <w:footnoteRef/>
      </w:r>
      <w:r>
        <w:t xml:space="preserve"> The “Scramble for Africa” refers to the time-period where European colonial powers rushed to carve out areas of influence in Africa. The scramble was the result of European countries rushing to “claim” large areas of Africa in the hopes that they could utilize the areas to gain more power and influence. </w:t>
      </w:r>
    </w:p>
  </w:footnote>
  <w:footnote w:id="14">
    <w:p w14:paraId="25C1877C" w14:textId="14119F3A" w:rsidR="002573F2" w:rsidRDefault="002573F2">
      <w:pPr>
        <w:pStyle w:val="FootnoteText"/>
      </w:pPr>
      <w:r>
        <w:rPr>
          <w:rStyle w:val="FootnoteReference"/>
        </w:rPr>
        <w:footnoteRef/>
      </w:r>
      <w:r>
        <w:t xml:space="preserve"> Ibid., 18.</w:t>
      </w:r>
    </w:p>
  </w:footnote>
  <w:footnote w:id="15">
    <w:p w14:paraId="7A07D705" w14:textId="3624404A" w:rsidR="002573F2" w:rsidRPr="00CB6470" w:rsidRDefault="002573F2" w:rsidP="00220DFF">
      <w:pPr>
        <w:rPr>
          <w:rFonts w:cs="Times New Roman"/>
        </w:rPr>
      </w:pPr>
      <w:r>
        <w:rPr>
          <w:rStyle w:val="FootnoteReference"/>
        </w:rPr>
        <w:footnoteRef/>
      </w:r>
      <w:r>
        <w:t xml:space="preserve"> Bob </w:t>
      </w:r>
      <w:r>
        <w:rPr>
          <w:rFonts w:cs="Times New Roman"/>
        </w:rPr>
        <w:t>White,</w:t>
      </w:r>
      <w:r w:rsidRPr="60B85027">
        <w:rPr>
          <w:rFonts w:cs="Times New Roman"/>
        </w:rPr>
        <w:t xml:space="preserve"> “Talk About School: Education and the Colonial Project in French </w:t>
      </w:r>
      <w:r>
        <w:rPr>
          <w:rFonts w:cs="Times New Roman"/>
        </w:rPr>
        <w:t>and British Africa, (1860-1960),</w:t>
      </w:r>
      <w:r w:rsidRPr="60B85027">
        <w:rPr>
          <w:rFonts w:cs="Times New Roman"/>
        </w:rPr>
        <w:t xml:space="preserve">” </w:t>
      </w:r>
      <w:r w:rsidRPr="60B85027">
        <w:rPr>
          <w:rFonts w:cs="Times New Roman"/>
          <w:i/>
          <w:iCs/>
        </w:rPr>
        <w:t>Comparative Education</w:t>
      </w:r>
      <w:r>
        <w:rPr>
          <w:rFonts w:cs="Times New Roman"/>
        </w:rPr>
        <w:t xml:space="preserve"> 32, no. 1 (March 1996): </w:t>
      </w:r>
      <w:r w:rsidRPr="60B85027">
        <w:rPr>
          <w:rFonts w:cs="Times New Roman"/>
        </w:rPr>
        <w:t>9-25.</w:t>
      </w:r>
    </w:p>
  </w:footnote>
  <w:footnote w:id="16">
    <w:p w14:paraId="66E62EF3" w14:textId="36677121" w:rsidR="002573F2" w:rsidRDefault="002573F2">
      <w:pPr>
        <w:pStyle w:val="FootnoteText"/>
      </w:pPr>
      <w:r>
        <w:rPr>
          <w:rStyle w:val="FootnoteReference"/>
        </w:rPr>
        <w:footnoteRef/>
      </w:r>
      <w:r>
        <w:t xml:space="preserve"> I decide to examine a country that remained under one colonial power for the entire colonial period because I wanted norms and societal structures to remain the same throughout the period. In future work, it would be interesting to determine if a shift in the colonial ruling power impacted the variables I analyze in this paper. </w:t>
      </w:r>
    </w:p>
  </w:footnote>
  <w:footnote w:id="17">
    <w:p w14:paraId="74717A1D" w14:textId="512DDFA9" w:rsidR="002573F2" w:rsidRDefault="002573F2">
      <w:pPr>
        <w:pStyle w:val="FootnoteText"/>
      </w:pPr>
      <w:r>
        <w:rPr>
          <w:rStyle w:val="FootnoteReference"/>
        </w:rPr>
        <w:footnoteRef/>
      </w:r>
      <w:r>
        <w:t xml:space="preserve"> Sen, “Introduction,” 3-11.</w:t>
      </w:r>
    </w:p>
  </w:footnote>
  <w:footnote w:id="18">
    <w:p w14:paraId="1AF98CBA" w14:textId="0C5B614C" w:rsidR="002573F2" w:rsidRDefault="002573F2">
      <w:pPr>
        <w:pStyle w:val="FootnoteText"/>
      </w:pPr>
      <w:r>
        <w:rPr>
          <w:rStyle w:val="FootnoteReference"/>
        </w:rPr>
        <w:footnoteRef/>
      </w:r>
      <w:r>
        <w:t xml:space="preserve"> Ibid., 3-11.</w:t>
      </w:r>
    </w:p>
  </w:footnote>
  <w:footnote w:id="19">
    <w:p w14:paraId="565F6C2A" w14:textId="58904E2E" w:rsidR="002573F2" w:rsidRDefault="002573F2">
      <w:pPr>
        <w:pStyle w:val="FootnoteText"/>
      </w:pPr>
      <w:r>
        <w:rPr>
          <w:rStyle w:val="FootnoteReference"/>
        </w:rPr>
        <w:footnoteRef/>
      </w:r>
      <w:r>
        <w:t xml:space="preserve"> Sen, “Introduction,” 3-11.</w:t>
      </w:r>
    </w:p>
  </w:footnote>
  <w:footnote w:id="20">
    <w:p w14:paraId="5BD92E07" w14:textId="24F7D04D" w:rsidR="002573F2" w:rsidRDefault="002573F2">
      <w:pPr>
        <w:pStyle w:val="FootnoteText"/>
      </w:pPr>
      <w:r>
        <w:rPr>
          <w:rStyle w:val="FootnoteReference"/>
        </w:rPr>
        <w:footnoteRef/>
      </w:r>
      <w:r>
        <w:t xml:space="preserve"> Ibid., 3-11.</w:t>
      </w:r>
    </w:p>
  </w:footnote>
  <w:footnote w:id="21">
    <w:p w14:paraId="1A698550" w14:textId="01523DA0" w:rsidR="002573F2" w:rsidRPr="003D30DD" w:rsidRDefault="002573F2" w:rsidP="003D30DD">
      <w:pPr>
        <w:rPr>
          <w:rFonts w:cs="Times New Roman"/>
        </w:rPr>
      </w:pPr>
      <w:r>
        <w:rPr>
          <w:rStyle w:val="FootnoteReference"/>
        </w:rPr>
        <w:footnoteRef/>
      </w:r>
      <w:r>
        <w:t xml:space="preserve"> Martha </w:t>
      </w:r>
      <w:r>
        <w:rPr>
          <w:rFonts w:cs="Times New Roman"/>
        </w:rPr>
        <w:t>Nussbaum,</w:t>
      </w:r>
      <w:r w:rsidRPr="60B85027">
        <w:rPr>
          <w:rFonts w:cs="Times New Roman"/>
        </w:rPr>
        <w:t xml:space="preserve"> </w:t>
      </w:r>
      <w:r w:rsidRPr="60B85027">
        <w:rPr>
          <w:rFonts w:cs="Times New Roman"/>
          <w:i/>
          <w:iCs/>
        </w:rPr>
        <w:t>Creating Capabilities: The Human Development Approach</w:t>
      </w:r>
      <w:r>
        <w:rPr>
          <w:rFonts w:cs="Times New Roman"/>
        </w:rPr>
        <w:t>,</w:t>
      </w:r>
      <w:r w:rsidRPr="60B85027">
        <w:rPr>
          <w:rFonts w:cs="Times New Roman"/>
        </w:rPr>
        <w:t xml:space="preserve"> </w:t>
      </w:r>
      <w:r>
        <w:rPr>
          <w:rFonts w:cs="Times New Roman"/>
        </w:rPr>
        <w:t>(Cambridge, Massachusetts:</w:t>
      </w:r>
      <w:r w:rsidRPr="60B85027">
        <w:rPr>
          <w:rFonts w:cs="Times New Roman"/>
        </w:rPr>
        <w:t xml:space="preserve"> The Belk</w:t>
      </w:r>
      <w:r>
        <w:rPr>
          <w:rFonts w:cs="Times New Roman"/>
        </w:rPr>
        <w:t>nap Press of Harvard University,</w:t>
      </w:r>
      <w:r w:rsidRPr="60B85027">
        <w:rPr>
          <w:rFonts w:cs="Times New Roman"/>
        </w:rPr>
        <w:t xml:space="preserve"> 2011</w:t>
      </w:r>
      <w:r>
        <w:rPr>
          <w:rFonts w:cs="Times New Roman"/>
        </w:rPr>
        <w:t>), 25</w:t>
      </w:r>
      <w:r w:rsidRPr="60B85027">
        <w:rPr>
          <w:rFonts w:cs="Times New Roman"/>
        </w:rPr>
        <w:t xml:space="preserve">. </w:t>
      </w:r>
    </w:p>
  </w:footnote>
  <w:footnote w:id="22">
    <w:p w14:paraId="14CC26D7" w14:textId="159A27BB" w:rsidR="002573F2" w:rsidRPr="003D30DD" w:rsidRDefault="002573F2">
      <w:pPr>
        <w:pStyle w:val="FootnoteText"/>
      </w:pPr>
      <w:r>
        <w:rPr>
          <w:rStyle w:val="FootnoteReference"/>
        </w:rPr>
        <w:footnoteRef/>
      </w:r>
      <w:r>
        <w:t xml:space="preserve"> Ibid., 25. </w:t>
      </w:r>
    </w:p>
  </w:footnote>
  <w:footnote w:id="23">
    <w:p w14:paraId="41DE86D7" w14:textId="35BB765E" w:rsidR="002573F2" w:rsidRDefault="002573F2">
      <w:pPr>
        <w:pStyle w:val="FootnoteText"/>
      </w:pPr>
      <w:r>
        <w:rPr>
          <w:rStyle w:val="FootnoteReference"/>
        </w:rPr>
        <w:footnoteRef/>
      </w:r>
      <w:r>
        <w:t xml:space="preserve"> Ibid., 20.</w:t>
      </w:r>
    </w:p>
  </w:footnote>
  <w:footnote w:id="24">
    <w:p w14:paraId="429FFF60" w14:textId="583D228C" w:rsidR="002573F2" w:rsidRPr="004507E0" w:rsidRDefault="002573F2" w:rsidP="004507E0">
      <w:pPr>
        <w:rPr>
          <w:rFonts w:cs="Times New Roman"/>
        </w:rPr>
      </w:pPr>
      <w:r>
        <w:rPr>
          <w:rStyle w:val="FootnoteReference"/>
        </w:rPr>
        <w:footnoteRef/>
      </w:r>
      <w:r>
        <w:t xml:space="preserve"> </w:t>
      </w:r>
      <w:r>
        <w:rPr>
          <w:rFonts w:cs="Times New Roman"/>
        </w:rPr>
        <w:t>Kathryn Sikkink and Martha Finnemore,</w:t>
      </w:r>
      <w:r w:rsidRPr="003A3036">
        <w:rPr>
          <w:rFonts w:cs="Times New Roman"/>
        </w:rPr>
        <w:t xml:space="preserve"> “International Nor</w:t>
      </w:r>
      <w:r>
        <w:rPr>
          <w:rFonts w:cs="Times New Roman"/>
        </w:rPr>
        <w:t>m Dynamics and Political Change,</w:t>
      </w:r>
      <w:r w:rsidRPr="003A3036">
        <w:rPr>
          <w:rFonts w:cs="Times New Roman"/>
        </w:rPr>
        <w:t xml:space="preserve">” </w:t>
      </w:r>
      <w:r w:rsidRPr="003A3036">
        <w:rPr>
          <w:rFonts w:cs="Times New Roman"/>
          <w:i/>
        </w:rPr>
        <w:t>International Organization</w:t>
      </w:r>
      <w:r>
        <w:rPr>
          <w:rFonts w:cs="Times New Roman"/>
        </w:rPr>
        <w:t xml:space="preserve"> 52, no. 4 (1998):</w:t>
      </w:r>
      <w:r w:rsidRPr="003A3036">
        <w:rPr>
          <w:rFonts w:cs="Times New Roman"/>
        </w:rPr>
        <w:t xml:space="preserve"> 887–917.</w:t>
      </w:r>
    </w:p>
  </w:footnote>
  <w:footnote w:id="25">
    <w:p w14:paraId="38ECBD17" w14:textId="08D0C3DB" w:rsidR="002573F2" w:rsidRPr="007D20A2" w:rsidRDefault="002573F2" w:rsidP="007D20A2">
      <w:pPr>
        <w:rPr>
          <w:rFonts w:cs="Times New Roman"/>
        </w:rPr>
      </w:pPr>
      <w:r>
        <w:rPr>
          <w:rStyle w:val="FootnoteReference"/>
        </w:rPr>
        <w:footnoteRef/>
      </w:r>
      <w:r>
        <w:t xml:space="preserve"> </w:t>
      </w:r>
      <w:r w:rsidRPr="00C60A98">
        <w:rPr>
          <w:rFonts w:cs="Times New Roman"/>
        </w:rPr>
        <w:t xml:space="preserve">John Gerard Ruggie, “What Makes the World Hang Together? Neo-Utilitarianism and the </w:t>
      </w:r>
      <w:r>
        <w:rPr>
          <w:rFonts w:cs="Times New Roman"/>
        </w:rPr>
        <w:t>Social Constructivist Challenge,</w:t>
      </w:r>
      <w:r w:rsidRPr="00C60A98">
        <w:rPr>
          <w:rFonts w:cs="Times New Roman"/>
        </w:rPr>
        <w:t xml:space="preserve">” </w:t>
      </w:r>
      <w:r w:rsidRPr="00C60A98">
        <w:rPr>
          <w:rFonts w:cs="Times New Roman"/>
          <w:i/>
        </w:rPr>
        <w:t>International Organization</w:t>
      </w:r>
      <w:r w:rsidRPr="00C60A98">
        <w:rPr>
          <w:rFonts w:cs="Times New Roman"/>
        </w:rPr>
        <w:t xml:space="preserve"> 52, no. 4 (19</w:t>
      </w:r>
      <w:r>
        <w:rPr>
          <w:rFonts w:cs="Times New Roman"/>
        </w:rPr>
        <w:t>98):</w:t>
      </w:r>
      <w:r w:rsidRPr="00C60A98">
        <w:rPr>
          <w:rFonts w:cs="Times New Roman"/>
        </w:rPr>
        <w:t xml:space="preserve"> 855–85.</w:t>
      </w:r>
    </w:p>
  </w:footnote>
  <w:footnote w:id="26">
    <w:p w14:paraId="5C5ED3DE" w14:textId="7705C9B1" w:rsidR="002573F2" w:rsidRDefault="002573F2">
      <w:pPr>
        <w:pStyle w:val="FootnoteText"/>
      </w:pPr>
      <w:r>
        <w:rPr>
          <w:rStyle w:val="FootnoteReference"/>
        </w:rPr>
        <w:footnoteRef/>
      </w:r>
      <w:r>
        <w:t xml:space="preserve"> Sikkink and Finnemore, “International Norm Dynamics and Political Change,” 887-917. </w:t>
      </w:r>
    </w:p>
  </w:footnote>
  <w:footnote w:id="27">
    <w:p w14:paraId="38C126B8" w14:textId="44D1FCC2" w:rsidR="002573F2" w:rsidRDefault="002573F2">
      <w:pPr>
        <w:pStyle w:val="FootnoteText"/>
      </w:pPr>
      <w:r>
        <w:rPr>
          <w:rStyle w:val="FootnoteReference"/>
        </w:rPr>
        <w:footnoteRef/>
      </w:r>
      <w:r>
        <w:t xml:space="preserve"> Ibid., 887-917.</w:t>
      </w:r>
    </w:p>
  </w:footnote>
  <w:footnote w:id="28">
    <w:p w14:paraId="5A0ACB79" w14:textId="69B7809F" w:rsidR="002573F2" w:rsidRPr="00DC7DD3" w:rsidRDefault="002573F2" w:rsidP="00DC7DD3">
      <w:pPr>
        <w:rPr>
          <w:rFonts w:eastAsia="Times New Roman" w:cs="Times New Roman"/>
          <w:color w:val="000000" w:themeColor="text1"/>
        </w:rPr>
      </w:pPr>
      <w:r>
        <w:rPr>
          <w:rStyle w:val="FootnoteReference"/>
        </w:rPr>
        <w:footnoteRef/>
      </w:r>
      <w:r>
        <w:t xml:space="preserve"> </w:t>
      </w:r>
      <w:r w:rsidRPr="24C89BF9">
        <w:rPr>
          <w:rFonts w:eastAsia="Times New Roman" w:cs="Times New Roman"/>
          <w:color w:val="000000" w:themeColor="text1"/>
        </w:rPr>
        <w:t xml:space="preserve">Adhiambo </w:t>
      </w:r>
      <w:r>
        <w:rPr>
          <w:rFonts w:eastAsia="Times New Roman" w:cs="Times New Roman"/>
          <w:color w:val="000000" w:themeColor="text1"/>
        </w:rPr>
        <w:t>Odaga and Ward Heneveld,</w:t>
      </w:r>
      <w:r w:rsidRPr="24C89BF9">
        <w:rPr>
          <w:rFonts w:eastAsia="Times New Roman" w:cs="Times New Roman"/>
          <w:color w:val="000000" w:themeColor="text1"/>
        </w:rPr>
        <w:t xml:space="preserve"> “Girls and Schools in Sub-Saharan Africa: From Analysis to A</w:t>
      </w:r>
      <w:r>
        <w:rPr>
          <w:rFonts w:eastAsia="Times New Roman" w:cs="Times New Roman"/>
          <w:color w:val="000000" w:themeColor="text1"/>
        </w:rPr>
        <w:t>ction,</w:t>
      </w:r>
      <w:r w:rsidRPr="24C89BF9">
        <w:rPr>
          <w:rFonts w:eastAsia="Times New Roman" w:cs="Times New Roman"/>
          <w:color w:val="000000" w:themeColor="text1"/>
        </w:rPr>
        <w:t xml:space="preserve">” </w:t>
      </w:r>
      <w:r w:rsidRPr="24C89BF9">
        <w:rPr>
          <w:rFonts w:eastAsia="Times New Roman" w:cs="Times New Roman"/>
          <w:i/>
          <w:iCs/>
          <w:color w:val="000000" w:themeColor="text1"/>
        </w:rPr>
        <w:t xml:space="preserve">World Bank Publications </w:t>
      </w:r>
      <w:r w:rsidRPr="24C89BF9">
        <w:rPr>
          <w:rFonts w:eastAsia="Times New Roman" w:cs="Times New Roman"/>
          <w:color w:val="000000" w:themeColor="text1"/>
        </w:rPr>
        <w:t>298,</w:t>
      </w:r>
      <w:r>
        <w:rPr>
          <w:rFonts w:eastAsia="Times New Roman" w:cs="Times New Roman"/>
          <w:color w:val="000000" w:themeColor="text1"/>
        </w:rPr>
        <w:t xml:space="preserve"> 1995. </w:t>
      </w:r>
    </w:p>
  </w:footnote>
  <w:footnote w:id="29">
    <w:p w14:paraId="1A10836B" w14:textId="40FFFD0E" w:rsidR="002573F2" w:rsidRPr="001D464C" w:rsidRDefault="002573F2" w:rsidP="001D464C">
      <w:pPr>
        <w:rPr>
          <w:rFonts w:cs="Times New Roman"/>
        </w:rPr>
      </w:pPr>
      <w:r>
        <w:rPr>
          <w:rStyle w:val="FootnoteReference"/>
        </w:rPr>
        <w:footnoteRef/>
      </w:r>
      <w:r>
        <w:t xml:space="preserve"> Nelly P. </w:t>
      </w:r>
      <w:r>
        <w:rPr>
          <w:rFonts w:cs="Times New Roman"/>
        </w:rPr>
        <w:t>Stromquist,</w:t>
      </w:r>
      <w:r w:rsidRPr="60B85027">
        <w:rPr>
          <w:rFonts w:cs="Times New Roman"/>
        </w:rPr>
        <w:t xml:space="preserve"> “The Intersection of Public Policies and Gender: Understa</w:t>
      </w:r>
      <w:r>
        <w:rPr>
          <w:rFonts w:cs="Times New Roman"/>
        </w:rPr>
        <w:t>nding State Action in Education,</w:t>
      </w:r>
      <w:r w:rsidRPr="60B85027">
        <w:rPr>
          <w:rFonts w:cs="Times New Roman"/>
        </w:rPr>
        <w:t xml:space="preserve">” in </w:t>
      </w:r>
      <w:r w:rsidRPr="60B85027">
        <w:rPr>
          <w:rFonts w:cs="Times New Roman"/>
          <w:i/>
          <w:iCs/>
        </w:rPr>
        <w:t>The Structure and Agency of Women’s Education</w:t>
      </w:r>
      <w:r>
        <w:rPr>
          <w:rFonts w:cs="Times New Roman"/>
        </w:rPr>
        <w:t>, ed. Mary Ann Maslak,</w:t>
      </w:r>
      <w:r w:rsidRPr="60B85027">
        <w:rPr>
          <w:rFonts w:cs="Times New Roman"/>
        </w:rPr>
        <w:t xml:space="preserve"> </w:t>
      </w:r>
      <w:r>
        <w:rPr>
          <w:rFonts w:cs="Times New Roman"/>
        </w:rPr>
        <w:t xml:space="preserve">(Albany: </w:t>
      </w:r>
      <w:r w:rsidRPr="60B85027">
        <w:rPr>
          <w:rFonts w:cs="Times New Roman"/>
        </w:rPr>
        <w:t>Sta</w:t>
      </w:r>
      <w:r>
        <w:rPr>
          <w:rFonts w:cs="Times New Roman"/>
        </w:rPr>
        <w:t>te University of New York Press,</w:t>
      </w:r>
      <w:r w:rsidRPr="60B85027">
        <w:rPr>
          <w:rFonts w:cs="Times New Roman"/>
        </w:rPr>
        <w:t xml:space="preserve"> 2008</w:t>
      </w:r>
      <w:r>
        <w:rPr>
          <w:rFonts w:cs="Times New Roman"/>
        </w:rPr>
        <w:t>), 3-30</w:t>
      </w:r>
      <w:r w:rsidRPr="60B85027">
        <w:rPr>
          <w:rFonts w:cs="Times New Roman"/>
        </w:rPr>
        <w:t xml:space="preserve">. </w:t>
      </w:r>
    </w:p>
  </w:footnote>
  <w:footnote w:id="30">
    <w:p w14:paraId="12FE6D3F" w14:textId="77035DEA" w:rsidR="002573F2" w:rsidRPr="00C96A0D" w:rsidRDefault="002573F2" w:rsidP="00C96A0D">
      <w:pPr>
        <w:rPr>
          <w:rFonts w:cs="Times New Roman"/>
        </w:rPr>
      </w:pPr>
      <w:r>
        <w:rPr>
          <w:rStyle w:val="FootnoteReference"/>
        </w:rPr>
        <w:footnoteRef/>
      </w:r>
      <w:r>
        <w:t xml:space="preserve"> Merry E. </w:t>
      </w:r>
      <w:r>
        <w:rPr>
          <w:rFonts w:cs="Times New Roman"/>
        </w:rPr>
        <w:t xml:space="preserve">Wiesner-Hanks, </w:t>
      </w:r>
      <w:r w:rsidRPr="60B85027">
        <w:rPr>
          <w:rFonts w:cs="Times New Roman"/>
          <w:i/>
          <w:iCs/>
        </w:rPr>
        <w:t>Gender in History: Global Perspectives</w:t>
      </w:r>
      <w:r>
        <w:rPr>
          <w:rFonts w:cs="Times New Roman"/>
        </w:rPr>
        <w:t>,</w:t>
      </w:r>
      <w:r w:rsidRPr="60B85027">
        <w:rPr>
          <w:rFonts w:cs="Times New Roman"/>
        </w:rPr>
        <w:t xml:space="preserve"> </w:t>
      </w:r>
      <w:r>
        <w:rPr>
          <w:rFonts w:cs="Times New Roman"/>
        </w:rPr>
        <w:t>(Hoboken, New Jersey: Wiley-Blackwell,</w:t>
      </w:r>
      <w:r w:rsidRPr="60B85027">
        <w:rPr>
          <w:rFonts w:cs="Times New Roman"/>
        </w:rPr>
        <w:t xml:space="preserve"> 2011</w:t>
      </w:r>
      <w:r>
        <w:rPr>
          <w:rFonts w:cs="Times New Roman"/>
        </w:rPr>
        <w:t>), 2</w:t>
      </w:r>
      <w:r w:rsidRPr="60B85027">
        <w:rPr>
          <w:rFonts w:cs="Times New Roman"/>
        </w:rPr>
        <w:t>.</w:t>
      </w:r>
    </w:p>
  </w:footnote>
  <w:footnote w:id="31">
    <w:p w14:paraId="42858B47" w14:textId="38E476F1" w:rsidR="002573F2" w:rsidRPr="00FD4894" w:rsidRDefault="002573F2" w:rsidP="00FD4894">
      <w:pPr>
        <w:rPr>
          <w:rFonts w:cs="Times New Roman"/>
        </w:rPr>
      </w:pPr>
      <w:r>
        <w:rPr>
          <w:rStyle w:val="FootnoteReference"/>
        </w:rPr>
        <w:footnoteRef/>
      </w:r>
      <w:r>
        <w:t xml:space="preserve">Michael Barnett and Thomas G. Weiss, “Humanitarianism: A Brief History of the Present,” in </w:t>
      </w:r>
      <w:r>
        <w:rPr>
          <w:i/>
        </w:rPr>
        <w:t>Humanitarianism in Question: Politics, Power, Ethics</w:t>
      </w:r>
      <w:r>
        <w:t>, eds. Michael Barnett and Thomas G. Weiss, (New York, New York: Cornell University Press, 2008), 1-48</w:t>
      </w:r>
      <w:r w:rsidRPr="60B85027">
        <w:rPr>
          <w:rFonts w:cs="Times New Roman"/>
        </w:rPr>
        <w:t xml:space="preserve">. </w:t>
      </w:r>
    </w:p>
  </w:footnote>
  <w:footnote w:id="32">
    <w:p w14:paraId="573B7B8F" w14:textId="11B6226B" w:rsidR="002573F2" w:rsidRPr="00FD4894" w:rsidRDefault="002573F2" w:rsidP="00FD4894">
      <w:pPr>
        <w:rPr>
          <w:rFonts w:cs="Times New Roman"/>
        </w:rPr>
      </w:pPr>
      <w:r>
        <w:rPr>
          <w:rStyle w:val="FootnoteReference"/>
        </w:rPr>
        <w:footnoteRef/>
      </w:r>
      <w:r>
        <w:t xml:space="preserve"> James Sweet, “The Iberian Roots of American Racist Thought,” </w:t>
      </w:r>
      <w:r>
        <w:rPr>
          <w:i/>
        </w:rPr>
        <w:t>The William and Mary Quarterly</w:t>
      </w:r>
      <w:r>
        <w:t xml:space="preserve"> 54, no. 1 (1997): 143-166. </w:t>
      </w:r>
    </w:p>
  </w:footnote>
  <w:footnote w:id="33">
    <w:p w14:paraId="4CB02295" w14:textId="15E6052C" w:rsidR="002573F2" w:rsidRPr="00F971CF" w:rsidRDefault="002573F2">
      <w:pPr>
        <w:pStyle w:val="FootnoteText"/>
      </w:pPr>
      <w:r>
        <w:rPr>
          <w:rStyle w:val="FootnoteReference"/>
        </w:rPr>
        <w:footnoteRef/>
      </w:r>
      <w:r>
        <w:t xml:space="preserve"> </w:t>
      </w:r>
      <w:r w:rsidRPr="00B4142C">
        <w:t>Ibid.</w:t>
      </w:r>
      <w:r w:rsidRPr="00B4142C">
        <w:rPr>
          <w:rFonts w:cs="Times New Roman"/>
          <w:iCs/>
        </w:rPr>
        <w:t xml:space="preserve">, </w:t>
      </w:r>
      <w:r>
        <w:rPr>
          <w:rFonts w:cs="Times New Roman"/>
          <w:iCs/>
        </w:rPr>
        <w:t xml:space="preserve">143-166. </w:t>
      </w:r>
    </w:p>
  </w:footnote>
  <w:footnote w:id="34">
    <w:p w14:paraId="6DD47131" w14:textId="3638206E" w:rsidR="002573F2" w:rsidRPr="003527CC" w:rsidRDefault="002573F2">
      <w:pPr>
        <w:pStyle w:val="FootnoteText"/>
      </w:pPr>
      <w:r>
        <w:rPr>
          <w:rStyle w:val="FootnoteReference"/>
        </w:rPr>
        <w:footnoteRef/>
      </w:r>
      <w:r>
        <w:t xml:space="preserve"> Sen, “Introduction,” 3-11.</w:t>
      </w:r>
    </w:p>
  </w:footnote>
  <w:footnote w:id="35">
    <w:p w14:paraId="43FD0BCB" w14:textId="0A449FBD" w:rsidR="002573F2" w:rsidRPr="003527CC" w:rsidRDefault="002573F2" w:rsidP="003527CC">
      <w:pPr>
        <w:rPr>
          <w:rFonts w:cs="Times New Roman"/>
        </w:rPr>
      </w:pPr>
      <w:r>
        <w:rPr>
          <w:rStyle w:val="FootnoteReference"/>
        </w:rPr>
        <w:footnoteRef/>
      </w:r>
      <w:r>
        <w:t xml:space="preserve"> Lucy </w:t>
      </w:r>
      <w:r>
        <w:rPr>
          <w:rFonts w:cs="Times New Roman"/>
        </w:rPr>
        <w:t>Mule,</w:t>
      </w:r>
      <w:r w:rsidRPr="60B85027">
        <w:rPr>
          <w:rFonts w:cs="Times New Roman"/>
        </w:rPr>
        <w:t xml:space="preserve"> “Feast of Famine for Female Education in Kenya?: A Struc</w:t>
      </w:r>
      <w:r>
        <w:rPr>
          <w:rFonts w:cs="Times New Roman"/>
        </w:rPr>
        <w:t>tural Approach to Gender Equity,</w:t>
      </w:r>
      <w:r w:rsidRPr="60B85027">
        <w:rPr>
          <w:rFonts w:cs="Times New Roman"/>
        </w:rPr>
        <w:t xml:space="preserve">” in </w:t>
      </w:r>
      <w:r w:rsidRPr="60B85027">
        <w:rPr>
          <w:rFonts w:cs="Times New Roman"/>
          <w:i/>
          <w:iCs/>
        </w:rPr>
        <w:t>The Structure and Agency of Women’s Education</w:t>
      </w:r>
      <w:r>
        <w:rPr>
          <w:rFonts w:cs="Times New Roman"/>
        </w:rPr>
        <w:t>, ed. Mary Ann Maslak,</w:t>
      </w:r>
      <w:r w:rsidRPr="60B85027">
        <w:rPr>
          <w:rFonts w:cs="Times New Roman"/>
        </w:rPr>
        <w:t xml:space="preserve"> </w:t>
      </w:r>
      <w:r>
        <w:rPr>
          <w:rFonts w:cs="Times New Roman"/>
        </w:rPr>
        <w:t>(Albany:</w:t>
      </w:r>
      <w:r w:rsidRPr="60B85027">
        <w:rPr>
          <w:rFonts w:cs="Times New Roman"/>
        </w:rPr>
        <w:t xml:space="preserve"> Sta</w:t>
      </w:r>
      <w:r>
        <w:rPr>
          <w:rFonts w:cs="Times New Roman"/>
        </w:rPr>
        <w:t>te University of New York Press,</w:t>
      </w:r>
      <w:r w:rsidRPr="60B85027">
        <w:rPr>
          <w:rFonts w:cs="Times New Roman"/>
        </w:rPr>
        <w:t xml:space="preserve"> 2008</w:t>
      </w:r>
      <w:r>
        <w:rPr>
          <w:rFonts w:cs="Times New Roman"/>
        </w:rPr>
        <w:t>), 67-86</w:t>
      </w:r>
      <w:r w:rsidRPr="60B85027">
        <w:rPr>
          <w:rFonts w:cs="Times New Roman"/>
        </w:rPr>
        <w:t xml:space="preserve">. </w:t>
      </w:r>
    </w:p>
  </w:footnote>
  <w:footnote w:id="36">
    <w:p w14:paraId="39E4215F" w14:textId="07133EED" w:rsidR="002573F2" w:rsidRDefault="002573F2">
      <w:pPr>
        <w:pStyle w:val="FootnoteText"/>
      </w:pPr>
      <w:r>
        <w:rPr>
          <w:rStyle w:val="FootnoteReference"/>
        </w:rPr>
        <w:footnoteRef/>
      </w:r>
      <w:r>
        <w:t xml:space="preserve"> Ibid., 67-86. </w:t>
      </w:r>
    </w:p>
  </w:footnote>
  <w:footnote w:id="37">
    <w:p w14:paraId="118A00E5" w14:textId="6321E34E" w:rsidR="002573F2" w:rsidRDefault="002573F2">
      <w:pPr>
        <w:pStyle w:val="FootnoteText"/>
      </w:pPr>
      <w:r>
        <w:rPr>
          <w:rStyle w:val="FootnoteReference"/>
        </w:rPr>
        <w:footnoteRef/>
      </w:r>
      <w:r>
        <w:t xml:space="preserve"> </w:t>
      </w:r>
      <w:r w:rsidRPr="60B85027">
        <w:rPr>
          <w:rFonts w:cs="Times New Roman"/>
        </w:rPr>
        <w:t xml:space="preserve">Molly </w:t>
      </w:r>
      <w:r>
        <w:rPr>
          <w:rFonts w:cs="Times New Roman"/>
        </w:rPr>
        <w:t>Warrington and Susan Kiragu,</w:t>
      </w:r>
      <w:r w:rsidRPr="60B85027">
        <w:rPr>
          <w:rFonts w:cs="Times New Roman"/>
        </w:rPr>
        <w:t xml:space="preserve"> “‘It Makes More Sense to Educate a Boy’: Girls ‘Agai</w:t>
      </w:r>
      <w:r>
        <w:rPr>
          <w:rFonts w:cs="Times New Roman"/>
        </w:rPr>
        <w:t>nst the Odds’ in Kajiado, Kenya,</w:t>
      </w:r>
      <w:r w:rsidRPr="60B85027">
        <w:rPr>
          <w:rFonts w:cs="Times New Roman"/>
        </w:rPr>
        <w:t xml:space="preserve">” </w:t>
      </w:r>
      <w:r w:rsidRPr="60B85027">
        <w:rPr>
          <w:rFonts w:cs="Times New Roman"/>
          <w:i/>
          <w:iCs/>
        </w:rPr>
        <w:t>International Journal of Educational Development</w:t>
      </w:r>
      <w:r>
        <w:rPr>
          <w:rFonts w:cs="Times New Roman"/>
        </w:rPr>
        <w:t xml:space="preserve"> 32, (2012):</w:t>
      </w:r>
      <w:r w:rsidRPr="60B85027">
        <w:rPr>
          <w:rFonts w:cs="Times New Roman"/>
        </w:rPr>
        <w:t xml:space="preserve"> 301-309.</w:t>
      </w:r>
    </w:p>
  </w:footnote>
  <w:footnote w:id="38">
    <w:p w14:paraId="5DD61E9E" w14:textId="6381C614" w:rsidR="002573F2" w:rsidRPr="00D86460" w:rsidRDefault="002573F2" w:rsidP="00D86460">
      <w:pPr>
        <w:rPr>
          <w:rFonts w:cs="Times New Roman"/>
        </w:rPr>
      </w:pPr>
      <w:r>
        <w:rPr>
          <w:rStyle w:val="FootnoteReference"/>
        </w:rPr>
        <w:footnoteRef/>
      </w:r>
      <w:r>
        <w:t xml:space="preserve"> Stromquist, “The Intersection of Public Policies and Gender: Understanding State Action in Education,” </w:t>
      </w:r>
      <w:r>
        <w:rPr>
          <w:rFonts w:cs="Times New Roman"/>
        </w:rPr>
        <w:t>3-30</w:t>
      </w:r>
      <w:r>
        <w:t xml:space="preserve">; </w:t>
      </w:r>
      <w:r>
        <w:rPr>
          <w:rFonts w:cs="Times New Roman"/>
        </w:rPr>
        <w:t>Máiréad Dunne, “Schools and Gendered Identities,”</w:t>
      </w:r>
      <w:r w:rsidRPr="60B85027">
        <w:rPr>
          <w:rFonts w:cs="Times New Roman"/>
        </w:rPr>
        <w:t xml:space="preserve"> 2007</w:t>
      </w:r>
      <w:r>
        <w:rPr>
          <w:rFonts w:cs="Times New Roman"/>
        </w:rPr>
        <w:t>, 26-29</w:t>
      </w:r>
      <w:r w:rsidRPr="60B85027">
        <w:rPr>
          <w:rFonts w:cs="Times New Roman"/>
        </w:rPr>
        <w:t>.</w:t>
      </w:r>
    </w:p>
  </w:footnote>
  <w:footnote w:id="39">
    <w:p w14:paraId="283E58EA" w14:textId="77777777" w:rsidR="002573F2" w:rsidRPr="00334BAF" w:rsidRDefault="002573F2" w:rsidP="00E3393D">
      <w:pPr>
        <w:rPr>
          <w:rFonts w:eastAsia="Times New Roman" w:cs="Times New Roman"/>
          <w:color w:val="000000" w:themeColor="text1"/>
        </w:rPr>
      </w:pPr>
      <w:r>
        <w:rPr>
          <w:rStyle w:val="FootnoteReference"/>
        </w:rPr>
        <w:footnoteRef/>
      </w:r>
      <w:r>
        <w:t xml:space="preserve"> </w:t>
      </w:r>
      <w:r>
        <w:rPr>
          <w:rFonts w:eastAsia="Times New Roman" w:cs="Times New Roman"/>
          <w:color w:val="000000" w:themeColor="text1"/>
        </w:rPr>
        <w:t xml:space="preserve">Máiréad Dunne, Sara Humphreys and Fiona Leach, </w:t>
      </w:r>
      <w:r w:rsidRPr="24C89BF9">
        <w:rPr>
          <w:rFonts w:eastAsia="Times New Roman" w:cs="Times New Roman"/>
          <w:color w:val="000000" w:themeColor="text1"/>
        </w:rPr>
        <w:t xml:space="preserve">“Gender Violence in </w:t>
      </w:r>
      <w:r>
        <w:rPr>
          <w:rFonts w:eastAsia="Times New Roman" w:cs="Times New Roman"/>
          <w:color w:val="000000" w:themeColor="text1"/>
        </w:rPr>
        <w:t>Schools in the Developing World,</w:t>
      </w:r>
      <w:r w:rsidRPr="24C89BF9">
        <w:rPr>
          <w:rFonts w:eastAsia="Times New Roman" w:cs="Times New Roman"/>
          <w:color w:val="000000" w:themeColor="text1"/>
        </w:rPr>
        <w:t xml:space="preserve">” </w:t>
      </w:r>
      <w:r w:rsidRPr="24C89BF9">
        <w:rPr>
          <w:rFonts w:eastAsia="Times New Roman" w:cs="Times New Roman"/>
          <w:i/>
          <w:iCs/>
          <w:color w:val="000000" w:themeColor="text1"/>
        </w:rPr>
        <w:t>Gender and Education</w:t>
      </w:r>
      <w:r>
        <w:rPr>
          <w:rFonts w:eastAsia="Times New Roman" w:cs="Times New Roman"/>
          <w:color w:val="000000" w:themeColor="text1"/>
        </w:rPr>
        <w:t xml:space="preserve"> 18, no. 1 (2006):</w:t>
      </w:r>
      <w:r w:rsidRPr="24C89BF9">
        <w:rPr>
          <w:rFonts w:eastAsia="Times New Roman" w:cs="Times New Roman"/>
          <w:color w:val="000000" w:themeColor="text1"/>
        </w:rPr>
        <w:t xml:space="preserve"> 75-98.</w:t>
      </w:r>
    </w:p>
  </w:footnote>
  <w:footnote w:id="40">
    <w:p w14:paraId="7AE5BF2D" w14:textId="77777777" w:rsidR="002573F2" w:rsidRPr="00AE2508" w:rsidRDefault="002573F2" w:rsidP="00E3393D">
      <w:pPr>
        <w:rPr>
          <w:rFonts w:eastAsia="Times New Roman" w:cs="Times New Roman"/>
          <w:color w:val="000000" w:themeColor="text1"/>
        </w:rPr>
      </w:pPr>
      <w:r>
        <w:rPr>
          <w:rStyle w:val="FootnoteReference"/>
        </w:rPr>
        <w:footnoteRef/>
      </w:r>
      <w:r>
        <w:t xml:space="preserve"> Ibid., </w:t>
      </w:r>
      <w:r>
        <w:rPr>
          <w:rFonts w:eastAsia="Times New Roman" w:cs="Times New Roman"/>
          <w:color w:val="000000" w:themeColor="text1"/>
        </w:rPr>
        <w:t xml:space="preserve">75-98. </w:t>
      </w:r>
    </w:p>
  </w:footnote>
  <w:footnote w:id="41">
    <w:p w14:paraId="5AE42E10" w14:textId="77777777" w:rsidR="002573F2" w:rsidRDefault="002573F2" w:rsidP="00E3393D">
      <w:pPr>
        <w:pStyle w:val="FootnoteText"/>
      </w:pPr>
      <w:r>
        <w:rPr>
          <w:rStyle w:val="FootnoteReference"/>
        </w:rPr>
        <w:footnoteRef/>
      </w:r>
      <w:r>
        <w:t xml:space="preserve"> Lucy </w:t>
      </w:r>
      <w:r>
        <w:rPr>
          <w:rFonts w:eastAsia="Times New Roman" w:cs="Times New Roman"/>
          <w:color w:val="000000" w:themeColor="text1"/>
        </w:rPr>
        <w:t xml:space="preserve">Bence-Wilkins, </w:t>
      </w:r>
      <w:r w:rsidRPr="24C89BF9">
        <w:rPr>
          <w:rFonts w:eastAsia="Times New Roman" w:cs="Times New Roman"/>
          <w:color w:val="000000" w:themeColor="text1"/>
        </w:rPr>
        <w:t>“Reproducing Inequalities: How Schools in Kenya Shape Gendered Power Re</w:t>
      </w:r>
      <w:r>
        <w:rPr>
          <w:rFonts w:eastAsia="Times New Roman" w:cs="Times New Roman"/>
          <w:color w:val="000000" w:themeColor="text1"/>
        </w:rPr>
        <w:t>lations Among Adolescent Pupils,</w:t>
      </w:r>
      <w:r w:rsidRPr="24C89BF9">
        <w:rPr>
          <w:rFonts w:eastAsia="Times New Roman" w:cs="Times New Roman"/>
          <w:color w:val="000000" w:themeColor="text1"/>
        </w:rPr>
        <w:t xml:space="preserve">” in </w:t>
      </w:r>
      <w:r w:rsidRPr="24C89BF9">
        <w:rPr>
          <w:rFonts w:eastAsia="Times New Roman" w:cs="Times New Roman"/>
          <w:i/>
          <w:iCs/>
          <w:color w:val="000000" w:themeColor="text1"/>
        </w:rPr>
        <w:t>Journal of the University of East London Undergraduate Conference</w:t>
      </w:r>
      <w:r>
        <w:rPr>
          <w:rFonts w:eastAsia="Times New Roman" w:cs="Times New Roman"/>
          <w:color w:val="000000" w:themeColor="text1"/>
        </w:rPr>
        <w:t>, (London: University of East London,</w:t>
      </w:r>
      <w:r w:rsidRPr="24C89BF9">
        <w:rPr>
          <w:rFonts w:eastAsia="Times New Roman" w:cs="Times New Roman"/>
          <w:color w:val="000000" w:themeColor="text1"/>
        </w:rPr>
        <w:t xml:space="preserve"> 2011</w:t>
      </w:r>
      <w:r>
        <w:rPr>
          <w:rFonts w:eastAsia="Times New Roman" w:cs="Times New Roman"/>
          <w:color w:val="000000" w:themeColor="text1"/>
        </w:rPr>
        <w:t>), 50-59</w:t>
      </w:r>
      <w:r w:rsidRPr="24C89BF9">
        <w:rPr>
          <w:rFonts w:eastAsia="Times New Roman" w:cs="Times New Roman"/>
          <w:color w:val="000000" w:themeColor="text1"/>
        </w:rPr>
        <w:t>.</w:t>
      </w:r>
    </w:p>
  </w:footnote>
  <w:footnote w:id="42">
    <w:p w14:paraId="7EC7FA72" w14:textId="77777777" w:rsidR="002573F2" w:rsidRPr="00AE2508" w:rsidRDefault="002573F2" w:rsidP="00E3393D">
      <w:pPr>
        <w:rPr>
          <w:rFonts w:eastAsia="Times New Roman" w:cs="Times New Roman"/>
          <w:color w:val="000000" w:themeColor="text1"/>
        </w:rPr>
      </w:pPr>
      <w:r>
        <w:rPr>
          <w:rStyle w:val="FootnoteReference"/>
        </w:rPr>
        <w:footnoteRef/>
      </w:r>
      <w:r>
        <w:t xml:space="preserve"> For example </w:t>
      </w:r>
      <w:r>
        <w:rPr>
          <w:rFonts w:eastAsia="Times New Roman" w:cs="Times New Roman"/>
          <w:color w:val="000000" w:themeColor="text1"/>
        </w:rPr>
        <w:t xml:space="preserve">Odaga and Heneveld, </w:t>
      </w:r>
      <w:r w:rsidRPr="002526BA">
        <w:rPr>
          <w:rFonts w:eastAsia="Times New Roman" w:cs="Times New Roman"/>
          <w:color w:val="000000" w:themeColor="text1"/>
        </w:rPr>
        <w:t>“Girls and Schools in Sub-Saharan Africa: From Analysis to A</w:t>
      </w:r>
      <w:r>
        <w:rPr>
          <w:rFonts w:eastAsia="Times New Roman" w:cs="Times New Roman"/>
          <w:color w:val="000000" w:themeColor="text1"/>
        </w:rPr>
        <w:t>ction</w:t>
      </w:r>
      <w:r w:rsidRPr="002526BA">
        <w:rPr>
          <w:rFonts w:eastAsia="Times New Roman" w:cs="Times New Roman"/>
          <w:color w:val="000000" w:themeColor="text1"/>
        </w:rPr>
        <w:t>”</w:t>
      </w:r>
      <w:r>
        <w:rPr>
          <w:rFonts w:eastAsia="Times New Roman" w:cs="Times New Roman"/>
          <w:color w:val="000000" w:themeColor="text1"/>
        </w:rPr>
        <w:t xml:space="preserve">; Sara Humphreys, </w:t>
      </w:r>
      <w:r w:rsidRPr="24C89BF9">
        <w:rPr>
          <w:rFonts w:eastAsia="Times New Roman" w:cs="Times New Roman"/>
          <w:color w:val="000000" w:themeColor="text1"/>
        </w:rPr>
        <w:t xml:space="preserve">Chi-Chi Undie and </w:t>
      </w:r>
      <w:r>
        <w:rPr>
          <w:rFonts w:eastAsia="Times New Roman" w:cs="Times New Roman"/>
          <w:color w:val="000000" w:themeColor="text1"/>
        </w:rPr>
        <w:t>Máiréad Dunne,</w:t>
      </w:r>
      <w:r w:rsidRPr="24C89BF9">
        <w:rPr>
          <w:rFonts w:eastAsia="Times New Roman" w:cs="Times New Roman"/>
          <w:color w:val="000000" w:themeColor="text1"/>
        </w:rPr>
        <w:t xml:space="preserve"> “Gender, Sexuality and Development: Key Issues in Education an</w:t>
      </w:r>
      <w:r>
        <w:rPr>
          <w:rFonts w:eastAsia="Times New Roman" w:cs="Times New Roman"/>
          <w:color w:val="000000" w:themeColor="text1"/>
        </w:rPr>
        <w:t>d Society in Sub-Saharan Africa,</w:t>
      </w:r>
      <w:r w:rsidRPr="24C89BF9">
        <w:rPr>
          <w:rFonts w:eastAsia="Times New Roman" w:cs="Times New Roman"/>
          <w:color w:val="000000" w:themeColor="text1"/>
        </w:rPr>
        <w:t xml:space="preserve">” in </w:t>
      </w:r>
      <w:r w:rsidRPr="24C89BF9">
        <w:rPr>
          <w:rFonts w:eastAsia="Times New Roman" w:cs="Times New Roman"/>
          <w:i/>
          <w:iCs/>
          <w:color w:val="000000" w:themeColor="text1"/>
        </w:rPr>
        <w:t>Gender, Sexuality and Development: Education and Society in Sub-Saharan Africa</w:t>
      </w:r>
      <w:r>
        <w:rPr>
          <w:rFonts w:eastAsia="Times New Roman" w:cs="Times New Roman"/>
          <w:color w:val="000000" w:themeColor="text1"/>
        </w:rPr>
        <w:t>, ed. Máiréad Dunne,</w:t>
      </w:r>
      <w:r w:rsidRPr="24C89BF9">
        <w:rPr>
          <w:rFonts w:eastAsia="Times New Roman" w:cs="Times New Roman"/>
          <w:color w:val="000000" w:themeColor="text1"/>
        </w:rPr>
        <w:t xml:space="preserve"> </w:t>
      </w:r>
      <w:r>
        <w:rPr>
          <w:rFonts w:eastAsia="Times New Roman" w:cs="Times New Roman"/>
          <w:color w:val="000000" w:themeColor="text1"/>
        </w:rPr>
        <w:t>(Rotterdam, The Netherlands:</w:t>
      </w:r>
      <w:r w:rsidRPr="24C89BF9">
        <w:rPr>
          <w:rFonts w:eastAsia="Times New Roman" w:cs="Times New Roman"/>
          <w:color w:val="000000" w:themeColor="text1"/>
        </w:rPr>
        <w:t xml:space="preserve"> Sense </w:t>
      </w:r>
      <w:r>
        <w:rPr>
          <w:rFonts w:eastAsia="Times New Roman" w:cs="Times New Roman"/>
          <w:color w:val="000000" w:themeColor="text1"/>
        </w:rPr>
        <w:t>Publishers,</w:t>
      </w:r>
      <w:r w:rsidRPr="24C89BF9">
        <w:rPr>
          <w:rFonts w:eastAsia="Times New Roman" w:cs="Times New Roman"/>
          <w:color w:val="000000" w:themeColor="text1"/>
        </w:rPr>
        <w:t xml:space="preserve"> 2008</w:t>
      </w:r>
      <w:r>
        <w:rPr>
          <w:rFonts w:eastAsia="Times New Roman" w:cs="Times New Roman"/>
          <w:color w:val="000000" w:themeColor="text1"/>
        </w:rPr>
        <w:t>), 7-38</w:t>
      </w:r>
      <w:r w:rsidRPr="24C89BF9">
        <w:rPr>
          <w:rFonts w:eastAsia="Times New Roman" w:cs="Times New Roman"/>
          <w:color w:val="000000" w:themeColor="text1"/>
        </w:rPr>
        <w:t>.</w:t>
      </w:r>
    </w:p>
  </w:footnote>
  <w:footnote w:id="43">
    <w:p w14:paraId="58DFD110" w14:textId="1CE1A8C2" w:rsidR="002573F2" w:rsidRPr="00150255" w:rsidRDefault="002573F2" w:rsidP="00E3393D">
      <w:pPr>
        <w:rPr>
          <w:rFonts w:eastAsia="Times New Roman" w:cs="Times New Roman"/>
          <w:color w:val="000000" w:themeColor="text1"/>
        </w:rPr>
      </w:pPr>
      <w:r>
        <w:rPr>
          <w:rStyle w:val="FootnoteReference"/>
        </w:rPr>
        <w:footnoteRef/>
      </w:r>
      <w:r>
        <w:t xml:space="preserve"> Warrington and Kiragu, “‘It Makes More Sense to Educate a Boy’: Girls ‘Against the Odds’ in Kajiado, Kenya,” 301-309; </w:t>
      </w:r>
      <w:r w:rsidRPr="00B4142C">
        <w:t xml:space="preserve">Fatuma </w:t>
      </w:r>
      <w:r w:rsidRPr="00B4142C">
        <w:rPr>
          <w:rFonts w:cs="Times New Roman"/>
        </w:rPr>
        <w:t xml:space="preserve">Chege and Daniel Sifuna, </w:t>
      </w:r>
      <w:r w:rsidRPr="00B4142C">
        <w:rPr>
          <w:rFonts w:cs="Times New Roman"/>
          <w:i/>
          <w:iCs/>
        </w:rPr>
        <w:t>Girls’ and Women’s Education in Kenya: Gender Perspectives and Trends</w:t>
      </w:r>
      <w:r w:rsidRPr="00B4142C">
        <w:rPr>
          <w:rFonts w:cs="Times New Roman"/>
        </w:rPr>
        <w:t xml:space="preserve">, (Nairobi: UNESCO, 2006), </w:t>
      </w:r>
      <w:r>
        <w:rPr>
          <w:rFonts w:cs="Times New Roman"/>
        </w:rPr>
        <w:t>19</w:t>
      </w:r>
      <w:r>
        <w:rPr>
          <w:rFonts w:cs="Times New Roman"/>
          <w:iCs/>
        </w:rPr>
        <w:t xml:space="preserve">; and Lizzi </w:t>
      </w:r>
      <w:r>
        <w:rPr>
          <w:rFonts w:eastAsia="Times New Roman" w:cs="Times New Roman"/>
          <w:color w:val="000000" w:themeColor="text1"/>
        </w:rPr>
        <w:t xml:space="preserve">Milligan, </w:t>
      </w:r>
      <w:r w:rsidRPr="24C89BF9">
        <w:rPr>
          <w:rFonts w:eastAsia="Times New Roman" w:cs="Times New Roman"/>
          <w:color w:val="000000" w:themeColor="text1"/>
        </w:rPr>
        <w:t>“‘They Are Not Serious Like the Boys’: Gender Norms and Contradi</w:t>
      </w:r>
      <w:r>
        <w:rPr>
          <w:rFonts w:eastAsia="Times New Roman" w:cs="Times New Roman"/>
          <w:color w:val="000000" w:themeColor="text1"/>
        </w:rPr>
        <w:t>ctions for Girls in Rural Kenya,</w:t>
      </w:r>
      <w:r w:rsidRPr="24C89BF9">
        <w:rPr>
          <w:rFonts w:eastAsia="Times New Roman" w:cs="Times New Roman"/>
          <w:color w:val="000000" w:themeColor="text1"/>
        </w:rPr>
        <w:t xml:space="preserve">” </w:t>
      </w:r>
      <w:r w:rsidRPr="24C89BF9">
        <w:rPr>
          <w:rFonts w:eastAsia="Times New Roman" w:cs="Times New Roman"/>
          <w:i/>
          <w:iCs/>
          <w:color w:val="000000" w:themeColor="text1"/>
        </w:rPr>
        <w:t>Gender and Education</w:t>
      </w:r>
      <w:r>
        <w:rPr>
          <w:rFonts w:eastAsia="Times New Roman" w:cs="Times New Roman"/>
          <w:color w:val="000000" w:themeColor="text1"/>
        </w:rPr>
        <w:t xml:space="preserve"> 26, no. 5 (2014): 465-476.</w:t>
      </w:r>
    </w:p>
  </w:footnote>
  <w:footnote w:id="44">
    <w:p w14:paraId="1D643126" w14:textId="77777777" w:rsidR="002573F2" w:rsidRPr="00F71873" w:rsidRDefault="002573F2" w:rsidP="00E3393D">
      <w:pPr>
        <w:rPr>
          <w:rFonts w:eastAsia="Times New Roman" w:cs="Times New Roman"/>
          <w:color w:val="000000" w:themeColor="text1"/>
        </w:rPr>
      </w:pPr>
      <w:r>
        <w:rPr>
          <w:rStyle w:val="FootnoteReference"/>
        </w:rPr>
        <w:footnoteRef/>
      </w:r>
      <w:r>
        <w:t xml:space="preserve"> Naila </w:t>
      </w:r>
      <w:r>
        <w:rPr>
          <w:rFonts w:eastAsia="Times New Roman" w:cs="Times New Roman"/>
          <w:color w:val="000000" w:themeColor="text1"/>
        </w:rPr>
        <w:t xml:space="preserve">Kabeer, </w:t>
      </w:r>
      <w:r w:rsidRPr="24C89BF9">
        <w:rPr>
          <w:rFonts w:eastAsia="Times New Roman" w:cs="Times New Roman"/>
          <w:color w:val="000000" w:themeColor="text1"/>
        </w:rPr>
        <w:t>“Gender Equality and Women’s Empowerment: A Critical Analysis of the Thir</w:t>
      </w:r>
      <w:r>
        <w:rPr>
          <w:rFonts w:eastAsia="Times New Roman" w:cs="Times New Roman"/>
          <w:color w:val="000000" w:themeColor="text1"/>
        </w:rPr>
        <w:t>d Millennium Development Goal 1,</w:t>
      </w:r>
      <w:r w:rsidRPr="24C89BF9">
        <w:rPr>
          <w:rFonts w:eastAsia="Times New Roman" w:cs="Times New Roman"/>
          <w:color w:val="000000" w:themeColor="text1"/>
        </w:rPr>
        <w:t xml:space="preserve">” </w:t>
      </w:r>
      <w:r w:rsidRPr="24C89BF9">
        <w:rPr>
          <w:rFonts w:eastAsia="Times New Roman" w:cs="Times New Roman"/>
          <w:i/>
          <w:iCs/>
          <w:color w:val="000000" w:themeColor="text1"/>
        </w:rPr>
        <w:t>Gender and Development</w:t>
      </w:r>
      <w:r>
        <w:rPr>
          <w:rFonts w:eastAsia="Times New Roman" w:cs="Times New Roman"/>
          <w:color w:val="000000" w:themeColor="text1"/>
        </w:rPr>
        <w:t xml:space="preserve"> 13, no. 1 (2005):</w:t>
      </w:r>
      <w:r w:rsidRPr="24C89BF9">
        <w:rPr>
          <w:rFonts w:eastAsia="Times New Roman" w:cs="Times New Roman"/>
          <w:color w:val="000000" w:themeColor="text1"/>
        </w:rPr>
        <w:t xml:space="preserve"> 13-24. </w:t>
      </w:r>
    </w:p>
  </w:footnote>
  <w:footnote w:id="45">
    <w:p w14:paraId="27BE4C95" w14:textId="28B51905" w:rsidR="002573F2" w:rsidRDefault="002573F2" w:rsidP="00E3393D">
      <w:pPr>
        <w:pStyle w:val="FootnoteText"/>
      </w:pPr>
      <w:r>
        <w:rPr>
          <w:rStyle w:val="FootnoteReference"/>
        </w:rPr>
        <w:footnoteRef/>
      </w:r>
      <w:r>
        <w:t xml:space="preserve"> Warrington and Kiragu, “‘It Makes More Sense to Educate a Boy’: Girls ‘Against the Odds’ in Kajiado, Kenya,” 301-309; Chege and Sifuna, </w:t>
      </w:r>
      <w:r w:rsidRPr="60B85027">
        <w:rPr>
          <w:rFonts w:cs="Times New Roman"/>
          <w:i/>
          <w:iCs/>
        </w:rPr>
        <w:t>Girls’ and Women’s Education in Kenya: Gender Perspectives and Trends</w:t>
      </w:r>
      <w:r>
        <w:rPr>
          <w:rFonts w:cs="Times New Roman"/>
          <w:iCs/>
        </w:rPr>
        <w:t xml:space="preserve">, 40; and </w:t>
      </w:r>
      <w:r>
        <w:rPr>
          <w:rFonts w:eastAsia="Times New Roman" w:cs="Times New Roman"/>
          <w:color w:val="000000" w:themeColor="text1"/>
        </w:rPr>
        <w:t xml:space="preserve">Milligan, </w:t>
      </w:r>
      <w:r w:rsidRPr="24C89BF9">
        <w:rPr>
          <w:rFonts w:eastAsia="Times New Roman" w:cs="Times New Roman"/>
          <w:color w:val="000000" w:themeColor="text1"/>
        </w:rPr>
        <w:t>“‘They Are Not Serious Like the Boys’: Gender Norms and Contradi</w:t>
      </w:r>
      <w:r>
        <w:rPr>
          <w:rFonts w:eastAsia="Times New Roman" w:cs="Times New Roman"/>
          <w:color w:val="000000" w:themeColor="text1"/>
        </w:rPr>
        <w:t>ctions for Girls in Rural Kenya,</w:t>
      </w:r>
      <w:r w:rsidRPr="24C89BF9">
        <w:rPr>
          <w:rFonts w:eastAsia="Times New Roman" w:cs="Times New Roman"/>
          <w:color w:val="000000" w:themeColor="text1"/>
        </w:rPr>
        <w:t xml:space="preserve">” </w:t>
      </w:r>
      <w:r>
        <w:rPr>
          <w:rFonts w:eastAsia="Times New Roman" w:cs="Times New Roman"/>
          <w:color w:val="000000" w:themeColor="text1"/>
        </w:rPr>
        <w:t>465-476.</w:t>
      </w:r>
    </w:p>
  </w:footnote>
  <w:footnote w:id="46">
    <w:p w14:paraId="4A8CB86F" w14:textId="77777777" w:rsidR="002573F2" w:rsidRDefault="002573F2" w:rsidP="00E3393D">
      <w:pPr>
        <w:pStyle w:val="FootnoteText"/>
      </w:pPr>
      <w:r>
        <w:rPr>
          <w:rStyle w:val="FootnoteReference"/>
        </w:rPr>
        <w:footnoteRef/>
      </w:r>
      <w:r>
        <w:t xml:space="preserve"> Warrington and Kiragu, “‘It Makes More Sense to Educate a Boy’: Girls ‘Against the Odds’ in Kajiado, Kenya,” 301-309.</w:t>
      </w:r>
    </w:p>
  </w:footnote>
  <w:footnote w:id="47">
    <w:p w14:paraId="138C5F08" w14:textId="77777777" w:rsidR="002573F2" w:rsidRDefault="002573F2" w:rsidP="00E3393D">
      <w:pPr>
        <w:pStyle w:val="FootnoteText"/>
      </w:pPr>
      <w:r>
        <w:rPr>
          <w:rStyle w:val="FootnoteReference"/>
        </w:rPr>
        <w:footnoteRef/>
      </w:r>
      <w:r>
        <w:t xml:space="preserve"> Ibid., 301-309.</w:t>
      </w:r>
    </w:p>
  </w:footnote>
  <w:footnote w:id="48">
    <w:p w14:paraId="0B266E2E" w14:textId="77777777" w:rsidR="002573F2" w:rsidRDefault="002573F2" w:rsidP="00E3393D">
      <w:pPr>
        <w:pStyle w:val="FootnoteText"/>
      </w:pPr>
      <w:r>
        <w:rPr>
          <w:rStyle w:val="FootnoteReference"/>
        </w:rPr>
        <w:footnoteRef/>
      </w:r>
      <w:r>
        <w:t xml:space="preserve"> Chege and Sifuna, </w:t>
      </w:r>
      <w:r w:rsidRPr="60B85027">
        <w:rPr>
          <w:rFonts w:cs="Times New Roman"/>
          <w:i/>
          <w:iCs/>
        </w:rPr>
        <w:t>Girls’ and Women’s Education in Kenya: Gender Perspectives and Trends</w:t>
      </w:r>
      <w:r>
        <w:rPr>
          <w:rFonts w:cs="Times New Roman"/>
          <w:iCs/>
        </w:rPr>
        <w:t>, 46.</w:t>
      </w:r>
    </w:p>
  </w:footnote>
  <w:footnote w:id="49">
    <w:p w14:paraId="5C5D9DFF" w14:textId="77777777" w:rsidR="002573F2" w:rsidRPr="000027AF" w:rsidRDefault="002573F2" w:rsidP="00E3393D">
      <w:pPr>
        <w:rPr>
          <w:rFonts w:eastAsia="Times New Roman" w:cs="Times New Roman"/>
          <w:color w:val="000000" w:themeColor="text1"/>
        </w:rPr>
      </w:pPr>
      <w:r>
        <w:rPr>
          <w:rStyle w:val="FootnoteReference"/>
        </w:rPr>
        <w:footnoteRef/>
      </w:r>
      <w:r>
        <w:t xml:space="preserve"> Shirley </w:t>
      </w:r>
      <w:r>
        <w:rPr>
          <w:rFonts w:eastAsia="Times New Roman" w:cs="Times New Roman"/>
          <w:color w:val="000000" w:themeColor="text1"/>
        </w:rPr>
        <w:t>Miske and Diana VanBelle-Prouty,</w:t>
      </w:r>
      <w:r w:rsidRPr="24C89BF9">
        <w:rPr>
          <w:rFonts w:eastAsia="Times New Roman" w:cs="Times New Roman"/>
          <w:color w:val="000000" w:themeColor="text1"/>
        </w:rPr>
        <w:t xml:space="preserve"> “Schools Are for Girls Too: Creati</w:t>
      </w:r>
      <w:r>
        <w:rPr>
          <w:rFonts w:eastAsia="Times New Roman" w:cs="Times New Roman"/>
          <w:color w:val="000000" w:themeColor="text1"/>
        </w:rPr>
        <w:t>ng an Environment of Validation,</w:t>
      </w:r>
      <w:r w:rsidRPr="24C89BF9">
        <w:rPr>
          <w:rFonts w:eastAsia="Times New Roman" w:cs="Times New Roman"/>
          <w:color w:val="000000" w:themeColor="text1"/>
        </w:rPr>
        <w:t xml:space="preserve">” </w:t>
      </w:r>
      <w:r w:rsidRPr="24C89BF9">
        <w:rPr>
          <w:rFonts w:eastAsia="Times New Roman" w:cs="Times New Roman"/>
          <w:i/>
          <w:iCs/>
          <w:color w:val="000000" w:themeColor="text1"/>
        </w:rPr>
        <w:t>Health and Human Resources Analysis for Africa Project</w:t>
      </w:r>
      <w:r>
        <w:rPr>
          <w:rFonts w:eastAsia="Times New Roman" w:cs="Times New Roman"/>
          <w:color w:val="000000" w:themeColor="text1"/>
        </w:rPr>
        <w:t xml:space="preserve">, Technical paper no. 41, 1997, 1-25. </w:t>
      </w:r>
      <w:r w:rsidRPr="24C89BF9">
        <w:rPr>
          <w:rFonts w:eastAsia="Times New Roman" w:cs="Times New Roman"/>
          <w:color w:val="000000" w:themeColor="text1"/>
        </w:rPr>
        <w:t xml:space="preserve"> </w:t>
      </w:r>
    </w:p>
  </w:footnote>
  <w:footnote w:id="50">
    <w:p w14:paraId="0E831DD3" w14:textId="77777777" w:rsidR="002573F2" w:rsidRPr="008166D0" w:rsidRDefault="002573F2" w:rsidP="00E3393D">
      <w:pPr>
        <w:rPr>
          <w:rFonts w:eastAsia="Times New Roman" w:cs="Times New Roman"/>
          <w:color w:val="000000" w:themeColor="text1"/>
        </w:rPr>
      </w:pPr>
      <w:r>
        <w:rPr>
          <w:rStyle w:val="FootnoteReference"/>
        </w:rPr>
        <w:footnoteRef/>
      </w:r>
      <w:r>
        <w:t xml:space="preserve"> Kabeer, </w:t>
      </w:r>
      <w:r w:rsidRPr="24C89BF9">
        <w:rPr>
          <w:rFonts w:eastAsia="Times New Roman" w:cs="Times New Roman"/>
          <w:color w:val="000000" w:themeColor="text1"/>
        </w:rPr>
        <w:t>“Gender Equality and Women’s Empowerment: A Critical Analysis of the Thir</w:t>
      </w:r>
      <w:r>
        <w:rPr>
          <w:rFonts w:eastAsia="Times New Roman" w:cs="Times New Roman"/>
          <w:color w:val="000000" w:themeColor="text1"/>
        </w:rPr>
        <w:t>d Millennium Development Goal 1,</w:t>
      </w:r>
      <w:r w:rsidRPr="24C89BF9">
        <w:rPr>
          <w:rFonts w:eastAsia="Times New Roman" w:cs="Times New Roman"/>
          <w:color w:val="000000" w:themeColor="text1"/>
        </w:rPr>
        <w:t>”</w:t>
      </w:r>
      <w:r>
        <w:rPr>
          <w:rFonts w:eastAsia="Times New Roman" w:cs="Times New Roman"/>
          <w:color w:val="000000" w:themeColor="text1"/>
        </w:rPr>
        <w:t xml:space="preserve"> 13-24; </w:t>
      </w:r>
      <w:r w:rsidRPr="24C89BF9">
        <w:rPr>
          <w:rFonts w:eastAsia="Times New Roman" w:cs="Times New Roman"/>
          <w:color w:val="000000" w:themeColor="text1"/>
        </w:rPr>
        <w:t>Máiréad</w:t>
      </w:r>
      <w:r>
        <w:rPr>
          <w:rFonts w:eastAsia="Times New Roman" w:cs="Times New Roman"/>
          <w:color w:val="000000" w:themeColor="text1"/>
        </w:rPr>
        <w:t xml:space="preserve"> Dunne</w:t>
      </w:r>
      <w:r w:rsidRPr="24C89BF9">
        <w:rPr>
          <w:rFonts w:eastAsia="Times New Roman" w:cs="Times New Roman"/>
          <w:color w:val="000000" w:themeColor="text1"/>
        </w:rPr>
        <w:t>, Fiona Leach, Bagele Chilisa, Tapologo Maundeni, Richard Tabulawa, Nick Kutor, Lon</w:t>
      </w:r>
      <w:r>
        <w:rPr>
          <w:rFonts w:eastAsia="Times New Roman" w:cs="Times New Roman"/>
          <w:color w:val="000000" w:themeColor="text1"/>
        </w:rPr>
        <w:t>da Dzama Forde and Alex Asamoah,</w:t>
      </w:r>
      <w:r w:rsidRPr="24C89BF9">
        <w:rPr>
          <w:rFonts w:eastAsia="Times New Roman" w:cs="Times New Roman"/>
          <w:color w:val="000000" w:themeColor="text1"/>
        </w:rPr>
        <w:t xml:space="preserve"> </w:t>
      </w:r>
      <w:r w:rsidRPr="24C89BF9">
        <w:rPr>
          <w:rFonts w:eastAsia="Times New Roman" w:cs="Times New Roman"/>
          <w:i/>
          <w:iCs/>
          <w:color w:val="000000" w:themeColor="text1"/>
        </w:rPr>
        <w:t>Gendered School Experiences: The Impact on Retention and Achievement in Botswana and Ghana</w:t>
      </w:r>
      <w:r>
        <w:rPr>
          <w:rFonts w:eastAsia="Times New Roman" w:cs="Times New Roman"/>
          <w:color w:val="000000" w:themeColor="text1"/>
        </w:rPr>
        <w:t>,</w:t>
      </w:r>
      <w:r w:rsidRPr="24C89BF9">
        <w:rPr>
          <w:rFonts w:eastAsia="Times New Roman" w:cs="Times New Roman"/>
          <w:color w:val="000000" w:themeColor="text1"/>
        </w:rPr>
        <w:t xml:space="preserve"> </w:t>
      </w:r>
      <w:r>
        <w:rPr>
          <w:rFonts w:eastAsia="Times New Roman" w:cs="Times New Roman"/>
          <w:color w:val="000000" w:themeColor="text1"/>
        </w:rPr>
        <w:t>(London:</w:t>
      </w:r>
      <w:r w:rsidRPr="24C89BF9">
        <w:rPr>
          <w:rFonts w:eastAsia="Times New Roman" w:cs="Times New Roman"/>
          <w:color w:val="000000" w:themeColor="text1"/>
        </w:rPr>
        <w:t xml:space="preserve"> Departmen</w:t>
      </w:r>
      <w:r>
        <w:rPr>
          <w:rFonts w:eastAsia="Times New Roman" w:cs="Times New Roman"/>
          <w:color w:val="000000" w:themeColor="text1"/>
        </w:rPr>
        <w:t>t for International Development,</w:t>
      </w:r>
      <w:r w:rsidRPr="24C89BF9">
        <w:rPr>
          <w:rFonts w:eastAsia="Times New Roman" w:cs="Times New Roman"/>
          <w:color w:val="000000" w:themeColor="text1"/>
        </w:rPr>
        <w:t xml:space="preserve"> 2005</w:t>
      </w:r>
      <w:r>
        <w:rPr>
          <w:rFonts w:eastAsia="Times New Roman" w:cs="Times New Roman"/>
          <w:color w:val="000000" w:themeColor="text1"/>
        </w:rPr>
        <w:t>), 50</w:t>
      </w:r>
      <w:r w:rsidRPr="24C89BF9">
        <w:rPr>
          <w:rFonts w:eastAsia="Times New Roman" w:cs="Times New Roman"/>
          <w:color w:val="000000" w:themeColor="text1"/>
        </w:rPr>
        <w:t xml:space="preserve">. </w:t>
      </w:r>
    </w:p>
  </w:footnote>
  <w:footnote w:id="51">
    <w:p w14:paraId="571BE77D" w14:textId="77777777" w:rsidR="002573F2" w:rsidRDefault="002573F2" w:rsidP="00E3393D">
      <w:pPr>
        <w:pStyle w:val="FootnoteText"/>
      </w:pPr>
      <w:r>
        <w:rPr>
          <w:rStyle w:val="FootnoteReference"/>
        </w:rPr>
        <w:footnoteRef/>
      </w:r>
      <w:r>
        <w:t xml:space="preserve"> Kabeer, </w:t>
      </w:r>
      <w:r w:rsidRPr="24C89BF9">
        <w:rPr>
          <w:rFonts w:eastAsia="Times New Roman" w:cs="Times New Roman"/>
          <w:color w:val="000000" w:themeColor="text1"/>
        </w:rPr>
        <w:t>“Gender Equality and Women’s Empowerment: A Critical Analysis of the Thir</w:t>
      </w:r>
      <w:r>
        <w:rPr>
          <w:rFonts w:eastAsia="Times New Roman" w:cs="Times New Roman"/>
          <w:color w:val="000000" w:themeColor="text1"/>
        </w:rPr>
        <w:t>d Millennium Development Goal 1,</w:t>
      </w:r>
      <w:r w:rsidRPr="24C89BF9">
        <w:rPr>
          <w:rFonts w:eastAsia="Times New Roman" w:cs="Times New Roman"/>
          <w:color w:val="000000" w:themeColor="text1"/>
        </w:rPr>
        <w:t>”</w:t>
      </w:r>
      <w:r>
        <w:rPr>
          <w:rFonts w:eastAsia="Times New Roman" w:cs="Times New Roman"/>
          <w:color w:val="000000" w:themeColor="text1"/>
        </w:rPr>
        <w:t xml:space="preserve"> 13-24. </w:t>
      </w:r>
    </w:p>
  </w:footnote>
  <w:footnote w:id="52">
    <w:p w14:paraId="1D7376C9" w14:textId="1362BDB2" w:rsidR="002573F2" w:rsidRDefault="002573F2" w:rsidP="007007C9">
      <w:pPr>
        <w:pStyle w:val="FootnoteText"/>
      </w:pPr>
      <w:r>
        <w:rPr>
          <w:rStyle w:val="FootnoteReference"/>
        </w:rPr>
        <w:footnoteRef/>
      </w:r>
      <w:r>
        <w:t xml:space="preserve"> Ibid.,</w:t>
      </w:r>
      <w:r>
        <w:rPr>
          <w:rFonts w:eastAsia="Times New Roman" w:cs="Times New Roman"/>
          <w:color w:val="000000" w:themeColor="text1"/>
        </w:rPr>
        <w:t xml:space="preserve"> 13-24.</w:t>
      </w:r>
    </w:p>
  </w:footnote>
  <w:footnote w:id="53">
    <w:p w14:paraId="71A0B9EF" w14:textId="77777777" w:rsidR="002573F2" w:rsidRDefault="002573F2" w:rsidP="007007C9">
      <w:pPr>
        <w:pStyle w:val="FootnoteText"/>
      </w:pPr>
      <w:r>
        <w:rPr>
          <w:rStyle w:val="FootnoteReference"/>
        </w:rPr>
        <w:footnoteRef/>
      </w:r>
      <w:r>
        <w:t xml:space="preserve"> Chege and Sifuna, </w:t>
      </w:r>
      <w:r w:rsidRPr="60B85027">
        <w:rPr>
          <w:rFonts w:cs="Times New Roman"/>
          <w:i/>
          <w:iCs/>
        </w:rPr>
        <w:t>Girls’ and Women’s Education in Kenya: Gender Perspectives and Trends</w:t>
      </w:r>
      <w:r>
        <w:rPr>
          <w:rFonts w:cs="Times New Roman"/>
          <w:iCs/>
        </w:rPr>
        <w:t>, 46.</w:t>
      </w:r>
    </w:p>
  </w:footnote>
  <w:footnote w:id="54">
    <w:p w14:paraId="3E09F984" w14:textId="77777777" w:rsidR="002573F2" w:rsidRDefault="002573F2" w:rsidP="007007C9">
      <w:pPr>
        <w:pStyle w:val="FootnoteText"/>
      </w:pPr>
      <w:r>
        <w:rPr>
          <w:rStyle w:val="FootnoteReference"/>
        </w:rPr>
        <w:footnoteRef/>
      </w:r>
      <w:r>
        <w:t xml:space="preserve"> Ibid.</w:t>
      </w:r>
      <w:r>
        <w:rPr>
          <w:rFonts w:cs="Times New Roman"/>
          <w:iCs/>
        </w:rPr>
        <w:t>, 61.</w:t>
      </w:r>
    </w:p>
  </w:footnote>
  <w:footnote w:id="55">
    <w:p w14:paraId="1115E497" w14:textId="77777777" w:rsidR="002573F2" w:rsidRPr="00D904CC" w:rsidRDefault="002573F2" w:rsidP="00DE3BE2">
      <w:pPr>
        <w:rPr>
          <w:rFonts w:eastAsia="Times New Roman" w:cs="Times New Roman"/>
          <w:color w:val="000000" w:themeColor="text1"/>
        </w:rPr>
      </w:pPr>
      <w:r>
        <w:rPr>
          <w:rStyle w:val="FootnoteReference"/>
        </w:rPr>
        <w:footnoteRef/>
      </w:r>
      <w:r>
        <w:t xml:space="preserve"> Kabeer, </w:t>
      </w:r>
      <w:r w:rsidRPr="24C89BF9">
        <w:rPr>
          <w:rFonts w:eastAsia="Times New Roman" w:cs="Times New Roman"/>
          <w:color w:val="000000" w:themeColor="text1"/>
        </w:rPr>
        <w:t>“Gender Equality and Women’s Empowerment: A Critical Analysis of the Thir</w:t>
      </w:r>
      <w:r>
        <w:rPr>
          <w:rFonts w:eastAsia="Times New Roman" w:cs="Times New Roman"/>
          <w:color w:val="000000" w:themeColor="text1"/>
        </w:rPr>
        <w:t>d Millennium Development Goal 1,</w:t>
      </w:r>
      <w:r w:rsidRPr="24C89BF9">
        <w:rPr>
          <w:rFonts w:eastAsia="Times New Roman" w:cs="Times New Roman"/>
          <w:color w:val="000000" w:themeColor="text1"/>
        </w:rPr>
        <w:t>”</w:t>
      </w:r>
      <w:r>
        <w:rPr>
          <w:rFonts w:eastAsia="Times New Roman" w:cs="Times New Roman"/>
          <w:color w:val="000000" w:themeColor="text1"/>
        </w:rPr>
        <w:t xml:space="preserve"> 13-24.</w:t>
      </w:r>
    </w:p>
  </w:footnote>
  <w:footnote w:id="56">
    <w:p w14:paraId="4EFE1F6B" w14:textId="77777777" w:rsidR="002573F2" w:rsidRPr="00F42186" w:rsidRDefault="002573F2" w:rsidP="009B23BD">
      <w:pPr>
        <w:rPr>
          <w:rFonts w:eastAsia="Times New Roman" w:cs="Times New Roman"/>
          <w:color w:val="000000" w:themeColor="text1"/>
        </w:rPr>
      </w:pPr>
      <w:r>
        <w:rPr>
          <w:rStyle w:val="FootnoteReference"/>
        </w:rPr>
        <w:footnoteRef/>
      </w:r>
      <w:r>
        <w:t xml:space="preserve"> </w:t>
      </w:r>
      <w:r>
        <w:rPr>
          <w:rFonts w:eastAsia="Times New Roman" w:cs="Times New Roman"/>
          <w:color w:val="000000" w:themeColor="text1"/>
        </w:rPr>
        <w:t xml:space="preserve">Dunne et. al., </w:t>
      </w:r>
      <w:r>
        <w:rPr>
          <w:rFonts w:eastAsia="Times New Roman" w:cs="Times New Roman"/>
          <w:i/>
          <w:color w:val="000000" w:themeColor="text1"/>
        </w:rPr>
        <w:t>Gendered School Experiences: The Impact on Retention and Achievement in Botswana and Ghana</w:t>
      </w:r>
      <w:r>
        <w:rPr>
          <w:rFonts w:eastAsia="Times New Roman" w:cs="Times New Roman"/>
          <w:color w:val="000000" w:themeColor="text1"/>
        </w:rPr>
        <w:t xml:space="preserve">, 47. </w:t>
      </w:r>
    </w:p>
  </w:footnote>
  <w:footnote w:id="57">
    <w:p w14:paraId="06082A82" w14:textId="77777777" w:rsidR="002573F2" w:rsidRPr="00F42186" w:rsidRDefault="002573F2" w:rsidP="009B23BD">
      <w:pPr>
        <w:rPr>
          <w:rFonts w:eastAsia="Times New Roman" w:cs="Times New Roman"/>
          <w:color w:val="000000" w:themeColor="text1"/>
        </w:rPr>
      </w:pPr>
      <w:r>
        <w:rPr>
          <w:rStyle w:val="FootnoteReference"/>
        </w:rPr>
        <w:footnoteRef/>
      </w:r>
      <w:r>
        <w:t xml:space="preserve"> Ibid.</w:t>
      </w:r>
      <w:r>
        <w:rPr>
          <w:rFonts w:eastAsia="Times New Roman" w:cs="Times New Roman"/>
          <w:color w:val="000000" w:themeColor="text1"/>
        </w:rPr>
        <w:t xml:space="preserve">, 49. </w:t>
      </w:r>
    </w:p>
  </w:footnote>
  <w:footnote w:id="58">
    <w:p w14:paraId="54DAAF9D" w14:textId="77777777" w:rsidR="002573F2" w:rsidRPr="00226A74" w:rsidRDefault="002573F2" w:rsidP="009B23BD">
      <w:pPr>
        <w:rPr>
          <w:rFonts w:eastAsia="Times New Roman" w:cs="Times New Roman"/>
          <w:color w:val="000000" w:themeColor="text1"/>
        </w:rPr>
      </w:pPr>
      <w:r>
        <w:rPr>
          <w:rStyle w:val="FootnoteReference"/>
        </w:rPr>
        <w:footnoteRef/>
      </w:r>
      <w:r>
        <w:t xml:space="preserve"> </w:t>
      </w:r>
      <w:r>
        <w:rPr>
          <w:rFonts w:eastAsia="Times New Roman" w:cs="Times New Roman"/>
          <w:color w:val="000000" w:themeColor="text1"/>
        </w:rPr>
        <w:t xml:space="preserve">Commonwealth Secretariat quoted by Dunne, Humphreys and Leach, </w:t>
      </w:r>
      <w:r w:rsidRPr="24C89BF9">
        <w:rPr>
          <w:rFonts w:eastAsia="Times New Roman" w:cs="Times New Roman"/>
          <w:color w:val="000000" w:themeColor="text1"/>
        </w:rPr>
        <w:t xml:space="preserve">“Gender Violence in </w:t>
      </w:r>
      <w:r>
        <w:rPr>
          <w:rFonts w:eastAsia="Times New Roman" w:cs="Times New Roman"/>
          <w:color w:val="000000" w:themeColor="text1"/>
        </w:rPr>
        <w:t xml:space="preserve">Schools in the Developing World,” 75-98. </w:t>
      </w:r>
    </w:p>
  </w:footnote>
  <w:footnote w:id="59">
    <w:p w14:paraId="1AE5B10B" w14:textId="77777777" w:rsidR="002573F2" w:rsidRPr="00F74DBF" w:rsidRDefault="002573F2" w:rsidP="00530530">
      <w:pPr>
        <w:rPr>
          <w:rFonts w:eastAsia="Times New Roman" w:cs="Times New Roman"/>
          <w:color w:val="000000" w:themeColor="text1"/>
        </w:rPr>
      </w:pPr>
      <w:r>
        <w:rPr>
          <w:rStyle w:val="FootnoteReference"/>
        </w:rPr>
        <w:footnoteRef/>
      </w:r>
      <w:r>
        <w:t xml:space="preserve"> Stephan </w:t>
      </w:r>
      <w:r>
        <w:rPr>
          <w:rFonts w:eastAsia="Times New Roman" w:cs="Times New Roman"/>
          <w:color w:val="000000" w:themeColor="text1"/>
        </w:rPr>
        <w:t>Klasen and Francesca Lamanna,</w:t>
      </w:r>
      <w:r w:rsidRPr="24C89BF9">
        <w:rPr>
          <w:rFonts w:eastAsia="Times New Roman" w:cs="Times New Roman"/>
          <w:color w:val="000000" w:themeColor="text1"/>
        </w:rPr>
        <w:t xml:space="preserve"> “The Impact of Gender Inequality in Education and Employment on Economic Growth: New Ev</w:t>
      </w:r>
      <w:r>
        <w:rPr>
          <w:rFonts w:eastAsia="Times New Roman" w:cs="Times New Roman"/>
          <w:color w:val="000000" w:themeColor="text1"/>
        </w:rPr>
        <w:t>idence for a Panel of Countries,</w:t>
      </w:r>
      <w:r w:rsidRPr="24C89BF9">
        <w:rPr>
          <w:rFonts w:eastAsia="Times New Roman" w:cs="Times New Roman"/>
          <w:color w:val="000000" w:themeColor="text1"/>
        </w:rPr>
        <w:t xml:space="preserve">” </w:t>
      </w:r>
      <w:r w:rsidRPr="24C89BF9">
        <w:rPr>
          <w:rFonts w:eastAsia="Times New Roman" w:cs="Times New Roman"/>
          <w:i/>
          <w:iCs/>
          <w:color w:val="000000" w:themeColor="text1"/>
        </w:rPr>
        <w:t>Feminist Economics</w:t>
      </w:r>
      <w:r>
        <w:rPr>
          <w:rFonts w:eastAsia="Times New Roman" w:cs="Times New Roman"/>
          <w:color w:val="000000" w:themeColor="text1"/>
        </w:rPr>
        <w:t xml:space="preserve"> 15, no. 3 (2009):</w:t>
      </w:r>
      <w:r w:rsidRPr="24C89BF9">
        <w:rPr>
          <w:rFonts w:eastAsia="Times New Roman" w:cs="Times New Roman"/>
          <w:color w:val="000000" w:themeColor="text1"/>
        </w:rPr>
        <w:t xml:space="preserve"> 91-132. </w:t>
      </w:r>
    </w:p>
  </w:footnote>
  <w:footnote w:id="60">
    <w:p w14:paraId="78C5B8FA" w14:textId="77777777" w:rsidR="002573F2" w:rsidRPr="00F74DBF" w:rsidRDefault="002573F2" w:rsidP="00530530">
      <w:pPr>
        <w:rPr>
          <w:rFonts w:eastAsia="Times New Roman" w:cs="Times New Roman"/>
          <w:color w:val="000000" w:themeColor="text1"/>
        </w:rPr>
      </w:pPr>
      <w:r>
        <w:rPr>
          <w:rStyle w:val="FootnoteReference"/>
        </w:rPr>
        <w:footnoteRef/>
      </w:r>
      <w:r>
        <w:t xml:space="preserve"> Ibid., </w:t>
      </w:r>
      <w:r w:rsidRPr="24C89BF9">
        <w:rPr>
          <w:rFonts w:eastAsia="Times New Roman" w:cs="Times New Roman"/>
          <w:color w:val="000000" w:themeColor="text1"/>
        </w:rPr>
        <w:t>91-132.</w:t>
      </w:r>
    </w:p>
  </w:footnote>
  <w:footnote w:id="61">
    <w:p w14:paraId="545641AF" w14:textId="77777777" w:rsidR="002573F2" w:rsidRPr="00F74DBF" w:rsidRDefault="002573F2" w:rsidP="00530530">
      <w:pPr>
        <w:rPr>
          <w:rFonts w:eastAsia="Times New Roman" w:cs="Times New Roman"/>
          <w:color w:val="000000" w:themeColor="text1"/>
        </w:rPr>
      </w:pPr>
      <w:r>
        <w:rPr>
          <w:rStyle w:val="FootnoteReference"/>
        </w:rPr>
        <w:footnoteRef/>
      </w:r>
      <w:r>
        <w:t xml:space="preserve"> Ibid., </w:t>
      </w:r>
      <w:r w:rsidRPr="24C89BF9">
        <w:rPr>
          <w:rFonts w:eastAsia="Times New Roman" w:cs="Times New Roman"/>
          <w:color w:val="000000" w:themeColor="text1"/>
        </w:rPr>
        <w:t>91-132.</w:t>
      </w:r>
    </w:p>
  </w:footnote>
  <w:footnote w:id="62">
    <w:p w14:paraId="5F8EE84B" w14:textId="577A0D1A" w:rsidR="002573F2" w:rsidRDefault="002573F2">
      <w:pPr>
        <w:pStyle w:val="FootnoteText"/>
      </w:pPr>
      <w:r>
        <w:rPr>
          <w:rStyle w:val="FootnoteReference"/>
        </w:rPr>
        <w:footnoteRef/>
      </w:r>
      <w:r>
        <w:t xml:space="preserve"> There was a large Arab influence on education in the coastal region prior to European formal education. Unfortunately, the influence of Arab education institutions largely remain out of the scope of this thesis and, therefore, while I recognize that there was Arab influence on education I do not analyze that specific influence in this paper.</w:t>
      </w:r>
    </w:p>
  </w:footnote>
  <w:footnote w:id="63">
    <w:p w14:paraId="66937729" w14:textId="217D03C4" w:rsidR="002573F2" w:rsidRDefault="002573F2" w:rsidP="006125FB">
      <w:r>
        <w:rPr>
          <w:rStyle w:val="FootnoteReference"/>
        </w:rPr>
        <w:footnoteRef/>
      </w:r>
      <w:r>
        <w:t xml:space="preserve"> Furley and Watson, </w:t>
      </w:r>
      <w:r>
        <w:rPr>
          <w:i/>
        </w:rPr>
        <w:t>A History of Education in East Africa</w:t>
      </w:r>
      <w:r>
        <w:t>, 69.</w:t>
      </w:r>
    </w:p>
  </w:footnote>
  <w:footnote w:id="64">
    <w:p w14:paraId="7A13F8BB" w14:textId="72209C7C" w:rsidR="002573F2" w:rsidRDefault="002573F2" w:rsidP="00A50DC7">
      <w:r>
        <w:rPr>
          <w:rStyle w:val="FootnoteReference"/>
        </w:rPr>
        <w:footnoteRef/>
      </w:r>
      <w:r>
        <w:t xml:space="preserve"> Furley and Watson, </w:t>
      </w:r>
      <w:r>
        <w:rPr>
          <w:i/>
        </w:rPr>
        <w:t>A History of Education in East Africa</w:t>
      </w:r>
      <w:r>
        <w:t>, 3.</w:t>
      </w:r>
    </w:p>
  </w:footnote>
  <w:footnote w:id="65">
    <w:p w14:paraId="2DFAEE92" w14:textId="00406E5D" w:rsidR="002573F2" w:rsidRDefault="002573F2">
      <w:pPr>
        <w:pStyle w:val="FootnoteText"/>
      </w:pPr>
      <w:r>
        <w:rPr>
          <w:rStyle w:val="FootnoteReference"/>
        </w:rPr>
        <w:footnoteRef/>
      </w:r>
      <w:r>
        <w:t xml:space="preserve"> Education is a means of socialization, but ultimately it is more than just socialization or induction into a culture because of the formal structures (such as levels of education for the Kikuyu and Meru) in place in </w:t>
      </w:r>
      <w:r>
        <w:rPr>
          <w:rFonts w:cs="Times New Roman"/>
        </w:rPr>
        <w:t>indigenous</w:t>
      </w:r>
      <w:r>
        <w:t xml:space="preserve"> education. </w:t>
      </w:r>
    </w:p>
  </w:footnote>
  <w:footnote w:id="66">
    <w:p w14:paraId="7786900C" w14:textId="7ED872CB" w:rsidR="002573F2" w:rsidRDefault="002573F2">
      <w:pPr>
        <w:pStyle w:val="FootnoteText"/>
      </w:pPr>
      <w:r>
        <w:rPr>
          <w:rStyle w:val="FootnoteReference"/>
        </w:rPr>
        <w:footnoteRef/>
      </w:r>
      <w:r>
        <w:t xml:space="preserve"> Sorobea Bogonko, </w:t>
      </w:r>
      <w:r>
        <w:rPr>
          <w:i/>
        </w:rPr>
        <w:t>A History of Modern Education in Kenya (1895-1991),</w:t>
      </w:r>
      <w:r>
        <w:t xml:space="preserve"> (Nairobi: Evans Brothers Ltd, 1992), 5. Bogonko recognizes that there were types of formal education in pre-colonial Kenya, such as apprenticeship for trades or initiation ceremonies. However, he concludes that most education was informal, which is also why I focus on the informal aspects of </w:t>
      </w:r>
      <w:r>
        <w:rPr>
          <w:rFonts w:cs="Times New Roman"/>
        </w:rPr>
        <w:t>indigenous</w:t>
      </w:r>
      <w:r>
        <w:t xml:space="preserve"> education. </w:t>
      </w:r>
    </w:p>
  </w:footnote>
  <w:footnote w:id="67">
    <w:p w14:paraId="16386A35" w14:textId="79C4CAA4" w:rsidR="002573F2" w:rsidRDefault="002573F2" w:rsidP="005D4EB6">
      <w:r>
        <w:rPr>
          <w:rStyle w:val="FootnoteReference"/>
        </w:rPr>
        <w:footnoteRef/>
      </w:r>
      <w:r>
        <w:t xml:space="preserve"> Fafunwa cited by David Woolman, “Educational Reconstruction and Post-Colonial Curriculum Development: A Comparative Study of Four African C</w:t>
      </w:r>
      <w:r w:rsidRPr="00F0749A">
        <w:t>ountries</w:t>
      </w:r>
      <w:r>
        <w:t xml:space="preserve">,” </w:t>
      </w:r>
      <w:r>
        <w:rPr>
          <w:i/>
        </w:rPr>
        <w:t>International Education Journal</w:t>
      </w:r>
      <w:r>
        <w:t xml:space="preserve"> 2, no. 5 (2001): 27-46.</w:t>
      </w:r>
    </w:p>
  </w:footnote>
  <w:footnote w:id="68">
    <w:p w14:paraId="66FD8D0E" w14:textId="65518F94" w:rsidR="002573F2" w:rsidRDefault="002573F2">
      <w:pPr>
        <w:pStyle w:val="FootnoteText"/>
      </w:pPr>
      <w:r>
        <w:rPr>
          <w:rStyle w:val="FootnoteReference"/>
        </w:rPr>
        <w:footnoteRef/>
      </w:r>
      <w:r>
        <w:t xml:space="preserve"> Ocitti cited by Michael </w:t>
      </w:r>
      <w:r w:rsidRPr="60B85027">
        <w:rPr>
          <w:rFonts w:cs="Times New Roman"/>
        </w:rPr>
        <w:t>A</w:t>
      </w:r>
      <w:r>
        <w:rPr>
          <w:rFonts w:cs="Times New Roman"/>
        </w:rPr>
        <w:t>deyemi and Augustus Adeyinka,</w:t>
      </w:r>
      <w:r w:rsidRPr="60B85027">
        <w:rPr>
          <w:rFonts w:cs="Times New Roman"/>
        </w:rPr>
        <w:t xml:space="preserve"> “The Principles and Content o</w:t>
      </w:r>
      <w:r>
        <w:rPr>
          <w:rFonts w:cs="Times New Roman"/>
        </w:rPr>
        <w:t>f African Traditional Education,</w:t>
      </w:r>
      <w:r w:rsidRPr="60B85027">
        <w:rPr>
          <w:rFonts w:cs="Times New Roman"/>
        </w:rPr>
        <w:t xml:space="preserve">” </w:t>
      </w:r>
      <w:r w:rsidRPr="60B85027">
        <w:rPr>
          <w:rFonts w:cs="Times New Roman"/>
          <w:i/>
          <w:iCs/>
        </w:rPr>
        <w:t>Education Philosophy and Theory</w:t>
      </w:r>
      <w:r>
        <w:rPr>
          <w:rFonts w:cs="Times New Roman"/>
        </w:rPr>
        <w:t xml:space="preserve"> 35, no. 4 (2003): 425-440.</w:t>
      </w:r>
    </w:p>
  </w:footnote>
  <w:footnote w:id="69">
    <w:p w14:paraId="5CCB3D69" w14:textId="52E987F9" w:rsidR="002573F2" w:rsidRDefault="002573F2" w:rsidP="001A4B66">
      <w:r>
        <w:rPr>
          <w:rStyle w:val="FootnoteReference"/>
        </w:rPr>
        <w:footnoteRef/>
      </w:r>
      <w:r>
        <w:t xml:space="preserve"> Ibid., 425-440.</w:t>
      </w:r>
    </w:p>
  </w:footnote>
  <w:footnote w:id="70">
    <w:p w14:paraId="22C7006E" w14:textId="671BA0BE" w:rsidR="002573F2" w:rsidRPr="001A4B66" w:rsidRDefault="002573F2" w:rsidP="001A4B66">
      <w:pPr>
        <w:rPr>
          <w:rFonts w:cs="Times New Roman"/>
        </w:rPr>
      </w:pPr>
      <w:r>
        <w:rPr>
          <w:rStyle w:val="FootnoteReference"/>
        </w:rPr>
        <w:footnoteRef/>
      </w:r>
      <w:r>
        <w:t xml:space="preserve"> Ominde quoted by </w:t>
      </w:r>
      <w:r>
        <w:rPr>
          <w:rFonts w:cs="Times New Roman"/>
        </w:rPr>
        <w:t xml:space="preserve">Furley and Watson, </w:t>
      </w:r>
      <w:r>
        <w:rPr>
          <w:i/>
        </w:rPr>
        <w:t>A History of Education in East Africa</w:t>
      </w:r>
      <w:r>
        <w:t xml:space="preserve">, 6. </w:t>
      </w:r>
    </w:p>
  </w:footnote>
  <w:footnote w:id="71">
    <w:p w14:paraId="2D6402CD" w14:textId="31A6152A" w:rsidR="002573F2" w:rsidRPr="003A3794" w:rsidRDefault="002573F2" w:rsidP="003A3794">
      <w:pPr>
        <w:rPr>
          <w:rFonts w:cs="Times New Roman"/>
        </w:rPr>
      </w:pPr>
      <w:r>
        <w:rPr>
          <w:rStyle w:val="FootnoteReference"/>
        </w:rPr>
        <w:footnoteRef/>
      </w:r>
      <w:r>
        <w:t xml:space="preserve"> Ibid., 10. </w:t>
      </w:r>
    </w:p>
  </w:footnote>
  <w:footnote w:id="72">
    <w:p w14:paraId="1FF4007A" w14:textId="1DD17935" w:rsidR="002573F2" w:rsidRDefault="002573F2">
      <w:pPr>
        <w:pStyle w:val="FootnoteText"/>
      </w:pPr>
      <w:r>
        <w:rPr>
          <w:rStyle w:val="FootnoteReference"/>
        </w:rPr>
        <w:footnoteRef/>
      </w:r>
      <w:r>
        <w:t xml:space="preserve"> Daniel Sifuna, </w:t>
      </w:r>
      <w:r>
        <w:rPr>
          <w:i/>
        </w:rPr>
        <w:t>Development of Education in Africa: The Kenyan Experience</w:t>
      </w:r>
      <w:r>
        <w:t>, (Nairobi: Initiatives Publishers, 1990), 5.</w:t>
      </w:r>
    </w:p>
  </w:footnote>
  <w:footnote w:id="73">
    <w:p w14:paraId="5646723F" w14:textId="1F45AF25" w:rsidR="002573F2" w:rsidRDefault="002573F2" w:rsidP="009F46E8">
      <w:r>
        <w:rPr>
          <w:rStyle w:val="FootnoteReference"/>
        </w:rPr>
        <w:footnoteRef/>
      </w:r>
      <w:r>
        <w:t xml:space="preserve"> Woolman, “Educational Reconstruction and Post-Colonial Curriculum Development: A Comparative Study of Four African Countries,” 27-46. </w:t>
      </w:r>
    </w:p>
  </w:footnote>
  <w:footnote w:id="74">
    <w:p w14:paraId="1E81DA92" w14:textId="3E7346BD" w:rsidR="002573F2" w:rsidRPr="009F46E8" w:rsidRDefault="002573F2" w:rsidP="009F46E8">
      <w:pPr>
        <w:rPr>
          <w:rFonts w:cs="Times New Roman"/>
        </w:rPr>
      </w:pPr>
      <w:r>
        <w:rPr>
          <w:rStyle w:val="FootnoteReference"/>
        </w:rPr>
        <w:footnoteRef/>
      </w:r>
      <w:r>
        <w:t xml:space="preserve"> Mbiti quoted by</w:t>
      </w:r>
      <w:r>
        <w:rPr>
          <w:rFonts w:cs="Times New Roman"/>
        </w:rPr>
        <w:t xml:space="preserve"> Furley and Watson, </w:t>
      </w:r>
      <w:r>
        <w:rPr>
          <w:i/>
        </w:rPr>
        <w:t>A History of Education in East Africa</w:t>
      </w:r>
      <w:r>
        <w:t xml:space="preserve">, 8. </w:t>
      </w:r>
    </w:p>
  </w:footnote>
  <w:footnote w:id="75">
    <w:p w14:paraId="6B0C3FDB" w14:textId="71702C48" w:rsidR="002573F2" w:rsidRPr="00E97FA5" w:rsidRDefault="002573F2" w:rsidP="00E97FA5">
      <w:pPr>
        <w:rPr>
          <w:rFonts w:cs="Times New Roman"/>
        </w:rPr>
      </w:pPr>
      <w:r>
        <w:rPr>
          <w:rStyle w:val="FootnoteReference"/>
        </w:rPr>
        <w:footnoteRef/>
      </w:r>
      <w:r>
        <w:t xml:space="preserve"> Ibid., 19. </w:t>
      </w:r>
    </w:p>
  </w:footnote>
  <w:footnote w:id="76">
    <w:p w14:paraId="3EB04778" w14:textId="4E68197F" w:rsidR="002573F2" w:rsidRPr="00E97FA5" w:rsidRDefault="002573F2" w:rsidP="00E97FA5">
      <w:pPr>
        <w:rPr>
          <w:rFonts w:cs="Times New Roman"/>
        </w:rPr>
      </w:pPr>
      <w:r>
        <w:rPr>
          <w:rStyle w:val="FootnoteReference"/>
        </w:rPr>
        <w:footnoteRef/>
      </w:r>
      <w:r>
        <w:t xml:space="preserve"> Ibid., 19. </w:t>
      </w:r>
    </w:p>
  </w:footnote>
  <w:footnote w:id="77">
    <w:p w14:paraId="0F14F6EA" w14:textId="3C4A404E" w:rsidR="002573F2" w:rsidRPr="00E97FA5" w:rsidRDefault="002573F2" w:rsidP="00E97FA5">
      <w:pPr>
        <w:rPr>
          <w:rFonts w:cs="Times New Roman"/>
        </w:rPr>
      </w:pPr>
      <w:r>
        <w:rPr>
          <w:rStyle w:val="FootnoteReference"/>
        </w:rPr>
        <w:footnoteRef/>
      </w:r>
      <w:r>
        <w:t xml:space="preserve"> Ibid., 19. </w:t>
      </w:r>
    </w:p>
  </w:footnote>
  <w:footnote w:id="78">
    <w:p w14:paraId="089E316E" w14:textId="24128D18" w:rsidR="002573F2" w:rsidRPr="00E97FA5" w:rsidRDefault="002573F2" w:rsidP="00E97FA5">
      <w:pPr>
        <w:rPr>
          <w:rFonts w:cs="Times New Roman"/>
        </w:rPr>
      </w:pPr>
      <w:r>
        <w:rPr>
          <w:rStyle w:val="FootnoteReference"/>
        </w:rPr>
        <w:footnoteRef/>
      </w:r>
      <w:r>
        <w:t xml:space="preserve"> Ogot quoted by </w:t>
      </w:r>
      <w:r>
        <w:rPr>
          <w:rFonts w:cs="Times New Roman"/>
        </w:rPr>
        <w:t xml:space="preserve">Furley and Watson, </w:t>
      </w:r>
      <w:r>
        <w:rPr>
          <w:i/>
        </w:rPr>
        <w:t>A History of Education in East Africa</w:t>
      </w:r>
      <w:r>
        <w:t xml:space="preserve">, 22. </w:t>
      </w:r>
    </w:p>
  </w:footnote>
  <w:footnote w:id="79">
    <w:p w14:paraId="21AE2F69" w14:textId="3B56CC25" w:rsidR="002573F2" w:rsidRDefault="002573F2" w:rsidP="00E97FA5">
      <w:r>
        <w:rPr>
          <w:rStyle w:val="FootnoteReference"/>
        </w:rPr>
        <w:footnoteRef/>
      </w:r>
      <w:r>
        <w:t xml:space="preserve"> Adeyemi and Adeyinka, “The Principles and Content of African Traditional Education,” 425-440. </w:t>
      </w:r>
    </w:p>
  </w:footnote>
  <w:footnote w:id="80">
    <w:p w14:paraId="272FAF9D" w14:textId="686C87D2" w:rsidR="002573F2" w:rsidRDefault="002573F2" w:rsidP="007512A5">
      <w:r>
        <w:rPr>
          <w:rStyle w:val="FootnoteReference"/>
        </w:rPr>
        <w:footnoteRef/>
      </w:r>
      <w:r>
        <w:t xml:space="preserve"> John Lonsdale and Bruce Berman, “Coping with the Contradictions: The Development of the Colonial State in Kenya, 1895-1914,” </w:t>
      </w:r>
      <w:r>
        <w:rPr>
          <w:i/>
        </w:rPr>
        <w:t xml:space="preserve">Journal of African History </w:t>
      </w:r>
      <w:r>
        <w:t>20, (1979): 487-505.</w:t>
      </w:r>
    </w:p>
  </w:footnote>
  <w:footnote w:id="81">
    <w:p w14:paraId="1A0C8E92" w14:textId="00E77D9B" w:rsidR="002573F2" w:rsidRDefault="002573F2">
      <w:pPr>
        <w:pStyle w:val="FootnoteText"/>
      </w:pPr>
      <w:r>
        <w:rPr>
          <w:rStyle w:val="FootnoteReference"/>
        </w:rPr>
        <w:footnoteRef/>
      </w:r>
      <w:r>
        <w:t xml:space="preserve"> </w:t>
      </w:r>
      <w:r>
        <w:rPr>
          <w:rFonts w:cs="Times New Roman"/>
        </w:rPr>
        <w:t xml:space="preserve">Hornsby, </w:t>
      </w:r>
      <w:r>
        <w:rPr>
          <w:rFonts w:cs="Times New Roman"/>
          <w:i/>
        </w:rPr>
        <w:t>Kenya: A History Since Independence</w:t>
      </w:r>
      <w:r>
        <w:rPr>
          <w:rFonts w:cs="Times New Roman"/>
        </w:rPr>
        <w:t>, 23.</w:t>
      </w:r>
    </w:p>
  </w:footnote>
  <w:footnote w:id="82">
    <w:p w14:paraId="35EEA1A4" w14:textId="493BDB57" w:rsidR="002573F2" w:rsidRPr="0070073F" w:rsidRDefault="002573F2" w:rsidP="0070073F">
      <w:pPr>
        <w:rPr>
          <w:rFonts w:cs="Times New Roman"/>
        </w:rPr>
      </w:pPr>
      <w:r>
        <w:rPr>
          <w:rStyle w:val="FootnoteReference"/>
        </w:rPr>
        <w:footnoteRef/>
      </w:r>
      <w:r>
        <w:t xml:space="preserve"> </w:t>
      </w:r>
      <w:r>
        <w:rPr>
          <w:rFonts w:cs="Times New Roman"/>
        </w:rPr>
        <w:t xml:space="preserve">Ibid., 23. </w:t>
      </w:r>
    </w:p>
  </w:footnote>
  <w:footnote w:id="83">
    <w:p w14:paraId="2B7930CE" w14:textId="0DEFAEAA" w:rsidR="002573F2" w:rsidRPr="00031080" w:rsidRDefault="002573F2" w:rsidP="00031080">
      <w:pPr>
        <w:rPr>
          <w:rFonts w:cs="Times New Roman"/>
        </w:rPr>
      </w:pPr>
      <w:r>
        <w:rPr>
          <w:rStyle w:val="FootnoteReference"/>
        </w:rPr>
        <w:footnoteRef/>
      </w:r>
      <w:r>
        <w:t xml:space="preserve"> Ibid.</w:t>
      </w:r>
      <w:r>
        <w:rPr>
          <w:rFonts w:cs="Times New Roman"/>
        </w:rPr>
        <w:t xml:space="preserve">, 23.  </w:t>
      </w:r>
    </w:p>
  </w:footnote>
  <w:footnote w:id="84">
    <w:p w14:paraId="61B51370" w14:textId="5ABD75A8" w:rsidR="002573F2" w:rsidRPr="00031080" w:rsidRDefault="002573F2" w:rsidP="00031080">
      <w:pPr>
        <w:rPr>
          <w:rFonts w:cs="Times New Roman"/>
        </w:rPr>
      </w:pPr>
      <w:r>
        <w:rPr>
          <w:rStyle w:val="FootnoteReference"/>
        </w:rPr>
        <w:footnoteRef/>
      </w:r>
      <w:r>
        <w:t xml:space="preserve"> Ibid.</w:t>
      </w:r>
      <w:r>
        <w:rPr>
          <w:rFonts w:cs="Times New Roman"/>
        </w:rPr>
        <w:t xml:space="preserve">, 23.  </w:t>
      </w:r>
    </w:p>
  </w:footnote>
  <w:footnote w:id="85">
    <w:p w14:paraId="5913C2FB" w14:textId="275BEC6F" w:rsidR="002573F2" w:rsidRDefault="002573F2" w:rsidP="00031080">
      <w:r>
        <w:rPr>
          <w:rStyle w:val="FootnoteReference"/>
        </w:rPr>
        <w:footnoteRef/>
      </w:r>
      <w:r>
        <w:t xml:space="preserve"> Steven Feierman, “A Century of Ironies in East Africa (c.1780-1890),” in </w:t>
      </w:r>
      <w:r w:rsidRPr="00B85973">
        <w:rPr>
          <w:i/>
        </w:rPr>
        <w:t>African History: From Earliest Times to Independence</w:t>
      </w:r>
      <w:r>
        <w:t xml:space="preserve">, eds. Philip Curtin, Steven Feierman, Leonard Thompson, and Jan Vansina, (Harlow, England: Pearson Education Limited, 1995), 352-376. </w:t>
      </w:r>
    </w:p>
  </w:footnote>
  <w:footnote w:id="86">
    <w:p w14:paraId="4C9D6C48" w14:textId="4411E790" w:rsidR="002573F2" w:rsidRDefault="002573F2" w:rsidP="00031080">
      <w:r>
        <w:rPr>
          <w:rStyle w:val="FootnoteReference"/>
        </w:rPr>
        <w:footnoteRef/>
      </w:r>
      <w:r>
        <w:t xml:space="preserve"> Bogonko, </w:t>
      </w:r>
      <w:r>
        <w:rPr>
          <w:i/>
        </w:rPr>
        <w:t>A History of Modern Education in Kenya (1895-1991)</w:t>
      </w:r>
      <w:r>
        <w:t>, 3.</w:t>
      </w:r>
    </w:p>
  </w:footnote>
  <w:footnote w:id="87">
    <w:p w14:paraId="74CC34E8" w14:textId="26B36F87" w:rsidR="002573F2" w:rsidRDefault="002573F2" w:rsidP="001B0E84">
      <w:r>
        <w:rPr>
          <w:rStyle w:val="FootnoteReference"/>
        </w:rPr>
        <w:footnoteRef/>
      </w:r>
      <w:r>
        <w:t xml:space="preserve"> Ibid., 2. </w:t>
      </w:r>
    </w:p>
  </w:footnote>
  <w:footnote w:id="88">
    <w:p w14:paraId="72DD5D41" w14:textId="07C770F0" w:rsidR="002573F2" w:rsidRPr="00E57C58" w:rsidRDefault="002573F2">
      <w:pPr>
        <w:pStyle w:val="FootnoteText"/>
      </w:pPr>
      <w:r>
        <w:rPr>
          <w:rStyle w:val="FootnoteReference"/>
        </w:rPr>
        <w:footnoteRef/>
      </w:r>
      <w:r>
        <w:t xml:space="preserve"> </w:t>
      </w:r>
      <w:r w:rsidRPr="00E57C58">
        <w:t xml:space="preserve">Robert Tignor, </w:t>
      </w:r>
      <w:r w:rsidRPr="00E57C58">
        <w:rPr>
          <w:i/>
        </w:rPr>
        <w:t>Colonial Transformation of Kenya: The Kamba, Kikuyu, and Maasai from 1900-1939</w:t>
      </w:r>
      <w:r w:rsidRPr="00E57C58">
        <w:t>, (</w:t>
      </w:r>
      <w:r>
        <w:t>Princeton: Princeton University Press, 1976</w:t>
      </w:r>
      <w:r w:rsidRPr="00E57C58">
        <w:t xml:space="preserve">), 3. </w:t>
      </w:r>
    </w:p>
  </w:footnote>
  <w:footnote w:id="89">
    <w:p w14:paraId="3F81AADC" w14:textId="328A9BBB" w:rsidR="002573F2" w:rsidRPr="00320B55" w:rsidRDefault="002573F2">
      <w:pPr>
        <w:pStyle w:val="FootnoteText"/>
      </w:pPr>
      <w:r w:rsidRPr="00E57C58">
        <w:rPr>
          <w:rStyle w:val="FootnoteReference"/>
        </w:rPr>
        <w:footnoteRef/>
      </w:r>
      <w:r>
        <w:t xml:space="preserve"> Bogonko, </w:t>
      </w:r>
      <w:r>
        <w:rPr>
          <w:i/>
        </w:rPr>
        <w:t>A History of Modern Education in Kenya (1895-1991)</w:t>
      </w:r>
      <w:r>
        <w:t>, 6-10.</w:t>
      </w:r>
    </w:p>
  </w:footnote>
  <w:footnote w:id="90">
    <w:p w14:paraId="6D0B3E3E" w14:textId="6A90F35B" w:rsidR="002573F2" w:rsidRDefault="002573F2">
      <w:pPr>
        <w:pStyle w:val="FootnoteText"/>
      </w:pPr>
      <w:r>
        <w:rPr>
          <w:rStyle w:val="FootnoteReference"/>
        </w:rPr>
        <w:footnoteRef/>
      </w:r>
      <w:r>
        <w:t xml:space="preserve"> Ibid., 5.</w:t>
      </w:r>
    </w:p>
  </w:footnote>
  <w:footnote w:id="91">
    <w:p w14:paraId="6AFF53BE" w14:textId="3B43EB2C" w:rsidR="002573F2" w:rsidRDefault="002573F2">
      <w:pPr>
        <w:pStyle w:val="FootnoteText"/>
      </w:pPr>
      <w:r>
        <w:rPr>
          <w:rStyle w:val="FootnoteReference"/>
        </w:rPr>
        <w:footnoteRef/>
      </w:r>
      <w:r>
        <w:t xml:space="preserve"> Ibid., 5.</w:t>
      </w:r>
    </w:p>
  </w:footnote>
  <w:footnote w:id="92">
    <w:p w14:paraId="42B2F563" w14:textId="12B91373" w:rsidR="002573F2" w:rsidRDefault="002573F2">
      <w:pPr>
        <w:pStyle w:val="FootnoteText"/>
      </w:pPr>
      <w:r>
        <w:rPr>
          <w:rStyle w:val="FootnoteReference"/>
        </w:rPr>
        <w:footnoteRef/>
      </w:r>
      <w:r>
        <w:t xml:space="preserve"> Sobania, </w:t>
      </w:r>
      <w:r>
        <w:rPr>
          <w:i/>
        </w:rPr>
        <w:t>Culture and Customs of Kenya</w:t>
      </w:r>
      <w:r>
        <w:t>, 18.</w:t>
      </w:r>
    </w:p>
  </w:footnote>
  <w:footnote w:id="93">
    <w:p w14:paraId="542B8B54" w14:textId="6A9923D8" w:rsidR="002573F2" w:rsidRDefault="002573F2">
      <w:pPr>
        <w:pStyle w:val="FootnoteText"/>
      </w:pPr>
      <w:r>
        <w:rPr>
          <w:rStyle w:val="FootnoteReference"/>
        </w:rPr>
        <w:footnoteRef/>
      </w:r>
      <w:r>
        <w:t xml:space="preserve"> Ibid., 18.</w:t>
      </w:r>
    </w:p>
  </w:footnote>
  <w:footnote w:id="94">
    <w:p w14:paraId="25C45712" w14:textId="56B27EDC" w:rsidR="002573F2" w:rsidRDefault="002573F2">
      <w:pPr>
        <w:pStyle w:val="FootnoteText"/>
      </w:pPr>
      <w:r>
        <w:rPr>
          <w:rStyle w:val="FootnoteReference"/>
        </w:rPr>
        <w:footnoteRef/>
      </w:r>
      <w:r>
        <w:t xml:space="preserve"> Ibid., 19.</w:t>
      </w:r>
    </w:p>
  </w:footnote>
  <w:footnote w:id="95">
    <w:p w14:paraId="5D2E7F89" w14:textId="0AFE2513" w:rsidR="002573F2" w:rsidRDefault="002573F2">
      <w:pPr>
        <w:pStyle w:val="FootnoteText"/>
      </w:pPr>
      <w:r>
        <w:rPr>
          <w:rStyle w:val="FootnoteReference"/>
        </w:rPr>
        <w:footnoteRef/>
      </w:r>
      <w:r>
        <w:t xml:space="preserve"> Ibid., 21.</w:t>
      </w:r>
    </w:p>
  </w:footnote>
  <w:footnote w:id="96">
    <w:p w14:paraId="44FDE154" w14:textId="7DC67128" w:rsidR="002573F2" w:rsidRDefault="002573F2">
      <w:pPr>
        <w:pStyle w:val="FootnoteText"/>
      </w:pPr>
      <w:r>
        <w:rPr>
          <w:rStyle w:val="FootnoteReference"/>
        </w:rPr>
        <w:footnoteRef/>
      </w:r>
      <w:r>
        <w:t xml:space="preserve"> </w:t>
      </w:r>
      <w:r>
        <w:rPr>
          <w:rFonts w:cs="Times New Roman"/>
        </w:rPr>
        <w:t xml:space="preserve">Furley and Watson, </w:t>
      </w:r>
      <w:r>
        <w:rPr>
          <w:i/>
        </w:rPr>
        <w:t>A History of Education in East Africa</w:t>
      </w:r>
      <w:r>
        <w:t xml:space="preserve">, 73. </w:t>
      </w:r>
      <w:r>
        <w:tab/>
      </w:r>
    </w:p>
  </w:footnote>
  <w:footnote w:id="97">
    <w:p w14:paraId="24976CB4" w14:textId="6D967791" w:rsidR="002573F2" w:rsidRDefault="002573F2">
      <w:pPr>
        <w:pStyle w:val="FootnoteText"/>
      </w:pPr>
      <w:r>
        <w:rPr>
          <w:rStyle w:val="FootnoteReference"/>
        </w:rPr>
        <w:footnoteRef/>
      </w:r>
      <w:r>
        <w:t xml:space="preserve"> Ibid., 74. </w:t>
      </w:r>
      <w:r>
        <w:tab/>
      </w:r>
    </w:p>
  </w:footnote>
  <w:footnote w:id="98">
    <w:p w14:paraId="31129AB7" w14:textId="65C11E9C" w:rsidR="002573F2" w:rsidRDefault="002573F2" w:rsidP="00E21676">
      <w:r>
        <w:rPr>
          <w:rStyle w:val="FootnoteReference"/>
        </w:rPr>
        <w:footnoteRef/>
      </w:r>
      <w:r>
        <w:t xml:space="preserve"> Woodberry, “The Missionary Roots of Liberal Democracy,” 244-274. </w:t>
      </w:r>
    </w:p>
  </w:footnote>
  <w:footnote w:id="99">
    <w:p w14:paraId="2432C276" w14:textId="77777777" w:rsidR="002573F2" w:rsidRDefault="002573F2" w:rsidP="00E21676">
      <w:pPr>
        <w:pStyle w:val="FootnoteText"/>
      </w:pPr>
      <w:r>
        <w:rPr>
          <w:rStyle w:val="FootnoteReference"/>
        </w:rPr>
        <w:footnoteRef/>
      </w:r>
      <w:r>
        <w:t xml:space="preserve"> Johann Krapf, </w:t>
      </w:r>
      <w:r>
        <w:rPr>
          <w:i/>
        </w:rPr>
        <w:t>Travels, Researches, and Missionary Labours: During an Eighteen Years’ Residence in Eastern Africa</w:t>
      </w:r>
      <w:r>
        <w:t>, (Abingon: Frank Cass and Company Limited, 1860),129-130.</w:t>
      </w:r>
    </w:p>
  </w:footnote>
  <w:footnote w:id="100">
    <w:p w14:paraId="30A060C1" w14:textId="7C45F07C" w:rsidR="002573F2" w:rsidRDefault="002573F2" w:rsidP="004A5FF2">
      <w:pPr>
        <w:pStyle w:val="FootnoteText"/>
      </w:pPr>
      <w:r>
        <w:rPr>
          <w:rStyle w:val="FootnoteReference"/>
        </w:rPr>
        <w:footnoteRef/>
      </w:r>
      <w:r>
        <w:t xml:space="preserve"> Ibid., 135. </w:t>
      </w:r>
    </w:p>
  </w:footnote>
  <w:footnote w:id="101">
    <w:p w14:paraId="13AC9EB0" w14:textId="77777777" w:rsidR="002573F2" w:rsidRDefault="002573F2" w:rsidP="004A5FF2">
      <w:r>
        <w:rPr>
          <w:rStyle w:val="FootnoteReference"/>
        </w:rPr>
        <w:footnoteRef/>
      </w:r>
      <w:r>
        <w:t xml:space="preserve"> Sweet, “The Iberian Roots of American Racist Thought,” 143-166.</w:t>
      </w:r>
    </w:p>
  </w:footnote>
  <w:footnote w:id="102">
    <w:p w14:paraId="60507FDB" w14:textId="77777777" w:rsidR="002573F2" w:rsidRDefault="002573F2" w:rsidP="004A5FF2">
      <w:pPr>
        <w:pStyle w:val="FootnoteText"/>
      </w:pPr>
      <w:r>
        <w:rPr>
          <w:rStyle w:val="FootnoteReference"/>
        </w:rPr>
        <w:footnoteRef/>
      </w:r>
      <w:r>
        <w:t xml:space="preserve"> Waruta, </w:t>
      </w:r>
      <w:r>
        <w:rPr>
          <w:rFonts w:cs="Times New Roman"/>
        </w:rPr>
        <w:t xml:space="preserve">“The Educational Mission of the Church: An African Perspective,” 108-131.  </w:t>
      </w:r>
    </w:p>
  </w:footnote>
  <w:footnote w:id="103">
    <w:p w14:paraId="0B45DE10" w14:textId="77777777" w:rsidR="002573F2" w:rsidRDefault="002573F2" w:rsidP="004A5FF2">
      <w:pPr>
        <w:pStyle w:val="FootnoteText"/>
      </w:pPr>
      <w:r>
        <w:rPr>
          <w:rStyle w:val="FootnoteReference"/>
        </w:rPr>
        <w:footnoteRef/>
      </w:r>
      <w:r>
        <w:t xml:space="preserve"> Chege and Sifuna, </w:t>
      </w:r>
      <w:r w:rsidRPr="60B85027">
        <w:rPr>
          <w:rFonts w:cs="Times New Roman"/>
          <w:i/>
          <w:iCs/>
        </w:rPr>
        <w:t>Girls’ and Women’s Education in Kenya: Gender Perspectives and Trends</w:t>
      </w:r>
      <w:r>
        <w:rPr>
          <w:rFonts w:cs="Times New Roman"/>
          <w:iCs/>
        </w:rPr>
        <w:t>, 28.</w:t>
      </w:r>
    </w:p>
  </w:footnote>
  <w:footnote w:id="104">
    <w:p w14:paraId="6A47A57C" w14:textId="67D66899" w:rsidR="002573F2" w:rsidRDefault="002573F2">
      <w:pPr>
        <w:pStyle w:val="FootnoteText"/>
      </w:pPr>
      <w:r>
        <w:rPr>
          <w:rStyle w:val="FootnoteReference"/>
        </w:rPr>
        <w:footnoteRef/>
      </w:r>
      <w:r>
        <w:t xml:space="preserve"> </w:t>
      </w:r>
      <w:r>
        <w:rPr>
          <w:rFonts w:cs="Times New Roman"/>
        </w:rPr>
        <w:t xml:space="preserve">Furley and Watson, </w:t>
      </w:r>
      <w:r>
        <w:rPr>
          <w:i/>
        </w:rPr>
        <w:t>A History of Education in East Africa</w:t>
      </w:r>
      <w:r>
        <w:t xml:space="preserve">, 77. </w:t>
      </w:r>
      <w:r>
        <w:tab/>
      </w:r>
    </w:p>
  </w:footnote>
  <w:footnote w:id="105">
    <w:p w14:paraId="33076A35" w14:textId="2FD50E68" w:rsidR="002573F2" w:rsidRDefault="002573F2">
      <w:pPr>
        <w:pStyle w:val="FootnoteText"/>
      </w:pPr>
      <w:r>
        <w:rPr>
          <w:rStyle w:val="FootnoteReference"/>
        </w:rPr>
        <w:footnoteRef/>
      </w:r>
      <w:r>
        <w:t xml:space="preserve"> Ibid., 80. </w:t>
      </w:r>
      <w:r>
        <w:tab/>
      </w:r>
    </w:p>
  </w:footnote>
  <w:footnote w:id="106">
    <w:p w14:paraId="2501300A" w14:textId="5210FA0B" w:rsidR="002573F2" w:rsidRDefault="002573F2">
      <w:pPr>
        <w:pStyle w:val="FootnoteText"/>
      </w:pPr>
      <w:r>
        <w:rPr>
          <w:rStyle w:val="FootnoteReference"/>
        </w:rPr>
        <w:footnoteRef/>
      </w:r>
      <w:r>
        <w:t xml:space="preserve"> Ibid., 166. </w:t>
      </w:r>
      <w:r>
        <w:tab/>
      </w:r>
    </w:p>
  </w:footnote>
  <w:footnote w:id="107">
    <w:p w14:paraId="5648E6B9" w14:textId="43FCE3B1" w:rsidR="002573F2" w:rsidRDefault="002573F2">
      <w:pPr>
        <w:pStyle w:val="FootnoteText"/>
      </w:pPr>
      <w:r>
        <w:rPr>
          <w:rStyle w:val="FootnoteReference"/>
        </w:rPr>
        <w:footnoteRef/>
      </w:r>
      <w:r>
        <w:t xml:space="preserve"> Waruta, </w:t>
      </w:r>
      <w:r>
        <w:rPr>
          <w:rFonts w:cs="Times New Roman"/>
        </w:rPr>
        <w:t xml:space="preserve">“The Educational Mission of the Church: An African Perspective,” 108-131.  </w:t>
      </w:r>
    </w:p>
  </w:footnote>
  <w:footnote w:id="108">
    <w:p w14:paraId="5473103E" w14:textId="698E0A61" w:rsidR="002573F2" w:rsidRDefault="002573F2">
      <w:pPr>
        <w:pStyle w:val="FootnoteText"/>
      </w:pPr>
      <w:r>
        <w:rPr>
          <w:rStyle w:val="FootnoteReference"/>
        </w:rPr>
        <w:footnoteRef/>
      </w:r>
      <w:r>
        <w:t xml:space="preserve"> </w:t>
      </w:r>
      <w:r>
        <w:rPr>
          <w:rFonts w:cs="Times New Roman"/>
        </w:rPr>
        <w:t xml:space="preserve">Furley and Watson, </w:t>
      </w:r>
      <w:r>
        <w:rPr>
          <w:i/>
        </w:rPr>
        <w:t>A History of Education in East Africa</w:t>
      </w:r>
      <w:r>
        <w:t>, 71.</w:t>
      </w:r>
    </w:p>
  </w:footnote>
  <w:footnote w:id="109">
    <w:p w14:paraId="0B55C714" w14:textId="7475C5DB" w:rsidR="002573F2" w:rsidRDefault="002573F2">
      <w:pPr>
        <w:pStyle w:val="FootnoteText"/>
      </w:pPr>
      <w:r>
        <w:rPr>
          <w:rStyle w:val="FootnoteReference"/>
        </w:rPr>
        <w:footnoteRef/>
      </w:r>
      <w:r>
        <w:t xml:space="preserve"> Ibid., 91.</w:t>
      </w:r>
    </w:p>
  </w:footnote>
  <w:footnote w:id="110">
    <w:p w14:paraId="640DA0AD" w14:textId="547B521A" w:rsidR="002573F2" w:rsidRDefault="002573F2">
      <w:pPr>
        <w:pStyle w:val="FootnoteText"/>
      </w:pPr>
      <w:r>
        <w:rPr>
          <w:rStyle w:val="FootnoteReference"/>
        </w:rPr>
        <w:footnoteRef/>
      </w:r>
      <w:r>
        <w:t xml:space="preserve"> Ibid., 70.</w:t>
      </w:r>
    </w:p>
  </w:footnote>
  <w:footnote w:id="111">
    <w:p w14:paraId="272031B9" w14:textId="2A61B05A" w:rsidR="002573F2" w:rsidRDefault="002573F2">
      <w:pPr>
        <w:pStyle w:val="FootnoteText"/>
      </w:pPr>
      <w:r>
        <w:rPr>
          <w:rStyle w:val="FootnoteReference"/>
        </w:rPr>
        <w:footnoteRef/>
      </w:r>
      <w:r>
        <w:t xml:space="preserve"> Ibid., 76.</w:t>
      </w:r>
    </w:p>
  </w:footnote>
  <w:footnote w:id="112">
    <w:p w14:paraId="073F5001" w14:textId="774CB457" w:rsidR="002573F2" w:rsidRDefault="002573F2">
      <w:pPr>
        <w:pStyle w:val="FootnoteText"/>
      </w:pPr>
      <w:r>
        <w:rPr>
          <w:rStyle w:val="FootnoteReference"/>
        </w:rPr>
        <w:footnoteRef/>
      </w:r>
      <w:r>
        <w:t xml:space="preserve"> Bogonko, </w:t>
      </w:r>
      <w:r>
        <w:rPr>
          <w:i/>
        </w:rPr>
        <w:t>A History of Modern Education in Kenya (1895-1991)</w:t>
      </w:r>
      <w:r>
        <w:t>, 21.</w:t>
      </w:r>
    </w:p>
  </w:footnote>
  <w:footnote w:id="113">
    <w:p w14:paraId="3055213A" w14:textId="5050E057" w:rsidR="002573F2" w:rsidRDefault="002573F2">
      <w:pPr>
        <w:pStyle w:val="FootnoteText"/>
      </w:pPr>
      <w:r>
        <w:rPr>
          <w:rStyle w:val="FootnoteReference"/>
        </w:rPr>
        <w:footnoteRef/>
      </w:r>
      <w:r>
        <w:t xml:space="preserve"> </w:t>
      </w:r>
      <w:r>
        <w:rPr>
          <w:rFonts w:cs="Times New Roman"/>
        </w:rPr>
        <w:t xml:space="preserve">Furley and Watson, </w:t>
      </w:r>
      <w:r>
        <w:rPr>
          <w:i/>
        </w:rPr>
        <w:t>A History of Education in East Africa</w:t>
      </w:r>
      <w:r>
        <w:t>, 69.</w:t>
      </w:r>
    </w:p>
  </w:footnote>
  <w:footnote w:id="114">
    <w:p w14:paraId="6D8F63CB" w14:textId="276BB3E3" w:rsidR="002573F2" w:rsidRDefault="002573F2">
      <w:pPr>
        <w:pStyle w:val="FootnoteText"/>
      </w:pPr>
      <w:r>
        <w:rPr>
          <w:rStyle w:val="FootnoteReference"/>
        </w:rPr>
        <w:footnoteRef/>
      </w:r>
      <w:r>
        <w:t xml:space="preserve"> Ibid., 80-81.</w:t>
      </w:r>
    </w:p>
  </w:footnote>
  <w:footnote w:id="115">
    <w:p w14:paraId="0149A64C" w14:textId="669D031F" w:rsidR="002573F2" w:rsidRDefault="002573F2">
      <w:pPr>
        <w:pStyle w:val="FootnoteText"/>
      </w:pPr>
      <w:r>
        <w:rPr>
          <w:rStyle w:val="FootnoteReference"/>
        </w:rPr>
        <w:footnoteRef/>
      </w:r>
      <w:r>
        <w:t xml:space="preserve"> Bogonko, </w:t>
      </w:r>
      <w:r>
        <w:rPr>
          <w:i/>
        </w:rPr>
        <w:t>A History of Modern Education in Kenya (1895-1991)</w:t>
      </w:r>
      <w:r>
        <w:t>, 23.</w:t>
      </w:r>
    </w:p>
  </w:footnote>
  <w:footnote w:id="116">
    <w:p w14:paraId="1C4AE0E8" w14:textId="2DB64B78" w:rsidR="002573F2" w:rsidRDefault="002573F2">
      <w:pPr>
        <w:pStyle w:val="FootnoteText"/>
      </w:pPr>
      <w:r>
        <w:rPr>
          <w:rStyle w:val="FootnoteReference"/>
        </w:rPr>
        <w:footnoteRef/>
      </w:r>
      <w:r>
        <w:t xml:space="preserve"> Ibid., 21.</w:t>
      </w:r>
    </w:p>
  </w:footnote>
  <w:footnote w:id="117">
    <w:p w14:paraId="632FD036" w14:textId="5DCFF30D" w:rsidR="002573F2" w:rsidRDefault="002573F2">
      <w:pPr>
        <w:pStyle w:val="FootnoteText"/>
      </w:pPr>
      <w:r>
        <w:rPr>
          <w:rStyle w:val="FootnoteReference"/>
        </w:rPr>
        <w:footnoteRef/>
      </w:r>
      <w:r>
        <w:t xml:space="preserve"> </w:t>
      </w:r>
      <w:r>
        <w:rPr>
          <w:rFonts w:cs="Times New Roman"/>
        </w:rPr>
        <w:t xml:space="preserve">Furley and Watson, </w:t>
      </w:r>
      <w:r>
        <w:rPr>
          <w:i/>
        </w:rPr>
        <w:t>A History of Education in East Africa</w:t>
      </w:r>
      <w:r>
        <w:t>, 86.</w:t>
      </w:r>
    </w:p>
  </w:footnote>
  <w:footnote w:id="118">
    <w:p w14:paraId="49B76704" w14:textId="1A3B232C" w:rsidR="002573F2" w:rsidRDefault="002573F2">
      <w:pPr>
        <w:pStyle w:val="FootnoteText"/>
      </w:pPr>
      <w:r>
        <w:rPr>
          <w:rStyle w:val="FootnoteReference"/>
        </w:rPr>
        <w:footnoteRef/>
      </w:r>
      <w:r>
        <w:t xml:space="preserve"> Commission of Inquiry</w:t>
      </w:r>
      <w:r>
        <w:rPr>
          <w:rFonts w:cs="Times New Roman"/>
        </w:rPr>
        <w:t xml:space="preserve"> quoted by Furley and Watson, </w:t>
      </w:r>
      <w:r>
        <w:rPr>
          <w:i/>
        </w:rPr>
        <w:t>A History of Education in East Africa</w:t>
      </w:r>
      <w:r>
        <w:t>, 154.</w:t>
      </w:r>
    </w:p>
  </w:footnote>
  <w:footnote w:id="119">
    <w:p w14:paraId="2DAA6976" w14:textId="7F93D6C6" w:rsidR="002573F2" w:rsidRDefault="002573F2">
      <w:pPr>
        <w:pStyle w:val="FootnoteText"/>
      </w:pPr>
      <w:r>
        <w:rPr>
          <w:rStyle w:val="FootnoteReference"/>
        </w:rPr>
        <w:footnoteRef/>
      </w:r>
      <w:r>
        <w:t xml:space="preserve"> Ibid., 166.</w:t>
      </w:r>
    </w:p>
  </w:footnote>
  <w:footnote w:id="120">
    <w:p w14:paraId="1CBA640C" w14:textId="685F96DB" w:rsidR="002573F2" w:rsidRDefault="002573F2">
      <w:pPr>
        <w:pStyle w:val="FootnoteText"/>
      </w:pPr>
      <w:r>
        <w:rPr>
          <w:rStyle w:val="FootnoteReference"/>
        </w:rPr>
        <w:footnoteRef/>
      </w:r>
      <w:r>
        <w:t xml:space="preserve"> Bogonko, </w:t>
      </w:r>
      <w:r>
        <w:rPr>
          <w:i/>
        </w:rPr>
        <w:t>A History of Modern Education in Kenya (1895-1991)</w:t>
      </w:r>
      <w:r>
        <w:t>, 40.</w:t>
      </w:r>
    </w:p>
  </w:footnote>
  <w:footnote w:id="121">
    <w:p w14:paraId="555E7911" w14:textId="01EF6663" w:rsidR="002573F2" w:rsidRDefault="002573F2">
      <w:pPr>
        <w:pStyle w:val="FootnoteText"/>
      </w:pPr>
      <w:r>
        <w:rPr>
          <w:rStyle w:val="FootnoteReference"/>
        </w:rPr>
        <w:footnoteRef/>
      </w:r>
      <w:r>
        <w:t xml:space="preserve"> Ibid., 30.</w:t>
      </w:r>
    </w:p>
  </w:footnote>
  <w:footnote w:id="122">
    <w:p w14:paraId="5649B7C4" w14:textId="4BCC56DD" w:rsidR="002573F2" w:rsidRDefault="002573F2">
      <w:pPr>
        <w:pStyle w:val="FootnoteText"/>
      </w:pPr>
      <w:r>
        <w:rPr>
          <w:rStyle w:val="FootnoteReference"/>
        </w:rPr>
        <w:footnoteRef/>
      </w:r>
      <w:r>
        <w:t xml:space="preserve"> Ibid., 28.</w:t>
      </w:r>
    </w:p>
  </w:footnote>
  <w:footnote w:id="123">
    <w:p w14:paraId="6E8F20CF" w14:textId="01EF1FE3" w:rsidR="002573F2" w:rsidRDefault="002573F2">
      <w:pPr>
        <w:pStyle w:val="FootnoteText"/>
      </w:pPr>
      <w:r>
        <w:rPr>
          <w:rStyle w:val="FootnoteReference"/>
        </w:rPr>
        <w:footnoteRef/>
      </w:r>
      <w:r>
        <w:t xml:space="preserve"> Ibid., 44.</w:t>
      </w:r>
    </w:p>
  </w:footnote>
  <w:footnote w:id="124">
    <w:p w14:paraId="6797E74B" w14:textId="5A671CA2" w:rsidR="002573F2" w:rsidRDefault="002573F2">
      <w:pPr>
        <w:pStyle w:val="FootnoteText"/>
      </w:pPr>
      <w:r>
        <w:rPr>
          <w:rStyle w:val="FootnoteReference"/>
        </w:rPr>
        <w:footnoteRef/>
      </w:r>
      <w:r>
        <w:t xml:space="preserve"> </w:t>
      </w:r>
      <w:r>
        <w:rPr>
          <w:rFonts w:cs="Times New Roman"/>
        </w:rPr>
        <w:t xml:space="preserve">Furley and Watson, </w:t>
      </w:r>
      <w:r>
        <w:rPr>
          <w:i/>
        </w:rPr>
        <w:t>A History of Education in East Africa</w:t>
      </w:r>
      <w:r>
        <w:t>, 167.</w:t>
      </w:r>
    </w:p>
  </w:footnote>
  <w:footnote w:id="125">
    <w:p w14:paraId="0FAFD9B4" w14:textId="0E932E6F" w:rsidR="002573F2" w:rsidRDefault="002573F2">
      <w:pPr>
        <w:pStyle w:val="FootnoteText"/>
      </w:pPr>
      <w:r>
        <w:rPr>
          <w:rStyle w:val="FootnoteReference"/>
        </w:rPr>
        <w:footnoteRef/>
      </w:r>
      <w:r>
        <w:t xml:space="preserve"> Ibid., 167.</w:t>
      </w:r>
    </w:p>
  </w:footnote>
  <w:footnote w:id="126">
    <w:p w14:paraId="27B6F8F5" w14:textId="6784D1E6" w:rsidR="002573F2" w:rsidRDefault="002573F2">
      <w:pPr>
        <w:pStyle w:val="FootnoteText"/>
      </w:pPr>
      <w:r>
        <w:rPr>
          <w:rStyle w:val="FootnoteReference"/>
        </w:rPr>
        <w:footnoteRef/>
      </w:r>
      <w:r>
        <w:t xml:space="preserve"> Ibid., 167.</w:t>
      </w:r>
    </w:p>
  </w:footnote>
  <w:footnote w:id="127">
    <w:p w14:paraId="06C61F3B" w14:textId="7453D29E" w:rsidR="002573F2" w:rsidRDefault="002573F2">
      <w:pPr>
        <w:pStyle w:val="FootnoteText"/>
      </w:pPr>
      <w:r>
        <w:rPr>
          <w:rStyle w:val="FootnoteReference"/>
        </w:rPr>
        <w:footnoteRef/>
      </w:r>
      <w:r>
        <w:t xml:space="preserve"> Bogonko, </w:t>
      </w:r>
      <w:r>
        <w:rPr>
          <w:i/>
        </w:rPr>
        <w:t>A History of Modern Education in Kenya (1895-1991)</w:t>
      </w:r>
      <w:r>
        <w:t>, 47.</w:t>
      </w:r>
    </w:p>
  </w:footnote>
  <w:footnote w:id="128">
    <w:p w14:paraId="06B83CCE" w14:textId="7BE98475" w:rsidR="002573F2" w:rsidRDefault="002573F2">
      <w:pPr>
        <w:pStyle w:val="FootnoteText"/>
      </w:pPr>
      <w:r>
        <w:rPr>
          <w:rStyle w:val="FootnoteReference"/>
        </w:rPr>
        <w:footnoteRef/>
      </w:r>
      <w:r>
        <w:t xml:space="preserve"> Ibid., 53.</w:t>
      </w:r>
    </w:p>
  </w:footnote>
  <w:footnote w:id="129">
    <w:p w14:paraId="58E60B0D" w14:textId="379DC6D5" w:rsidR="002573F2" w:rsidRDefault="002573F2">
      <w:pPr>
        <w:pStyle w:val="FootnoteText"/>
      </w:pPr>
      <w:r>
        <w:rPr>
          <w:rStyle w:val="FootnoteReference"/>
        </w:rPr>
        <w:footnoteRef/>
      </w:r>
      <w:r>
        <w:t xml:space="preserve"> Ibid., 54.</w:t>
      </w:r>
    </w:p>
  </w:footnote>
  <w:footnote w:id="130">
    <w:p w14:paraId="24F59A06" w14:textId="7BC0B165" w:rsidR="002573F2" w:rsidRDefault="002573F2">
      <w:pPr>
        <w:pStyle w:val="FootnoteText"/>
      </w:pPr>
      <w:r>
        <w:rPr>
          <w:rStyle w:val="FootnoteReference"/>
        </w:rPr>
        <w:footnoteRef/>
      </w:r>
      <w:r>
        <w:t xml:space="preserve"> Ibid., 54.</w:t>
      </w:r>
    </w:p>
  </w:footnote>
  <w:footnote w:id="131">
    <w:p w14:paraId="71925777" w14:textId="6985DB80" w:rsidR="002573F2" w:rsidRDefault="002573F2">
      <w:pPr>
        <w:pStyle w:val="FootnoteText"/>
      </w:pPr>
      <w:r>
        <w:rPr>
          <w:rStyle w:val="FootnoteReference"/>
        </w:rPr>
        <w:footnoteRef/>
      </w:r>
      <w:r>
        <w:t xml:space="preserve"> </w:t>
      </w:r>
      <w:r>
        <w:rPr>
          <w:rFonts w:cs="Times New Roman"/>
        </w:rPr>
        <w:t xml:space="preserve">Furley and Watson, </w:t>
      </w:r>
      <w:r>
        <w:rPr>
          <w:i/>
        </w:rPr>
        <w:t>A History of Education in East Africa</w:t>
      </w:r>
      <w:r>
        <w:t>, 174.</w:t>
      </w:r>
    </w:p>
  </w:footnote>
  <w:footnote w:id="132">
    <w:p w14:paraId="63385EFE" w14:textId="34626085" w:rsidR="002573F2" w:rsidRDefault="002573F2">
      <w:pPr>
        <w:pStyle w:val="FootnoteText"/>
      </w:pPr>
      <w:r>
        <w:rPr>
          <w:rStyle w:val="FootnoteReference"/>
        </w:rPr>
        <w:footnoteRef/>
      </w:r>
      <w:r>
        <w:t xml:space="preserve"> Dr. Arthur quoted by </w:t>
      </w:r>
      <w:r>
        <w:rPr>
          <w:rFonts w:cs="Times New Roman"/>
        </w:rPr>
        <w:t xml:space="preserve">Furley and Watson, </w:t>
      </w:r>
      <w:r>
        <w:rPr>
          <w:i/>
        </w:rPr>
        <w:t>A History of Education in East Africa</w:t>
      </w:r>
      <w:r>
        <w:t>, 176.</w:t>
      </w:r>
    </w:p>
  </w:footnote>
  <w:footnote w:id="133">
    <w:p w14:paraId="57A84A1F" w14:textId="58DD8159" w:rsidR="002573F2" w:rsidRDefault="002573F2">
      <w:pPr>
        <w:pStyle w:val="FootnoteText"/>
      </w:pPr>
      <w:r>
        <w:rPr>
          <w:rStyle w:val="FootnoteReference"/>
        </w:rPr>
        <w:footnoteRef/>
      </w:r>
      <w:r>
        <w:t xml:space="preserve"> Ibid., 176. </w:t>
      </w:r>
    </w:p>
  </w:footnote>
  <w:footnote w:id="134">
    <w:p w14:paraId="4AC25D20" w14:textId="7711E927" w:rsidR="002573F2" w:rsidRDefault="002573F2">
      <w:pPr>
        <w:pStyle w:val="FootnoteText"/>
      </w:pPr>
      <w:r>
        <w:rPr>
          <w:rStyle w:val="FootnoteReference"/>
        </w:rPr>
        <w:footnoteRef/>
      </w:r>
      <w:r>
        <w:t xml:space="preserve"> Bogonko, </w:t>
      </w:r>
      <w:r>
        <w:rPr>
          <w:i/>
        </w:rPr>
        <w:t>A History of Modern Education in Kenya (1895-1991)</w:t>
      </w:r>
      <w:r>
        <w:t>, 43.</w:t>
      </w:r>
    </w:p>
  </w:footnote>
  <w:footnote w:id="135">
    <w:p w14:paraId="3F1B97E8" w14:textId="2089DAA8" w:rsidR="002573F2" w:rsidRPr="00E238FD" w:rsidRDefault="002573F2" w:rsidP="00E238FD">
      <w:pPr>
        <w:rPr>
          <w:rFonts w:cs="Times New Roman"/>
          <w:iCs/>
        </w:rPr>
      </w:pPr>
      <w:r>
        <w:rPr>
          <w:rStyle w:val="FootnoteReference"/>
        </w:rPr>
        <w:footnoteRef/>
      </w:r>
      <w:r>
        <w:t xml:space="preserve"> Chege and Sifuna, </w:t>
      </w:r>
      <w:r w:rsidRPr="60B85027">
        <w:rPr>
          <w:rFonts w:cs="Times New Roman"/>
          <w:i/>
          <w:iCs/>
        </w:rPr>
        <w:t>Girls’ and Women’s Education in Kenya: Gender Perspectives and Trends</w:t>
      </w:r>
      <w:r>
        <w:rPr>
          <w:rFonts w:cs="Times New Roman"/>
          <w:iCs/>
        </w:rPr>
        <w:t>, 19.</w:t>
      </w:r>
    </w:p>
  </w:footnote>
  <w:footnote w:id="136">
    <w:p w14:paraId="1D1A2D8F" w14:textId="046342DC" w:rsidR="002573F2" w:rsidRPr="00E238FD" w:rsidRDefault="002573F2" w:rsidP="00E238FD">
      <w:pPr>
        <w:rPr>
          <w:rFonts w:cs="Times New Roman"/>
          <w:iCs/>
        </w:rPr>
      </w:pPr>
      <w:r>
        <w:rPr>
          <w:rStyle w:val="FootnoteReference"/>
        </w:rPr>
        <w:footnoteRef/>
      </w:r>
      <w:r>
        <w:t xml:space="preserve"> Ibid.</w:t>
      </w:r>
      <w:r>
        <w:rPr>
          <w:rFonts w:cs="Times New Roman"/>
          <w:iCs/>
        </w:rPr>
        <w:t>, 19.</w:t>
      </w:r>
    </w:p>
  </w:footnote>
  <w:footnote w:id="137">
    <w:p w14:paraId="386832CC" w14:textId="599DF8DB" w:rsidR="002573F2" w:rsidRDefault="002573F2" w:rsidP="00274015">
      <w:pPr>
        <w:pStyle w:val="FootnoteText"/>
      </w:pPr>
      <w:r>
        <w:rPr>
          <w:rStyle w:val="FootnoteReference"/>
        </w:rPr>
        <w:footnoteRef/>
      </w:r>
      <w:r>
        <w:t xml:space="preserve"> Ibid.</w:t>
      </w:r>
      <w:r>
        <w:rPr>
          <w:rFonts w:cs="Times New Roman"/>
          <w:iCs/>
        </w:rPr>
        <w:t>, 26.</w:t>
      </w:r>
    </w:p>
  </w:footnote>
  <w:footnote w:id="138">
    <w:p w14:paraId="4AEF9BB6" w14:textId="77777777" w:rsidR="002573F2" w:rsidRPr="00E238FD" w:rsidRDefault="002573F2" w:rsidP="00EB56AA">
      <w:pPr>
        <w:rPr>
          <w:rFonts w:cs="Times New Roman"/>
          <w:iCs/>
        </w:rPr>
      </w:pPr>
      <w:r>
        <w:rPr>
          <w:rStyle w:val="FootnoteReference"/>
        </w:rPr>
        <w:footnoteRef/>
      </w:r>
      <w:r>
        <w:t xml:space="preserve"> Ibid.</w:t>
      </w:r>
      <w:r>
        <w:rPr>
          <w:rFonts w:cs="Times New Roman"/>
          <w:iCs/>
        </w:rPr>
        <w:t>, 25.</w:t>
      </w:r>
    </w:p>
  </w:footnote>
  <w:footnote w:id="139">
    <w:p w14:paraId="4D47ADAE" w14:textId="48E41E54" w:rsidR="002573F2" w:rsidRDefault="002573F2" w:rsidP="00EB56AA">
      <w:pPr>
        <w:pStyle w:val="FootnoteText"/>
      </w:pPr>
      <w:r>
        <w:rPr>
          <w:rStyle w:val="FootnoteReference"/>
        </w:rPr>
        <w:footnoteRef/>
      </w:r>
      <w:r>
        <w:t xml:space="preserve"> Ibid.</w:t>
      </w:r>
      <w:r>
        <w:rPr>
          <w:rFonts w:cs="Times New Roman"/>
          <w:iCs/>
        </w:rPr>
        <w:t>, 19.</w:t>
      </w:r>
    </w:p>
  </w:footnote>
  <w:footnote w:id="140">
    <w:p w14:paraId="0D32E404" w14:textId="47A69EB0" w:rsidR="002573F2" w:rsidRPr="00E238FD" w:rsidRDefault="002573F2" w:rsidP="00E238FD">
      <w:pPr>
        <w:rPr>
          <w:rFonts w:cs="Times New Roman"/>
          <w:iCs/>
        </w:rPr>
      </w:pPr>
      <w:r>
        <w:rPr>
          <w:rStyle w:val="FootnoteReference"/>
        </w:rPr>
        <w:footnoteRef/>
      </w:r>
      <w:r>
        <w:t xml:space="preserve"> Ibid.</w:t>
      </w:r>
      <w:r>
        <w:rPr>
          <w:rFonts w:cs="Times New Roman"/>
          <w:iCs/>
        </w:rPr>
        <w:t>, 26.</w:t>
      </w:r>
    </w:p>
  </w:footnote>
  <w:footnote w:id="141">
    <w:p w14:paraId="55637C99" w14:textId="44CB5834" w:rsidR="002573F2" w:rsidRDefault="002573F2">
      <w:pPr>
        <w:pStyle w:val="FootnoteText"/>
      </w:pPr>
      <w:r>
        <w:rPr>
          <w:rStyle w:val="FootnoteReference"/>
        </w:rPr>
        <w:footnoteRef/>
      </w:r>
      <w:r>
        <w:t xml:space="preserve"> </w:t>
      </w:r>
      <w:r>
        <w:rPr>
          <w:rFonts w:cs="Times New Roman"/>
        </w:rPr>
        <w:t xml:space="preserve">Furley and Watson, </w:t>
      </w:r>
      <w:r>
        <w:rPr>
          <w:i/>
        </w:rPr>
        <w:t>A History of Education in East Africa</w:t>
      </w:r>
      <w:r>
        <w:t>, 75.</w:t>
      </w:r>
    </w:p>
  </w:footnote>
  <w:footnote w:id="142">
    <w:p w14:paraId="41D2B051" w14:textId="37364737" w:rsidR="002573F2" w:rsidRDefault="002573F2">
      <w:pPr>
        <w:pStyle w:val="FootnoteText"/>
      </w:pPr>
      <w:r>
        <w:rPr>
          <w:rStyle w:val="FootnoteReference"/>
        </w:rPr>
        <w:footnoteRef/>
      </w:r>
      <w:r>
        <w:t xml:space="preserve"> Richard Peet and Elaine Hartwick, </w:t>
      </w:r>
      <w:r>
        <w:rPr>
          <w:i/>
        </w:rPr>
        <w:t>Theories of Development: Contentions, Arguments, Alternatives Third Edition</w:t>
      </w:r>
      <w:r>
        <w:t>, (New York City, New York: The Guilford Press, 2015), 223.</w:t>
      </w:r>
    </w:p>
  </w:footnote>
  <w:footnote w:id="143">
    <w:p w14:paraId="01C5F033" w14:textId="6E288C87" w:rsidR="002573F2" w:rsidRPr="00B74019" w:rsidRDefault="002573F2" w:rsidP="00B74019">
      <w:pPr>
        <w:rPr>
          <w:rFonts w:cs="Times New Roman"/>
          <w:iCs/>
        </w:rPr>
      </w:pPr>
      <w:r>
        <w:rPr>
          <w:rStyle w:val="FootnoteReference"/>
        </w:rPr>
        <w:footnoteRef/>
      </w:r>
      <w:r>
        <w:t xml:space="preserve"> Chege and Sifuna, </w:t>
      </w:r>
      <w:r w:rsidRPr="60B85027">
        <w:rPr>
          <w:rFonts w:cs="Times New Roman"/>
          <w:i/>
          <w:iCs/>
        </w:rPr>
        <w:t>Girls’ and Women’s Education in Kenya: Gender Perspectives and Trends</w:t>
      </w:r>
      <w:r>
        <w:rPr>
          <w:rFonts w:cs="Times New Roman"/>
          <w:iCs/>
        </w:rPr>
        <w:t>, 25.</w:t>
      </w:r>
    </w:p>
  </w:footnote>
  <w:footnote w:id="144">
    <w:p w14:paraId="39F14049" w14:textId="0A05F182" w:rsidR="002573F2" w:rsidRDefault="002573F2">
      <w:pPr>
        <w:pStyle w:val="FootnoteText"/>
      </w:pPr>
      <w:r>
        <w:rPr>
          <w:rStyle w:val="FootnoteReference"/>
        </w:rPr>
        <w:footnoteRef/>
      </w:r>
      <w:r>
        <w:t xml:space="preserve"> </w:t>
      </w:r>
      <w:r>
        <w:rPr>
          <w:rFonts w:cs="Times New Roman"/>
        </w:rPr>
        <w:t xml:space="preserve">Furley and Watson, </w:t>
      </w:r>
      <w:r>
        <w:rPr>
          <w:i/>
        </w:rPr>
        <w:t>A History of Education in East Africa</w:t>
      </w:r>
      <w:r>
        <w:t>, 77.</w:t>
      </w:r>
    </w:p>
  </w:footnote>
  <w:footnote w:id="145">
    <w:p w14:paraId="48A3D4D1" w14:textId="593ABF21" w:rsidR="002573F2" w:rsidRPr="00B74019" w:rsidRDefault="002573F2" w:rsidP="00B74019">
      <w:pPr>
        <w:rPr>
          <w:rFonts w:cs="Times New Roman"/>
          <w:iCs/>
        </w:rPr>
      </w:pPr>
      <w:r>
        <w:rPr>
          <w:rStyle w:val="FootnoteReference"/>
        </w:rPr>
        <w:footnoteRef/>
      </w:r>
      <w:r>
        <w:t xml:space="preserve"> Chege and Sifuna, </w:t>
      </w:r>
      <w:r w:rsidRPr="60B85027">
        <w:rPr>
          <w:rFonts w:cs="Times New Roman"/>
          <w:i/>
          <w:iCs/>
        </w:rPr>
        <w:t>Girls’ and Women’s Education in Kenya: Gender Perspectives and Trends</w:t>
      </w:r>
      <w:r>
        <w:rPr>
          <w:rFonts w:cs="Times New Roman"/>
          <w:iCs/>
        </w:rPr>
        <w:t>, 26.</w:t>
      </w:r>
    </w:p>
  </w:footnote>
  <w:footnote w:id="146">
    <w:p w14:paraId="5992DA9C" w14:textId="0F08F9C3" w:rsidR="002573F2" w:rsidRPr="00B74019" w:rsidRDefault="002573F2" w:rsidP="00B74019">
      <w:pPr>
        <w:rPr>
          <w:rFonts w:cs="Times New Roman"/>
          <w:iCs/>
        </w:rPr>
      </w:pPr>
      <w:r>
        <w:rPr>
          <w:rStyle w:val="FootnoteReference"/>
        </w:rPr>
        <w:footnoteRef/>
      </w:r>
      <w:r>
        <w:t xml:space="preserve"> Ibid.</w:t>
      </w:r>
      <w:r>
        <w:rPr>
          <w:rFonts w:cs="Times New Roman"/>
          <w:iCs/>
        </w:rPr>
        <w:t>, 26.</w:t>
      </w:r>
    </w:p>
  </w:footnote>
  <w:footnote w:id="147">
    <w:p w14:paraId="3B32E47C" w14:textId="22FAE463" w:rsidR="002573F2" w:rsidRPr="004C575A" w:rsidRDefault="002573F2" w:rsidP="004C575A">
      <w:pPr>
        <w:rPr>
          <w:rFonts w:cs="Times New Roman"/>
          <w:iCs/>
        </w:rPr>
      </w:pPr>
      <w:r>
        <w:rPr>
          <w:rStyle w:val="FootnoteReference"/>
        </w:rPr>
        <w:footnoteRef/>
      </w:r>
      <w:r>
        <w:t xml:space="preserve"> Ibid.</w:t>
      </w:r>
      <w:r>
        <w:rPr>
          <w:rFonts w:cs="Times New Roman"/>
          <w:iCs/>
        </w:rPr>
        <w:t>, 22.</w:t>
      </w:r>
    </w:p>
  </w:footnote>
  <w:footnote w:id="148">
    <w:p w14:paraId="109EBFEF" w14:textId="4AF23D94" w:rsidR="002573F2" w:rsidRPr="004C575A" w:rsidRDefault="002573F2" w:rsidP="004C575A">
      <w:pPr>
        <w:rPr>
          <w:rFonts w:cs="Times New Roman"/>
          <w:iCs/>
        </w:rPr>
      </w:pPr>
      <w:r>
        <w:rPr>
          <w:rStyle w:val="FootnoteReference"/>
        </w:rPr>
        <w:footnoteRef/>
      </w:r>
      <w:r>
        <w:t xml:space="preserve"> Ibid.</w:t>
      </w:r>
      <w:r>
        <w:rPr>
          <w:rFonts w:cs="Times New Roman"/>
          <w:iCs/>
        </w:rPr>
        <w:t>, 27.</w:t>
      </w:r>
    </w:p>
  </w:footnote>
  <w:footnote w:id="149">
    <w:p w14:paraId="6CA7822B" w14:textId="45FBDE65" w:rsidR="002573F2" w:rsidRPr="004C575A" w:rsidRDefault="002573F2" w:rsidP="004C575A">
      <w:pPr>
        <w:rPr>
          <w:rFonts w:cs="Times New Roman"/>
          <w:iCs/>
        </w:rPr>
      </w:pPr>
      <w:r>
        <w:rPr>
          <w:rStyle w:val="FootnoteReference"/>
        </w:rPr>
        <w:footnoteRef/>
      </w:r>
      <w:r>
        <w:t xml:space="preserve"> Trignor quoted by Chege and Sifuna, </w:t>
      </w:r>
      <w:r w:rsidRPr="60B85027">
        <w:rPr>
          <w:rFonts w:cs="Times New Roman"/>
          <w:i/>
          <w:iCs/>
        </w:rPr>
        <w:t>Girls’ and Women’s Education in Kenya: Gender Perspectives and Trends</w:t>
      </w:r>
      <w:r>
        <w:rPr>
          <w:rFonts w:cs="Times New Roman"/>
          <w:iCs/>
        </w:rPr>
        <w:t>, 27.</w:t>
      </w:r>
    </w:p>
  </w:footnote>
  <w:footnote w:id="150">
    <w:p w14:paraId="13F0A4C1" w14:textId="1BB56EC8" w:rsidR="002573F2" w:rsidRDefault="002573F2">
      <w:pPr>
        <w:pStyle w:val="FootnoteText"/>
      </w:pPr>
      <w:r>
        <w:rPr>
          <w:rStyle w:val="FootnoteReference"/>
        </w:rPr>
        <w:footnoteRef/>
      </w:r>
      <w:r>
        <w:t xml:space="preserve"> </w:t>
      </w:r>
      <w:r>
        <w:rPr>
          <w:rFonts w:cs="Times New Roman"/>
        </w:rPr>
        <w:t xml:space="preserve">Furley and Watson, </w:t>
      </w:r>
      <w:r>
        <w:rPr>
          <w:i/>
        </w:rPr>
        <w:t>A History of Education in East Africa</w:t>
      </w:r>
      <w:r>
        <w:t>, 168.</w:t>
      </w:r>
    </w:p>
  </w:footnote>
  <w:footnote w:id="151">
    <w:p w14:paraId="69FA2A3B" w14:textId="6F655401" w:rsidR="002573F2" w:rsidRDefault="002573F2">
      <w:pPr>
        <w:pStyle w:val="FootnoteText"/>
      </w:pPr>
      <w:r>
        <w:rPr>
          <w:rStyle w:val="FootnoteReference"/>
        </w:rPr>
        <w:footnoteRef/>
      </w:r>
      <w:r>
        <w:t xml:space="preserve"> Dr. Philp quoted by </w:t>
      </w:r>
      <w:r>
        <w:rPr>
          <w:rFonts w:cs="Times New Roman"/>
        </w:rPr>
        <w:t xml:space="preserve">Furley and Watson, </w:t>
      </w:r>
      <w:r>
        <w:rPr>
          <w:i/>
        </w:rPr>
        <w:t>A History of Education in East Africa</w:t>
      </w:r>
      <w:r>
        <w:t>, 180.</w:t>
      </w:r>
    </w:p>
  </w:footnote>
  <w:footnote w:id="152">
    <w:p w14:paraId="680FE7F2" w14:textId="55C72813" w:rsidR="002573F2" w:rsidRDefault="002573F2">
      <w:pPr>
        <w:pStyle w:val="FootnoteText"/>
      </w:pPr>
      <w:r>
        <w:rPr>
          <w:rStyle w:val="FootnoteReference"/>
        </w:rPr>
        <w:footnoteRef/>
      </w:r>
      <w:r>
        <w:t xml:space="preserve"> Ibid., 77.</w:t>
      </w:r>
    </w:p>
  </w:footnote>
  <w:footnote w:id="153">
    <w:p w14:paraId="67A3F389" w14:textId="1E14DDB2" w:rsidR="002573F2" w:rsidRDefault="002573F2">
      <w:pPr>
        <w:pStyle w:val="FootnoteText"/>
      </w:pPr>
      <w:r>
        <w:rPr>
          <w:rStyle w:val="FootnoteReference"/>
        </w:rPr>
        <w:footnoteRef/>
      </w:r>
      <w:r>
        <w:t xml:space="preserve"> Ibid., 169.</w:t>
      </w:r>
    </w:p>
  </w:footnote>
  <w:footnote w:id="154">
    <w:p w14:paraId="0ACE2441" w14:textId="63C8FC12" w:rsidR="002573F2" w:rsidRPr="00472C1F" w:rsidRDefault="002573F2" w:rsidP="00472C1F">
      <w:pPr>
        <w:rPr>
          <w:rFonts w:cs="Times New Roman"/>
          <w:iCs/>
        </w:rPr>
      </w:pPr>
      <w:r>
        <w:rPr>
          <w:rStyle w:val="FootnoteReference"/>
        </w:rPr>
        <w:footnoteRef/>
      </w:r>
      <w:r>
        <w:t xml:space="preserve"> Chege and Sifuna, </w:t>
      </w:r>
      <w:r w:rsidRPr="60B85027">
        <w:rPr>
          <w:rFonts w:cs="Times New Roman"/>
          <w:i/>
          <w:iCs/>
        </w:rPr>
        <w:t>Girls’ and Women’s Education in Kenya: Gender Perspectives and Trends</w:t>
      </w:r>
      <w:r>
        <w:rPr>
          <w:rFonts w:cs="Times New Roman"/>
          <w:iCs/>
        </w:rPr>
        <w:t>, 28.</w:t>
      </w:r>
    </w:p>
  </w:footnote>
  <w:footnote w:id="155">
    <w:p w14:paraId="0961FECD" w14:textId="1877C47C" w:rsidR="002573F2" w:rsidRPr="00F05C81" w:rsidRDefault="002573F2">
      <w:pPr>
        <w:pStyle w:val="FootnoteText"/>
      </w:pPr>
      <w:r>
        <w:rPr>
          <w:rStyle w:val="FootnoteReference"/>
        </w:rPr>
        <w:footnoteRef/>
      </w:r>
      <w:r>
        <w:t xml:space="preserve"> Furley and Watson, </w:t>
      </w:r>
      <w:r>
        <w:rPr>
          <w:i/>
        </w:rPr>
        <w:t>A History of Education in East Africa</w:t>
      </w:r>
      <w:r>
        <w:t>, 177.</w:t>
      </w:r>
    </w:p>
  </w:footnote>
  <w:footnote w:id="156">
    <w:p w14:paraId="3C818133" w14:textId="45B98D3B" w:rsidR="002573F2" w:rsidRDefault="002573F2">
      <w:pPr>
        <w:pStyle w:val="FootnoteText"/>
      </w:pPr>
      <w:r>
        <w:rPr>
          <w:rStyle w:val="FootnoteReference"/>
        </w:rPr>
        <w:footnoteRef/>
      </w:r>
      <w:r>
        <w:t xml:space="preserve"> Ibid., 263.</w:t>
      </w:r>
    </w:p>
  </w:footnote>
  <w:footnote w:id="157">
    <w:p w14:paraId="1AB67DB5" w14:textId="0FC46E62" w:rsidR="002573F2" w:rsidRPr="00F05C81" w:rsidRDefault="002573F2">
      <w:pPr>
        <w:pStyle w:val="FootnoteText"/>
      </w:pPr>
      <w:r>
        <w:rPr>
          <w:rStyle w:val="FootnoteReference"/>
        </w:rPr>
        <w:footnoteRef/>
      </w:r>
      <w:r>
        <w:t xml:space="preserve"> Chege and Sifuna, </w:t>
      </w:r>
      <w:r>
        <w:rPr>
          <w:i/>
        </w:rPr>
        <w:t>Girls’ and Women’s Education in Kenya: Gender Perspectives and Trends</w:t>
      </w:r>
      <w:r>
        <w:t>, 27.</w:t>
      </w:r>
    </w:p>
  </w:footnote>
  <w:footnote w:id="158">
    <w:p w14:paraId="7E796561" w14:textId="139C9668" w:rsidR="002573F2" w:rsidRDefault="002573F2" w:rsidP="00472C1F">
      <w:r>
        <w:rPr>
          <w:rStyle w:val="FootnoteReference"/>
        </w:rPr>
        <w:footnoteRef/>
      </w:r>
      <w:r>
        <w:t xml:space="preserve"> Lonsdale and Berman, “Coping with the Contradictions: The Development of the Colonial State in Kenya, 1895-1914,” 487-505. </w:t>
      </w:r>
    </w:p>
  </w:footnote>
  <w:footnote w:id="159">
    <w:p w14:paraId="15D1A9F5" w14:textId="6F0F2C7F" w:rsidR="002573F2" w:rsidRDefault="002573F2">
      <w:pPr>
        <w:pStyle w:val="FootnoteText"/>
      </w:pPr>
      <w:r>
        <w:rPr>
          <w:rStyle w:val="FootnoteReference"/>
        </w:rPr>
        <w:footnoteRef/>
      </w:r>
      <w:r>
        <w:t xml:space="preserve"> </w:t>
      </w:r>
      <w:r>
        <w:rPr>
          <w:rFonts w:cs="Times New Roman"/>
        </w:rPr>
        <w:t xml:space="preserve">Hornsby, </w:t>
      </w:r>
      <w:r>
        <w:rPr>
          <w:rFonts w:cs="Times New Roman"/>
          <w:i/>
        </w:rPr>
        <w:t>Kenya: A History Since Independence</w:t>
      </w:r>
      <w:r>
        <w:rPr>
          <w:rFonts w:cs="Times New Roman"/>
        </w:rPr>
        <w:t>, 29.</w:t>
      </w:r>
    </w:p>
  </w:footnote>
  <w:footnote w:id="160">
    <w:p w14:paraId="5E5452C7" w14:textId="00B69D53" w:rsidR="002573F2" w:rsidRDefault="002573F2">
      <w:pPr>
        <w:pStyle w:val="FootnoteText"/>
      </w:pPr>
      <w:r>
        <w:rPr>
          <w:rStyle w:val="FootnoteReference"/>
        </w:rPr>
        <w:footnoteRef/>
      </w:r>
      <w:r>
        <w:t xml:space="preserve"> A settler economy refers to the economic domination of European settlers, who stole land in Kenya to settle and eventually developed a distinct identity and sovereignty over Kenya. </w:t>
      </w:r>
    </w:p>
  </w:footnote>
  <w:footnote w:id="161">
    <w:p w14:paraId="70B3AF80" w14:textId="2797EF88" w:rsidR="002573F2" w:rsidRDefault="002573F2" w:rsidP="00472C1F">
      <w:r>
        <w:rPr>
          <w:rStyle w:val="FootnoteReference"/>
        </w:rPr>
        <w:footnoteRef/>
      </w:r>
      <w:r>
        <w:t xml:space="preserve"> Ewout Frankema and Marlous van Waijenburg, “Structural Impediments to African Growth? New Evidence from Real Wages in British Africa, 1880-1965,” </w:t>
      </w:r>
      <w:r>
        <w:rPr>
          <w:i/>
        </w:rPr>
        <w:t>Center for Global Economic History Working Paper Series</w:t>
      </w:r>
      <w:r>
        <w:t xml:space="preserve"> </w:t>
      </w:r>
      <w:r w:rsidRPr="00CA1B33">
        <w:rPr>
          <w:i/>
        </w:rPr>
        <w:t>no. 24</w:t>
      </w:r>
      <w:r>
        <w:t xml:space="preserve">, 2011, 20. </w:t>
      </w:r>
    </w:p>
  </w:footnote>
  <w:footnote w:id="162">
    <w:p w14:paraId="332BBD64" w14:textId="1A53B790" w:rsidR="002573F2" w:rsidRDefault="002573F2" w:rsidP="00842415">
      <w:r>
        <w:rPr>
          <w:rStyle w:val="FootnoteReference"/>
        </w:rPr>
        <w:footnoteRef/>
      </w:r>
      <w:r>
        <w:t xml:space="preserve"> Lonsdale and Berman, “Coping with the Contradictions: The Development of the Colonial State in Kenya, 1895-1914,” 487-505. </w:t>
      </w:r>
    </w:p>
  </w:footnote>
  <w:footnote w:id="163">
    <w:p w14:paraId="45F601A7" w14:textId="3F1FDCDD" w:rsidR="002573F2" w:rsidRDefault="002573F2" w:rsidP="00842415">
      <w:r>
        <w:rPr>
          <w:rStyle w:val="FootnoteReference"/>
        </w:rPr>
        <w:footnoteRef/>
      </w:r>
      <w:r>
        <w:t xml:space="preserve"> Frankema and van Waijenburg, “Structural Impediments to African Growth? New Evidence from Real Wages in British Africa, 1880-1965,” 20.</w:t>
      </w:r>
    </w:p>
  </w:footnote>
  <w:footnote w:id="164">
    <w:p w14:paraId="7D9FF229" w14:textId="1650C585" w:rsidR="002573F2" w:rsidRDefault="002573F2">
      <w:pPr>
        <w:pStyle w:val="FootnoteText"/>
      </w:pPr>
      <w:r>
        <w:rPr>
          <w:rStyle w:val="FootnoteReference"/>
        </w:rPr>
        <w:footnoteRef/>
      </w:r>
      <w:r>
        <w:t xml:space="preserve"> Lonsdale and Berman, “Coping with the Contradictions: The Development of the Colonial State in Kenya, 1895-1914,” 487-505.</w:t>
      </w:r>
    </w:p>
  </w:footnote>
  <w:footnote w:id="165">
    <w:p w14:paraId="579DDFAC" w14:textId="493FF89D" w:rsidR="002573F2" w:rsidRDefault="002573F2" w:rsidP="00812787">
      <w:pPr>
        <w:pStyle w:val="FootnoteText"/>
      </w:pPr>
      <w:r>
        <w:rPr>
          <w:rStyle w:val="FootnoteReference"/>
        </w:rPr>
        <w:footnoteRef/>
      </w:r>
      <w:r>
        <w:t xml:space="preserve"> </w:t>
      </w:r>
      <w:r>
        <w:rPr>
          <w:rFonts w:cs="Times New Roman"/>
        </w:rPr>
        <w:t xml:space="preserve">Hornsby, </w:t>
      </w:r>
      <w:r>
        <w:rPr>
          <w:rFonts w:cs="Times New Roman"/>
          <w:i/>
        </w:rPr>
        <w:t>Kenya: A History Since Independence</w:t>
      </w:r>
      <w:r>
        <w:rPr>
          <w:rFonts w:cs="Times New Roman"/>
        </w:rPr>
        <w:t>, 30.</w:t>
      </w:r>
    </w:p>
  </w:footnote>
  <w:footnote w:id="166">
    <w:p w14:paraId="6B4065C0" w14:textId="2912DCA2" w:rsidR="002573F2" w:rsidRDefault="002573F2" w:rsidP="00842415">
      <w:r>
        <w:rPr>
          <w:rStyle w:val="FootnoteReference"/>
        </w:rPr>
        <w:footnoteRef/>
      </w:r>
      <w:r>
        <w:t xml:space="preserve"> Frankema and van Waijenburg, “Structural Impediments to African Growth? New Evidence from Real Wages in British Africa, 1880-1965,” 22-23. </w:t>
      </w:r>
    </w:p>
  </w:footnote>
  <w:footnote w:id="167">
    <w:p w14:paraId="6E8F55C9" w14:textId="61F3844F" w:rsidR="002573F2" w:rsidRPr="00842415" w:rsidRDefault="002573F2" w:rsidP="00842415">
      <w:pPr>
        <w:rPr>
          <w:rFonts w:cs="Times New Roman"/>
          <w:iCs/>
        </w:rPr>
      </w:pPr>
      <w:r>
        <w:rPr>
          <w:rStyle w:val="FootnoteReference"/>
        </w:rPr>
        <w:footnoteRef/>
      </w:r>
      <w:r>
        <w:t xml:space="preserve"> Chege and Sifuna, </w:t>
      </w:r>
      <w:r w:rsidRPr="60B85027">
        <w:rPr>
          <w:rFonts w:cs="Times New Roman"/>
          <w:i/>
          <w:iCs/>
        </w:rPr>
        <w:t>Girls’ and Women’s Education in Kenya: Gender Perspectives and Trends</w:t>
      </w:r>
      <w:r>
        <w:rPr>
          <w:rFonts w:cs="Times New Roman"/>
          <w:iCs/>
        </w:rPr>
        <w:t>, 24.</w:t>
      </w:r>
    </w:p>
  </w:footnote>
  <w:footnote w:id="168">
    <w:p w14:paraId="6B63FA6D" w14:textId="17170155" w:rsidR="002573F2" w:rsidRPr="00842415" w:rsidRDefault="002573F2" w:rsidP="00842415">
      <w:pPr>
        <w:rPr>
          <w:rFonts w:cs="Times New Roman"/>
          <w:iCs/>
        </w:rPr>
      </w:pPr>
      <w:r>
        <w:rPr>
          <w:rStyle w:val="FootnoteReference"/>
        </w:rPr>
        <w:footnoteRef/>
      </w:r>
      <w:r>
        <w:t xml:space="preserve"> Ibid.</w:t>
      </w:r>
      <w:r>
        <w:rPr>
          <w:rFonts w:cs="Times New Roman"/>
          <w:iCs/>
        </w:rPr>
        <w:t>, 24.</w:t>
      </w:r>
    </w:p>
  </w:footnote>
  <w:footnote w:id="169">
    <w:p w14:paraId="0BC47ABF" w14:textId="70692397" w:rsidR="002573F2" w:rsidRPr="009D0DEB" w:rsidRDefault="002573F2">
      <w:pPr>
        <w:pStyle w:val="FootnoteText"/>
      </w:pPr>
      <w:r>
        <w:rPr>
          <w:rStyle w:val="FootnoteReference"/>
        </w:rPr>
        <w:footnoteRef/>
      </w:r>
      <w:r>
        <w:t xml:space="preserve"> Luise White, </w:t>
      </w:r>
      <w:r>
        <w:rPr>
          <w:i/>
        </w:rPr>
        <w:t>The Comforts of Home: Prostitution in Colonial Nairobi</w:t>
      </w:r>
      <w:r>
        <w:t xml:space="preserve">, (Chicago, Illinois: The University of Chicago, 1990), 1. </w:t>
      </w:r>
    </w:p>
  </w:footnote>
  <w:footnote w:id="170">
    <w:p w14:paraId="391219F1" w14:textId="6682C809" w:rsidR="002573F2" w:rsidRPr="003F3051" w:rsidRDefault="002573F2" w:rsidP="003F3051">
      <w:pPr>
        <w:rPr>
          <w:rFonts w:cs="Times New Roman"/>
          <w:iCs/>
        </w:rPr>
      </w:pPr>
      <w:r>
        <w:rPr>
          <w:rStyle w:val="FootnoteReference"/>
        </w:rPr>
        <w:footnoteRef/>
      </w:r>
      <w:r>
        <w:t xml:space="preserve"> Ibid.</w:t>
      </w:r>
      <w:r>
        <w:rPr>
          <w:rFonts w:cs="Times New Roman"/>
          <w:iCs/>
        </w:rPr>
        <w:t>, 27.</w:t>
      </w:r>
    </w:p>
  </w:footnote>
  <w:footnote w:id="171">
    <w:p w14:paraId="0D901717" w14:textId="272878E5" w:rsidR="002573F2" w:rsidRPr="00163509" w:rsidRDefault="002573F2" w:rsidP="00163509">
      <w:pPr>
        <w:rPr>
          <w:rFonts w:cs="Times New Roman"/>
        </w:rPr>
      </w:pPr>
      <w:r>
        <w:rPr>
          <w:rStyle w:val="FootnoteReference"/>
        </w:rPr>
        <w:footnoteRef/>
      </w:r>
      <w:r>
        <w:t xml:space="preserve"> </w:t>
      </w:r>
      <w:r>
        <w:rPr>
          <w:rFonts w:cs="Times New Roman"/>
        </w:rPr>
        <w:t xml:space="preserve">Hornsby, </w:t>
      </w:r>
      <w:r>
        <w:rPr>
          <w:rFonts w:cs="Times New Roman"/>
          <w:i/>
        </w:rPr>
        <w:t>Kenya: A History Since Independence</w:t>
      </w:r>
      <w:r>
        <w:rPr>
          <w:rFonts w:cs="Times New Roman"/>
        </w:rPr>
        <w:t xml:space="preserve">, 33.  </w:t>
      </w:r>
    </w:p>
  </w:footnote>
  <w:footnote w:id="172">
    <w:p w14:paraId="2F5C121F" w14:textId="1F3F2621" w:rsidR="002573F2" w:rsidRPr="00163509" w:rsidRDefault="002573F2" w:rsidP="00163509">
      <w:pPr>
        <w:rPr>
          <w:rFonts w:cs="Times New Roman"/>
        </w:rPr>
      </w:pPr>
      <w:r>
        <w:rPr>
          <w:rStyle w:val="FootnoteReference"/>
        </w:rPr>
        <w:footnoteRef/>
      </w:r>
      <w:r>
        <w:t xml:space="preserve"> Ibid.</w:t>
      </w:r>
      <w:r>
        <w:rPr>
          <w:rFonts w:cs="Times New Roman"/>
        </w:rPr>
        <w:t xml:space="preserve">, 32.  </w:t>
      </w:r>
    </w:p>
  </w:footnote>
  <w:footnote w:id="173">
    <w:p w14:paraId="398E85C1" w14:textId="128E380D" w:rsidR="002573F2" w:rsidRPr="00163509" w:rsidRDefault="002573F2" w:rsidP="00163509">
      <w:pPr>
        <w:rPr>
          <w:rFonts w:cs="Times New Roman"/>
        </w:rPr>
      </w:pPr>
      <w:r>
        <w:rPr>
          <w:rStyle w:val="FootnoteReference"/>
        </w:rPr>
        <w:footnoteRef/>
      </w:r>
      <w:r>
        <w:t xml:space="preserve"> Ibid.</w:t>
      </w:r>
      <w:r>
        <w:rPr>
          <w:rFonts w:cs="Times New Roman"/>
        </w:rPr>
        <w:t xml:space="preserve">, 32.  </w:t>
      </w:r>
    </w:p>
  </w:footnote>
  <w:footnote w:id="174">
    <w:p w14:paraId="3A13F074" w14:textId="3AF4D384" w:rsidR="002573F2" w:rsidRPr="00163509" w:rsidRDefault="002573F2" w:rsidP="00163509">
      <w:pPr>
        <w:rPr>
          <w:rFonts w:cs="Times New Roman"/>
        </w:rPr>
      </w:pPr>
      <w:r>
        <w:rPr>
          <w:rStyle w:val="FootnoteReference"/>
        </w:rPr>
        <w:footnoteRef/>
      </w:r>
      <w:r>
        <w:t xml:space="preserve"> Ibid.</w:t>
      </w:r>
      <w:r>
        <w:rPr>
          <w:rFonts w:cs="Times New Roman"/>
        </w:rPr>
        <w:t xml:space="preserve">, 27.  </w:t>
      </w:r>
    </w:p>
  </w:footnote>
  <w:footnote w:id="175">
    <w:p w14:paraId="4D161FE5" w14:textId="77777777" w:rsidR="002573F2" w:rsidRPr="00163509" w:rsidRDefault="002573F2" w:rsidP="00401364">
      <w:pPr>
        <w:rPr>
          <w:rFonts w:cs="Times New Roman"/>
        </w:rPr>
      </w:pPr>
      <w:r>
        <w:rPr>
          <w:rStyle w:val="FootnoteReference"/>
        </w:rPr>
        <w:footnoteRef/>
      </w:r>
      <w:r>
        <w:t xml:space="preserve"> Ibid.</w:t>
      </w:r>
      <w:r>
        <w:rPr>
          <w:rFonts w:cs="Times New Roman"/>
        </w:rPr>
        <w:t xml:space="preserve">, 30.  </w:t>
      </w:r>
    </w:p>
  </w:footnote>
  <w:footnote w:id="176">
    <w:p w14:paraId="1A867A4D" w14:textId="185F636A" w:rsidR="002573F2" w:rsidRPr="00163509" w:rsidRDefault="002573F2" w:rsidP="00163509">
      <w:pPr>
        <w:rPr>
          <w:rFonts w:cs="Times New Roman"/>
        </w:rPr>
      </w:pPr>
      <w:r>
        <w:rPr>
          <w:rStyle w:val="FootnoteReference"/>
        </w:rPr>
        <w:footnoteRef/>
      </w:r>
      <w:r>
        <w:t xml:space="preserve"> Ibid.</w:t>
      </w:r>
      <w:r>
        <w:rPr>
          <w:rFonts w:cs="Times New Roman"/>
        </w:rPr>
        <w:t xml:space="preserve">, 31.  </w:t>
      </w:r>
    </w:p>
  </w:footnote>
  <w:footnote w:id="177">
    <w:p w14:paraId="3EA3AE95" w14:textId="55D142FD" w:rsidR="002573F2" w:rsidRPr="00163509" w:rsidRDefault="002573F2" w:rsidP="00163509">
      <w:pPr>
        <w:rPr>
          <w:rFonts w:cs="Times New Roman"/>
        </w:rPr>
      </w:pPr>
      <w:r>
        <w:rPr>
          <w:rStyle w:val="FootnoteReference"/>
        </w:rPr>
        <w:footnoteRef/>
      </w:r>
      <w:r>
        <w:t xml:space="preserve"> Ibid.</w:t>
      </w:r>
      <w:r>
        <w:rPr>
          <w:rFonts w:cs="Times New Roman"/>
        </w:rPr>
        <w:t xml:space="preserve">, 34.  </w:t>
      </w:r>
    </w:p>
  </w:footnote>
  <w:footnote w:id="178">
    <w:p w14:paraId="64630943" w14:textId="65669623" w:rsidR="002573F2" w:rsidRPr="00163509" w:rsidRDefault="002573F2" w:rsidP="00163509">
      <w:pPr>
        <w:rPr>
          <w:rFonts w:cs="Times New Roman"/>
        </w:rPr>
      </w:pPr>
      <w:r>
        <w:rPr>
          <w:rStyle w:val="FootnoteReference"/>
        </w:rPr>
        <w:footnoteRef/>
      </w:r>
      <w:r>
        <w:t xml:space="preserve"> Ibid.</w:t>
      </w:r>
      <w:r>
        <w:rPr>
          <w:rFonts w:cs="Times New Roman"/>
        </w:rPr>
        <w:t xml:space="preserve">, 37.  </w:t>
      </w:r>
    </w:p>
  </w:footnote>
  <w:footnote w:id="179">
    <w:p w14:paraId="3CB0AD72" w14:textId="46B59F80" w:rsidR="002573F2" w:rsidRPr="00163509" w:rsidRDefault="002573F2" w:rsidP="00163509">
      <w:pPr>
        <w:rPr>
          <w:rFonts w:cs="Times New Roman"/>
        </w:rPr>
      </w:pPr>
      <w:r>
        <w:rPr>
          <w:rStyle w:val="FootnoteReference"/>
        </w:rPr>
        <w:footnoteRef/>
      </w:r>
      <w:r>
        <w:t xml:space="preserve"> Ibid.</w:t>
      </w:r>
      <w:r>
        <w:rPr>
          <w:rFonts w:cs="Times New Roman"/>
        </w:rPr>
        <w:t xml:space="preserve">, 40.  </w:t>
      </w:r>
    </w:p>
  </w:footnote>
  <w:footnote w:id="180">
    <w:p w14:paraId="42F99498" w14:textId="4BE4F00A" w:rsidR="002573F2" w:rsidRPr="00163509" w:rsidRDefault="002573F2" w:rsidP="00163509">
      <w:pPr>
        <w:rPr>
          <w:rFonts w:cs="Times New Roman"/>
        </w:rPr>
      </w:pPr>
      <w:r>
        <w:rPr>
          <w:rStyle w:val="FootnoteReference"/>
        </w:rPr>
        <w:footnoteRef/>
      </w:r>
      <w:r>
        <w:t xml:space="preserve"> Ibid.</w:t>
      </w:r>
      <w:r>
        <w:rPr>
          <w:rFonts w:cs="Times New Roman"/>
        </w:rPr>
        <w:t xml:space="preserve">, 42.  </w:t>
      </w:r>
    </w:p>
  </w:footnote>
  <w:footnote w:id="181">
    <w:p w14:paraId="09FB919E" w14:textId="78367BD7" w:rsidR="002573F2" w:rsidRPr="00163509" w:rsidRDefault="002573F2" w:rsidP="00163509">
      <w:pPr>
        <w:rPr>
          <w:rFonts w:cs="Times New Roman"/>
        </w:rPr>
      </w:pPr>
      <w:r>
        <w:rPr>
          <w:rStyle w:val="FootnoteReference"/>
        </w:rPr>
        <w:footnoteRef/>
      </w:r>
      <w:r>
        <w:t xml:space="preserve"> Ibid.</w:t>
      </w:r>
      <w:r>
        <w:rPr>
          <w:rFonts w:cs="Times New Roman"/>
        </w:rPr>
        <w:t xml:space="preserve">, 42.  </w:t>
      </w:r>
    </w:p>
  </w:footnote>
  <w:footnote w:id="182">
    <w:p w14:paraId="5786D52D" w14:textId="5BF2D1B7" w:rsidR="002573F2" w:rsidRDefault="002573F2">
      <w:pPr>
        <w:pStyle w:val="FootnoteText"/>
      </w:pPr>
      <w:r>
        <w:rPr>
          <w:rStyle w:val="FootnoteReference"/>
        </w:rPr>
        <w:footnoteRef/>
      </w:r>
      <w:r>
        <w:t xml:space="preserve"> </w:t>
      </w:r>
      <w:r>
        <w:rPr>
          <w:rFonts w:cs="Times New Roman"/>
        </w:rPr>
        <w:t xml:space="preserve">Furley and Watson, </w:t>
      </w:r>
      <w:r>
        <w:rPr>
          <w:i/>
        </w:rPr>
        <w:t>A History of Education in East Africa</w:t>
      </w:r>
      <w:r>
        <w:t>, 86.</w:t>
      </w:r>
    </w:p>
  </w:footnote>
  <w:footnote w:id="183">
    <w:p w14:paraId="3B258964" w14:textId="429E9958" w:rsidR="002573F2" w:rsidRDefault="002573F2">
      <w:pPr>
        <w:pStyle w:val="FootnoteText"/>
      </w:pPr>
      <w:r>
        <w:rPr>
          <w:rStyle w:val="FootnoteReference"/>
        </w:rPr>
        <w:footnoteRef/>
      </w:r>
      <w:r>
        <w:t xml:space="preserve"> The East African Protectorate Commission Report quoted by </w:t>
      </w:r>
      <w:r>
        <w:rPr>
          <w:rFonts w:cs="Times New Roman"/>
        </w:rPr>
        <w:t xml:space="preserve">Furley and Watson, </w:t>
      </w:r>
      <w:r>
        <w:rPr>
          <w:i/>
        </w:rPr>
        <w:t>A History of Education in East Africa</w:t>
      </w:r>
      <w:r>
        <w:t>, 153.</w:t>
      </w:r>
    </w:p>
  </w:footnote>
  <w:footnote w:id="184">
    <w:p w14:paraId="7579D845" w14:textId="7E7C41D8" w:rsidR="002573F2" w:rsidRDefault="002573F2">
      <w:pPr>
        <w:pStyle w:val="FootnoteText"/>
      </w:pPr>
      <w:r>
        <w:rPr>
          <w:rStyle w:val="FootnoteReference"/>
        </w:rPr>
        <w:footnoteRef/>
      </w:r>
      <w:r>
        <w:t xml:space="preserve"> The Phelps-Stoke Commission Report quoted</w:t>
      </w:r>
      <w:r>
        <w:rPr>
          <w:rFonts w:cs="Times New Roman"/>
        </w:rPr>
        <w:t xml:space="preserve"> by Furley and Watson, </w:t>
      </w:r>
      <w:r>
        <w:rPr>
          <w:i/>
        </w:rPr>
        <w:t>A History of Education in East Africa</w:t>
      </w:r>
      <w:r>
        <w:t>, 159.</w:t>
      </w:r>
    </w:p>
  </w:footnote>
  <w:footnote w:id="185">
    <w:p w14:paraId="77A93588" w14:textId="7710A169" w:rsidR="002573F2" w:rsidRDefault="002573F2">
      <w:pPr>
        <w:pStyle w:val="FootnoteText"/>
      </w:pPr>
      <w:r>
        <w:rPr>
          <w:rStyle w:val="FootnoteReference"/>
        </w:rPr>
        <w:footnoteRef/>
      </w:r>
      <w:r>
        <w:t xml:space="preserve"> Ibid., 241.</w:t>
      </w:r>
    </w:p>
  </w:footnote>
  <w:footnote w:id="186">
    <w:p w14:paraId="22B0924A" w14:textId="461A002E" w:rsidR="002573F2" w:rsidRDefault="002573F2">
      <w:pPr>
        <w:pStyle w:val="FootnoteText"/>
      </w:pPr>
      <w:r>
        <w:rPr>
          <w:rStyle w:val="FootnoteReference"/>
        </w:rPr>
        <w:footnoteRef/>
      </w:r>
      <w:r>
        <w:t xml:space="preserve"> Beecher report quoted by </w:t>
      </w:r>
      <w:r>
        <w:rPr>
          <w:rFonts w:cs="Times New Roman"/>
        </w:rPr>
        <w:t xml:space="preserve">Furley and Watson, </w:t>
      </w:r>
      <w:r>
        <w:rPr>
          <w:i/>
        </w:rPr>
        <w:t>A History of Education in East Africa</w:t>
      </w:r>
      <w:r>
        <w:t>, 247.</w:t>
      </w:r>
    </w:p>
  </w:footnote>
  <w:footnote w:id="187">
    <w:p w14:paraId="5FB223C1" w14:textId="2303F964" w:rsidR="002573F2" w:rsidRPr="009223CE" w:rsidRDefault="002573F2" w:rsidP="009223CE">
      <w:pPr>
        <w:rPr>
          <w:rFonts w:cs="Times New Roman"/>
          <w:iCs/>
        </w:rPr>
      </w:pPr>
      <w:r>
        <w:rPr>
          <w:rStyle w:val="FootnoteReference"/>
        </w:rPr>
        <w:footnoteRef/>
      </w:r>
      <w:r>
        <w:t xml:space="preserve"> KNA Annual Report quoted by Chege and Sifuna, </w:t>
      </w:r>
      <w:r w:rsidRPr="60B85027">
        <w:rPr>
          <w:rFonts w:cs="Times New Roman"/>
          <w:i/>
          <w:iCs/>
        </w:rPr>
        <w:t>Girls’ and Women’s Education in Kenya: Gender Perspectives and Trends</w:t>
      </w:r>
      <w:r>
        <w:rPr>
          <w:rFonts w:cs="Times New Roman"/>
          <w:iCs/>
        </w:rPr>
        <w:t>, 27.</w:t>
      </w:r>
    </w:p>
  </w:footnote>
  <w:footnote w:id="188">
    <w:p w14:paraId="2D3771CA" w14:textId="4ED06F85" w:rsidR="002573F2" w:rsidRPr="009223CE" w:rsidRDefault="002573F2" w:rsidP="009223CE">
      <w:pPr>
        <w:rPr>
          <w:rFonts w:cs="Times New Roman"/>
          <w:iCs/>
        </w:rPr>
      </w:pPr>
      <w:r>
        <w:rPr>
          <w:rStyle w:val="FootnoteReference"/>
        </w:rPr>
        <w:footnoteRef/>
      </w:r>
      <w:r>
        <w:t xml:space="preserve"> Chege and Sifuna, </w:t>
      </w:r>
      <w:r w:rsidRPr="60B85027">
        <w:rPr>
          <w:rFonts w:cs="Times New Roman"/>
          <w:i/>
          <w:iCs/>
        </w:rPr>
        <w:t>Girls’ and Women’s Education in Kenya: Gender Perspectives and Trends</w:t>
      </w:r>
      <w:r>
        <w:rPr>
          <w:rFonts w:cs="Times New Roman"/>
          <w:iCs/>
        </w:rPr>
        <w:t>, 27.</w:t>
      </w:r>
    </w:p>
  </w:footnote>
  <w:footnote w:id="189">
    <w:p w14:paraId="3EB820CA" w14:textId="3194F3A0" w:rsidR="002573F2" w:rsidRPr="00FE6271" w:rsidRDefault="002573F2" w:rsidP="00FE6271">
      <w:pPr>
        <w:rPr>
          <w:rFonts w:cs="Times New Roman"/>
        </w:rPr>
      </w:pPr>
      <w:r>
        <w:rPr>
          <w:rStyle w:val="FootnoteReference"/>
        </w:rPr>
        <w:footnoteRef/>
      </w:r>
      <w:r>
        <w:t xml:space="preserve"> Frank </w:t>
      </w:r>
      <w:r>
        <w:rPr>
          <w:rFonts w:cs="Times New Roman"/>
        </w:rPr>
        <w:t xml:space="preserve">Furedi, </w:t>
      </w:r>
      <w:r w:rsidRPr="24C89BF9">
        <w:rPr>
          <w:rFonts w:cs="Times New Roman"/>
        </w:rPr>
        <w:t>“The African Crowd in Nairobi: Popul</w:t>
      </w:r>
      <w:r>
        <w:rPr>
          <w:rFonts w:cs="Times New Roman"/>
        </w:rPr>
        <w:t>ar Movements and Elite Politics,</w:t>
      </w:r>
      <w:r w:rsidRPr="24C89BF9">
        <w:rPr>
          <w:rFonts w:cs="Times New Roman"/>
        </w:rPr>
        <w:t xml:space="preserve">” </w:t>
      </w:r>
      <w:r w:rsidRPr="24C89BF9">
        <w:rPr>
          <w:rFonts w:cs="Times New Roman"/>
          <w:i/>
          <w:iCs/>
        </w:rPr>
        <w:t>Journal of African History</w:t>
      </w:r>
      <w:r>
        <w:rPr>
          <w:rFonts w:cs="Times New Roman"/>
        </w:rPr>
        <w:t xml:space="preserve"> 14, no. 2 (1973):</w:t>
      </w:r>
      <w:r w:rsidRPr="24C89BF9">
        <w:rPr>
          <w:rFonts w:cs="Times New Roman"/>
        </w:rPr>
        <w:t xml:space="preserve"> 275-290. </w:t>
      </w:r>
    </w:p>
  </w:footnote>
  <w:footnote w:id="190">
    <w:p w14:paraId="28625B93" w14:textId="5F63E546" w:rsidR="002573F2" w:rsidRPr="00FE6271" w:rsidRDefault="002573F2" w:rsidP="00FE6271">
      <w:pPr>
        <w:rPr>
          <w:rFonts w:cs="Times New Roman"/>
        </w:rPr>
      </w:pPr>
      <w:r>
        <w:rPr>
          <w:rStyle w:val="FootnoteReference"/>
        </w:rPr>
        <w:footnoteRef/>
      </w:r>
      <w:r>
        <w:t xml:space="preserve"> Thuku quoted by </w:t>
      </w:r>
      <w:r>
        <w:rPr>
          <w:rFonts w:cs="Times New Roman"/>
        </w:rPr>
        <w:t>Furedi,</w:t>
      </w:r>
      <w:r w:rsidRPr="24C89BF9">
        <w:rPr>
          <w:rFonts w:cs="Times New Roman"/>
        </w:rPr>
        <w:t xml:space="preserve"> “The African Crowd in Nairobi: Popul</w:t>
      </w:r>
      <w:r>
        <w:rPr>
          <w:rFonts w:cs="Times New Roman"/>
        </w:rPr>
        <w:t>ar Movements and Elite Politics,</w:t>
      </w:r>
      <w:r w:rsidRPr="24C89BF9">
        <w:rPr>
          <w:rFonts w:cs="Times New Roman"/>
        </w:rPr>
        <w:t>”</w:t>
      </w:r>
      <w:r>
        <w:rPr>
          <w:rFonts w:cs="Times New Roman"/>
        </w:rPr>
        <w:t xml:space="preserve"> 275-290. </w:t>
      </w:r>
    </w:p>
  </w:footnote>
  <w:footnote w:id="191">
    <w:p w14:paraId="64BE71DC" w14:textId="6F812684" w:rsidR="002573F2" w:rsidRPr="00FE6271" w:rsidRDefault="002573F2" w:rsidP="00FE6271">
      <w:pPr>
        <w:rPr>
          <w:rFonts w:cs="Times New Roman"/>
        </w:rPr>
      </w:pPr>
      <w:r>
        <w:rPr>
          <w:rStyle w:val="FootnoteReference"/>
        </w:rPr>
        <w:footnoteRef/>
      </w:r>
      <w:r>
        <w:t xml:space="preserve"> Sobania, </w:t>
      </w:r>
      <w:r>
        <w:rPr>
          <w:i/>
        </w:rPr>
        <w:t>Culture and Customs of Kenya</w:t>
      </w:r>
      <w:r>
        <w:t>, 25.</w:t>
      </w:r>
    </w:p>
  </w:footnote>
  <w:footnote w:id="192">
    <w:p w14:paraId="13DB1A53" w14:textId="04F8A445" w:rsidR="002573F2" w:rsidRPr="00FE6271" w:rsidRDefault="002573F2" w:rsidP="00FE6271">
      <w:pPr>
        <w:rPr>
          <w:rFonts w:cs="Times New Roman"/>
        </w:rPr>
      </w:pPr>
      <w:r>
        <w:rPr>
          <w:rStyle w:val="FootnoteReference"/>
        </w:rPr>
        <w:footnoteRef/>
      </w:r>
      <w:r>
        <w:t xml:space="preserve"> Ibid., 25.</w:t>
      </w:r>
    </w:p>
  </w:footnote>
  <w:footnote w:id="193">
    <w:p w14:paraId="179BD86F" w14:textId="699082D3" w:rsidR="002573F2" w:rsidRPr="00FE6271" w:rsidRDefault="002573F2" w:rsidP="00FE6271">
      <w:pPr>
        <w:rPr>
          <w:rFonts w:cs="Times New Roman"/>
        </w:rPr>
      </w:pPr>
      <w:r>
        <w:rPr>
          <w:rStyle w:val="FootnoteReference"/>
        </w:rPr>
        <w:footnoteRef/>
      </w:r>
      <w:r>
        <w:t xml:space="preserve"> Ibid., 26.</w:t>
      </w:r>
    </w:p>
  </w:footnote>
  <w:footnote w:id="194">
    <w:p w14:paraId="1955897C" w14:textId="5F14AB24" w:rsidR="002573F2" w:rsidRPr="00FE6271" w:rsidRDefault="002573F2" w:rsidP="00FE6271">
      <w:pPr>
        <w:rPr>
          <w:rFonts w:cs="Times New Roman"/>
        </w:rPr>
      </w:pPr>
      <w:r>
        <w:rPr>
          <w:rStyle w:val="FootnoteReference"/>
        </w:rPr>
        <w:footnoteRef/>
      </w:r>
      <w:r>
        <w:t xml:space="preserve"> Ibid., 26.</w:t>
      </w:r>
    </w:p>
  </w:footnote>
  <w:footnote w:id="195">
    <w:p w14:paraId="6D6B48EB" w14:textId="5145B439" w:rsidR="002573F2" w:rsidRPr="00987602" w:rsidRDefault="002573F2" w:rsidP="00987602">
      <w:pPr>
        <w:rPr>
          <w:rFonts w:cs="Times New Roman"/>
        </w:rPr>
      </w:pPr>
      <w:r>
        <w:rPr>
          <w:rStyle w:val="FootnoteReference"/>
        </w:rPr>
        <w:footnoteRef/>
      </w:r>
      <w:r>
        <w:t xml:space="preserve"> Ibid., 26.</w:t>
      </w:r>
    </w:p>
  </w:footnote>
  <w:footnote w:id="196">
    <w:p w14:paraId="2745EB8C" w14:textId="2C102A70" w:rsidR="002573F2" w:rsidRPr="00987602" w:rsidRDefault="002573F2" w:rsidP="00987602">
      <w:pPr>
        <w:rPr>
          <w:rFonts w:eastAsia="Times New Roman" w:cs="Times New Roman"/>
          <w:color w:val="000000" w:themeColor="text1"/>
        </w:rPr>
      </w:pPr>
      <w:r>
        <w:rPr>
          <w:rStyle w:val="FootnoteReference"/>
        </w:rPr>
        <w:footnoteRef/>
      </w:r>
      <w:r>
        <w:t xml:space="preserve"> Wane and Gathenya, </w:t>
      </w:r>
      <w:r w:rsidRPr="24C89BF9">
        <w:rPr>
          <w:rFonts w:eastAsia="Times New Roman" w:cs="Times New Roman"/>
          <w:color w:val="000000" w:themeColor="text1"/>
        </w:rPr>
        <w:t>“The Yokes of Gender and Class: The Policy Reforms and Implications for Equitab</w:t>
      </w:r>
      <w:r>
        <w:rPr>
          <w:rFonts w:eastAsia="Times New Roman" w:cs="Times New Roman"/>
          <w:color w:val="000000" w:themeColor="text1"/>
        </w:rPr>
        <w:t>le Access to Education in Kenya,</w:t>
      </w:r>
      <w:r w:rsidRPr="24C89BF9">
        <w:rPr>
          <w:rFonts w:eastAsia="Times New Roman" w:cs="Times New Roman"/>
          <w:color w:val="000000" w:themeColor="text1"/>
        </w:rPr>
        <w:t xml:space="preserve">” 169-194. </w:t>
      </w:r>
    </w:p>
  </w:footnote>
  <w:footnote w:id="197">
    <w:p w14:paraId="4411719E" w14:textId="35922F2F" w:rsidR="002573F2" w:rsidRDefault="002573F2">
      <w:pPr>
        <w:pStyle w:val="FootnoteText"/>
      </w:pPr>
      <w:r>
        <w:rPr>
          <w:rStyle w:val="FootnoteReference"/>
        </w:rPr>
        <w:footnoteRef/>
      </w:r>
      <w:r>
        <w:t xml:space="preserve"> Ibid., </w:t>
      </w:r>
      <w:r>
        <w:rPr>
          <w:rFonts w:eastAsia="Times New Roman" w:cs="Times New Roman"/>
          <w:color w:val="000000" w:themeColor="text1"/>
        </w:rPr>
        <w:t xml:space="preserve">169-194. </w:t>
      </w:r>
    </w:p>
  </w:footnote>
  <w:footnote w:id="198">
    <w:p w14:paraId="4FEE4EBA" w14:textId="65582E96" w:rsidR="002573F2" w:rsidRDefault="002573F2">
      <w:pPr>
        <w:pStyle w:val="FootnoteText"/>
      </w:pPr>
      <w:r>
        <w:rPr>
          <w:rStyle w:val="FootnoteReference"/>
        </w:rPr>
        <w:footnoteRef/>
      </w:r>
      <w:r>
        <w:t xml:space="preserve"> Ibid., </w:t>
      </w:r>
      <w:r>
        <w:rPr>
          <w:rFonts w:eastAsia="Times New Roman" w:cs="Times New Roman"/>
          <w:color w:val="000000" w:themeColor="text1"/>
        </w:rPr>
        <w:t>169-194.</w:t>
      </w:r>
    </w:p>
  </w:footnote>
  <w:footnote w:id="199">
    <w:p w14:paraId="12B05D24" w14:textId="1719A75E" w:rsidR="002573F2" w:rsidRDefault="002573F2">
      <w:pPr>
        <w:pStyle w:val="FootnoteText"/>
      </w:pPr>
      <w:r>
        <w:rPr>
          <w:rStyle w:val="FootnoteReference"/>
        </w:rPr>
        <w:footnoteRef/>
      </w:r>
      <w:r>
        <w:t xml:space="preserve"> Bogonko, </w:t>
      </w:r>
      <w:r>
        <w:rPr>
          <w:i/>
        </w:rPr>
        <w:t>A History of Modern Education in Kenya (1895-1991)</w:t>
      </w:r>
      <w:r>
        <w:t>, 115.</w:t>
      </w:r>
    </w:p>
  </w:footnote>
  <w:footnote w:id="200">
    <w:p w14:paraId="7BD18739" w14:textId="0F1114EA" w:rsidR="002573F2" w:rsidRDefault="002573F2">
      <w:pPr>
        <w:pStyle w:val="FootnoteText"/>
      </w:pPr>
      <w:r>
        <w:rPr>
          <w:rStyle w:val="FootnoteReference"/>
        </w:rPr>
        <w:footnoteRef/>
      </w:r>
      <w:r>
        <w:t xml:space="preserve"> Ibid., 117.</w:t>
      </w:r>
    </w:p>
  </w:footnote>
  <w:footnote w:id="201">
    <w:p w14:paraId="00192961" w14:textId="021F9ABA" w:rsidR="002573F2" w:rsidRDefault="002573F2">
      <w:pPr>
        <w:pStyle w:val="FootnoteText"/>
      </w:pPr>
      <w:r>
        <w:rPr>
          <w:rStyle w:val="FootnoteReference"/>
        </w:rPr>
        <w:footnoteRef/>
      </w:r>
      <w:r>
        <w:t xml:space="preserve"> Ibid., 115.</w:t>
      </w:r>
    </w:p>
  </w:footnote>
  <w:footnote w:id="202">
    <w:p w14:paraId="577788AC" w14:textId="36A6B9A0" w:rsidR="002573F2" w:rsidRDefault="002573F2">
      <w:pPr>
        <w:pStyle w:val="FootnoteText"/>
      </w:pPr>
      <w:r>
        <w:rPr>
          <w:rStyle w:val="FootnoteReference"/>
        </w:rPr>
        <w:footnoteRef/>
      </w:r>
      <w:r>
        <w:t xml:space="preserve"> Ibid., 115.</w:t>
      </w:r>
    </w:p>
  </w:footnote>
  <w:footnote w:id="203">
    <w:p w14:paraId="5CEA20ED" w14:textId="25379C1C" w:rsidR="002573F2" w:rsidRDefault="002573F2">
      <w:pPr>
        <w:pStyle w:val="FootnoteText"/>
      </w:pPr>
      <w:r>
        <w:rPr>
          <w:rStyle w:val="FootnoteReference"/>
        </w:rPr>
        <w:footnoteRef/>
      </w:r>
      <w:r>
        <w:t xml:space="preserve"> Ibid., 111. This report implemented a new structure for the education system. The new system had eight years of primary school, four years of secondary school, and four years of tertiary school. </w:t>
      </w:r>
    </w:p>
  </w:footnote>
  <w:footnote w:id="204">
    <w:p w14:paraId="60EB08CF" w14:textId="0FDDB94F" w:rsidR="002573F2" w:rsidRDefault="002573F2">
      <w:pPr>
        <w:pStyle w:val="FootnoteText"/>
      </w:pPr>
      <w:r>
        <w:rPr>
          <w:rStyle w:val="FootnoteReference"/>
        </w:rPr>
        <w:footnoteRef/>
      </w:r>
      <w:r>
        <w:t xml:space="preserve"> Ibid., 121.</w:t>
      </w:r>
    </w:p>
  </w:footnote>
  <w:footnote w:id="205">
    <w:p w14:paraId="073D6D2D" w14:textId="443EFD5E" w:rsidR="002573F2" w:rsidRDefault="002573F2">
      <w:pPr>
        <w:pStyle w:val="FootnoteText"/>
      </w:pPr>
      <w:r>
        <w:rPr>
          <w:rStyle w:val="FootnoteReference"/>
        </w:rPr>
        <w:footnoteRef/>
      </w:r>
      <w:r>
        <w:t xml:space="preserve"> Ibid., 114.</w:t>
      </w:r>
    </w:p>
  </w:footnote>
  <w:footnote w:id="206">
    <w:p w14:paraId="6F702FD7" w14:textId="4A4C0F42" w:rsidR="002573F2" w:rsidRDefault="002573F2">
      <w:pPr>
        <w:pStyle w:val="FootnoteText"/>
      </w:pPr>
      <w:r>
        <w:rPr>
          <w:rStyle w:val="FootnoteReference"/>
        </w:rPr>
        <w:footnoteRef/>
      </w:r>
      <w:r>
        <w:t xml:space="preserve"> Ibid., 114.</w:t>
      </w:r>
    </w:p>
  </w:footnote>
  <w:footnote w:id="207">
    <w:p w14:paraId="1B8B9527" w14:textId="68D54347" w:rsidR="002573F2" w:rsidRDefault="002573F2">
      <w:pPr>
        <w:pStyle w:val="FootnoteText"/>
      </w:pPr>
      <w:r>
        <w:rPr>
          <w:rStyle w:val="FootnoteReference"/>
        </w:rPr>
        <w:footnoteRef/>
      </w:r>
      <w:r>
        <w:t xml:space="preserve"> Wane and Gathenya, </w:t>
      </w:r>
      <w:r w:rsidRPr="24C89BF9">
        <w:rPr>
          <w:rFonts w:eastAsia="Times New Roman" w:cs="Times New Roman"/>
          <w:color w:val="000000" w:themeColor="text1"/>
        </w:rPr>
        <w:t>“The Yokes of Gender and Class: The Policy Reforms and Implications for Equitab</w:t>
      </w:r>
      <w:r>
        <w:rPr>
          <w:rFonts w:eastAsia="Times New Roman" w:cs="Times New Roman"/>
          <w:color w:val="000000" w:themeColor="text1"/>
        </w:rPr>
        <w:t>le Access to Education in Kenya,</w:t>
      </w:r>
      <w:r w:rsidRPr="24C89BF9">
        <w:rPr>
          <w:rFonts w:eastAsia="Times New Roman" w:cs="Times New Roman"/>
          <w:color w:val="000000" w:themeColor="text1"/>
        </w:rPr>
        <w:t>”</w:t>
      </w:r>
      <w:r>
        <w:rPr>
          <w:rFonts w:eastAsia="Times New Roman" w:cs="Times New Roman"/>
          <w:color w:val="000000" w:themeColor="text1"/>
        </w:rPr>
        <w:t xml:space="preserve"> 169-194.</w:t>
      </w:r>
    </w:p>
  </w:footnote>
  <w:footnote w:id="208">
    <w:p w14:paraId="133854A7" w14:textId="37C69AD8" w:rsidR="002573F2" w:rsidRDefault="002573F2" w:rsidP="00987602">
      <w:r>
        <w:rPr>
          <w:rStyle w:val="FootnoteReference"/>
        </w:rPr>
        <w:footnoteRef/>
      </w:r>
      <w:r>
        <w:t xml:space="preserve"> Daniel </w:t>
      </w:r>
      <w:r>
        <w:rPr>
          <w:rFonts w:eastAsia="Times New Roman" w:cs="Times New Roman"/>
          <w:color w:val="000000" w:themeColor="text1"/>
        </w:rPr>
        <w:t xml:space="preserve">Sifuna, </w:t>
      </w:r>
      <w:r w:rsidRPr="24C89BF9">
        <w:rPr>
          <w:rFonts w:eastAsia="Times New Roman" w:cs="Times New Roman"/>
          <w:color w:val="000000" w:themeColor="text1"/>
        </w:rPr>
        <w:t xml:space="preserve">“The Illusion of Universal </w:t>
      </w:r>
      <w:r>
        <w:rPr>
          <w:rFonts w:eastAsia="Times New Roman" w:cs="Times New Roman"/>
          <w:color w:val="000000" w:themeColor="text1"/>
        </w:rPr>
        <w:t>Free Primary Education in Kenya,</w:t>
      </w:r>
      <w:r w:rsidRPr="24C89BF9">
        <w:rPr>
          <w:rFonts w:eastAsia="Times New Roman" w:cs="Times New Roman"/>
          <w:color w:val="000000" w:themeColor="text1"/>
        </w:rPr>
        <w:t xml:space="preserve">” </w:t>
      </w:r>
      <w:r w:rsidRPr="24C89BF9">
        <w:rPr>
          <w:rFonts w:eastAsia="Times New Roman" w:cs="Times New Roman"/>
          <w:i/>
          <w:iCs/>
          <w:color w:val="000000" w:themeColor="text1"/>
        </w:rPr>
        <w:t xml:space="preserve">Wajibu, A Jounral of Social and Religious Concern </w:t>
      </w:r>
      <w:r>
        <w:rPr>
          <w:rFonts w:eastAsia="Times New Roman" w:cs="Times New Roman"/>
          <w:color w:val="000000" w:themeColor="text1"/>
        </w:rPr>
        <w:t xml:space="preserve">19, no. 2 (2004): </w:t>
      </w:r>
      <w:r w:rsidRPr="24C89BF9">
        <w:rPr>
          <w:rFonts w:eastAsia="Times New Roman" w:cs="Times New Roman"/>
          <w:color w:val="000000" w:themeColor="text1"/>
        </w:rPr>
        <w:t xml:space="preserve">5-8. </w:t>
      </w:r>
    </w:p>
  </w:footnote>
  <w:footnote w:id="209">
    <w:p w14:paraId="62A5E0ED" w14:textId="1EEC3E37" w:rsidR="002573F2" w:rsidRPr="00E57A85" w:rsidRDefault="002573F2" w:rsidP="00E57A85">
      <w:pPr>
        <w:rPr>
          <w:rFonts w:cs="Times New Roman"/>
        </w:rPr>
      </w:pPr>
      <w:r>
        <w:rPr>
          <w:rStyle w:val="FootnoteReference"/>
        </w:rPr>
        <w:footnoteRef/>
      </w:r>
      <w:r>
        <w:t xml:space="preserve"> Anthony </w:t>
      </w:r>
      <w:r>
        <w:rPr>
          <w:rFonts w:cs="Times New Roman"/>
        </w:rPr>
        <w:t>Somerset,</w:t>
      </w:r>
      <w:r w:rsidRPr="24C89BF9">
        <w:rPr>
          <w:rFonts w:cs="Times New Roman"/>
        </w:rPr>
        <w:t xml:space="preserve"> “Universalising Primary Educa</w:t>
      </w:r>
      <w:r>
        <w:rPr>
          <w:rFonts w:cs="Times New Roman"/>
        </w:rPr>
        <w:t>tion in Kenya: The Elusive Goal,</w:t>
      </w:r>
      <w:r w:rsidRPr="24C89BF9">
        <w:rPr>
          <w:rFonts w:cs="Times New Roman"/>
        </w:rPr>
        <w:t xml:space="preserve">” </w:t>
      </w:r>
      <w:r w:rsidRPr="24C89BF9">
        <w:rPr>
          <w:rFonts w:cs="Times New Roman"/>
          <w:i/>
          <w:iCs/>
        </w:rPr>
        <w:t>Comparative Education</w:t>
      </w:r>
      <w:r>
        <w:rPr>
          <w:rFonts w:cs="Times New Roman"/>
        </w:rPr>
        <w:t xml:space="preserve"> 45, no. 2 (2009): </w:t>
      </w:r>
      <w:r w:rsidRPr="24C89BF9">
        <w:rPr>
          <w:rFonts w:cs="Times New Roman"/>
        </w:rPr>
        <w:t>233-250.</w:t>
      </w:r>
    </w:p>
  </w:footnote>
  <w:footnote w:id="210">
    <w:p w14:paraId="0A0A6EF3" w14:textId="37FEEC44" w:rsidR="002573F2" w:rsidRDefault="002573F2">
      <w:pPr>
        <w:pStyle w:val="FootnoteText"/>
      </w:pPr>
      <w:r>
        <w:rPr>
          <w:rStyle w:val="FootnoteReference"/>
        </w:rPr>
        <w:footnoteRef/>
      </w:r>
      <w:r>
        <w:t xml:space="preserve"> Ibid.,</w:t>
      </w:r>
      <w:r>
        <w:rPr>
          <w:rFonts w:cs="Times New Roman"/>
        </w:rPr>
        <w:t xml:space="preserve"> 233-250. </w:t>
      </w:r>
    </w:p>
  </w:footnote>
  <w:footnote w:id="211">
    <w:p w14:paraId="15AA87A5" w14:textId="22F55465" w:rsidR="002573F2" w:rsidRDefault="002573F2">
      <w:pPr>
        <w:pStyle w:val="FootnoteText"/>
      </w:pPr>
      <w:r>
        <w:rPr>
          <w:rStyle w:val="FootnoteReference"/>
        </w:rPr>
        <w:footnoteRef/>
      </w:r>
      <w:r>
        <w:t xml:space="preserve"> </w:t>
      </w:r>
      <w:r>
        <w:rPr>
          <w:rFonts w:eastAsia="Times New Roman" w:cs="Times New Roman"/>
          <w:color w:val="000000" w:themeColor="text1"/>
        </w:rPr>
        <w:t xml:space="preserve">Sifuna, “The Illusion of Universal Free Primary Education in Kenya,” 5-8. </w:t>
      </w:r>
      <w:r w:rsidRPr="24C89BF9">
        <w:rPr>
          <w:rFonts w:eastAsia="Times New Roman" w:cs="Times New Roman"/>
          <w:color w:val="000000" w:themeColor="text1"/>
        </w:rPr>
        <w:t xml:space="preserve"> </w:t>
      </w:r>
    </w:p>
  </w:footnote>
  <w:footnote w:id="212">
    <w:p w14:paraId="737D4BF2" w14:textId="3A264BD9" w:rsidR="002573F2" w:rsidRDefault="002573F2">
      <w:pPr>
        <w:pStyle w:val="FootnoteText"/>
      </w:pPr>
      <w:r>
        <w:rPr>
          <w:rStyle w:val="FootnoteReference"/>
        </w:rPr>
        <w:footnoteRef/>
      </w:r>
      <w:r>
        <w:t xml:space="preserve"> Ibid., </w:t>
      </w:r>
      <w:r>
        <w:rPr>
          <w:rFonts w:eastAsia="Times New Roman" w:cs="Times New Roman"/>
          <w:color w:val="000000" w:themeColor="text1"/>
        </w:rPr>
        <w:t xml:space="preserve">5-8. </w:t>
      </w:r>
      <w:r w:rsidRPr="24C89BF9">
        <w:rPr>
          <w:rFonts w:eastAsia="Times New Roman" w:cs="Times New Roman"/>
          <w:color w:val="000000" w:themeColor="text1"/>
        </w:rPr>
        <w:t xml:space="preserve"> </w:t>
      </w:r>
    </w:p>
  </w:footnote>
  <w:footnote w:id="213">
    <w:p w14:paraId="74EEAEE2" w14:textId="4FB93B3D" w:rsidR="002573F2" w:rsidRDefault="002573F2">
      <w:pPr>
        <w:pStyle w:val="FootnoteText"/>
      </w:pPr>
      <w:r>
        <w:rPr>
          <w:rStyle w:val="FootnoteReference"/>
        </w:rPr>
        <w:footnoteRef/>
      </w:r>
      <w:r>
        <w:t xml:space="preserve"> Ibid., </w:t>
      </w:r>
      <w:r>
        <w:rPr>
          <w:rFonts w:eastAsia="Times New Roman" w:cs="Times New Roman"/>
          <w:color w:val="000000" w:themeColor="text1"/>
        </w:rPr>
        <w:t xml:space="preserve">5-8. </w:t>
      </w:r>
      <w:r w:rsidRPr="24C89BF9">
        <w:rPr>
          <w:rFonts w:eastAsia="Times New Roman" w:cs="Times New Roman"/>
          <w:color w:val="000000" w:themeColor="text1"/>
        </w:rPr>
        <w:t xml:space="preserve"> </w:t>
      </w:r>
    </w:p>
  </w:footnote>
  <w:footnote w:id="214">
    <w:p w14:paraId="77945275" w14:textId="4499D8F3" w:rsidR="002573F2" w:rsidRDefault="002573F2">
      <w:pPr>
        <w:pStyle w:val="FootnoteText"/>
      </w:pPr>
      <w:r>
        <w:rPr>
          <w:rStyle w:val="FootnoteReference"/>
        </w:rPr>
        <w:footnoteRef/>
      </w:r>
      <w:r>
        <w:t xml:space="preserve"> </w:t>
      </w:r>
      <w:r>
        <w:rPr>
          <w:rFonts w:eastAsia="Times New Roman" w:cs="Times New Roman"/>
          <w:color w:val="000000" w:themeColor="text1"/>
        </w:rPr>
        <w:t xml:space="preserve">Sifuna, “The Illusion of Universal Free Primary Education in Kenya,” 5-8; and Somerset, </w:t>
      </w:r>
      <w:r w:rsidRPr="24C89BF9">
        <w:rPr>
          <w:rFonts w:cs="Times New Roman"/>
        </w:rPr>
        <w:t>“Universalising Primary Educa</w:t>
      </w:r>
      <w:r>
        <w:rPr>
          <w:rFonts w:cs="Times New Roman"/>
        </w:rPr>
        <w:t>tion in Kenya: The Elusive Goal,</w:t>
      </w:r>
      <w:r w:rsidRPr="24C89BF9">
        <w:rPr>
          <w:rFonts w:cs="Times New Roman"/>
        </w:rPr>
        <w:t>”</w:t>
      </w:r>
      <w:r>
        <w:rPr>
          <w:rFonts w:cs="Times New Roman"/>
        </w:rPr>
        <w:t xml:space="preserve"> 233-250. </w:t>
      </w:r>
    </w:p>
  </w:footnote>
  <w:footnote w:id="215">
    <w:p w14:paraId="72239156" w14:textId="289F5B11" w:rsidR="002573F2" w:rsidRDefault="002573F2">
      <w:pPr>
        <w:pStyle w:val="FootnoteText"/>
      </w:pPr>
      <w:r>
        <w:rPr>
          <w:rStyle w:val="FootnoteReference"/>
        </w:rPr>
        <w:footnoteRef/>
      </w:r>
      <w:r>
        <w:t xml:space="preserve"> </w:t>
      </w:r>
      <w:r>
        <w:rPr>
          <w:rFonts w:eastAsia="Times New Roman" w:cs="Times New Roman"/>
          <w:color w:val="000000" w:themeColor="text1"/>
        </w:rPr>
        <w:t xml:space="preserve">Sifuna, “The Illusion of Universal Free Primary Education in Kenya,” 5-8. </w:t>
      </w:r>
      <w:r w:rsidRPr="24C89BF9">
        <w:rPr>
          <w:rFonts w:eastAsia="Times New Roman" w:cs="Times New Roman"/>
          <w:color w:val="000000" w:themeColor="text1"/>
        </w:rPr>
        <w:t xml:space="preserve"> </w:t>
      </w:r>
    </w:p>
  </w:footnote>
  <w:footnote w:id="216">
    <w:p w14:paraId="6F3B3844" w14:textId="42623117" w:rsidR="002573F2" w:rsidRDefault="002573F2">
      <w:pPr>
        <w:pStyle w:val="FootnoteText"/>
      </w:pPr>
      <w:r>
        <w:rPr>
          <w:rStyle w:val="FootnoteReference"/>
        </w:rPr>
        <w:footnoteRef/>
      </w:r>
      <w:r>
        <w:t xml:space="preserve"> Somerset, </w:t>
      </w:r>
      <w:r w:rsidRPr="24C89BF9">
        <w:rPr>
          <w:rFonts w:cs="Times New Roman"/>
        </w:rPr>
        <w:t>“Universalising Primary Educa</w:t>
      </w:r>
      <w:r>
        <w:rPr>
          <w:rFonts w:cs="Times New Roman"/>
        </w:rPr>
        <w:t>tion in Kenya: The Elusive Goal,</w:t>
      </w:r>
      <w:r w:rsidRPr="24C89BF9">
        <w:rPr>
          <w:rFonts w:cs="Times New Roman"/>
        </w:rPr>
        <w:t>”</w:t>
      </w:r>
      <w:r>
        <w:rPr>
          <w:rFonts w:cs="Times New Roman"/>
        </w:rPr>
        <w:t xml:space="preserve"> 233-250.</w:t>
      </w:r>
    </w:p>
  </w:footnote>
  <w:footnote w:id="217">
    <w:p w14:paraId="7A43B8AF" w14:textId="376B564E" w:rsidR="002573F2" w:rsidRDefault="002573F2">
      <w:pPr>
        <w:pStyle w:val="FootnoteText"/>
      </w:pPr>
      <w:r>
        <w:rPr>
          <w:rStyle w:val="FootnoteReference"/>
        </w:rPr>
        <w:footnoteRef/>
      </w:r>
      <w:r>
        <w:t xml:space="preserve"> Ibid., </w:t>
      </w:r>
      <w:r>
        <w:rPr>
          <w:rFonts w:cs="Times New Roman"/>
        </w:rPr>
        <w:t>233-250.</w:t>
      </w:r>
    </w:p>
  </w:footnote>
  <w:footnote w:id="218">
    <w:p w14:paraId="1B04C8FF" w14:textId="6C02F95F" w:rsidR="002573F2" w:rsidRDefault="002573F2" w:rsidP="00185268">
      <w:r>
        <w:rPr>
          <w:rStyle w:val="FootnoteReference"/>
        </w:rPr>
        <w:footnoteRef/>
      </w:r>
      <w:r>
        <w:t xml:space="preserve"> Bogonko, </w:t>
      </w:r>
      <w:r>
        <w:rPr>
          <w:i/>
        </w:rPr>
        <w:t>A History of Modern Education in Kenya (1895-1991)</w:t>
      </w:r>
      <w:r>
        <w:t xml:space="preserve">, 115. </w:t>
      </w:r>
    </w:p>
  </w:footnote>
  <w:footnote w:id="219">
    <w:p w14:paraId="125D36F6" w14:textId="233657C8" w:rsidR="002573F2" w:rsidRDefault="002573F2">
      <w:pPr>
        <w:pStyle w:val="FootnoteText"/>
      </w:pPr>
      <w:r>
        <w:rPr>
          <w:rStyle w:val="FootnoteReference"/>
        </w:rPr>
        <w:footnoteRef/>
      </w:r>
      <w:r>
        <w:t xml:space="preserve"> Ibid.</w:t>
      </w:r>
      <w:r>
        <w:rPr>
          <w:rFonts w:cs="Times New Roman"/>
        </w:rPr>
        <w:t xml:space="preserve">, </w:t>
      </w:r>
      <w:r>
        <w:t>117</w:t>
      </w:r>
      <w:r>
        <w:rPr>
          <w:rFonts w:cs="Times New Roman"/>
        </w:rPr>
        <w:t>.</w:t>
      </w:r>
    </w:p>
  </w:footnote>
  <w:footnote w:id="220">
    <w:p w14:paraId="50999C2E" w14:textId="200F1612" w:rsidR="002573F2" w:rsidRDefault="002573F2">
      <w:pPr>
        <w:pStyle w:val="FootnoteText"/>
      </w:pPr>
      <w:r>
        <w:rPr>
          <w:rStyle w:val="FootnoteReference"/>
        </w:rPr>
        <w:footnoteRef/>
      </w:r>
      <w:r>
        <w:t xml:space="preserve"> Ibid., 117</w:t>
      </w:r>
      <w:r>
        <w:rPr>
          <w:rFonts w:cs="Times New Roman"/>
        </w:rPr>
        <w:t>.</w:t>
      </w:r>
    </w:p>
  </w:footnote>
  <w:footnote w:id="221">
    <w:p w14:paraId="1B221172" w14:textId="54F9E591" w:rsidR="002573F2" w:rsidRDefault="002573F2">
      <w:pPr>
        <w:pStyle w:val="FootnoteText"/>
      </w:pPr>
      <w:r>
        <w:rPr>
          <w:rStyle w:val="FootnoteReference"/>
        </w:rPr>
        <w:footnoteRef/>
      </w:r>
      <w:r>
        <w:t xml:space="preserve"> Somerset, </w:t>
      </w:r>
      <w:r w:rsidRPr="24C89BF9">
        <w:rPr>
          <w:rFonts w:cs="Times New Roman"/>
        </w:rPr>
        <w:t>“Universalising Primary Educa</w:t>
      </w:r>
      <w:r>
        <w:rPr>
          <w:rFonts w:cs="Times New Roman"/>
        </w:rPr>
        <w:t>tion in Kenya: The Elusive Goal,</w:t>
      </w:r>
      <w:r w:rsidRPr="24C89BF9">
        <w:rPr>
          <w:rFonts w:cs="Times New Roman"/>
        </w:rPr>
        <w:t>”</w:t>
      </w:r>
      <w:r>
        <w:rPr>
          <w:rFonts w:cs="Times New Roman"/>
        </w:rPr>
        <w:t xml:space="preserve"> 233-250.</w:t>
      </w:r>
    </w:p>
  </w:footnote>
  <w:footnote w:id="222">
    <w:p w14:paraId="6C2C19A9" w14:textId="7F880699" w:rsidR="002573F2" w:rsidRDefault="002573F2">
      <w:pPr>
        <w:pStyle w:val="FootnoteText"/>
      </w:pPr>
      <w:r>
        <w:rPr>
          <w:rStyle w:val="FootnoteReference"/>
        </w:rPr>
        <w:footnoteRef/>
      </w:r>
      <w:r>
        <w:t xml:space="preserve"> Ibid.,</w:t>
      </w:r>
      <w:r>
        <w:rPr>
          <w:rFonts w:cs="Times New Roman"/>
        </w:rPr>
        <w:t xml:space="preserve"> 233-250.</w:t>
      </w:r>
    </w:p>
  </w:footnote>
  <w:footnote w:id="223">
    <w:p w14:paraId="2FE36F88" w14:textId="50A25AF3" w:rsidR="002573F2" w:rsidRDefault="002573F2">
      <w:pPr>
        <w:pStyle w:val="FootnoteText"/>
      </w:pPr>
      <w:r>
        <w:rPr>
          <w:rStyle w:val="FootnoteReference"/>
        </w:rPr>
        <w:footnoteRef/>
      </w:r>
      <w:r>
        <w:t xml:space="preserve"> Ibid.,</w:t>
      </w:r>
      <w:r>
        <w:rPr>
          <w:rFonts w:cs="Times New Roman"/>
        </w:rPr>
        <w:t xml:space="preserve"> 233-250.</w:t>
      </w:r>
    </w:p>
  </w:footnote>
  <w:footnote w:id="224">
    <w:p w14:paraId="6A9F8078" w14:textId="5852F663" w:rsidR="002573F2" w:rsidRPr="00185268" w:rsidRDefault="002573F2" w:rsidP="00185268">
      <w:pPr>
        <w:rPr>
          <w:rFonts w:cs="Times New Roman"/>
        </w:rPr>
      </w:pPr>
      <w:r>
        <w:rPr>
          <w:rStyle w:val="FootnoteReference"/>
        </w:rPr>
        <w:footnoteRef/>
      </w:r>
      <w:r>
        <w:t xml:space="preserve"> Elaine </w:t>
      </w:r>
      <w:r>
        <w:rPr>
          <w:rFonts w:cs="Times New Roman"/>
        </w:rPr>
        <w:t>Unterhalter</w:t>
      </w:r>
      <w:r w:rsidRPr="24C89BF9">
        <w:rPr>
          <w:rFonts w:cs="Times New Roman"/>
        </w:rPr>
        <w:t xml:space="preserve"> and Amy North. “Responding to the Gender and Education Millennium Development Goals in South Africa and Kenya: Reflections on Education Rights, Gender Equality, </w:t>
      </w:r>
      <w:r>
        <w:rPr>
          <w:rFonts w:cs="Times New Roman"/>
        </w:rPr>
        <w:t>Capabilities and Global Justice,</w:t>
      </w:r>
      <w:r w:rsidRPr="24C89BF9">
        <w:rPr>
          <w:rFonts w:cs="Times New Roman"/>
        </w:rPr>
        <w:t xml:space="preserve">” </w:t>
      </w:r>
      <w:r w:rsidRPr="24C89BF9">
        <w:rPr>
          <w:rFonts w:cs="Times New Roman"/>
          <w:i/>
          <w:iCs/>
        </w:rPr>
        <w:t>Compare: A Journal of Comparative and International Education</w:t>
      </w:r>
      <w:r>
        <w:rPr>
          <w:rFonts w:cs="Times New Roman"/>
        </w:rPr>
        <w:t xml:space="preserve"> 41, no. 4 (2011):</w:t>
      </w:r>
      <w:r w:rsidRPr="24C89BF9">
        <w:rPr>
          <w:rFonts w:cs="Times New Roman"/>
        </w:rPr>
        <w:t xml:space="preserve"> 495-511.</w:t>
      </w:r>
    </w:p>
  </w:footnote>
  <w:footnote w:id="225">
    <w:p w14:paraId="082D7993" w14:textId="52CA3530" w:rsidR="002573F2" w:rsidRDefault="002573F2">
      <w:pPr>
        <w:pStyle w:val="FootnoteText"/>
      </w:pPr>
      <w:r>
        <w:rPr>
          <w:rStyle w:val="FootnoteReference"/>
        </w:rPr>
        <w:footnoteRef/>
      </w:r>
      <w:r>
        <w:t xml:space="preserve"> Somerset, </w:t>
      </w:r>
      <w:r w:rsidRPr="24C89BF9">
        <w:rPr>
          <w:rFonts w:cs="Times New Roman"/>
        </w:rPr>
        <w:t>“Universalising Primary Educa</w:t>
      </w:r>
      <w:r>
        <w:rPr>
          <w:rFonts w:cs="Times New Roman"/>
        </w:rPr>
        <w:t>tion in Kenya: The Elusive Goal,</w:t>
      </w:r>
      <w:r w:rsidRPr="24C89BF9">
        <w:rPr>
          <w:rFonts w:cs="Times New Roman"/>
        </w:rPr>
        <w:t>”</w:t>
      </w:r>
      <w:r>
        <w:rPr>
          <w:rFonts w:cs="Times New Roman"/>
        </w:rPr>
        <w:t xml:space="preserve"> 233-250.</w:t>
      </w:r>
    </w:p>
  </w:footnote>
  <w:footnote w:id="226">
    <w:p w14:paraId="3FE65436" w14:textId="3C152702" w:rsidR="002573F2" w:rsidRDefault="002573F2">
      <w:pPr>
        <w:pStyle w:val="FootnoteText"/>
      </w:pPr>
      <w:r>
        <w:rPr>
          <w:rStyle w:val="FootnoteReference"/>
        </w:rPr>
        <w:footnoteRef/>
      </w:r>
      <w:r>
        <w:t xml:space="preserve"> Ibid., </w:t>
      </w:r>
      <w:r>
        <w:rPr>
          <w:rFonts w:cs="Times New Roman"/>
        </w:rPr>
        <w:t>233-250.</w:t>
      </w:r>
    </w:p>
  </w:footnote>
  <w:footnote w:id="227">
    <w:p w14:paraId="1B042E68" w14:textId="221E4425" w:rsidR="002573F2" w:rsidRDefault="002573F2">
      <w:pPr>
        <w:pStyle w:val="FootnoteText"/>
      </w:pPr>
      <w:r>
        <w:rPr>
          <w:rStyle w:val="FootnoteReference"/>
        </w:rPr>
        <w:footnoteRef/>
      </w:r>
      <w:r>
        <w:t xml:space="preserve"> Ibid., </w:t>
      </w:r>
      <w:r>
        <w:rPr>
          <w:rFonts w:cs="Times New Roman"/>
        </w:rPr>
        <w:t>233-250.</w:t>
      </w:r>
    </w:p>
  </w:footnote>
  <w:footnote w:id="228">
    <w:p w14:paraId="2CD7519D" w14:textId="3BF88E9C" w:rsidR="002573F2" w:rsidRDefault="002573F2">
      <w:pPr>
        <w:pStyle w:val="FootnoteText"/>
      </w:pPr>
      <w:r>
        <w:rPr>
          <w:rStyle w:val="FootnoteReference"/>
        </w:rPr>
        <w:footnoteRef/>
      </w:r>
      <w:r>
        <w:t xml:space="preserve"> Ibid., </w:t>
      </w:r>
      <w:r>
        <w:rPr>
          <w:rFonts w:cs="Times New Roman"/>
        </w:rPr>
        <w:t>233-250.</w:t>
      </w:r>
    </w:p>
  </w:footnote>
  <w:footnote w:id="229">
    <w:p w14:paraId="7EDA900D" w14:textId="1DA05DA7" w:rsidR="002573F2" w:rsidRDefault="002573F2">
      <w:pPr>
        <w:pStyle w:val="FootnoteText"/>
      </w:pPr>
      <w:r>
        <w:rPr>
          <w:rStyle w:val="FootnoteReference"/>
        </w:rPr>
        <w:footnoteRef/>
      </w:r>
      <w:r>
        <w:t xml:space="preserve"> Ibid., </w:t>
      </w:r>
      <w:r>
        <w:rPr>
          <w:rFonts w:cs="Times New Roman"/>
        </w:rPr>
        <w:t>233-250.</w:t>
      </w:r>
    </w:p>
  </w:footnote>
  <w:footnote w:id="230">
    <w:p w14:paraId="6B2827D9" w14:textId="4F025D14" w:rsidR="002573F2" w:rsidRDefault="002573F2">
      <w:pPr>
        <w:pStyle w:val="FootnoteText"/>
      </w:pPr>
      <w:r>
        <w:rPr>
          <w:rStyle w:val="FootnoteReference"/>
        </w:rPr>
        <w:footnoteRef/>
      </w:r>
      <w:r>
        <w:t xml:space="preserve"> Ibid., </w:t>
      </w:r>
      <w:r>
        <w:rPr>
          <w:rFonts w:cs="Times New Roman"/>
        </w:rPr>
        <w:t>233-250.</w:t>
      </w:r>
    </w:p>
  </w:footnote>
  <w:footnote w:id="231">
    <w:p w14:paraId="3926F9E1" w14:textId="062B2BBE" w:rsidR="002573F2" w:rsidRDefault="002573F2">
      <w:pPr>
        <w:pStyle w:val="FootnoteText"/>
      </w:pPr>
      <w:r>
        <w:rPr>
          <w:rStyle w:val="FootnoteReference"/>
        </w:rPr>
        <w:footnoteRef/>
      </w:r>
      <w:r>
        <w:t xml:space="preserve"> Ibid., </w:t>
      </w:r>
      <w:r>
        <w:rPr>
          <w:rFonts w:cs="Times New Roman"/>
        </w:rPr>
        <w:t>233-250.</w:t>
      </w:r>
    </w:p>
  </w:footnote>
  <w:footnote w:id="232">
    <w:p w14:paraId="4B2B90A7" w14:textId="3DF3377A" w:rsidR="002573F2" w:rsidRDefault="002573F2">
      <w:pPr>
        <w:pStyle w:val="FootnoteText"/>
      </w:pPr>
      <w:r>
        <w:rPr>
          <w:rStyle w:val="FootnoteReference"/>
        </w:rPr>
        <w:footnoteRef/>
      </w:r>
      <w:r>
        <w:t xml:space="preserve"> Reference figure 1 in the introduction. </w:t>
      </w:r>
    </w:p>
  </w:footnote>
  <w:footnote w:id="233">
    <w:p w14:paraId="39709278" w14:textId="2CD8ADA0" w:rsidR="002573F2" w:rsidRDefault="002573F2">
      <w:pPr>
        <w:pStyle w:val="FootnoteText"/>
      </w:pPr>
      <w:r>
        <w:rPr>
          <w:rStyle w:val="FootnoteReference"/>
        </w:rPr>
        <w:footnoteRef/>
      </w:r>
      <w:r>
        <w:t xml:space="preserve"> For example, some groups were more resistant to missionary education, even in the colonial era. Additionally, some areas were too unstable or spread out populations, which resulted in less school facilities. </w:t>
      </w:r>
    </w:p>
  </w:footnote>
  <w:footnote w:id="234">
    <w:p w14:paraId="330B1DB1" w14:textId="2D14D9D4" w:rsidR="002573F2" w:rsidRPr="00570CD9" w:rsidRDefault="002573F2" w:rsidP="00570CD9">
      <w:pPr>
        <w:rPr>
          <w:rFonts w:cs="Times New Roman"/>
        </w:rPr>
      </w:pPr>
      <w:r>
        <w:rPr>
          <w:rStyle w:val="FootnoteReference"/>
        </w:rPr>
        <w:footnoteRef/>
      </w:r>
      <w:r>
        <w:t xml:space="preserve"> </w:t>
      </w:r>
      <w:r>
        <w:rPr>
          <w:rFonts w:cs="Times New Roman"/>
        </w:rPr>
        <w:t>Castelló and Doménech, “Human Capital Inequality and Economic Growth: Some New Evidence,” 187-200.</w:t>
      </w:r>
    </w:p>
  </w:footnote>
  <w:footnote w:id="235">
    <w:p w14:paraId="6ED11428" w14:textId="08047C48" w:rsidR="002573F2" w:rsidRPr="00570CD9" w:rsidRDefault="002573F2" w:rsidP="00570CD9">
      <w:pPr>
        <w:rPr>
          <w:rFonts w:cs="Times New Roman"/>
        </w:rPr>
      </w:pPr>
      <w:r>
        <w:rPr>
          <w:rStyle w:val="FootnoteReference"/>
        </w:rPr>
        <w:footnoteRef/>
      </w:r>
      <w:r>
        <w:t xml:space="preserve"> </w:t>
      </w:r>
      <w:r>
        <w:rPr>
          <w:rFonts w:cs="Times New Roman"/>
        </w:rPr>
        <w:t>Castelló and Doménech, “Human Capital Inequality and Economic Growth: Some New Evidence,” 187-200; Robert Barro and Jong-Wha Lee, “</w:t>
      </w:r>
      <w:r w:rsidRPr="60B85027">
        <w:rPr>
          <w:rFonts w:cs="Times New Roman"/>
        </w:rPr>
        <w:t>A New Data Set of Educational Att</w:t>
      </w:r>
      <w:r>
        <w:rPr>
          <w:rFonts w:cs="Times New Roman"/>
        </w:rPr>
        <w:t>ainment in the World, 1950-2010,”</w:t>
      </w:r>
      <w:r w:rsidRPr="60B85027">
        <w:rPr>
          <w:rFonts w:cs="Times New Roman"/>
        </w:rPr>
        <w:t xml:space="preserve"> </w:t>
      </w:r>
      <w:r w:rsidRPr="60B85027">
        <w:rPr>
          <w:rFonts w:cs="Times New Roman"/>
          <w:i/>
          <w:iCs/>
        </w:rPr>
        <w:t>Journal of Development Economics</w:t>
      </w:r>
      <w:r>
        <w:rPr>
          <w:rFonts w:cs="Times New Roman"/>
        </w:rPr>
        <w:t xml:space="preserve"> 104, (2013):</w:t>
      </w:r>
      <w:r w:rsidRPr="60B85027">
        <w:rPr>
          <w:rFonts w:cs="Times New Roman"/>
        </w:rPr>
        <w:t>184-198.</w:t>
      </w:r>
    </w:p>
  </w:footnote>
  <w:footnote w:id="236">
    <w:p w14:paraId="7DC90011" w14:textId="00974427" w:rsidR="002573F2" w:rsidRDefault="002573F2">
      <w:pPr>
        <w:pStyle w:val="FootnoteText"/>
      </w:pPr>
      <w:r>
        <w:rPr>
          <w:rStyle w:val="FootnoteReference"/>
        </w:rPr>
        <w:footnoteRef/>
      </w:r>
      <w:r>
        <w:t xml:space="preserve"> 2010 has measurement error in the original dataset that hampers the education Gini 15+ for males, which is why I utilize the data from 2005.</w:t>
      </w:r>
    </w:p>
  </w:footnote>
  <w:footnote w:id="237">
    <w:p w14:paraId="3BA55A84" w14:textId="7B0E1376" w:rsidR="002573F2" w:rsidRPr="00817287" w:rsidRDefault="002573F2" w:rsidP="00817287">
      <w:pPr>
        <w:rPr>
          <w:rFonts w:eastAsia="Times New Roman" w:cs="Times New Roman"/>
          <w:color w:val="000000" w:themeColor="text1"/>
        </w:rPr>
      </w:pPr>
      <w:r>
        <w:rPr>
          <w:rStyle w:val="FootnoteReference"/>
        </w:rPr>
        <w:footnoteRef/>
      </w:r>
      <w:r>
        <w:t xml:space="preserve"> Kim </w:t>
      </w:r>
      <w:r>
        <w:rPr>
          <w:rFonts w:eastAsia="Times New Roman" w:cs="Times New Roman"/>
          <w:color w:val="000000" w:themeColor="text1"/>
        </w:rPr>
        <w:t>Foulds,</w:t>
      </w:r>
      <w:r w:rsidRPr="24C89BF9">
        <w:rPr>
          <w:rFonts w:eastAsia="Times New Roman" w:cs="Times New Roman"/>
          <w:color w:val="000000" w:themeColor="text1"/>
        </w:rPr>
        <w:t xml:space="preserve"> “Buzzwords at Play: Gender, Education, and P</w:t>
      </w:r>
      <w:r>
        <w:rPr>
          <w:rFonts w:eastAsia="Times New Roman" w:cs="Times New Roman"/>
          <w:color w:val="000000" w:themeColor="text1"/>
        </w:rPr>
        <w:t>olitical Participation in Kenya,</w:t>
      </w:r>
      <w:r w:rsidRPr="24C89BF9">
        <w:rPr>
          <w:rFonts w:eastAsia="Times New Roman" w:cs="Times New Roman"/>
          <w:color w:val="000000" w:themeColor="text1"/>
        </w:rPr>
        <w:t xml:space="preserve">” </w:t>
      </w:r>
      <w:r w:rsidRPr="24C89BF9">
        <w:rPr>
          <w:rFonts w:eastAsia="Times New Roman" w:cs="Times New Roman"/>
          <w:i/>
          <w:iCs/>
          <w:color w:val="000000" w:themeColor="text1"/>
        </w:rPr>
        <w:t>Gender and Education</w:t>
      </w:r>
      <w:r>
        <w:rPr>
          <w:rFonts w:eastAsia="Times New Roman" w:cs="Times New Roman"/>
          <w:color w:val="000000" w:themeColor="text1"/>
        </w:rPr>
        <w:t xml:space="preserve"> 26, no. 6 (2014):</w:t>
      </w:r>
      <w:r w:rsidRPr="24C89BF9">
        <w:rPr>
          <w:rFonts w:eastAsia="Times New Roman" w:cs="Times New Roman"/>
          <w:color w:val="000000" w:themeColor="text1"/>
        </w:rPr>
        <w:t xml:space="preserve"> 653-671.</w:t>
      </w:r>
    </w:p>
  </w:footnote>
  <w:footnote w:id="238">
    <w:p w14:paraId="0AE84452" w14:textId="1F54F071" w:rsidR="002573F2" w:rsidRPr="00817287" w:rsidRDefault="002573F2" w:rsidP="00817287">
      <w:pPr>
        <w:rPr>
          <w:rFonts w:eastAsia="Times New Roman" w:cs="Times New Roman"/>
          <w:color w:val="000000" w:themeColor="text1"/>
        </w:rPr>
      </w:pPr>
      <w:r>
        <w:rPr>
          <w:rStyle w:val="FootnoteReference"/>
        </w:rPr>
        <w:footnoteRef/>
      </w:r>
      <w:r>
        <w:t xml:space="preserve"> Chilisa and Ntseane quoted by </w:t>
      </w:r>
      <w:r>
        <w:rPr>
          <w:rFonts w:eastAsia="Times New Roman" w:cs="Times New Roman"/>
          <w:color w:val="000000" w:themeColor="text1"/>
        </w:rPr>
        <w:t xml:space="preserve">Foulds, </w:t>
      </w:r>
      <w:r w:rsidRPr="24C89BF9">
        <w:rPr>
          <w:rFonts w:eastAsia="Times New Roman" w:cs="Times New Roman"/>
          <w:color w:val="000000" w:themeColor="text1"/>
        </w:rPr>
        <w:t>“Buzzwords at Play: Gender, Education, and P</w:t>
      </w:r>
      <w:r>
        <w:rPr>
          <w:rFonts w:eastAsia="Times New Roman" w:cs="Times New Roman"/>
          <w:color w:val="000000" w:themeColor="text1"/>
        </w:rPr>
        <w:t>olitical Participation in Kenya,</w:t>
      </w:r>
      <w:r w:rsidRPr="24C89BF9">
        <w:rPr>
          <w:rFonts w:eastAsia="Times New Roman" w:cs="Times New Roman"/>
          <w:color w:val="000000" w:themeColor="text1"/>
        </w:rPr>
        <w:t>”</w:t>
      </w:r>
      <w:r>
        <w:rPr>
          <w:rFonts w:eastAsia="Times New Roman" w:cs="Times New Roman"/>
          <w:color w:val="000000" w:themeColor="text1"/>
        </w:rPr>
        <w:t xml:space="preserve"> 653-671. </w:t>
      </w:r>
    </w:p>
  </w:footnote>
  <w:footnote w:id="239">
    <w:p w14:paraId="6F5EEE8E" w14:textId="4C1E1584" w:rsidR="002573F2" w:rsidRDefault="002573F2">
      <w:pPr>
        <w:pStyle w:val="FootnoteText"/>
      </w:pPr>
      <w:r>
        <w:rPr>
          <w:rStyle w:val="FootnoteReference"/>
        </w:rPr>
        <w:footnoteRef/>
      </w:r>
      <w:r>
        <w:t xml:space="preserve"> </w:t>
      </w:r>
      <w:r>
        <w:rPr>
          <w:rFonts w:eastAsia="Times New Roman" w:cs="Times New Roman"/>
          <w:color w:val="000000" w:themeColor="text1"/>
        </w:rPr>
        <w:t>Milligan, “‘They Are Not Serious Like the Boys’: Gender Norms and Contradictions for Girls in Rural Kenya,” 465-476.</w:t>
      </w:r>
    </w:p>
  </w:footnote>
  <w:footnote w:id="240">
    <w:p w14:paraId="23071C33" w14:textId="5FB06029" w:rsidR="002573F2" w:rsidRPr="000D700D" w:rsidRDefault="002573F2" w:rsidP="000D700D">
      <w:pPr>
        <w:rPr>
          <w:rFonts w:eastAsia="Times New Roman" w:cs="Times New Roman"/>
          <w:color w:val="000000" w:themeColor="text1"/>
        </w:rPr>
      </w:pPr>
      <w:r>
        <w:rPr>
          <w:rStyle w:val="FootnoteReference"/>
        </w:rPr>
        <w:footnoteRef/>
      </w:r>
      <w:r>
        <w:t xml:space="preserve"> </w:t>
      </w:r>
      <w:r>
        <w:rPr>
          <w:rFonts w:eastAsia="Times New Roman" w:cs="Times New Roman"/>
          <w:color w:val="000000" w:themeColor="text1"/>
        </w:rPr>
        <w:t xml:space="preserve">Bence-Wilkins, </w:t>
      </w:r>
      <w:r w:rsidRPr="24C89BF9">
        <w:rPr>
          <w:rFonts w:eastAsia="Times New Roman" w:cs="Times New Roman"/>
          <w:color w:val="000000" w:themeColor="text1"/>
        </w:rPr>
        <w:t>“Reproducing Inequalities: How Schools in Kenya Shape Gendered Power Re</w:t>
      </w:r>
      <w:r>
        <w:rPr>
          <w:rFonts w:eastAsia="Times New Roman" w:cs="Times New Roman"/>
          <w:color w:val="000000" w:themeColor="text1"/>
        </w:rPr>
        <w:t>lations Among Adolescent Pupils,</w:t>
      </w:r>
      <w:r w:rsidRPr="24C89BF9">
        <w:rPr>
          <w:rFonts w:eastAsia="Times New Roman" w:cs="Times New Roman"/>
          <w:color w:val="000000" w:themeColor="text1"/>
        </w:rPr>
        <w:t>”</w:t>
      </w:r>
      <w:r>
        <w:rPr>
          <w:rFonts w:eastAsia="Times New Roman" w:cs="Times New Roman"/>
          <w:color w:val="000000" w:themeColor="text1"/>
        </w:rPr>
        <w:t xml:space="preserve"> 50-59. </w:t>
      </w:r>
    </w:p>
  </w:footnote>
  <w:footnote w:id="241">
    <w:p w14:paraId="0E78A242" w14:textId="63805D9B" w:rsidR="002573F2" w:rsidRPr="00F42186" w:rsidRDefault="002573F2" w:rsidP="00F42186">
      <w:pPr>
        <w:rPr>
          <w:rFonts w:eastAsia="Times New Roman" w:cs="Times New Roman"/>
          <w:color w:val="000000" w:themeColor="text1"/>
        </w:rPr>
      </w:pPr>
      <w:r>
        <w:rPr>
          <w:rStyle w:val="FootnoteReference"/>
        </w:rPr>
        <w:footnoteRef/>
      </w:r>
      <w:r>
        <w:t xml:space="preserve"> Ibid., </w:t>
      </w:r>
      <w:r>
        <w:rPr>
          <w:rFonts w:eastAsia="Times New Roman" w:cs="Times New Roman"/>
          <w:color w:val="000000" w:themeColor="text1"/>
        </w:rPr>
        <w:t xml:space="preserve">50-59. </w:t>
      </w:r>
    </w:p>
  </w:footnote>
  <w:footnote w:id="242">
    <w:p w14:paraId="4FA5D984" w14:textId="3F3D9482" w:rsidR="002573F2" w:rsidRPr="000D700D" w:rsidRDefault="002573F2" w:rsidP="000D700D">
      <w:pPr>
        <w:rPr>
          <w:rFonts w:eastAsia="Times New Roman" w:cs="Times New Roman"/>
          <w:color w:val="000000" w:themeColor="text1"/>
        </w:rPr>
      </w:pPr>
      <w:r>
        <w:rPr>
          <w:rStyle w:val="FootnoteReference"/>
        </w:rPr>
        <w:footnoteRef/>
      </w:r>
      <w:r>
        <w:t xml:space="preserve"> </w:t>
      </w:r>
      <w:r>
        <w:rPr>
          <w:rFonts w:eastAsia="Times New Roman" w:cs="Times New Roman"/>
          <w:color w:val="000000" w:themeColor="text1"/>
        </w:rPr>
        <w:t xml:space="preserve">Bence-Wilkins, </w:t>
      </w:r>
      <w:r w:rsidRPr="24C89BF9">
        <w:rPr>
          <w:rFonts w:eastAsia="Times New Roman" w:cs="Times New Roman"/>
          <w:color w:val="000000" w:themeColor="text1"/>
        </w:rPr>
        <w:t>“Reproducing Inequalities: How Schools in Kenya Shape Gendered Power Re</w:t>
      </w:r>
      <w:r>
        <w:rPr>
          <w:rFonts w:eastAsia="Times New Roman" w:cs="Times New Roman"/>
          <w:color w:val="000000" w:themeColor="text1"/>
        </w:rPr>
        <w:t>lations Among Adolescent Pupils,</w:t>
      </w:r>
      <w:r w:rsidRPr="24C89BF9">
        <w:rPr>
          <w:rFonts w:eastAsia="Times New Roman" w:cs="Times New Roman"/>
          <w:color w:val="000000" w:themeColor="text1"/>
        </w:rPr>
        <w:t>”</w:t>
      </w:r>
      <w:r>
        <w:rPr>
          <w:rFonts w:eastAsia="Times New Roman" w:cs="Times New Roman"/>
          <w:color w:val="000000" w:themeColor="text1"/>
        </w:rPr>
        <w:t xml:space="preserve"> 50-59. </w:t>
      </w:r>
    </w:p>
  </w:footnote>
  <w:footnote w:id="243">
    <w:p w14:paraId="1C525CB8" w14:textId="2E067254" w:rsidR="002573F2" w:rsidRPr="00226A74" w:rsidRDefault="002573F2" w:rsidP="00226A74">
      <w:pPr>
        <w:rPr>
          <w:rFonts w:eastAsia="Times New Roman" w:cs="Times New Roman"/>
          <w:color w:val="000000" w:themeColor="text1"/>
        </w:rPr>
      </w:pPr>
      <w:r>
        <w:rPr>
          <w:rStyle w:val="FootnoteReference"/>
        </w:rPr>
        <w:footnoteRef/>
      </w:r>
      <w:r>
        <w:t xml:space="preserve"> Ibid., </w:t>
      </w:r>
      <w:r>
        <w:rPr>
          <w:rFonts w:eastAsia="Times New Roman" w:cs="Times New Roman"/>
          <w:color w:val="000000" w:themeColor="text1"/>
        </w:rPr>
        <w:t xml:space="preserve">184-198. </w:t>
      </w:r>
    </w:p>
  </w:footnote>
  <w:footnote w:id="244">
    <w:p w14:paraId="22FB8F13" w14:textId="49886FB0" w:rsidR="002573F2" w:rsidRPr="00226A74" w:rsidRDefault="002573F2" w:rsidP="00226A74">
      <w:pPr>
        <w:rPr>
          <w:rFonts w:eastAsia="Times New Roman" w:cs="Times New Roman"/>
          <w:color w:val="000000" w:themeColor="text1"/>
        </w:rPr>
      </w:pPr>
      <w:r>
        <w:rPr>
          <w:rStyle w:val="FootnoteReference"/>
        </w:rPr>
        <w:footnoteRef/>
      </w:r>
      <w:r>
        <w:t xml:space="preserve"> </w:t>
      </w:r>
      <w:r>
        <w:rPr>
          <w:rFonts w:eastAsia="Times New Roman" w:cs="Times New Roman"/>
          <w:color w:val="000000" w:themeColor="text1"/>
        </w:rPr>
        <w:t xml:space="preserve">Bence-Wilkins, </w:t>
      </w:r>
      <w:r w:rsidRPr="24C89BF9">
        <w:rPr>
          <w:rFonts w:eastAsia="Times New Roman" w:cs="Times New Roman"/>
          <w:color w:val="000000" w:themeColor="text1"/>
        </w:rPr>
        <w:t>“Reproducing Inequalities: How Schools in Kenya Shape Gendered Power Re</w:t>
      </w:r>
      <w:r>
        <w:rPr>
          <w:rFonts w:eastAsia="Times New Roman" w:cs="Times New Roman"/>
          <w:color w:val="000000" w:themeColor="text1"/>
        </w:rPr>
        <w:t>lations Among Adolescent Pupils,</w:t>
      </w:r>
      <w:r w:rsidRPr="24C89BF9">
        <w:rPr>
          <w:rFonts w:eastAsia="Times New Roman" w:cs="Times New Roman"/>
          <w:color w:val="000000" w:themeColor="text1"/>
        </w:rPr>
        <w:t>”</w:t>
      </w:r>
      <w:r>
        <w:rPr>
          <w:rFonts w:eastAsia="Times New Roman" w:cs="Times New Roman"/>
          <w:color w:val="000000" w:themeColor="text1"/>
        </w:rPr>
        <w:t xml:space="preserve"> 50-59. </w:t>
      </w:r>
    </w:p>
  </w:footnote>
  <w:footnote w:id="245">
    <w:p w14:paraId="4504D4D8" w14:textId="119F23B8" w:rsidR="002573F2" w:rsidRDefault="002573F2">
      <w:pPr>
        <w:pStyle w:val="FootnoteText"/>
      </w:pPr>
      <w:r>
        <w:rPr>
          <w:rStyle w:val="FootnoteReference"/>
        </w:rPr>
        <w:footnoteRef/>
      </w:r>
      <w:r>
        <w:t xml:space="preserve"> Ibid., </w:t>
      </w:r>
      <w:r>
        <w:rPr>
          <w:rFonts w:eastAsia="Times New Roman" w:cs="Times New Roman"/>
          <w:color w:val="000000" w:themeColor="text1"/>
        </w:rPr>
        <w:t>50-59.</w:t>
      </w:r>
    </w:p>
  </w:footnote>
  <w:footnote w:id="246">
    <w:p w14:paraId="095E8F61" w14:textId="6E8286CA" w:rsidR="002573F2" w:rsidRDefault="002573F2">
      <w:pPr>
        <w:pStyle w:val="FootnoteText"/>
      </w:pPr>
      <w:r>
        <w:rPr>
          <w:rStyle w:val="FootnoteReference"/>
        </w:rPr>
        <w:footnoteRef/>
      </w:r>
      <w:r>
        <w:t xml:space="preserve"> </w:t>
      </w:r>
      <w:r>
        <w:rPr>
          <w:rFonts w:cs="Times New Roman"/>
        </w:rPr>
        <w:t xml:space="preserve">Hornsby, </w:t>
      </w:r>
      <w:r>
        <w:rPr>
          <w:rFonts w:cs="Times New Roman"/>
          <w:i/>
        </w:rPr>
        <w:t>Kenya: A History Since Independence</w:t>
      </w:r>
      <w:r>
        <w:rPr>
          <w:rFonts w:cs="Times New Roman"/>
        </w:rPr>
        <w:t xml:space="preserve">, 159.  </w:t>
      </w:r>
    </w:p>
  </w:footnote>
  <w:footnote w:id="247">
    <w:p w14:paraId="6065835A" w14:textId="1363C5DD" w:rsidR="002573F2" w:rsidRDefault="002573F2">
      <w:pPr>
        <w:pStyle w:val="FootnoteText"/>
      </w:pPr>
      <w:r>
        <w:rPr>
          <w:rStyle w:val="FootnoteReference"/>
        </w:rPr>
        <w:footnoteRef/>
      </w:r>
      <w:r>
        <w:t xml:space="preserve"> Ibid.</w:t>
      </w:r>
      <w:r>
        <w:rPr>
          <w:rFonts w:cs="Times New Roman"/>
        </w:rPr>
        <w:t xml:space="preserve">, 182-184.  </w:t>
      </w:r>
    </w:p>
  </w:footnote>
  <w:footnote w:id="248">
    <w:p w14:paraId="7839E41A" w14:textId="342C4044" w:rsidR="002573F2" w:rsidRDefault="002573F2">
      <w:pPr>
        <w:pStyle w:val="FootnoteText"/>
      </w:pPr>
      <w:r>
        <w:rPr>
          <w:rStyle w:val="FootnoteReference"/>
        </w:rPr>
        <w:footnoteRef/>
      </w:r>
      <w:r>
        <w:t xml:space="preserve"> Ibid.</w:t>
      </w:r>
      <w:r>
        <w:rPr>
          <w:rFonts w:cs="Times New Roman"/>
        </w:rPr>
        <w:t xml:space="preserve">, 239.  </w:t>
      </w:r>
    </w:p>
  </w:footnote>
  <w:footnote w:id="249">
    <w:p w14:paraId="1F51FF78" w14:textId="62C3D850" w:rsidR="002573F2" w:rsidRDefault="002573F2">
      <w:pPr>
        <w:pStyle w:val="FootnoteText"/>
      </w:pPr>
      <w:r>
        <w:rPr>
          <w:rStyle w:val="FootnoteReference"/>
        </w:rPr>
        <w:footnoteRef/>
      </w:r>
      <w:r>
        <w:t xml:space="preserve"> Ibid.</w:t>
      </w:r>
      <w:r>
        <w:rPr>
          <w:rFonts w:cs="Times New Roman"/>
        </w:rPr>
        <w:t xml:space="preserve">, 290.  </w:t>
      </w:r>
    </w:p>
  </w:footnote>
  <w:footnote w:id="250">
    <w:p w14:paraId="78FECE7C" w14:textId="1B8F2DBB" w:rsidR="002573F2" w:rsidRDefault="002573F2">
      <w:pPr>
        <w:pStyle w:val="FootnoteText"/>
      </w:pPr>
      <w:r>
        <w:rPr>
          <w:rStyle w:val="FootnoteReference"/>
        </w:rPr>
        <w:footnoteRef/>
      </w:r>
      <w:r>
        <w:t xml:space="preserve"> Ibid.</w:t>
      </w:r>
      <w:r>
        <w:rPr>
          <w:rFonts w:cs="Times New Roman"/>
        </w:rPr>
        <w:t xml:space="preserve">, 421.  </w:t>
      </w:r>
    </w:p>
  </w:footnote>
  <w:footnote w:id="251">
    <w:p w14:paraId="799D32B9" w14:textId="0F82B4BB" w:rsidR="002573F2" w:rsidRDefault="002573F2">
      <w:pPr>
        <w:pStyle w:val="FootnoteText"/>
      </w:pPr>
      <w:r>
        <w:rPr>
          <w:rStyle w:val="FootnoteReference"/>
        </w:rPr>
        <w:footnoteRef/>
      </w:r>
      <w:r>
        <w:t xml:space="preserve"> Ibid.</w:t>
      </w:r>
      <w:r>
        <w:rPr>
          <w:rFonts w:cs="Times New Roman"/>
        </w:rPr>
        <w:t xml:space="preserve">, 420 &amp; 469.  </w:t>
      </w:r>
    </w:p>
  </w:footnote>
  <w:footnote w:id="252">
    <w:p w14:paraId="109317DD" w14:textId="4CF48963" w:rsidR="002573F2" w:rsidRDefault="002573F2">
      <w:pPr>
        <w:pStyle w:val="FootnoteText"/>
      </w:pPr>
      <w:r>
        <w:rPr>
          <w:rStyle w:val="FootnoteReference"/>
        </w:rPr>
        <w:footnoteRef/>
      </w:r>
      <w:r>
        <w:t xml:space="preserve"> Ibid.</w:t>
      </w:r>
      <w:r>
        <w:rPr>
          <w:rFonts w:cs="Times New Roman"/>
        </w:rPr>
        <w:t xml:space="preserve">, 504-505 &amp; 559. The Goldenberg scandal was a banking scandal that revolved around how a firm bribed the government for monopoly access to customers, smuggled in gold to the country, and extracted billions for their own gain. </w:t>
      </w:r>
    </w:p>
  </w:footnote>
  <w:footnote w:id="253">
    <w:p w14:paraId="13B54F48" w14:textId="52988367" w:rsidR="002573F2" w:rsidRDefault="002573F2">
      <w:pPr>
        <w:pStyle w:val="FootnoteText"/>
      </w:pPr>
      <w:r>
        <w:rPr>
          <w:rStyle w:val="FootnoteReference"/>
        </w:rPr>
        <w:footnoteRef/>
      </w:r>
      <w:r>
        <w:t xml:space="preserve"> Ibid.</w:t>
      </w:r>
      <w:r>
        <w:rPr>
          <w:rFonts w:cs="Times New Roman"/>
        </w:rPr>
        <w:t xml:space="preserve">, 637.  </w:t>
      </w:r>
    </w:p>
  </w:footnote>
  <w:footnote w:id="254">
    <w:p w14:paraId="4B1F7E07" w14:textId="517CEF29" w:rsidR="002573F2" w:rsidRDefault="002573F2">
      <w:pPr>
        <w:pStyle w:val="FootnoteText"/>
      </w:pPr>
      <w:r>
        <w:rPr>
          <w:rStyle w:val="FootnoteReference"/>
        </w:rPr>
        <w:footnoteRef/>
      </w:r>
      <w:r>
        <w:t xml:space="preserve"> Ibid.</w:t>
      </w:r>
      <w:r>
        <w:rPr>
          <w:rFonts w:cs="Times New Roman"/>
        </w:rPr>
        <w:t xml:space="preserve">, 731.  </w:t>
      </w:r>
    </w:p>
  </w:footnote>
  <w:footnote w:id="255">
    <w:p w14:paraId="5A080760" w14:textId="22227560" w:rsidR="002573F2" w:rsidRPr="00414C47" w:rsidRDefault="002573F2" w:rsidP="00414C47">
      <w:pPr>
        <w:rPr>
          <w:rFonts w:eastAsia="Times New Roman" w:cs="Times New Roman"/>
          <w:color w:val="000000" w:themeColor="text1"/>
        </w:rPr>
      </w:pPr>
      <w:r>
        <w:rPr>
          <w:rStyle w:val="FootnoteReference"/>
        </w:rPr>
        <w:footnoteRef/>
      </w:r>
      <w:r>
        <w:t xml:space="preserve"> Elizabeth </w:t>
      </w:r>
      <w:r w:rsidRPr="24C89BF9">
        <w:rPr>
          <w:rFonts w:eastAsia="Times New Roman" w:cs="Times New Roman"/>
          <w:color w:val="000000" w:themeColor="text1"/>
        </w:rPr>
        <w:t xml:space="preserve">Francis, “Migration and Changing Divisions of Labour: Gender Relations and Economic </w:t>
      </w:r>
      <w:r>
        <w:rPr>
          <w:rFonts w:eastAsia="Times New Roman" w:cs="Times New Roman"/>
          <w:color w:val="000000" w:themeColor="text1"/>
        </w:rPr>
        <w:t>Change in Koguta, Western Kenya,</w:t>
      </w:r>
      <w:r w:rsidRPr="24C89BF9">
        <w:rPr>
          <w:rFonts w:eastAsia="Times New Roman" w:cs="Times New Roman"/>
          <w:color w:val="000000" w:themeColor="text1"/>
        </w:rPr>
        <w:t xml:space="preserve">” </w:t>
      </w:r>
      <w:r w:rsidRPr="24C89BF9">
        <w:rPr>
          <w:rFonts w:eastAsia="Times New Roman" w:cs="Times New Roman"/>
          <w:i/>
          <w:iCs/>
          <w:color w:val="000000" w:themeColor="text1"/>
        </w:rPr>
        <w:t xml:space="preserve">Africa: Journal of the International African Institute </w:t>
      </w:r>
      <w:r>
        <w:rPr>
          <w:rFonts w:eastAsia="Times New Roman" w:cs="Times New Roman"/>
          <w:color w:val="000000" w:themeColor="text1"/>
        </w:rPr>
        <w:t>65, no. 2 (1995):</w:t>
      </w:r>
      <w:r w:rsidRPr="24C89BF9">
        <w:rPr>
          <w:rFonts w:eastAsia="Times New Roman" w:cs="Times New Roman"/>
          <w:color w:val="000000" w:themeColor="text1"/>
        </w:rPr>
        <w:t xml:space="preserve"> 197-216.</w:t>
      </w:r>
    </w:p>
  </w:footnote>
  <w:footnote w:id="256">
    <w:p w14:paraId="249AB9E6" w14:textId="56E231DC" w:rsidR="002573F2" w:rsidRDefault="002573F2">
      <w:pPr>
        <w:pStyle w:val="FootnoteText"/>
      </w:pPr>
      <w:r>
        <w:rPr>
          <w:rStyle w:val="FootnoteReference"/>
        </w:rPr>
        <w:footnoteRef/>
      </w:r>
      <w:r>
        <w:t xml:space="preserve"> Ibid., </w:t>
      </w:r>
      <w:r>
        <w:rPr>
          <w:rFonts w:eastAsia="Times New Roman" w:cs="Times New Roman"/>
          <w:color w:val="000000" w:themeColor="text1"/>
        </w:rPr>
        <w:t xml:space="preserve">197-216. </w:t>
      </w:r>
    </w:p>
  </w:footnote>
  <w:footnote w:id="257">
    <w:p w14:paraId="1E5F8FBE" w14:textId="0AFB5F22" w:rsidR="002573F2" w:rsidRPr="00254301" w:rsidRDefault="002573F2" w:rsidP="00254301">
      <w:pPr>
        <w:rPr>
          <w:rFonts w:cs="Times New Roman"/>
        </w:rPr>
      </w:pPr>
      <w:r>
        <w:rPr>
          <w:rStyle w:val="FootnoteReference"/>
        </w:rPr>
        <w:footnoteRef/>
      </w:r>
      <w:r>
        <w:t xml:space="preserve"> Jon </w:t>
      </w:r>
      <w:r>
        <w:rPr>
          <w:rFonts w:cs="Times New Roman"/>
        </w:rPr>
        <w:t xml:space="preserve">Holtzman, </w:t>
      </w:r>
      <w:r w:rsidRPr="24C89BF9">
        <w:rPr>
          <w:rFonts w:cs="Times New Roman"/>
        </w:rPr>
        <w:t>“Age, Masculinity, and Migration: Gender and Wage Labor among Sambura</w:t>
      </w:r>
      <w:r>
        <w:rPr>
          <w:rFonts w:cs="Times New Roman"/>
        </w:rPr>
        <w:t xml:space="preserve"> Pastoralists in Northern Kenya,</w:t>
      </w:r>
      <w:r w:rsidRPr="24C89BF9">
        <w:rPr>
          <w:rFonts w:cs="Times New Roman"/>
        </w:rPr>
        <w:t xml:space="preserve">” in </w:t>
      </w:r>
      <w:r w:rsidRPr="24C89BF9">
        <w:rPr>
          <w:rFonts w:cs="Times New Roman"/>
          <w:i/>
          <w:iCs/>
        </w:rPr>
        <w:t>Gender at Work in Economic Life</w:t>
      </w:r>
      <w:r>
        <w:rPr>
          <w:rFonts w:cs="Times New Roman"/>
        </w:rPr>
        <w:t>,</w:t>
      </w:r>
      <w:r w:rsidRPr="24C89BF9">
        <w:rPr>
          <w:rFonts w:cs="Times New Roman"/>
        </w:rPr>
        <w:t xml:space="preserve"> ed</w:t>
      </w:r>
      <w:r>
        <w:rPr>
          <w:rFonts w:cs="Times New Roman"/>
        </w:rPr>
        <w:t>. Gracia Clark,</w:t>
      </w:r>
      <w:r w:rsidRPr="24C89BF9">
        <w:rPr>
          <w:rFonts w:cs="Times New Roman"/>
        </w:rPr>
        <w:t xml:space="preserve"> </w:t>
      </w:r>
      <w:r>
        <w:rPr>
          <w:rFonts w:cs="Times New Roman"/>
        </w:rPr>
        <w:t>(Walnut Creek, California: Alta Mira Press,</w:t>
      </w:r>
      <w:r w:rsidRPr="24C89BF9">
        <w:rPr>
          <w:rFonts w:cs="Times New Roman"/>
        </w:rPr>
        <w:t xml:space="preserve"> 2003</w:t>
      </w:r>
      <w:r>
        <w:rPr>
          <w:rFonts w:cs="Times New Roman"/>
        </w:rPr>
        <w:t>), 225-241</w:t>
      </w:r>
      <w:r w:rsidRPr="24C89BF9">
        <w:rPr>
          <w:rFonts w:cs="Times New Roman"/>
        </w:rPr>
        <w:t xml:space="preserve">. </w:t>
      </w:r>
    </w:p>
  </w:footnote>
  <w:footnote w:id="258">
    <w:p w14:paraId="2FA903AD" w14:textId="71BC5B37" w:rsidR="002573F2" w:rsidRDefault="002573F2">
      <w:pPr>
        <w:pStyle w:val="FootnoteText"/>
      </w:pPr>
      <w:r>
        <w:rPr>
          <w:rStyle w:val="FootnoteReference"/>
        </w:rPr>
        <w:footnoteRef/>
      </w:r>
      <w:r>
        <w:t xml:space="preserve"> </w:t>
      </w:r>
      <w:r>
        <w:rPr>
          <w:rFonts w:cs="Times New Roman"/>
        </w:rPr>
        <w:t xml:space="preserve">Hornsby, </w:t>
      </w:r>
      <w:r>
        <w:rPr>
          <w:rFonts w:cs="Times New Roman"/>
          <w:i/>
        </w:rPr>
        <w:t>Kenya: A History Since Independence</w:t>
      </w:r>
      <w:r>
        <w:rPr>
          <w:rFonts w:cs="Times New Roman"/>
        </w:rPr>
        <w:t xml:space="preserve">, 12.  </w:t>
      </w:r>
    </w:p>
  </w:footnote>
  <w:footnote w:id="259">
    <w:p w14:paraId="2C3A0AAC" w14:textId="331ACB36" w:rsidR="002573F2" w:rsidRDefault="002573F2">
      <w:pPr>
        <w:pStyle w:val="FootnoteText"/>
      </w:pPr>
      <w:r>
        <w:rPr>
          <w:rStyle w:val="FootnoteReference"/>
        </w:rPr>
        <w:footnoteRef/>
      </w:r>
      <w:r>
        <w:t xml:space="preserve"> Ibid.</w:t>
      </w:r>
      <w:r>
        <w:rPr>
          <w:rFonts w:cs="Times New Roman"/>
        </w:rPr>
        <w:t xml:space="preserve">, 107.  </w:t>
      </w:r>
    </w:p>
  </w:footnote>
  <w:footnote w:id="260">
    <w:p w14:paraId="4267BED1" w14:textId="7697523F" w:rsidR="002573F2" w:rsidRDefault="002573F2">
      <w:pPr>
        <w:pStyle w:val="FootnoteText"/>
      </w:pPr>
      <w:r>
        <w:rPr>
          <w:rStyle w:val="FootnoteReference"/>
        </w:rPr>
        <w:footnoteRef/>
      </w:r>
      <w:r>
        <w:t xml:space="preserve"> Ibid.</w:t>
      </w:r>
      <w:r>
        <w:rPr>
          <w:rFonts w:cs="Times New Roman"/>
        </w:rPr>
        <w:t xml:space="preserve">, 334, 337, 355, 356, 419, &amp; 637.  </w:t>
      </w:r>
    </w:p>
  </w:footnote>
  <w:footnote w:id="261">
    <w:p w14:paraId="705DEC10" w14:textId="457CAD85" w:rsidR="002573F2" w:rsidRDefault="002573F2">
      <w:pPr>
        <w:pStyle w:val="FootnoteText"/>
      </w:pPr>
      <w:r>
        <w:rPr>
          <w:rStyle w:val="FootnoteReference"/>
        </w:rPr>
        <w:footnoteRef/>
      </w:r>
      <w:r>
        <w:t xml:space="preserve"> Ibid.</w:t>
      </w:r>
      <w:r>
        <w:rPr>
          <w:rFonts w:cs="Times New Roman"/>
        </w:rPr>
        <w:t xml:space="preserve">, 486.  </w:t>
      </w:r>
    </w:p>
  </w:footnote>
  <w:footnote w:id="262">
    <w:p w14:paraId="1647EF89" w14:textId="7D57FB15" w:rsidR="002573F2" w:rsidRDefault="002573F2">
      <w:pPr>
        <w:pStyle w:val="FootnoteText"/>
      </w:pPr>
      <w:r>
        <w:rPr>
          <w:rStyle w:val="FootnoteReference"/>
        </w:rPr>
        <w:footnoteRef/>
      </w:r>
      <w:r>
        <w:t xml:space="preserve"> Ibid.</w:t>
      </w:r>
      <w:r>
        <w:rPr>
          <w:rFonts w:cs="Times New Roman"/>
        </w:rPr>
        <w:t xml:space="preserve">, 690-694.  </w:t>
      </w:r>
    </w:p>
  </w:footnote>
  <w:footnote w:id="263">
    <w:p w14:paraId="16483A0A" w14:textId="6EFC5C8F" w:rsidR="002573F2" w:rsidRDefault="002573F2">
      <w:pPr>
        <w:pStyle w:val="FootnoteText"/>
      </w:pPr>
      <w:r>
        <w:rPr>
          <w:rStyle w:val="FootnoteReference"/>
        </w:rPr>
        <w:footnoteRef/>
      </w:r>
      <w:r>
        <w:t xml:space="preserve"> Ibid.</w:t>
      </w:r>
      <w:r>
        <w:rPr>
          <w:rFonts w:cs="Times New Roman"/>
        </w:rPr>
        <w:t xml:space="preserve">, 703-704.  </w:t>
      </w:r>
    </w:p>
  </w:footnote>
  <w:footnote w:id="264">
    <w:p w14:paraId="54F252AD" w14:textId="1B0C6240" w:rsidR="002573F2" w:rsidRDefault="002573F2">
      <w:pPr>
        <w:pStyle w:val="FootnoteText"/>
      </w:pPr>
      <w:r>
        <w:rPr>
          <w:rStyle w:val="FootnoteReference"/>
        </w:rPr>
        <w:footnoteRef/>
      </w:r>
      <w:r>
        <w:t xml:space="preserve"> Ibid.</w:t>
      </w:r>
      <w:r>
        <w:rPr>
          <w:rFonts w:cs="Times New Roman"/>
        </w:rPr>
        <w:t xml:space="preserve">, 769.  </w:t>
      </w:r>
    </w:p>
  </w:footnote>
  <w:footnote w:id="265">
    <w:p w14:paraId="35D6D0BB" w14:textId="4B53FAFC" w:rsidR="002573F2" w:rsidRDefault="002573F2">
      <w:pPr>
        <w:pStyle w:val="FootnoteText"/>
      </w:pPr>
      <w:r>
        <w:rPr>
          <w:rStyle w:val="FootnoteReference"/>
        </w:rPr>
        <w:footnoteRef/>
      </w:r>
      <w:r>
        <w:t xml:space="preserve"> Ethnic groups did not have equal interactions with British colonialists. For example, some areas had increased access to Western education, increased access to wage labor due to their location, and increased political participation. These inequalities increased over time.</w:t>
      </w:r>
    </w:p>
  </w:footnote>
  <w:footnote w:id="266">
    <w:p w14:paraId="311C34E7" w14:textId="60109AA7" w:rsidR="002573F2" w:rsidRDefault="002573F2">
      <w:pPr>
        <w:pStyle w:val="FootnoteText"/>
      </w:pPr>
      <w:r>
        <w:rPr>
          <w:rStyle w:val="FootnoteReference"/>
        </w:rPr>
        <w:footnoteRef/>
      </w:r>
      <w:r>
        <w:t xml:space="preserve"> Ibid.</w:t>
      </w:r>
      <w:r>
        <w:rPr>
          <w:rFonts w:cs="Times New Roman"/>
        </w:rPr>
        <w:t xml:space="preserve">, 12.  </w:t>
      </w:r>
    </w:p>
  </w:footnote>
  <w:footnote w:id="267">
    <w:p w14:paraId="1F245DA7" w14:textId="53C19C89" w:rsidR="002573F2" w:rsidRDefault="002573F2">
      <w:pPr>
        <w:pStyle w:val="FootnoteText"/>
      </w:pPr>
      <w:r>
        <w:rPr>
          <w:rStyle w:val="FootnoteReference"/>
        </w:rPr>
        <w:footnoteRef/>
      </w:r>
      <w:r>
        <w:t xml:space="preserve"> Mwendwa quoted by </w:t>
      </w:r>
      <w:r>
        <w:rPr>
          <w:rFonts w:cs="Times New Roman"/>
        </w:rPr>
        <w:t xml:space="preserve">Hornsby, </w:t>
      </w:r>
      <w:r>
        <w:rPr>
          <w:rFonts w:cs="Times New Roman"/>
          <w:i/>
        </w:rPr>
        <w:t>Kenya: A History Since Independence</w:t>
      </w:r>
      <w:r>
        <w:rPr>
          <w:rFonts w:cs="Times New Roman"/>
        </w:rPr>
        <w:t xml:space="preserve">, 202.  </w:t>
      </w:r>
    </w:p>
  </w:footnote>
  <w:footnote w:id="268">
    <w:p w14:paraId="2AEE29B4" w14:textId="688B680A" w:rsidR="002573F2" w:rsidRPr="007C6CCF" w:rsidRDefault="002573F2" w:rsidP="007C6CCF">
      <w:pPr>
        <w:rPr>
          <w:rFonts w:eastAsia="Times New Roman" w:cs="Times New Roman"/>
          <w:color w:val="000000" w:themeColor="text1"/>
        </w:rPr>
      </w:pPr>
      <w:r>
        <w:rPr>
          <w:rStyle w:val="FootnoteReference"/>
        </w:rPr>
        <w:footnoteRef/>
      </w:r>
      <w:r>
        <w:t xml:space="preserve"> </w:t>
      </w:r>
      <w:r>
        <w:rPr>
          <w:rFonts w:eastAsia="Times New Roman" w:cs="Times New Roman"/>
          <w:color w:val="000000" w:themeColor="text1"/>
        </w:rPr>
        <w:t xml:space="preserve">Milligan, “‘They Are Not Serious Like the Boys’: Gender Norms and Contradictions for Girls in Rural Kenya,” 465-476; </w:t>
      </w:r>
      <w:r>
        <w:rPr>
          <w:rFonts w:cs="Times New Roman"/>
        </w:rPr>
        <w:t xml:space="preserve">Unterhalter and North, </w:t>
      </w:r>
      <w:r w:rsidRPr="24C89BF9">
        <w:rPr>
          <w:rFonts w:cs="Times New Roman"/>
        </w:rPr>
        <w:t>“Responding to the Gender and Education Millennium Development Goals in South Africa and Kenya: Reflections on Education Rights, Gender Equality, C</w:t>
      </w:r>
      <w:r>
        <w:rPr>
          <w:rFonts w:cs="Times New Roman"/>
        </w:rPr>
        <w:t>apabilities and Global Justice,” 495-511.</w:t>
      </w:r>
    </w:p>
  </w:footnote>
  <w:footnote w:id="269">
    <w:p w14:paraId="39661BC2" w14:textId="078A0B72" w:rsidR="002573F2" w:rsidRDefault="002573F2">
      <w:pPr>
        <w:pStyle w:val="FootnoteText"/>
      </w:pPr>
      <w:r>
        <w:rPr>
          <w:rStyle w:val="FootnoteReference"/>
        </w:rPr>
        <w:footnoteRef/>
      </w:r>
      <w:r>
        <w:t xml:space="preserve"> </w:t>
      </w:r>
      <w:r>
        <w:rPr>
          <w:rFonts w:cs="Times New Roman"/>
        </w:rPr>
        <w:t xml:space="preserve">Unterhalter and North, </w:t>
      </w:r>
      <w:r w:rsidRPr="24C89BF9">
        <w:rPr>
          <w:rFonts w:cs="Times New Roman"/>
        </w:rPr>
        <w:t>“Responding to the Gender and Education Millennium Development Goals in South Africa and Kenya: Reflections on Education Rights, Gender Equality, C</w:t>
      </w:r>
      <w:r>
        <w:rPr>
          <w:rFonts w:cs="Times New Roman"/>
        </w:rPr>
        <w:t>apabilities and Global Justice,” 495-511.</w:t>
      </w:r>
    </w:p>
  </w:footnote>
  <w:footnote w:id="270">
    <w:p w14:paraId="3412DF3A" w14:textId="3882FE07" w:rsidR="002573F2" w:rsidRDefault="002573F2">
      <w:pPr>
        <w:pStyle w:val="FootnoteText"/>
      </w:pPr>
      <w:r>
        <w:rPr>
          <w:rStyle w:val="FootnoteReference"/>
        </w:rPr>
        <w:footnoteRef/>
      </w:r>
      <w:r>
        <w:t xml:space="preserve"> </w:t>
      </w:r>
      <w:r>
        <w:rPr>
          <w:rFonts w:eastAsia="Times New Roman" w:cs="Times New Roman"/>
          <w:color w:val="000000" w:themeColor="text1"/>
        </w:rPr>
        <w:t>Milligan, “‘They Are Not Serious Like the Boys’: Gender Norms and Contradictions for Girls in Rural Kenya,” 465-476;</w:t>
      </w:r>
      <w:r w:rsidRPr="007C6CCF">
        <w:rPr>
          <w:rFonts w:eastAsia="Times New Roman" w:cs="Times New Roman"/>
          <w:color w:val="000000" w:themeColor="text1"/>
        </w:rPr>
        <w:t xml:space="preserve"> </w:t>
      </w:r>
      <w:r>
        <w:rPr>
          <w:rFonts w:eastAsia="Times New Roman" w:cs="Times New Roman"/>
          <w:color w:val="000000" w:themeColor="text1"/>
        </w:rPr>
        <w:t xml:space="preserve">Foulds, </w:t>
      </w:r>
      <w:r w:rsidRPr="24C89BF9">
        <w:rPr>
          <w:rFonts w:eastAsia="Times New Roman" w:cs="Times New Roman"/>
          <w:color w:val="000000" w:themeColor="text1"/>
        </w:rPr>
        <w:t>“Buzzwords at Play: Gender, Education, and P</w:t>
      </w:r>
      <w:r>
        <w:rPr>
          <w:rFonts w:eastAsia="Times New Roman" w:cs="Times New Roman"/>
          <w:color w:val="000000" w:themeColor="text1"/>
        </w:rPr>
        <w:t>olitical Participation in Kenya,</w:t>
      </w:r>
      <w:r w:rsidRPr="24C89BF9">
        <w:rPr>
          <w:rFonts w:eastAsia="Times New Roman" w:cs="Times New Roman"/>
          <w:color w:val="000000" w:themeColor="text1"/>
        </w:rPr>
        <w:t>”</w:t>
      </w:r>
      <w:r>
        <w:rPr>
          <w:rFonts w:eastAsia="Times New Roman" w:cs="Times New Roman"/>
          <w:color w:val="000000" w:themeColor="text1"/>
        </w:rPr>
        <w:t xml:space="preserve"> 653-671.</w:t>
      </w:r>
    </w:p>
  </w:footnote>
  <w:footnote w:id="271">
    <w:p w14:paraId="2EB7ABE6" w14:textId="65EE03EC" w:rsidR="002573F2" w:rsidRDefault="002573F2">
      <w:pPr>
        <w:pStyle w:val="FootnoteText"/>
      </w:pPr>
      <w:r>
        <w:rPr>
          <w:rStyle w:val="FootnoteReference"/>
        </w:rPr>
        <w:footnoteRef/>
      </w:r>
      <w:r>
        <w:t xml:space="preserve"> </w:t>
      </w:r>
      <w:r>
        <w:rPr>
          <w:rFonts w:cs="Times New Roman"/>
        </w:rPr>
        <w:t xml:space="preserve">Unterhalter and North, </w:t>
      </w:r>
      <w:r w:rsidRPr="24C89BF9">
        <w:rPr>
          <w:rFonts w:cs="Times New Roman"/>
        </w:rPr>
        <w:t>“Responding to the Gender and Education Millennium Development Goals in South Africa and Kenya: Reflections on Education Rights, Gender Equality, C</w:t>
      </w:r>
      <w:r>
        <w:rPr>
          <w:rFonts w:cs="Times New Roman"/>
        </w:rPr>
        <w:t>apabilities and Global Justice,” 495-511.</w:t>
      </w:r>
    </w:p>
  </w:footnote>
  <w:footnote w:id="272">
    <w:p w14:paraId="7AC45CD0" w14:textId="558F7921" w:rsidR="002573F2" w:rsidRDefault="002573F2">
      <w:pPr>
        <w:pStyle w:val="FootnoteText"/>
      </w:pPr>
      <w:r>
        <w:rPr>
          <w:rStyle w:val="FootnoteReference"/>
        </w:rPr>
        <w:footnoteRef/>
      </w:r>
      <w:r>
        <w:t xml:space="preserve"> </w:t>
      </w:r>
      <w:r>
        <w:rPr>
          <w:rFonts w:eastAsia="Times New Roman" w:cs="Times New Roman"/>
          <w:color w:val="000000" w:themeColor="text1"/>
        </w:rPr>
        <w:t xml:space="preserve">Milligan, “‘They Are Not Serious Like the Boys’: Gender Norms and Contradictions for Girls in Rural Kenya,” 465-476. </w:t>
      </w:r>
    </w:p>
  </w:footnote>
  <w:footnote w:id="273">
    <w:p w14:paraId="0DF2AB89" w14:textId="0793B8C9" w:rsidR="002573F2" w:rsidRDefault="002573F2">
      <w:pPr>
        <w:pStyle w:val="FootnoteText"/>
      </w:pPr>
      <w:r>
        <w:rPr>
          <w:rStyle w:val="FootnoteReference"/>
        </w:rPr>
        <w:footnoteRef/>
      </w:r>
      <w:r>
        <w:t xml:space="preserve"> Sen, “Introduction,” 3-11.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233"/>
    <w:rsid w:val="0000007A"/>
    <w:rsid w:val="00000226"/>
    <w:rsid w:val="00000AB1"/>
    <w:rsid w:val="000010B9"/>
    <w:rsid w:val="000027AF"/>
    <w:rsid w:val="00004AD4"/>
    <w:rsid w:val="000059BF"/>
    <w:rsid w:val="00006718"/>
    <w:rsid w:val="00006E69"/>
    <w:rsid w:val="00006EA3"/>
    <w:rsid w:val="000072D4"/>
    <w:rsid w:val="00010113"/>
    <w:rsid w:val="000107E1"/>
    <w:rsid w:val="00013BCB"/>
    <w:rsid w:val="00014023"/>
    <w:rsid w:val="00015A29"/>
    <w:rsid w:val="000174EC"/>
    <w:rsid w:val="000223A5"/>
    <w:rsid w:val="0002324B"/>
    <w:rsid w:val="00023531"/>
    <w:rsid w:val="00024487"/>
    <w:rsid w:val="00024B64"/>
    <w:rsid w:val="00025F99"/>
    <w:rsid w:val="00026662"/>
    <w:rsid w:val="00031080"/>
    <w:rsid w:val="00031629"/>
    <w:rsid w:val="0003215C"/>
    <w:rsid w:val="00032575"/>
    <w:rsid w:val="00032887"/>
    <w:rsid w:val="00033AC7"/>
    <w:rsid w:val="00033C68"/>
    <w:rsid w:val="000343D6"/>
    <w:rsid w:val="0003442C"/>
    <w:rsid w:val="00036B7A"/>
    <w:rsid w:val="00036B7B"/>
    <w:rsid w:val="00037149"/>
    <w:rsid w:val="00040136"/>
    <w:rsid w:val="00040748"/>
    <w:rsid w:val="000408F8"/>
    <w:rsid w:val="00040D4E"/>
    <w:rsid w:val="00041A31"/>
    <w:rsid w:val="00042E49"/>
    <w:rsid w:val="000432D9"/>
    <w:rsid w:val="00043A2B"/>
    <w:rsid w:val="00043AB1"/>
    <w:rsid w:val="00046F37"/>
    <w:rsid w:val="00047DC7"/>
    <w:rsid w:val="00050418"/>
    <w:rsid w:val="00050F8C"/>
    <w:rsid w:val="00051649"/>
    <w:rsid w:val="00052F82"/>
    <w:rsid w:val="00053358"/>
    <w:rsid w:val="00055612"/>
    <w:rsid w:val="000557EE"/>
    <w:rsid w:val="00055E92"/>
    <w:rsid w:val="00060129"/>
    <w:rsid w:val="00061DAA"/>
    <w:rsid w:val="00063F08"/>
    <w:rsid w:val="00064752"/>
    <w:rsid w:val="000656D7"/>
    <w:rsid w:val="00065ECD"/>
    <w:rsid w:val="000660A0"/>
    <w:rsid w:val="00067804"/>
    <w:rsid w:val="00070F2B"/>
    <w:rsid w:val="00071381"/>
    <w:rsid w:val="000713B7"/>
    <w:rsid w:val="00071877"/>
    <w:rsid w:val="000741A9"/>
    <w:rsid w:val="0007550A"/>
    <w:rsid w:val="00075A79"/>
    <w:rsid w:val="00075B1E"/>
    <w:rsid w:val="00080281"/>
    <w:rsid w:val="00082233"/>
    <w:rsid w:val="0008531B"/>
    <w:rsid w:val="00086A31"/>
    <w:rsid w:val="0008750B"/>
    <w:rsid w:val="00087E6B"/>
    <w:rsid w:val="00091765"/>
    <w:rsid w:val="000917C7"/>
    <w:rsid w:val="00091F5D"/>
    <w:rsid w:val="000931B0"/>
    <w:rsid w:val="00094958"/>
    <w:rsid w:val="00095637"/>
    <w:rsid w:val="00096EE9"/>
    <w:rsid w:val="00096F8F"/>
    <w:rsid w:val="00096FC2"/>
    <w:rsid w:val="00097028"/>
    <w:rsid w:val="000A0CE0"/>
    <w:rsid w:val="000A1EB2"/>
    <w:rsid w:val="000A1F3B"/>
    <w:rsid w:val="000A1F47"/>
    <w:rsid w:val="000A2B3B"/>
    <w:rsid w:val="000A2EBE"/>
    <w:rsid w:val="000A395B"/>
    <w:rsid w:val="000A4E70"/>
    <w:rsid w:val="000A535A"/>
    <w:rsid w:val="000A5502"/>
    <w:rsid w:val="000B182D"/>
    <w:rsid w:val="000B1FE0"/>
    <w:rsid w:val="000B2AD2"/>
    <w:rsid w:val="000B5AF5"/>
    <w:rsid w:val="000B7A78"/>
    <w:rsid w:val="000C11DA"/>
    <w:rsid w:val="000C1A32"/>
    <w:rsid w:val="000C1FA1"/>
    <w:rsid w:val="000C2186"/>
    <w:rsid w:val="000C3615"/>
    <w:rsid w:val="000C48BF"/>
    <w:rsid w:val="000C50BB"/>
    <w:rsid w:val="000C5868"/>
    <w:rsid w:val="000C5B6C"/>
    <w:rsid w:val="000C5EB8"/>
    <w:rsid w:val="000C655C"/>
    <w:rsid w:val="000C74AC"/>
    <w:rsid w:val="000C75B9"/>
    <w:rsid w:val="000C7AFF"/>
    <w:rsid w:val="000C7B26"/>
    <w:rsid w:val="000C7BC2"/>
    <w:rsid w:val="000D0848"/>
    <w:rsid w:val="000D16EC"/>
    <w:rsid w:val="000D2EFB"/>
    <w:rsid w:val="000D4A17"/>
    <w:rsid w:val="000D5DC8"/>
    <w:rsid w:val="000D6FB4"/>
    <w:rsid w:val="000D700D"/>
    <w:rsid w:val="000E4797"/>
    <w:rsid w:val="000E5F74"/>
    <w:rsid w:val="000E6561"/>
    <w:rsid w:val="000F1B69"/>
    <w:rsid w:val="000F4254"/>
    <w:rsid w:val="000F6355"/>
    <w:rsid w:val="000F6942"/>
    <w:rsid w:val="000F7E03"/>
    <w:rsid w:val="0010200E"/>
    <w:rsid w:val="00102504"/>
    <w:rsid w:val="00104AD9"/>
    <w:rsid w:val="00106288"/>
    <w:rsid w:val="00107BBE"/>
    <w:rsid w:val="001101E7"/>
    <w:rsid w:val="00110F49"/>
    <w:rsid w:val="00110FD1"/>
    <w:rsid w:val="00111FC0"/>
    <w:rsid w:val="0011326F"/>
    <w:rsid w:val="001136B3"/>
    <w:rsid w:val="00113AB5"/>
    <w:rsid w:val="0011553F"/>
    <w:rsid w:val="0011612E"/>
    <w:rsid w:val="00120B5A"/>
    <w:rsid w:val="00121C0D"/>
    <w:rsid w:val="0012237E"/>
    <w:rsid w:val="0012280F"/>
    <w:rsid w:val="0012298D"/>
    <w:rsid w:val="00123305"/>
    <w:rsid w:val="00123D1D"/>
    <w:rsid w:val="001244D7"/>
    <w:rsid w:val="001253B3"/>
    <w:rsid w:val="00125A88"/>
    <w:rsid w:val="00125ABD"/>
    <w:rsid w:val="0012651C"/>
    <w:rsid w:val="00127096"/>
    <w:rsid w:val="0012780D"/>
    <w:rsid w:val="00127D5F"/>
    <w:rsid w:val="00127E0C"/>
    <w:rsid w:val="001302A3"/>
    <w:rsid w:val="00131990"/>
    <w:rsid w:val="001329FF"/>
    <w:rsid w:val="00132B2E"/>
    <w:rsid w:val="001355F5"/>
    <w:rsid w:val="00136268"/>
    <w:rsid w:val="0013708C"/>
    <w:rsid w:val="00137B6E"/>
    <w:rsid w:val="00140426"/>
    <w:rsid w:val="00141129"/>
    <w:rsid w:val="001425E5"/>
    <w:rsid w:val="001432CE"/>
    <w:rsid w:val="00143713"/>
    <w:rsid w:val="00146392"/>
    <w:rsid w:val="00146B05"/>
    <w:rsid w:val="00146CF8"/>
    <w:rsid w:val="00150255"/>
    <w:rsid w:val="00150305"/>
    <w:rsid w:val="00151778"/>
    <w:rsid w:val="001520DD"/>
    <w:rsid w:val="00152C72"/>
    <w:rsid w:val="0015484B"/>
    <w:rsid w:val="00155340"/>
    <w:rsid w:val="00156169"/>
    <w:rsid w:val="00156489"/>
    <w:rsid w:val="00157948"/>
    <w:rsid w:val="00161A87"/>
    <w:rsid w:val="00161E82"/>
    <w:rsid w:val="0016201B"/>
    <w:rsid w:val="00163509"/>
    <w:rsid w:val="00163640"/>
    <w:rsid w:val="0016420F"/>
    <w:rsid w:val="0016687D"/>
    <w:rsid w:val="00166D24"/>
    <w:rsid w:val="0017014F"/>
    <w:rsid w:val="00172BFD"/>
    <w:rsid w:val="00173733"/>
    <w:rsid w:val="001754C4"/>
    <w:rsid w:val="00175955"/>
    <w:rsid w:val="00175F21"/>
    <w:rsid w:val="00176A52"/>
    <w:rsid w:val="00177EF2"/>
    <w:rsid w:val="00181473"/>
    <w:rsid w:val="0018333A"/>
    <w:rsid w:val="001841F9"/>
    <w:rsid w:val="00184974"/>
    <w:rsid w:val="00184EE4"/>
    <w:rsid w:val="00185268"/>
    <w:rsid w:val="0018604C"/>
    <w:rsid w:val="00187379"/>
    <w:rsid w:val="0019011F"/>
    <w:rsid w:val="00192886"/>
    <w:rsid w:val="00196BEA"/>
    <w:rsid w:val="001A055F"/>
    <w:rsid w:val="001A212B"/>
    <w:rsid w:val="001A2B99"/>
    <w:rsid w:val="001A2C06"/>
    <w:rsid w:val="001A388D"/>
    <w:rsid w:val="001A3933"/>
    <w:rsid w:val="001A4B66"/>
    <w:rsid w:val="001B06A6"/>
    <w:rsid w:val="001B0D9A"/>
    <w:rsid w:val="001B0E84"/>
    <w:rsid w:val="001B14D4"/>
    <w:rsid w:val="001B338F"/>
    <w:rsid w:val="001B7262"/>
    <w:rsid w:val="001B7580"/>
    <w:rsid w:val="001C05B2"/>
    <w:rsid w:val="001C0A98"/>
    <w:rsid w:val="001C1568"/>
    <w:rsid w:val="001C2332"/>
    <w:rsid w:val="001C299F"/>
    <w:rsid w:val="001C3203"/>
    <w:rsid w:val="001C3246"/>
    <w:rsid w:val="001C33FD"/>
    <w:rsid w:val="001C3644"/>
    <w:rsid w:val="001C3F60"/>
    <w:rsid w:val="001C47F4"/>
    <w:rsid w:val="001C645E"/>
    <w:rsid w:val="001D0131"/>
    <w:rsid w:val="001D09B4"/>
    <w:rsid w:val="001D1FF7"/>
    <w:rsid w:val="001D2CEB"/>
    <w:rsid w:val="001D464C"/>
    <w:rsid w:val="001D51E2"/>
    <w:rsid w:val="001D5BCC"/>
    <w:rsid w:val="001D65D8"/>
    <w:rsid w:val="001D79D6"/>
    <w:rsid w:val="001E1906"/>
    <w:rsid w:val="001E2FED"/>
    <w:rsid w:val="001E3277"/>
    <w:rsid w:val="001E3BB9"/>
    <w:rsid w:val="001E5542"/>
    <w:rsid w:val="001E5F1D"/>
    <w:rsid w:val="001E6314"/>
    <w:rsid w:val="001E6BCA"/>
    <w:rsid w:val="001E6FFB"/>
    <w:rsid w:val="001E7ECB"/>
    <w:rsid w:val="001F18CB"/>
    <w:rsid w:val="001F1E62"/>
    <w:rsid w:val="001F20DF"/>
    <w:rsid w:val="001F3AB2"/>
    <w:rsid w:val="001F518E"/>
    <w:rsid w:val="001F597B"/>
    <w:rsid w:val="002001D6"/>
    <w:rsid w:val="00200D21"/>
    <w:rsid w:val="002015CD"/>
    <w:rsid w:val="00201ACE"/>
    <w:rsid w:val="00202238"/>
    <w:rsid w:val="00204E7B"/>
    <w:rsid w:val="00205320"/>
    <w:rsid w:val="002120EC"/>
    <w:rsid w:val="00212283"/>
    <w:rsid w:val="00212425"/>
    <w:rsid w:val="00214CDD"/>
    <w:rsid w:val="002167D6"/>
    <w:rsid w:val="002204C0"/>
    <w:rsid w:val="0022059C"/>
    <w:rsid w:val="0022072B"/>
    <w:rsid w:val="00220DFF"/>
    <w:rsid w:val="00222198"/>
    <w:rsid w:val="00223AAA"/>
    <w:rsid w:val="00223D73"/>
    <w:rsid w:val="00224690"/>
    <w:rsid w:val="00225646"/>
    <w:rsid w:val="00225792"/>
    <w:rsid w:val="00225C78"/>
    <w:rsid w:val="00226569"/>
    <w:rsid w:val="00226A74"/>
    <w:rsid w:val="00226DE6"/>
    <w:rsid w:val="00226EC2"/>
    <w:rsid w:val="00230972"/>
    <w:rsid w:val="002313CC"/>
    <w:rsid w:val="002313DD"/>
    <w:rsid w:val="002319A3"/>
    <w:rsid w:val="00231F6A"/>
    <w:rsid w:val="0023353E"/>
    <w:rsid w:val="002348A7"/>
    <w:rsid w:val="002351BF"/>
    <w:rsid w:val="00235ABE"/>
    <w:rsid w:val="002367BC"/>
    <w:rsid w:val="002371E3"/>
    <w:rsid w:val="00237406"/>
    <w:rsid w:val="00237581"/>
    <w:rsid w:val="00237BDA"/>
    <w:rsid w:val="002407BF"/>
    <w:rsid w:val="00240DAB"/>
    <w:rsid w:val="00240E47"/>
    <w:rsid w:val="0024157D"/>
    <w:rsid w:val="002426F1"/>
    <w:rsid w:val="00242711"/>
    <w:rsid w:val="00244601"/>
    <w:rsid w:val="002450A1"/>
    <w:rsid w:val="00245C4C"/>
    <w:rsid w:val="00250A3C"/>
    <w:rsid w:val="002511AA"/>
    <w:rsid w:val="00254301"/>
    <w:rsid w:val="00254AEA"/>
    <w:rsid w:val="00255297"/>
    <w:rsid w:val="0025557D"/>
    <w:rsid w:val="002573F2"/>
    <w:rsid w:val="00260DC4"/>
    <w:rsid w:val="002637F9"/>
    <w:rsid w:val="00263CDB"/>
    <w:rsid w:val="00265061"/>
    <w:rsid w:val="0026606E"/>
    <w:rsid w:val="00266759"/>
    <w:rsid w:val="00272A55"/>
    <w:rsid w:val="00272DFA"/>
    <w:rsid w:val="00272E9F"/>
    <w:rsid w:val="002731E3"/>
    <w:rsid w:val="00274015"/>
    <w:rsid w:val="002755E8"/>
    <w:rsid w:val="00276E02"/>
    <w:rsid w:val="00277648"/>
    <w:rsid w:val="00280180"/>
    <w:rsid w:val="00280BF2"/>
    <w:rsid w:val="0028122C"/>
    <w:rsid w:val="00281C5E"/>
    <w:rsid w:val="00282766"/>
    <w:rsid w:val="002856D7"/>
    <w:rsid w:val="002856F3"/>
    <w:rsid w:val="00285ED0"/>
    <w:rsid w:val="00290C9E"/>
    <w:rsid w:val="00291682"/>
    <w:rsid w:val="002932AE"/>
    <w:rsid w:val="002948A9"/>
    <w:rsid w:val="002953AF"/>
    <w:rsid w:val="0029639B"/>
    <w:rsid w:val="00296992"/>
    <w:rsid w:val="00296B0D"/>
    <w:rsid w:val="00296E80"/>
    <w:rsid w:val="002A4AE5"/>
    <w:rsid w:val="002A53A8"/>
    <w:rsid w:val="002A5650"/>
    <w:rsid w:val="002A5920"/>
    <w:rsid w:val="002A5DB7"/>
    <w:rsid w:val="002A60B0"/>
    <w:rsid w:val="002A680A"/>
    <w:rsid w:val="002A6A9E"/>
    <w:rsid w:val="002B1781"/>
    <w:rsid w:val="002B1BCA"/>
    <w:rsid w:val="002B596E"/>
    <w:rsid w:val="002B762E"/>
    <w:rsid w:val="002B7D67"/>
    <w:rsid w:val="002C0D96"/>
    <w:rsid w:val="002C11B8"/>
    <w:rsid w:val="002C1C60"/>
    <w:rsid w:val="002C26B5"/>
    <w:rsid w:val="002C26C9"/>
    <w:rsid w:val="002C4595"/>
    <w:rsid w:val="002C4C36"/>
    <w:rsid w:val="002C61BF"/>
    <w:rsid w:val="002C64F7"/>
    <w:rsid w:val="002C7225"/>
    <w:rsid w:val="002C736E"/>
    <w:rsid w:val="002D0B34"/>
    <w:rsid w:val="002D1637"/>
    <w:rsid w:val="002D30F6"/>
    <w:rsid w:val="002D349E"/>
    <w:rsid w:val="002D3800"/>
    <w:rsid w:val="002D3CD0"/>
    <w:rsid w:val="002D5237"/>
    <w:rsid w:val="002D5FB8"/>
    <w:rsid w:val="002D65DD"/>
    <w:rsid w:val="002D6DDE"/>
    <w:rsid w:val="002D7336"/>
    <w:rsid w:val="002D765C"/>
    <w:rsid w:val="002E0C29"/>
    <w:rsid w:val="002E0F1F"/>
    <w:rsid w:val="002E3010"/>
    <w:rsid w:val="002E3323"/>
    <w:rsid w:val="002E3648"/>
    <w:rsid w:val="002E4F2F"/>
    <w:rsid w:val="002E524A"/>
    <w:rsid w:val="002E6549"/>
    <w:rsid w:val="002E6CB6"/>
    <w:rsid w:val="002F05CA"/>
    <w:rsid w:val="002F1BFE"/>
    <w:rsid w:val="002F26CF"/>
    <w:rsid w:val="002F310C"/>
    <w:rsid w:val="002F3F8C"/>
    <w:rsid w:val="002F42C7"/>
    <w:rsid w:val="002F496C"/>
    <w:rsid w:val="00300E4A"/>
    <w:rsid w:val="00301261"/>
    <w:rsid w:val="00302112"/>
    <w:rsid w:val="00303405"/>
    <w:rsid w:val="003050C4"/>
    <w:rsid w:val="00305153"/>
    <w:rsid w:val="003056EB"/>
    <w:rsid w:val="003076DB"/>
    <w:rsid w:val="003105F0"/>
    <w:rsid w:val="00312E93"/>
    <w:rsid w:val="0031375B"/>
    <w:rsid w:val="003156C6"/>
    <w:rsid w:val="00315921"/>
    <w:rsid w:val="003204E0"/>
    <w:rsid w:val="00320B55"/>
    <w:rsid w:val="0032284E"/>
    <w:rsid w:val="00326EFE"/>
    <w:rsid w:val="00327020"/>
    <w:rsid w:val="00332A17"/>
    <w:rsid w:val="003333EF"/>
    <w:rsid w:val="0033482C"/>
    <w:rsid w:val="003349DD"/>
    <w:rsid w:val="00334BAF"/>
    <w:rsid w:val="0033593F"/>
    <w:rsid w:val="003369D1"/>
    <w:rsid w:val="003371F8"/>
    <w:rsid w:val="00337FB5"/>
    <w:rsid w:val="003419BE"/>
    <w:rsid w:val="00342DEB"/>
    <w:rsid w:val="003430FD"/>
    <w:rsid w:val="003448AA"/>
    <w:rsid w:val="00345450"/>
    <w:rsid w:val="00345830"/>
    <w:rsid w:val="00350996"/>
    <w:rsid w:val="00351131"/>
    <w:rsid w:val="003519D0"/>
    <w:rsid w:val="00351CF9"/>
    <w:rsid w:val="003527CC"/>
    <w:rsid w:val="003530DF"/>
    <w:rsid w:val="00354302"/>
    <w:rsid w:val="00356E8B"/>
    <w:rsid w:val="0036129B"/>
    <w:rsid w:val="003618AE"/>
    <w:rsid w:val="00361C2C"/>
    <w:rsid w:val="003623B8"/>
    <w:rsid w:val="003624FF"/>
    <w:rsid w:val="00365271"/>
    <w:rsid w:val="003653A8"/>
    <w:rsid w:val="003673D6"/>
    <w:rsid w:val="00370326"/>
    <w:rsid w:val="00370D00"/>
    <w:rsid w:val="00370F77"/>
    <w:rsid w:val="0037140A"/>
    <w:rsid w:val="00372734"/>
    <w:rsid w:val="0037277E"/>
    <w:rsid w:val="00372FE6"/>
    <w:rsid w:val="00374B00"/>
    <w:rsid w:val="00374D13"/>
    <w:rsid w:val="00374E50"/>
    <w:rsid w:val="003751F5"/>
    <w:rsid w:val="00375654"/>
    <w:rsid w:val="00376DAC"/>
    <w:rsid w:val="00380A39"/>
    <w:rsid w:val="003810FB"/>
    <w:rsid w:val="00383240"/>
    <w:rsid w:val="003842CE"/>
    <w:rsid w:val="00385340"/>
    <w:rsid w:val="003855D6"/>
    <w:rsid w:val="00385D3A"/>
    <w:rsid w:val="0038604E"/>
    <w:rsid w:val="00386C45"/>
    <w:rsid w:val="00387A96"/>
    <w:rsid w:val="003901E5"/>
    <w:rsid w:val="003916EE"/>
    <w:rsid w:val="00393A2E"/>
    <w:rsid w:val="00393D85"/>
    <w:rsid w:val="0039490B"/>
    <w:rsid w:val="00394942"/>
    <w:rsid w:val="0039565D"/>
    <w:rsid w:val="00396475"/>
    <w:rsid w:val="00397177"/>
    <w:rsid w:val="003A0067"/>
    <w:rsid w:val="003A05E4"/>
    <w:rsid w:val="003A13FD"/>
    <w:rsid w:val="003A1ABD"/>
    <w:rsid w:val="003A1CE1"/>
    <w:rsid w:val="003A2913"/>
    <w:rsid w:val="003A3036"/>
    <w:rsid w:val="003A3794"/>
    <w:rsid w:val="003A5658"/>
    <w:rsid w:val="003A5A4B"/>
    <w:rsid w:val="003B01F7"/>
    <w:rsid w:val="003B04F2"/>
    <w:rsid w:val="003B2C87"/>
    <w:rsid w:val="003B45C4"/>
    <w:rsid w:val="003B58C0"/>
    <w:rsid w:val="003B632A"/>
    <w:rsid w:val="003B64CF"/>
    <w:rsid w:val="003B680D"/>
    <w:rsid w:val="003B7070"/>
    <w:rsid w:val="003B72E4"/>
    <w:rsid w:val="003B7829"/>
    <w:rsid w:val="003C0BD9"/>
    <w:rsid w:val="003C1BBC"/>
    <w:rsid w:val="003C2154"/>
    <w:rsid w:val="003C25DE"/>
    <w:rsid w:val="003C3067"/>
    <w:rsid w:val="003C3D07"/>
    <w:rsid w:val="003C4842"/>
    <w:rsid w:val="003C4A6F"/>
    <w:rsid w:val="003C4FD7"/>
    <w:rsid w:val="003C5584"/>
    <w:rsid w:val="003C6B88"/>
    <w:rsid w:val="003C79A3"/>
    <w:rsid w:val="003C7BB7"/>
    <w:rsid w:val="003D0C33"/>
    <w:rsid w:val="003D235E"/>
    <w:rsid w:val="003D30DD"/>
    <w:rsid w:val="003D4381"/>
    <w:rsid w:val="003D5A51"/>
    <w:rsid w:val="003D67FA"/>
    <w:rsid w:val="003D6E45"/>
    <w:rsid w:val="003E1501"/>
    <w:rsid w:val="003E17E9"/>
    <w:rsid w:val="003E1FD1"/>
    <w:rsid w:val="003E3392"/>
    <w:rsid w:val="003E34D6"/>
    <w:rsid w:val="003E3BCB"/>
    <w:rsid w:val="003E431D"/>
    <w:rsid w:val="003E5130"/>
    <w:rsid w:val="003E5CE1"/>
    <w:rsid w:val="003E625D"/>
    <w:rsid w:val="003E6273"/>
    <w:rsid w:val="003E6DB3"/>
    <w:rsid w:val="003F1F76"/>
    <w:rsid w:val="003F2160"/>
    <w:rsid w:val="003F3051"/>
    <w:rsid w:val="003F322A"/>
    <w:rsid w:val="003F3D46"/>
    <w:rsid w:val="003F5547"/>
    <w:rsid w:val="003F5E1B"/>
    <w:rsid w:val="003F70A5"/>
    <w:rsid w:val="003F7A28"/>
    <w:rsid w:val="00400953"/>
    <w:rsid w:val="00401364"/>
    <w:rsid w:val="00401578"/>
    <w:rsid w:val="00401599"/>
    <w:rsid w:val="004047EA"/>
    <w:rsid w:val="004079C1"/>
    <w:rsid w:val="00412C61"/>
    <w:rsid w:val="004134BC"/>
    <w:rsid w:val="00413F06"/>
    <w:rsid w:val="00414011"/>
    <w:rsid w:val="00414BBF"/>
    <w:rsid w:val="00414C47"/>
    <w:rsid w:val="00414FE9"/>
    <w:rsid w:val="004151B3"/>
    <w:rsid w:val="004176FC"/>
    <w:rsid w:val="00420475"/>
    <w:rsid w:val="00421BEA"/>
    <w:rsid w:val="004221AB"/>
    <w:rsid w:val="004231DC"/>
    <w:rsid w:val="004238E5"/>
    <w:rsid w:val="004239C0"/>
    <w:rsid w:val="00423C3F"/>
    <w:rsid w:val="00423E73"/>
    <w:rsid w:val="00424198"/>
    <w:rsid w:val="004303FE"/>
    <w:rsid w:val="00430442"/>
    <w:rsid w:val="004324DC"/>
    <w:rsid w:val="00434061"/>
    <w:rsid w:val="00435380"/>
    <w:rsid w:val="00435930"/>
    <w:rsid w:val="00435FA3"/>
    <w:rsid w:val="004369C8"/>
    <w:rsid w:val="0044458D"/>
    <w:rsid w:val="004450AD"/>
    <w:rsid w:val="004478C9"/>
    <w:rsid w:val="00447E3B"/>
    <w:rsid w:val="004507E0"/>
    <w:rsid w:val="00450B00"/>
    <w:rsid w:val="00450EC7"/>
    <w:rsid w:val="00451412"/>
    <w:rsid w:val="00451450"/>
    <w:rsid w:val="00453519"/>
    <w:rsid w:val="00453FAE"/>
    <w:rsid w:val="00454DF5"/>
    <w:rsid w:val="004562C5"/>
    <w:rsid w:val="0045661C"/>
    <w:rsid w:val="00457E98"/>
    <w:rsid w:val="00460FC7"/>
    <w:rsid w:val="00461CD3"/>
    <w:rsid w:val="00466FF9"/>
    <w:rsid w:val="004672D4"/>
    <w:rsid w:val="00472C1F"/>
    <w:rsid w:val="00473078"/>
    <w:rsid w:val="004731DC"/>
    <w:rsid w:val="00473D17"/>
    <w:rsid w:val="00474339"/>
    <w:rsid w:val="00474D40"/>
    <w:rsid w:val="00475CDD"/>
    <w:rsid w:val="0047681C"/>
    <w:rsid w:val="00477155"/>
    <w:rsid w:val="00477444"/>
    <w:rsid w:val="00477BC1"/>
    <w:rsid w:val="00477FC5"/>
    <w:rsid w:val="0048051C"/>
    <w:rsid w:val="00480A91"/>
    <w:rsid w:val="00481E66"/>
    <w:rsid w:val="00484510"/>
    <w:rsid w:val="00484E8F"/>
    <w:rsid w:val="00487521"/>
    <w:rsid w:val="00487855"/>
    <w:rsid w:val="00490E1E"/>
    <w:rsid w:val="00491B7A"/>
    <w:rsid w:val="00494837"/>
    <w:rsid w:val="00494B5A"/>
    <w:rsid w:val="00495914"/>
    <w:rsid w:val="00496694"/>
    <w:rsid w:val="00497258"/>
    <w:rsid w:val="004A1882"/>
    <w:rsid w:val="004A2117"/>
    <w:rsid w:val="004A227C"/>
    <w:rsid w:val="004A2394"/>
    <w:rsid w:val="004A2C71"/>
    <w:rsid w:val="004A306A"/>
    <w:rsid w:val="004A42CF"/>
    <w:rsid w:val="004A4A26"/>
    <w:rsid w:val="004A4AFC"/>
    <w:rsid w:val="004A5FF2"/>
    <w:rsid w:val="004A6437"/>
    <w:rsid w:val="004B01BC"/>
    <w:rsid w:val="004B12D2"/>
    <w:rsid w:val="004B1DAE"/>
    <w:rsid w:val="004B2998"/>
    <w:rsid w:val="004B3CAD"/>
    <w:rsid w:val="004B427E"/>
    <w:rsid w:val="004B539A"/>
    <w:rsid w:val="004C09A0"/>
    <w:rsid w:val="004C1276"/>
    <w:rsid w:val="004C270F"/>
    <w:rsid w:val="004C29AF"/>
    <w:rsid w:val="004C46FA"/>
    <w:rsid w:val="004C5467"/>
    <w:rsid w:val="004C575A"/>
    <w:rsid w:val="004C60EC"/>
    <w:rsid w:val="004D2304"/>
    <w:rsid w:val="004D2CBA"/>
    <w:rsid w:val="004D4BC2"/>
    <w:rsid w:val="004D4E56"/>
    <w:rsid w:val="004D5E01"/>
    <w:rsid w:val="004D60C8"/>
    <w:rsid w:val="004D721D"/>
    <w:rsid w:val="004D7799"/>
    <w:rsid w:val="004D7B11"/>
    <w:rsid w:val="004E197F"/>
    <w:rsid w:val="004E248F"/>
    <w:rsid w:val="004F0780"/>
    <w:rsid w:val="004F0D8A"/>
    <w:rsid w:val="004F217D"/>
    <w:rsid w:val="004F2A11"/>
    <w:rsid w:val="004F42AF"/>
    <w:rsid w:val="004F55D9"/>
    <w:rsid w:val="004F5CFF"/>
    <w:rsid w:val="004F6973"/>
    <w:rsid w:val="004F73EE"/>
    <w:rsid w:val="00500284"/>
    <w:rsid w:val="00500297"/>
    <w:rsid w:val="00500B1F"/>
    <w:rsid w:val="00501B20"/>
    <w:rsid w:val="00501C82"/>
    <w:rsid w:val="00501D5A"/>
    <w:rsid w:val="00501E07"/>
    <w:rsid w:val="00502315"/>
    <w:rsid w:val="0050460F"/>
    <w:rsid w:val="005049CA"/>
    <w:rsid w:val="005073AF"/>
    <w:rsid w:val="00510F78"/>
    <w:rsid w:val="00511F37"/>
    <w:rsid w:val="00512578"/>
    <w:rsid w:val="00513E19"/>
    <w:rsid w:val="00513FB0"/>
    <w:rsid w:val="00514A78"/>
    <w:rsid w:val="0051666F"/>
    <w:rsid w:val="005177C0"/>
    <w:rsid w:val="005179E8"/>
    <w:rsid w:val="00517FF4"/>
    <w:rsid w:val="005218FE"/>
    <w:rsid w:val="00521F0A"/>
    <w:rsid w:val="005243A4"/>
    <w:rsid w:val="0052481D"/>
    <w:rsid w:val="00525479"/>
    <w:rsid w:val="00527667"/>
    <w:rsid w:val="00530530"/>
    <w:rsid w:val="0053086E"/>
    <w:rsid w:val="0053184C"/>
    <w:rsid w:val="005349C0"/>
    <w:rsid w:val="00535043"/>
    <w:rsid w:val="00535931"/>
    <w:rsid w:val="00540E30"/>
    <w:rsid w:val="005419E3"/>
    <w:rsid w:val="005437B6"/>
    <w:rsid w:val="00544300"/>
    <w:rsid w:val="0054494C"/>
    <w:rsid w:val="00545F7A"/>
    <w:rsid w:val="0054662C"/>
    <w:rsid w:val="00546EC7"/>
    <w:rsid w:val="005477FF"/>
    <w:rsid w:val="00547B75"/>
    <w:rsid w:val="00550D00"/>
    <w:rsid w:val="00551724"/>
    <w:rsid w:val="00551E77"/>
    <w:rsid w:val="0055224A"/>
    <w:rsid w:val="00552346"/>
    <w:rsid w:val="00553721"/>
    <w:rsid w:val="005538FD"/>
    <w:rsid w:val="005544BC"/>
    <w:rsid w:val="00557334"/>
    <w:rsid w:val="00557D66"/>
    <w:rsid w:val="00560712"/>
    <w:rsid w:val="00561E1E"/>
    <w:rsid w:val="005629A5"/>
    <w:rsid w:val="00563B96"/>
    <w:rsid w:val="00563E30"/>
    <w:rsid w:val="005644AA"/>
    <w:rsid w:val="00564B3E"/>
    <w:rsid w:val="00566905"/>
    <w:rsid w:val="00566EF1"/>
    <w:rsid w:val="00570A87"/>
    <w:rsid w:val="00570C51"/>
    <w:rsid w:val="00570CD9"/>
    <w:rsid w:val="00574CE6"/>
    <w:rsid w:val="00575182"/>
    <w:rsid w:val="0057533A"/>
    <w:rsid w:val="00575DA1"/>
    <w:rsid w:val="005768EA"/>
    <w:rsid w:val="00576EC9"/>
    <w:rsid w:val="005770B6"/>
    <w:rsid w:val="00577BE7"/>
    <w:rsid w:val="00577F3B"/>
    <w:rsid w:val="005802A9"/>
    <w:rsid w:val="00581E0B"/>
    <w:rsid w:val="00582C74"/>
    <w:rsid w:val="005830F9"/>
    <w:rsid w:val="005847CA"/>
    <w:rsid w:val="00585877"/>
    <w:rsid w:val="00585B2A"/>
    <w:rsid w:val="00585C7E"/>
    <w:rsid w:val="00585FBA"/>
    <w:rsid w:val="00587118"/>
    <w:rsid w:val="00587B91"/>
    <w:rsid w:val="00587F7D"/>
    <w:rsid w:val="00592F41"/>
    <w:rsid w:val="00596626"/>
    <w:rsid w:val="0059752D"/>
    <w:rsid w:val="005A1F35"/>
    <w:rsid w:val="005A389B"/>
    <w:rsid w:val="005A55B5"/>
    <w:rsid w:val="005A6293"/>
    <w:rsid w:val="005A6321"/>
    <w:rsid w:val="005A6F57"/>
    <w:rsid w:val="005A758A"/>
    <w:rsid w:val="005A75E2"/>
    <w:rsid w:val="005A7625"/>
    <w:rsid w:val="005A7910"/>
    <w:rsid w:val="005A7993"/>
    <w:rsid w:val="005B0696"/>
    <w:rsid w:val="005B56BC"/>
    <w:rsid w:val="005B75C2"/>
    <w:rsid w:val="005B7D74"/>
    <w:rsid w:val="005C05FC"/>
    <w:rsid w:val="005C0A89"/>
    <w:rsid w:val="005C1846"/>
    <w:rsid w:val="005C1A2B"/>
    <w:rsid w:val="005C2AFC"/>
    <w:rsid w:val="005C312E"/>
    <w:rsid w:val="005C62C0"/>
    <w:rsid w:val="005D000D"/>
    <w:rsid w:val="005D48EA"/>
    <w:rsid w:val="005D4EB6"/>
    <w:rsid w:val="005D643C"/>
    <w:rsid w:val="005E0AE2"/>
    <w:rsid w:val="005E341B"/>
    <w:rsid w:val="005E3CFA"/>
    <w:rsid w:val="005E536E"/>
    <w:rsid w:val="005E64A4"/>
    <w:rsid w:val="005F1CFA"/>
    <w:rsid w:val="005F2275"/>
    <w:rsid w:val="005F22AE"/>
    <w:rsid w:val="005F4F71"/>
    <w:rsid w:val="005F66D9"/>
    <w:rsid w:val="005F7061"/>
    <w:rsid w:val="005F7E1B"/>
    <w:rsid w:val="0060041C"/>
    <w:rsid w:val="00600E1B"/>
    <w:rsid w:val="00603623"/>
    <w:rsid w:val="0060405C"/>
    <w:rsid w:val="0060467F"/>
    <w:rsid w:val="0060623E"/>
    <w:rsid w:val="006125FB"/>
    <w:rsid w:val="0061313C"/>
    <w:rsid w:val="006143D6"/>
    <w:rsid w:val="0061616D"/>
    <w:rsid w:val="006204E1"/>
    <w:rsid w:val="00621173"/>
    <w:rsid w:val="00622625"/>
    <w:rsid w:val="006238B7"/>
    <w:rsid w:val="006247C6"/>
    <w:rsid w:val="006258EB"/>
    <w:rsid w:val="00626C06"/>
    <w:rsid w:val="00630F0E"/>
    <w:rsid w:val="006323ED"/>
    <w:rsid w:val="0063457E"/>
    <w:rsid w:val="006355DD"/>
    <w:rsid w:val="0063662E"/>
    <w:rsid w:val="006366A6"/>
    <w:rsid w:val="006368ED"/>
    <w:rsid w:val="00637289"/>
    <w:rsid w:val="006405BE"/>
    <w:rsid w:val="0064078E"/>
    <w:rsid w:val="00641653"/>
    <w:rsid w:val="00641A0E"/>
    <w:rsid w:val="00643A14"/>
    <w:rsid w:val="00643E2E"/>
    <w:rsid w:val="006443C1"/>
    <w:rsid w:val="00644913"/>
    <w:rsid w:val="00645921"/>
    <w:rsid w:val="00646128"/>
    <w:rsid w:val="00647809"/>
    <w:rsid w:val="00647C0E"/>
    <w:rsid w:val="00647F33"/>
    <w:rsid w:val="006509A5"/>
    <w:rsid w:val="006511AB"/>
    <w:rsid w:val="0065175F"/>
    <w:rsid w:val="00651EB0"/>
    <w:rsid w:val="00652629"/>
    <w:rsid w:val="00654D7C"/>
    <w:rsid w:val="006610E9"/>
    <w:rsid w:val="006610F3"/>
    <w:rsid w:val="006615D5"/>
    <w:rsid w:val="00662656"/>
    <w:rsid w:val="00664D9E"/>
    <w:rsid w:val="00664FDA"/>
    <w:rsid w:val="00665BDB"/>
    <w:rsid w:val="00666DF5"/>
    <w:rsid w:val="006672FA"/>
    <w:rsid w:val="0067003F"/>
    <w:rsid w:val="0067067E"/>
    <w:rsid w:val="006722B3"/>
    <w:rsid w:val="00674B21"/>
    <w:rsid w:val="0067510F"/>
    <w:rsid w:val="0067533F"/>
    <w:rsid w:val="006753E4"/>
    <w:rsid w:val="006756AA"/>
    <w:rsid w:val="00675DAD"/>
    <w:rsid w:val="006762DD"/>
    <w:rsid w:val="0067654F"/>
    <w:rsid w:val="00677387"/>
    <w:rsid w:val="006818D8"/>
    <w:rsid w:val="0068213B"/>
    <w:rsid w:val="0068257B"/>
    <w:rsid w:val="00682AEE"/>
    <w:rsid w:val="00682B15"/>
    <w:rsid w:val="0068305A"/>
    <w:rsid w:val="0068570C"/>
    <w:rsid w:val="00685A40"/>
    <w:rsid w:val="00686095"/>
    <w:rsid w:val="0069051C"/>
    <w:rsid w:val="00692832"/>
    <w:rsid w:val="00692D39"/>
    <w:rsid w:val="00693688"/>
    <w:rsid w:val="006946E5"/>
    <w:rsid w:val="00695C36"/>
    <w:rsid w:val="006966B0"/>
    <w:rsid w:val="006974BE"/>
    <w:rsid w:val="00697851"/>
    <w:rsid w:val="006A05AB"/>
    <w:rsid w:val="006A0CE7"/>
    <w:rsid w:val="006A25D9"/>
    <w:rsid w:val="006A4AF3"/>
    <w:rsid w:val="006A58C5"/>
    <w:rsid w:val="006A58E7"/>
    <w:rsid w:val="006A6355"/>
    <w:rsid w:val="006A6833"/>
    <w:rsid w:val="006A68A0"/>
    <w:rsid w:val="006A75FA"/>
    <w:rsid w:val="006A7C31"/>
    <w:rsid w:val="006B0CEC"/>
    <w:rsid w:val="006B2E53"/>
    <w:rsid w:val="006B4C7C"/>
    <w:rsid w:val="006B52EB"/>
    <w:rsid w:val="006B5B9C"/>
    <w:rsid w:val="006C4589"/>
    <w:rsid w:val="006C4D68"/>
    <w:rsid w:val="006C6F3D"/>
    <w:rsid w:val="006D07A0"/>
    <w:rsid w:val="006D22DD"/>
    <w:rsid w:val="006D2C07"/>
    <w:rsid w:val="006D5083"/>
    <w:rsid w:val="006D53F4"/>
    <w:rsid w:val="006D72C4"/>
    <w:rsid w:val="006D7A4D"/>
    <w:rsid w:val="006D7ADF"/>
    <w:rsid w:val="006E0C9D"/>
    <w:rsid w:val="006E1270"/>
    <w:rsid w:val="006E15E1"/>
    <w:rsid w:val="006E1DB5"/>
    <w:rsid w:val="006E219F"/>
    <w:rsid w:val="006E2329"/>
    <w:rsid w:val="006E2755"/>
    <w:rsid w:val="006E40D4"/>
    <w:rsid w:val="006E4C46"/>
    <w:rsid w:val="006E5DDF"/>
    <w:rsid w:val="006E6031"/>
    <w:rsid w:val="006E6967"/>
    <w:rsid w:val="006E6AFC"/>
    <w:rsid w:val="006E7593"/>
    <w:rsid w:val="006F007F"/>
    <w:rsid w:val="006F018F"/>
    <w:rsid w:val="006F27B8"/>
    <w:rsid w:val="006F327A"/>
    <w:rsid w:val="006F338E"/>
    <w:rsid w:val="006F4500"/>
    <w:rsid w:val="006F4A43"/>
    <w:rsid w:val="006F5923"/>
    <w:rsid w:val="0070073F"/>
    <w:rsid w:val="007007C9"/>
    <w:rsid w:val="007009C8"/>
    <w:rsid w:val="007023B0"/>
    <w:rsid w:val="007023DF"/>
    <w:rsid w:val="0070365C"/>
    <w:rsid w:val="00703DD1"/>
    <w:rsid w:val="00704129"/>
    <w:rsid w:val="007053B6"/>
    <w:rsid w:val="00705C6A"/>
    <w:rsid w:val="00706F27"/>
    <w:rsid w:val="00707BCB"/>
    <w:rsid w:val="00710F06"/>
    <w:rsid w:val="007115F6"/>
    <w:rsid w:val="0071179D"/>
    <w:rsid w:val="00712F6E"/>
    <w:rsid w:val="007136E8"/>
    <w:rsid w:val="00714EAD"/>
    <w:rsid w:val="0071501F"/>
    <w:rsid w:val="00715254"/>
    <w:rsid w:val="0071636A"/>
    <w:rsid w:val="00716840"/>
    <w:rsid w:val="00720918"/>
    <w:rsid w:val="00720BEE"/>
    <w:rsid w:val="007212B1"/>
    <w:rsid w:val="00721905"/>
    <w:rsid w:val="0072215E"/>
    <w:rsid w:val="0072233B"/>
    <w:rsid w:val="0072340A"/>
    <w:rsid w:val="00723447"/>
    <w:rsid w:val="00723748"/>
    <w:rsid w:val="00723A06"/>
    <w:rsid w:val="00723F0B"/>
    <w:rsid w:val="00724AC9"/>
    <w:rsid w:val="00724C33"/>
    <w:rsid w:val="00724D6C"/>
    <w:rsid w:val="00725DFE"/>
    <w:rsid w:val="007272D0"/>
    <w:rsid w:val="00732FB0"/>
    <w:rsid w:val="007335D5"/>
    <w:rsid w:val="00735EE9"/>
    <w:rsid w:val="0073634B"/>
    <w:rsid w:val="00736671"/>
    <w:rsid w:val="007367BC"/>
    <w:rsid w:val="00736885"/>
    <w:rsid w:val="00736CCD"/>
    <w:rsid w:val="0074201E"/>
    <w:rsid w:val="00742695"/>
    <w:rsid w:val="007464AB"/>
    <w:rsid w:val="00747A0B"/>
    <w:rsid w:val="00750B5A"/>
    <w:rsid w:val="00750B7E"/>
    <w:rsid w:val="007511AB"/>
    <w:rsid w:val="007512A5"/>
    <w:rsid w:val="00751651"/>
    <w:rsid w:val="00751A45"/>
    <w:rsid w:val="00751BD2"/>
    <w:rsid w:val="0075208D"/>
    <w:rsid w:val="00753763"/>
    <w:rsid w:val="0075420B"/>
    <w:rsid w:val="0075466C"/>
    <w:rsid w:val="00754F74"/>
    <w:rsid w:val="007555CE"/>
    <w:rsid w:val="0075604C"/>
    <w:rsid w:val="0075648B"/>
    <w:rsid w:val="00760568"/>
    <w:rsid w:val="00762901"/>
    <w:rsid w:val="00763669"/>
    <w:rsid w:val="007645C6"/>
    <w:rsid w:val="00765542"/>
    <w:rsid w:val="00770C62"/>
    <w:rsid w:val="00775272"/>
    <w:rsid w:val="00775853"/>
    <w:rsid w:val="00780369"/>
    <w:rsid w:val="00782A1B"/>
    <w:rsid w:val="0078651C"/>
    <w:rsid w:val="007865B4"/>
    <w:rsid w:val="00787FE0"/>
    <w:rsid w:val="0079062A"/>
    <w:rsid w:val="0079210F"/>
    <w:rsid w:val="0079340A"/>
    <w:rsid w:val="00793482"/>
    <w:rsid w:val="00793A87"/>
    <w:rsid w:val="00796D72"/>
    <w:rsid w:val="00797201"/>
    <w:rsid w:val="0079760D"/>
    <w:rsid w:val="007A224F"/>
    <w:rsid w:val="007A2F32"/>
    <w:rsid w:val="007A4B79"/>
    <w:rsid w:val="007A4F13"/>
    <w:rsid w:val="007A4F4B"/>
    <w:rsid w:val="007A5C64"/>
    <w:rsid w:val="007A6144"/>
    <w:rsid w:val="007A6CC0"/>
    <w:rsid w:val="007A726B"/>
    <w:rsid w:val="007A78CB"/>
    <w:rsid w:val="007A7A07"/>
    <w:rsid w:val="007B14FD"/>
    <w:rsid w:val="007B2696"/>
    <w:rsid w:val="007B3760"/>
    <w:rsid w:val="007B416B"/>
    <w:rsid w:val="007B62E1"/>
    <w:rsid w:val="007B66E9"/>
    <w:rsid w:val="007C0F30"/>
    <w:rsid w:val="007C2CF3"/>
    <w:rsid w:val="007C3E75"/>
    <w:rsid w:val="007C6CCF"/>
    <w:rsid w:val="007D0956"/>
    <w:rsid w:val="007D2010"/>
    <w:rsid w:val="007D20A2"/>
    <w:rsid w:val="007D262E"/>
    <w:rsid w:val="007D39A3"/>
    <w:rsid w:val="007D3B50"/>
    <w:rsid w:val="007D3B62"/>
    <w:rsid w:val="007D433C"/>
    <w:rsid w:val="007D59F5"/>
    <w:rsid w:val="007D5C35"/>
    <w:rsid w:val="007D7295"/>
    <w:rsid w:val="007D7814"/>
    <w:rsid w:val="007E081F"/>
    <w:rsid w:val="007E2BD7"/>
    <w:rsid w:val="007E3097"/>
    <w:rsid w:val="007E31C3"/>
    <w:rsid w:val="007E6761"/>
    <w:rsid w:val="007E7F45"/>
    <w:rsid w:val="007F00B9"/>
    <w:rsid w:val="007F0163"/>
    <w:rsid w:val="007F1B0A"/>
    <w:rsid w:val="007F2BD2"/>
    <w:rsid w:val="007F4890"/>
    <w:rsid w:val="007F65DC"/>
    <w:rsid w:val="007F7665"/>
    <w:rsid w:val="007F7D67"/>
    <w:rsid w:val="00802A5C"/>
    <w:rsid w:val="00802AF4"/>
    <w:rsid w:val="00802D2A"/>
    <w:rsid w:val="00804A15"/>
    <w:rsid w:val="00804AB4"/>
    <w:rsid w:val="00804F2B"/>
    <w:rsid w:val="00805D2A"/>
    <w:rsid w:val="00805D45"/>
    <w:rsid w:val="00805E33"/>
    <w:rsid w:val="008070F3"/>
    <w:rsid w:val="0081036B"/>
    <w:rsid w:val="00812787"/>
    <w:rsid w:val="00812C75"/>
    <w:rsid w:val="00812DEE"/>
    <w:rsid w:val="00813C3B"/>
    <w:rsid w:val="00814413"/>
    <w:rsid w:val="00815797"/>
    <w:rsid w:val="00815CD2"/>
    <w:rsid w:val="00815FCC"/>
    <w:rsid w:val="008166D0"/>
    <w:rsid w:val="008169C8"/>
    <w:rsid w:val="00816E0B"/>
    <w:rsid w:val="00817287"/>
    <w:rsid w:val="00817592"/>
    <w:rsid w:val="00817A98"/>
    <w:rsid w:val="00817D72"/>
    <w:rsid w:val="00820800"/>
    <w:rsid w:val="008209DF"/>
    <w:rsid w:val="00821825"/>
    <w:rsid w:val="00821EC9"/>
    <w:rsid w:val="008222D2"/>
    <w:rsid w:val="00824758"/>
    <w:rsid w:val="0082575F"/>
    <w:rsid w:val="00825D82"/>
    <w:rsid w:val="008264BE"/>
    <w:rsid w:val="00826C5C"/>
    <w:rsid w:val="008278CF"/>
    <w:rsid w:val="00830D80"/>
    <w:rsid w:val="00833362"/>
    <w:rsid w:val="00833785"/>
    <w:rsid w:val="008340CA"/>
    <w:rsid w:val="00834A21"/>
    <w:rsid w:val="00836CBA"/>
    <w:rsid w:val="00836E08"/>
    <w:rsid w:val="0083708E"/>
    <w:rsid w:val="008371EA"/>
    <w:rsid w:val="008378CC"/>
    <w:rsid w:val="008379BC"/>
    <w:rsid w:val="00840AB5"/>
    <w:rsid w:val="00841D77"/>
    <w:rsid w:val="00841F54"/>
    <w:rsid w:val="00841F8E"/>
    <w:rsid w:val="00842415"/>
    <w:rsid w:val="008429B1"/>
    <w:rsid w:val="00842D6B"/>
    <w:rsid w:val="00843359"/>
    <w:rsid w:val="008434B1"/>
    <w:rsid w:val="00844222"/>
    <w:rsid w:val="0084422A"/>
    <w:rsid w:val="008446C7"/>
    <w:rsid w:val="008448D5"/>
    <w:rsid w:val="00847E11"/>
    <w:rsid w:val="00850663"/>
    <w:rsid w:val="00851ACB"/>
    <w:rsid w:val="00853EF2"/>
    <w:rsid w:val="008543B1"/>
    <w:rsid w:val="00854D12"/>
    <w:rsid w:val="00855D59"/>
    <w:rsid w:val="008572E6"/>
    <w:rsid w:val="00860D34"/>
    <w:rsid w:val="00862155"/>
    <w:rsid w:val="008623C1"/>
    <w:rsid w:val="00863671"/>
    <w:rsid w:val="00863DB0"/>
    <w:rsid w:val="00863E13"/>
    <w:rsid w:val="00863E76"/>
    <w:rsid w:val="0086461C"/>
    <w:rsid w:val="00864FE2"/>
    <w:rsid w:val="00865840"/>
    <w:rsid w:val="00866B89"/>
    <w:rsid w:val="00867CEB"/>
    <w:rsid w:val="00870561"/>
    <w:rsid w:val="00870C22"/>
    <w:rsid w:val="0087293C"/>
    <w:rsid w:val="00872AA1"/>
    <w:rsid w:val="00872D21"/>
    <w:rsid w:val="00872F9A"/>
    <w:rsid w:val="00875793"/>
    <w:rsid w:val="00876A29"/>
    <w:rsid w:val="0087704F"/>
    <w:rsid w:val="0087732B"/>
    <w:rsid w:val="008777A7"/>
    <w:rsid w:val="008778B4"/>
    <w:rsid w:val="00883464"/>
    <w:rsid w:val="008843DE"/>
    <w:rsid w:val="00886D0F"/>
    <w:rsid w:val="008901BA"/>
    <w:rsid w:val="00891456"/>
    <w:rsid w:val="00893E00"/>
    <w:rsid w:val="00893E1C"/>
    <w:rsid w:val="008947C3"/>
    <w:rsid w:val="00895291"/>
    <w:rsid w:val="008A1117"/>
    <w:rsid w:val="008A43C7"/>
    <w:rsid w:val="008A536E"/>
    <w:rsid w:val="008A6618"/>
    <w:rsid w:val="008A6DA5"/>
    <w:rsid w:val="008A7CA6"/>
    <w:rsid w:val="008B01A1"/>
    <w:rsid w:val="008B021A"/>
    <w:rsid w:val="008B11AF"/>
    <w:rsid w:val="008B18B3"/>
    <w:rsid w:val="008B2248"/>
    <w:rsid w:val="008B4421"/>
    <w:rsid w:val="008B579A"/>
    <w:rsid w:val="008B74B2"/>
    <w:rsid w:val="008C2020"/>
    <w:rsid w:val="008C4236"/>
    <w:rsid w:val="008C4265"/>
    <w:rsid w:val="008C4C0C"/>
    <w:rsid w:val="008C4CF8"/>
    <w:rsid w:val="008C6434"/>
    <w:rsid w:val="008C6E7B"/>
    <w:rsid w:val="008C7E50"/>
    <w:rsid w:val="008D036B"/>
    <w:rsid w:val="008D0721"/>
    <w:rsid w:val="008D144F"/>
    <w:rsid w:val="008D157E"/>
    <w:rsid w:val="008D28C9"/>
    <w:rsid w:val="008D6848"/>
    <w:rsid w:val="008E2A58"/>
    <w:rsid w:val="008E2D34"/>
    <w:rsid w:val="008E41C2"/>
    <w:rsid w:val="008E6044"/>
    <w:rsid w:val="008E67ED"/>
    <w:rsid w:val="008F0ABF"/>
    <w:rsid w:val="008F1089"/>
    <w:rsid w:val="008F1736"/>
    <w:rsid w:val="008F31ED"/>
    <w:rsid w:val="008F326B"/>
    <w:rsid w:val="008F4A03"/>
    <w:rsid w:val="008F5D7D"/>
    <w:rsid w:val="008F5F86"/>
    <w:rsid w:val="008F7603"/>
    <w:rsid w:val="00900141"/>
    <w:rsid w:val="00900C26"/>
    <w:rsid w:val="0090257C"/>
    <w:rsid w:val="009033C6"/>
    <w:rsid w:val="00906500"/>
    <w:rsid w:val="00907545"/>
    <w:rsid w:val="00910038"/>
    <w:rsid w:val="009120AD"/>
    <w:rsid w:val="009125F5"/>
    <w:rsid w:val="00913A22"/>
    <w:rsid w:val="00914F41"/>
    <w:rsid w:val="0091599D"/>
    <w:rsid w:val="009162BE"/>
    <w:rsid w:val="00917045"/>
    <w:rsid w:val="00921295"/>
    <w:rsid w:val="009223CE"/>
    <w:rsid w:val="00922EF4"/>
    <w:rsid w:val="00923CE3"/>
    <w:rsid w:val="00924B70"/>
    <w:rsid w:val="00924C89"/>
    <w:rsid w:val="009253E4"/>
    <w:rsid w:val="00925E21"/>
    <w:rsid w:val="00926C0A"/>
    <w:rsid w:val="00932BE8"/>
    <w:rsid w:val="00933B5C"/>
    <w:rsid w:val="00933F79"/>
    <w:rsid w:val="00934EFD"/>
    <w:rsid w:val="00935D95"/>
    <w:rsid w:val="00936B21"/>
    <w:rsid w:val="00936F22"/>
    <w:rsid w:val="00937112"/>
    <w:rsid w:val="00937F59"/>
    <w:rsid w:val="00940124"/>
    <w:rsid w:val="0094013B"/>
    <w:rsid w:val="00940D68"/>
    <w:rsid w:val="00940EF4"/>
    <w:rsid w:val="00942A34"/>
    <w:rsid w:val="00942E22"/>
    <w:rsid w:val="00943E83"/>
    <w:rsid w:val="00944A4A"/>
    <w:rsid w:val="00945D5B"/>
    <w:rsid w:val="00945F18"/>
    <w:rsid w:val="0095033A"/>
    <w:rsid w:val="009508DA"/>
    <w:rsid w:val="00950B26"/>
    <w:rsid w:val="00954909"/>
    <w:rsid w:val="00955963"/>
    <w:rsid w:val="00955AFE"/>
    <w:rsid w:val="00956A08"/>
    <w:rsid w:val="00956F55"/>
    <w:rsid w:val="00957D64"/>
    <w:rsid w:val="00957E45"/>
    <w:rsid w:val="0096001E"/>
    <w:rsid w:val="009606E5"/>
    <w:rsid w:val="00960F75"/>
    <w:rsid w:val="00960F82"/>
    <w:rsid w:val="00961096"/>
    <w:rsid w:val="00961BBF"/>
    <w:rsid w:val="009622F4"/>
    <w:rsid w:val="00962386"/>
    <w:rsid w:val="00963563"/>
    <w:rsid w:val="00963917"/>
    <w:rsid w:val="009649ED"/>
    <w:rsid w:val="0096649E"/>
    <w:rsid w:val="00967D49"/>
    <w:rsid w:val="00971EF9"/>
    <w:rsid w:val="00973482"/>
    <w:rsid w:val="009734BF"/>
    <w:rsid w:val="0097694F"/>
    <w:rsid w:val="00977A34"/>
    <w:rsid w:val="00977C5B"/>
    <w:rsid w:val="009818E8"/>
    <w:rsid w:val="00983227"/>
    <w:rsid w:val="00984C84"/>
    <w:rsid w:val="009853D4"/>
    <w:rsid w:val="00987602"/>
    <w:rsid w:val="00987E39"/>
    <w:rsid w:val="00990706"/>
    <w:rsid w:val="0099103E"/>
    <w:rsid w:val="0099160C"/>
    <w:rsid w:val="009917E5"/>
    <w:rsid w:val="009923AD"/>
    <w:rsid w:val="00992AE3"/>
    <w:rsid w:val="00992C0F"/>
    <w:rsid w:val="00994583"/>
    <w:rsid w:val="00994DF8"/>
    <w:rsid w:val="009957E2"/>
    <w:rsid w:val="00995E90"/>
    <w:rsid w:val="00996749"/>
    <w:rsid w:val="0099702B"/>
    <w:rsid w:val="009972C9"/>
    <w:rsid w:val="00997AB6"/>
    <w:rsid w:val="009A370A"/>
    <w:rsid w:val="009A3BCE"/>
    <w:rsid w:val="009A42BF"/>
    <w:rsid w:val="009A4712"/>
    <w:rsid w:val="009A55FC"/>
    <w:rsid w:val="009A6BA8"/>
    <w:rsid w:val="009A7FA9"/>
    <w:rsid w:val="009B23BD"/>
    <w:rsid w:val="009B2F5C"/>
    <w:rsid w:val="009B359A"/>
    <w:rsid w:val="009B5ADA"/>
    <w:rsid w:val="009B6C1C"/>
    <w:rsid w:val="009C0657"/>
    <w:rsid w:val="009C0BD6"/>
    <w:rsid w:val="009C0E04"/>
    <w:rsid w:val="009C1518"/>
    <w:rsid w:val="009C276E"/>
    <w:rsid w:val="009C4345"/>
    <w:rsid w:val="009C5DA7"/>
    <w:rsid w:val="009C6D79"/>
    <w:rsid w:val="009C72EC"/>
    <w:rsid w:val="009C7CCE"/>
    <w:rsid w:val="009D0DEB"/>
    <w:rsid w:val="009D1112"/>
    <w:rsid w:val="009D16C9"/>
    <w:rsid w:val="009D3495"/>
    <w:rsid w:val="009D6294"/>
    <w:rsid w:val="009D6910"/>
    <w:rsid w:val="009D6ED6"/>
    <w:rsid w:val="009E0584"/>
    <w:rsid w:val="009E14B3"/>
    <w:rsid w:val="009E39EB"/>
    <w:rsid w:val="009E3F4A"/>
    <w:rsid w:val="009E4F04"/>
    <w:rsid w:val="009E5265"/>
    <w:rsid w:val="009E597D"/>
    <w:rsid w:val="009E5FDE"/>
    <w:rsid w:val="009E6622"/>
    <w:rsid w:val="009E77A8"/>
    <w:rsid w:val="009F1490"/>
    <w:rsid w:val="009F35A9"/>
    <w:rsid w:val="009F46E8"/>
    <w:rsid w:val="009F4DAA"/>
    <w:rsid w:val="009F5E55"/>
    <w:rsid w:val="009F7C15"/>
    <w:rsid w:val="00A00D62"/>
    <w:rsid w:val="00A03A2F"/>
    <w:rsid w:val="00A042AD"/>
    <w:rsid w:val="00A04DF5"/>
    <w:rsid w:val="00A06133"/>
    <w:rsid w:val="00A06C83"/>
    <w:rsid w:val="00A07B27"/>
    <w:rsid w:val="00A07D22"/>
    <w:rsid w:val="00A1030C"/>
    <w:rsid w:val="00A10462"/>
    <w:rsid w:val="00A110C7"/>
    <w:rsid w:val="00A1150C"/>
    <w:rsid w:val="00A11F59"/>
    <w:rsid w:val="00A12197"/>
    <w:rsid w:val="00A12536"/>
    <w:rsid w:val="00A16855"/>
    <w:rsid w:val="00A17FA9"/>
    <w:rsid w:val="00A21146"/>
    <w:rsid w:val="00A220B2"/>
    <w:rsid w:val="00A228BA"/>
    <w:rsid w:val="00A22929"/>
    <w:rsid w:val="00A233CE"/>
    <w:rsid w:val="00A23415"/>
    <w:rsid w:val="00A2413E"/>
    <w:rsid w:val="00A2487A"/>
    <w:rsid w:val="00A25106"/>
    <w:rsid w:val="00A26492"/>
    <w:rsid w:val="00A2681E"/>
    <w:rsid w:val="00A26A67"/>
    <w:rsid w:val="00A2791E"/>
    <w:rsid w:val="00A312DE"/>
    <w:rsid w:val="00A3131B"/>
    <w:rsid w:val="00A32973"/>
    <w:rsid w:val="00A3673A"/>
    <w:rsid w:val="00A36DF7"/>
    <w:rsid w:val="00A378CB"/>
    <w:rsid w:val="00A379C2"/>
    <w:rsid w:val="00A379F4"/>
    <w:rsid w:val="00A406A0"/>
    <w:rsid w:val="00A40A5A"/>
    <w:rsid w:val="00A41205"/>
    <w:rsid w:val="00A424B5"/>
    <w:rsid w:val="00A430A8"/>
    <w:rsid w:val="00A43D14"/>
    <w:rsid w:val="00A43DBB"/>
    <w:rsid w:val="00A46FF6"/>
    <w:rsid w:val="00A473C2"/>
    <w:rsid w:val="00A47B76"/>
    <w:rsid w:val="00A47C72"/>
    <w:rsid w:val="00A50C81"/>
    <w:rsid w:val="00A50DC7"/>
    <w:rsid w:val="00A5326D"/>
    <w:rsid w:val="00A5402A"/>
    <w:rsid w:val="00A5498E"/>
    <w:rsid w:val="00A54B92"/>
    <w:rsid w:val="00A55324"/>
    <w:rsid w:val="00A567CD"/>
    <w:rsid w:val="00A56859"/>
    <w:rsid w:val="00A569BD"/>
    <w:rsid w:val="00A56ED0"/>
    <w:rsid w:val="00A5736B"/>
    <w:rsid w:val="00A60CBA"/>
    <w:rsid w:val="00A624CE"/>
    <w:rsid w:val="00A63C4D"/>
    <w:rsid w:val="00A64594"/>
    <w:rsid w:val="00A648D3"/>
    <w:rsid w:val="00A662E3"/>
    <w:rsid w:val="00A67759"/>
    <w:rsid w:val="00A701DA"/>
    <w:rsid w:val="00A7084A"/>
    <w:rsid w:val="00A715E0"/>
    <w:rsid w:val="00A722A9"/>
    <w:rsid w:val="00A72DAC"/>
    <w:rsid w:val="00A730FD"/>
    <w:rsid w:val="00A738C6"/>
    <w:rsid w:val="00A747C7"/>
    <w:rsid w:val="00A74ABD"/>
    <w:rsid w:val="00A775D2"/>
    <w:rsid w:val="00A77777"/>
    <w:rsid w:val="00A80B1D"/>
    <w:rsid w:val="00A80DD7"/>
    <w:rsid w:val="00A81107"/>
    <w:rsid w:val="00A83608"/>
    <w:rsid w:val="00A8411A"/>
    <w:rsid w:val="00A84DB4"/>
    <w:rsid w:val="00A84E3A"/>
    <w:rsid w:val="00A84FB2"/>
    <w:rsid w:val="00A850A4"/>
    <w:rsid w:val="00A86B27"/>
    <w:rsid w:val="00A86C82"/>
    <w:rsid w:val="00A9052F"/>
    <w:rsid w:val="00A91A29"/>
    <w:rsid w:val="00A9245E"/>
    <w:rsid w:val="00A928FE"/>
    <w:rsid w:val="00A92EAB"/>
    <w:rsid w:val="00A95635"/>
    <w:rsid w:val="00A959B4"/>
    <w:rsid w:val="00A96370"/>
    <w:rsid w:val="00AA1122"/>
    <w:rsid w:val="00AA3F7E"/>
    <w:rsid w:val="00AA4341"/>
    <w:rsid w:val="00AB36E1"/>
    <w:rsid w:val="00AB424B"/>
    <w:rsid w:val="00AB42ED"/>
    <w:rsid w:val="00AB6E36"/>
    <w:rsid w:val="00AC070D"/>
    <w:rsid w:val="00AC292E"/>
    <w:rsid w:val="00AC3DC9"/>
    <w:rsid w:val="00AC5309"/>
    <w:rsid w:val="00AC5943"/>
    <w:rsid w:val="00AC7539"/>
    <w:rsid w:val="00AC7AD1"/>
    <w:rsid w:val="00AC7C5F"/>
    <w:rsid w:val="00AC7EA5"/>
    <w:rsid w:val="00AD0097"/>
    <w:rsid w:val="00AD02AC"/>
    <w:rsid w:val="00AD0A4E"/>
    <w:rsid w:val="00AD16E4"/>
    <w:rsid w:val="00AD18E9"/>
    <w:rsid w:val="00AD1DBD"/>
    <w:rsid w:val="00AD2AB7"/>
    <w:rsid w:val="00AD2C94"/>
    <w:rsid w:val="00AD64CF"/>
    <w:rsid w:val="00AD6B3A"/>
    <w:rsid w:val="00AD7767"/>
    <w:rsid w:val="00AE009D"/>
    <w:rsid w:val="00AE0F59"/>
    <w:rsid w:val="00AE2508"/>
    <w:rsid w:val="00AE29D0"/>
    <w:rsid w:val="00AE351A"/>
    <w:rsid w:val="00AE35CE"/>
    <w:rsid w:val="00AE508A"/>
    <w:rsid w:val="00AE5A50"/>
    <w:rsid w:val="00AE5AC5"/>
    <w:rsid w:val="00AE5AD3"/>
    <w:rsid w:val="00AE6717"/>
    <w:rsid w:val="00AE6DEA"/>
    <w:rsid w:val="00AE71C8"/>
    <w:rsid w:val="00AE75E0"/>
    <w:rsid w:val="00AF0112"/>
    <w:rsid w:val="00AF1191"/>
    <w:rsid w:val="00AF12C8"/>
    <w:rsid w:val="00AF16B4"/>
    <w:rsid w:val="00AF2E60"/>
    <w:rsid w:val="00AF4472"/>
    <w:rsid w:val="00AF45C3"/>
    <w:rsid w:val="00AF5A92"/>
    <w:rsid w:val="00B00897"/>
    <w:rsid w:val="00B00D62"/>
    <w:rsid w:val="00B01E48"/>
    <w:rsid w:val="00B043DF"/>
    <w:rsid w:val="00B048BA"/>
    <w:rsid w:val="00B05901"/>
    <w:rsid w:val="00B10170"/>
    <w:rsid w:val="00B10915"/>
    <w:rsid w:val="00B11D57"/>
    <w:rsid w:val="00B12A57"/>
    <w:rsid w:val="00B1322D"/>
    <w:rsid w:val="00B152AE"/>
    <w:rsid w:val="00B15ADC"/>
    <w:rsid w:val="00B160F2"/>
    <w:rsid w:val="00B16667"/>
    <w:rsid w:val="00B2175B"/>
    <w:rsid w:val="00B21FF5"/>
    <w:rsid w:val="00B22A96"/>
    <w:rsid w:val="00B22C49"/>
    <w:rsid w:val="00B23C0B"/>
    <w:rsid w:val="00B24359"/>
    <w:rsid w:val="00B24CD9"/>
    <w:rsid w:val="00B255AB"/>
    <w:rsid w:val="00B261EB"/>
    <w:rsid w:val="00B267FA"/>
    <w:rsid w:val="00B2719E"/>
    <w:rsid w:val="00B3094D"/>
    <w:rsid w:val="00B3158C"/>
    <w:rsid w:val="00B32206"/>
    <w:rsid w:val="00B341C5"/>
    <w:rsid w:val="00B345EC"/>
    <w:rsid w:val="00B34787"/>
    <w:rsid w:val="00B34DAD"/>
    <w:rsid w:val="00B354E1"/>
    <w:rsid w:val="00B363C4"/>
    <w:rsid w:val="00B4142C"/>
    <w:rsid w:val="00B42113"/>
    <w:rsid w:val="00B422C1"/>
    <w:rsid w:val="00B42347"/>
    <w:rsid w:val="00B437CC"/>
    <w:rsid w:val="00B4425F"/>
    <w:rsid w:val="00B4610B"/>
    <w:rsid w:val="00B462A4"/>
    <w:rsid w:val="00B4764A"/>
    <w:rsid w:val="00B50AEE"/>
    <w:rsid w:val="00B519E2"/>
    <w:rsid w:val="00B5508A"/>
    <w:rsid w:val="00B55EC9"/>
    <w:rsid w:val="00B57AAE"/>
    <w:rsid w:val="00B6236D"/>
    <w:rsid w:val="00B628F5"/>
    <w:rsid w:val="00B6399D"/>
    <w:rsid w:val="00B65D0C"/>
    <w:rsid w:val="00B71B0B"/>
    <w:rsid w:val="00B74019"/>
    <w:rsid w:val="00B748AA"/>
    <w:rsid w:val="00B76145"/>
    <w:rsid w:val="00B76AD0"/>
    <w:rsid w:val="00B7771C"/>
    <w:rsid w:val="00B80230"/>
    <w:rsid w:val="00B80276"/>
    <w:rsid w:val="00B816A3"/>
    <w:rsid w:val="00B81952"/>
    <w:rsid w:val="00B81B2D"/>
    <w:rsid w:val="00B82874"/>
    <w:rsid w:val="00B831C1"/>
    <w:rsid w:val="00B83583"/>
    <w:rsid w:val="00B84167"/>
    <w:rsid w:val="00B841D7"/>
    <w:rsid w:val="00B8427B"/>
    <w:rsid w:val="00B877FD"/>
    <w:rsid w:val="00B9088A"/>
    <w:rsid w:val="00B9245B"/>
    <w:rsid w:val="00B9514E"/>
    <w:rsid w:val="00B95291"/>
    <w:rsid w:val="00B9585B"/>
    <w:rsid w:val="00B964EF"/>
    <w:rsid w:val="00B9663B"/>
    <w:rsid w:val="00B9743E"/>
    <w:rsid w:val="00BA1EFA"/>
    <w:rsid w:val="00BA1F3D"/>
    <w:rsid w:val="00BA47D4"/>
    <w:rsid w:val="00BA59E6"/>
    <w:rsid w:val="00BA5A1D"/>
    <w:rsid w:val="00BA7D3E"/>
    <w:rsid w:val="00BA7D5A"/>
    <w:rsid w:val="00BB240B"/>
    <w:rsid w:val="00BB3E50"/>
    <w:rsid w:val="00BB5A45"/>
    <w:rsid w:val="00BB5D43"/>
    <w:rsid w:val="00BB66DF"/>
    <w:rsid w:val="00BB6A65"/>
    <w:rsid w:val="00BC1105"/>
    <w:rsid w:val="00BC1FB2"/>
    <w:rsid w:val="00BC300F"/>
    <w:rsid w:val="00BC4E73"/>
    <w:rsid w:val="00BC6A6B"/>
    <w:rsid w:val="00BC6D67"/>
    <w:rsid w:val="00BC70E6"/>
    <w:rsid w:val="00BC741F"/>
    <w:rsid w:val="00BD0E84"/>
    <w:rsid w:val="00BD3BCC"/>
    <w:rsid w:val="00BD3F65"/>
    <w:rsid w:val="00BD50A5"/>
    <w:rsid w:val="00BD7100"/>
    <w:rsid w:val="00BE0933"/>
    <w:rsid w:val="00BE203A"/>
    <w:rsid w:val="00BE262D"/>
    <w:rsid w:val="00BE45FE"/>
    <w:rsid w:val="00BE4608"/>
    <w:rsid w:val="00BE6759"/>
    <w:rsid w:val="00BE7B61"/>
    <w:rsid w:val="00BF1545"/>
    <w:rsid w:val="00BF4FD8"/>
    <w:rsid w:val="00BF6F8D"/>
    <w:rsid w:val="00BF7133"/>
    <w:rsid w:val="00BF7AF4"/>
    <w:rsid w:val="00C0001E"/>
    <w:rsid w:val="00C000DB"/>
    <w:rsid w:val="00C00ED3"/>
    <w:rsid w:val="00C010FF"/>
    <w:rsid w:val="00C016B8"/>
    <w:rsid w:val="00C01BFD"/>
    <w:rsid w:val="00C01CD8"/>
    <w:rsid w:val="00C028FB"/>
    <w:rsid w:val="00C04E72"/>
    <w:rsid w:val="00C0558D"/>
    <w:rsid w:val="00C07072"/>
    <w:rsid w:val="00C11863"/>
    <w:rsid w:val="00C118FB"/>
    <w:rsid w:val="00C12270"/>
    <w:rsid w:val="00C12A2E"/>
    <w:rsid w:val="00C13599"/>
    <w:rsid w:val="00C136C0"/>
    <w:rsid w:val="00C13C59"/>
    <w:rsid w:val="00C14EFC"/>
    <w:rsid w:val="00C15E83"/>
    <w:rsid w:val="00C17D6A"/>
    <w:rsid w:val="00C204CA"/>
    <w:rsid w:val="00C206C9"/>
    <w:rsid w:val="00C21B97"/>
    <w:rsid w:val="00C21D2D"/>
    <w:rsid w:val="00C22F70"/>
    <w:rsid w:val="00C23987"/>
    <w:rsid w:val="00C24B1B"/>
    <w:rsid w:val="00C26C85"/>
    <w:rsid w:val="00C27065"/>
    <w:rsid w:val="00C3076A"/>
    <w:rsid w:val="00C30D4A"/>
    <w:rsid w:val="00C313D1"/>
    <w:rsid w:val="00C344F2"/>
    <w:rsid w:val="00C34738"/>
    <w:rsid w:val="00C36613"/>
    <w:rsid w:val="00C367B7"/>
    <w:rsid w:val="00C37B8A"/>
    <w:rsid w:val="00C4180C"/>
    <w:rsid w:val="00C430AA"/>
    <w:rsid w:val="00C436E6"/>
    <w:rsid w:val="00C439E2"/>
    <w:rsid w:val="00C43F64"/>
    <w:rsid w:val="00C444E3"/>
    <w:rsid w:val="00C45212"/>
    <w:rsid w:val="00C46A7E"/>
    <w:rsid w:val="00C47D64"/>
    <w:rsid w:val="00C5129B"/>
    <w:rsid w:val="00C52432"/>
    <w:rsid w:val="00C530CB"/>
    <w:rsid w:val="00C5460A"/>
    <w:rsid w:val="00C565DC"/>
    <w:rsid w:val="00C56AEF"/>
    <w:rsid w:val="00C574C5"/>
    <w:rsid w:val="00C577DE"/>
    <w:rsid w:val="00C60A98"/>
    <w:rsid w:val="00C60CBF"/>
    <w:rsid w:val="00C632C8"/>
    <w:rsid w:val="00C65466"/>
    <w:rsid w:val="00C65DD7"/>
    <w:rsid w:val="00C72147"/>
    <w:rsid w:val="00C74168"/>
    <w:rsid w:val="00C772FA"/>
    <w:rsid w:val="00C8032A"/>
    <w:rsid w:val="00C803B1"/>
    <w:rsid w:val="00C807F6"/>
    <w:rsid w:val="00C8187C"/>
    <w:rsid w:val="00C81AF2"/>
    <w:rsid w:val="00C81C72"/>
    <w:rsid w:val="00C8242E"/>
    <w:rsid w:val="00C82F74"/>
    <w:rsid w:val="00C859C6"/>
    <w:rsid w:val="00C87939"/>
    <w:rsid w:val="00C90E86"/>
    <w:rsid w:val="00C91092"/>
    <w:rsid w:val="00C912C2"/>
    <w:rsid w:val="00C918A5"/>
    <w:rsid w:val="00C920C9"/>
    <w:rsid w:val="00C9287F"/>
    <w:rsid w:val="00C94EFA"/>
    <w:rsid w:val="00C96A0D"/>
    <w:rsid w:val="00C97395"/>
    <w:rsid w:val="00CA1732"/>
    <w:rsid w:val="00CA1899"/>
    <w:rsid w:val="00CA45D0"/>
    <w:rsid w:val="00CA4702"/>
    <w:rsid w:val="00CA47FB"/>
    <w:rsid w:val="00CB111A"/>
    <w:rsid w:val="00CB1A18"/>
    <w:rsid w:val="00CB3664"/>
    <w:rsid w:val="00CB5912"/>
    <w:rsid w:val="00CB6470"/>
    <w:rsid w:val="00CB6508"/>
    <w:rsid w:val="00CC107A"/>
    <w:rsid w:val="00CC3523"/>
    <w:rsid w:val="00CC6708"/>
    <w:rsid w:val="00CC6735"/>
    <w:rsid w:val="00CC6F90"/>
    <w:rsid w:val="00CD429C"/>
    <w:rsid w:val="00CD44C9"/>
    <w:rsid w:val="00CD4746"/>
    <w:rsid w:val="00CD5407"/>
    <w:rsid w:val="00CE3D0B"/>
    <w:rsid w:val="00CE3D28"/>
    <w:rsid w:val="00CE4833"/>
    <w:rsid w:val="00CE4BDD"/>
    <w:rsid w:val="00CE753D"/>
    <w:rsid w:val="00CF633A"/>
    <w:rsid w:val="00CF744B"/>
    <w:rsid w:val="00D005BD"/>
    <w:rsid w:val="00D00940"/>
    <w:rsid w:val="00D00A2C"/>
    <w:rsid w:val="00D05EE6"/>
    <w:rsid w:val="00D070EE"/>
    <w:rsid w:val="00D10414"/>
    <w:rsid w:val="00D10DFE"/>
    <w:rsid w:val="00D1182E"/>
    <w:rsid w:val="00D11A02"/>
    <w:rsid w:val="00D12378"/>
    <w:rsid w:val="00D123B0"/>
    <w:rsid w:val="00D146C9"/>
    <w:rsid w:val="00D15301"/>
    <w:rsid w:val="00D15EB9"/>
    <w:rsid w:val="00D1684F"/>
    <w:rsid w:val="00D173A8"/>
    <w:rsid w:val="00D17F27"/>
    <w:rsid w:val="00D21ACB"/>
    <w:rsid w:val="00D22963"/>
    <w:rsid w:val="00D22DA2"/>
    <w:rsid w:val="00D258D7"/>
    <w:rsid w:val="00D25DD5"/>
    <w:rsid w:val="00D2761B"/>
    <w:rsid w:val="00D30664"/>
    <w:rsid w:val="00D306EF"/>
    <w:rsid w:val="00D30E23"/>
    <w:rsid w:val="00D315AA"/>
    <w:rsid w:val="00D3179A"/>
    <w:rsid w:val="00D3326D"/>
    <w:rsid w:val="00D34242"/>
    <w:rsid w:val="00D344C5"/>
    <w:rsid w:val="00D34BA9"/>
    <w:rsid w:val="00D34C0E"/>
    <w:rsid w:val="00D351AE"/>
    <w:rsid w:val="00D35608"/>
    <w:rsid w:val="00D40A62"/>
    <w:rsid w:val="00D45326"/>
    <w:rsid w:val="00D465D4"/>
    <w:rsid w:val="00D475D8"/>
    <w:rsid w:val="00D50390"/>
    <w:rsid w:val="00D50A33"/>
    <w:rsid w:val="00D50EA7"/>
    <w:rsid w:val="00D51307"/>
    <w:rsid w:val="00D5181D"/>
    <w:rsid w:val="00D51866"/>
    <w:rsid w:val="00D5297A"/>
    <w:rsid w:val="00D54607"/>
    <w:rsid w:val="00D552CC"/>
    <w:rsid w:val="00D561CE"/>
    <w:rsid w:val="00D57530"/>
    <w:rsid w:val="00D57A9B"/>
    <w:rsid w:val="00D6245D"/>
    <w:rsid w:val="00D63427"/>
    <w:rsid w:val="00D7213E"/>
    <w:rsid w:val="00D73370"/>
    <w:rsid w:val="00D75437"/>
    <w:rsid w:val="00D75AA1"/>
    <w:rsid w:val="00D75D14"/>
    <w:rsid w:val="00D76F74"/>
    <w:rsid w:val="00D812DC"/>
    <w:rsid w:val="00D827EE"/>
    <w:rsid w:val="00D82AAB"/>
    <w:rsid w:val="00D82F2A"/>
    <w:rsid w:val="00D83BF2"/>
    <w:rsid w:val="00D86460"/>
    <w:rsid w:val="00D87557"/>
    <w:rsid w:val="00D904CC"/>
    <w:rsid w:val="00D91AB6"/>
    <w:rsid w:val="00D92213"/>
    <w:rsid w:val="00D92698"/>
    <w:rsid w:val="00D95A7B"/>
    <w:rsid w:val="00D96202"/>
    <w:rsid w:val="00D96434"/>
    <w:rsid w:val="00D96BC7"/>
    <w:rsid w:val="00D970C9"/>
    <w:rsid w:val="00DA037C"/>
    <w:rsid w:val="00DA15B5"/>
    <w:rsid w:val="00DA16CC"/>
    <w:rsid w:val="00DA2558"/>
    <w:rsid w:val="00DA26D0"/>
    <w:rsid w:val="00DA3D28"/>
    <w:rsid w:val="00DA54EA"/>
    <w:rsid w:val="00DA595A"/>
    <w:rsid w:val="00DA5BD1"/>
    <w:rsid w:val="00DA745C"/>
    <w:rsid w:val="00DA7BC9"/>
    <w:rsid w:val="00DB27E0"/>
    <w:rsid w:val="00DB2F9F"/>
    <w:rsid w:val="00DB3475"/>
    <w:rsid w:val="00DB6288"/>
    <w:rsid w:val="00DB7F13"/>
    <w:rsid w:val="00DC0547"/>
    <w:rsid w:val="00DC1B5C"/>
    <w:rsid w:val="00DC232E"/>
    <w:rsid w:val="00DC2B92"/>
    <w:rsid w:val="00DC353F"/>
    <w:rsid w:val="00DC37C6"/>
    <w:rsid w:val="00DC45A3"/>
    <w:rsid w:val="00DC558F"/>
    <w:rsid w:val="00DC57C7"/>
    <w:rsid w:val="00DC75CC"/>
    <w:rsid w:val="00DC7DD3"/>
    <w:rsid w:val="00DD199A"/>
    <w:rsid w:val="00DD2D29"/>
    <w:rsid w:val="00DD3690"/>
    <w:rsid w:val="00DD4450"/>
    <w:rsid w:val="00DD475D"/>
    <w:rsid w:val="00DD5CCC"/>
    <w:rsid w:val="00DD6B03"/>
    <w:rsid w:val="00DD6DFB"/>
    <w:rsid w:val="00DE04B0"/>
    <w:rsid w:val="00DE04D7"/>
    <w:rsid w:val="00DE07B3"/>
    <w:rsid w:val="00DE11F4"/>
    <w:rsid w:val="00DE3BE2"/>
    <w:rsid w:val="00DE435B"/>
    <w:rsid w:val="00DE6DDF"/>
    <w:rsid w:val="00DE704D"/>
    <w:rsid w:val="00DE7213"/>
    <w:rsid w:val="00DE7662"/>
    <w:rsid w:val="00DE7EB7"/>
    <w:rsid w:val="00DF000E"/>
    <w:rsid w:val="00DF072E"/>
    <w:rsid w:val="00DF0C84"/>
    <w:rsid w:val="00DF0F53"/>
    <w:rsid w:val="00DF2780"/>
    <w:rsid w:val="00DF2CD5"/>
    <w:rsid w:val="00DF48D4"/>
    <w:rsid w:val="00DF57A8"/>
    <w:rsid w:val="00DF5D39"/>
    <w:rsid w:val="00DF65B1"/>
    <w:rsid w:val="00E00A21"/>
    <w:rsid w:val="00E00C81"/>
    <w:rsid w:val="00E00D50"/>
    <w:rsid w:val="00E030AB"/>
    <w:rsid w:val="00E039C6"/>
    <w:rsid w:val="00E04D35"/>
    <w:rsid w:val="00E06095"/>
    <w:rsid w:val="00E06A29"/>
    <w:rsid w:val="00E06F60"/>
    <w:rsid w:val="00E11DF9"/>
    <w:rsid w:val="00E13B91"/>
    <w:rsid w:val="00E1569F"/>
    <w:rsid w:val="00E17D71"/>
    <w:rsid w:val="00E21676"/>
    <w:rsid w:val="00E21B27"/>
    <w:rsid w:val="00E21F0D"/>
    <w:rsid w:val="00E225C9"/>
    <w:rsid w:val="00E238FD"/>
    <w:rsid w:val="00E2410B"/>
    <w:rsid w:val="00E24985"/>
    <w:rsid w:val="00E253AF"/>
    <w:rsid w:val="00E25EF4"/>
    <w:rsid w:val="00E26301"/>
    <w:rsid w:val="00E2767A"/>
    <w:rsid w:val="00E27DBD"/>
    <w:rsid w:val="00E3024D"/>
    <w:rsid w:val="00E3044F"/>
    <w:rsid w:val="00E31F94"/>
    <w:rsid w:val="00E32AFC"/>
    <w:rsid w:val="00E332F8"/>
    <w:rsid w:val="00E3393D"/>
    <w:rsid w:val="00E36BB2"/>
    <w:rsid w:val="00E40248"/>
    <w:rsid w:val="00E4332C"/>
    <w:rsid w:val="00E43E46"/>
    <w:rsid w:val="00E45455"/>
    <w:rsid w:val="00E45A7E"/>
    <w:rsid w:val="00E463DC"/>
    <w:rsid w:val="00E4665B"/>
    <w:rsid w:val="00E46A0E"/>
    <w:rsid w:val="00E512DC"/>
    <w:rsid w:val="00E5169D"/>
    <w:rsid w:val="00E51744"/>
    <w:rsid w:val="00E51BC5"/>
    <w:rsid w:val="00E52FEB"/>
    <w:rsid w:val="00E536F8"/>
    <w:rsid w:val="00E53F6A"/>
    <w:rsid w:val="00E54FCE"/>
    <w:rsid w:val="00E556DA"/>
    <w:rsid w:val="00E55D2F"/>
    <w:rsid w:val="00E563DD"/>
    <w:rsid w:val="00E56CA9"/>
    <w:rsid w:val="00E57A85"/>
    <w:rsid w:val="00E57C58"/>
    <w:rsid w:val="00E6050F"/>
    <w:rsid w:val="00E61883"/>
    <w:rsid w:val="00E64983"/>
    <w:rsid w:val="00E64AFD"/>
    <w:rsid w:val="00E654BC"/>
    <w:rsid w:val="00E65676"/>
    <w:rsid w:val="00E65F5D"/>
    <w:rsid w:val="00E666E9"/>
    <w:rsid w:val="00E67F90"/>
    <w:rsid w:val="00E710E4"/>
    <w:rsid w:val="00E74B35"/>
    <w:rsid w:val="00E76810"/>
    <w:rsid w:val="00E77112"/>
    <w:rsid w:val="00E80CFC"/>
    <w:rsid w:val="00E811C8"/>
    <w:rsid w:val="00E81A64"/>
    <w:rsid w:val="00E8238E"/>
    <w:rsid w:val="00E83B72"/>
    <w:rsid w:val="00E8413F"/>
    <w:rsid w:val="00E84805"/>
    <w:rsid w:val="00E855B4"/>
    <w:rsid w:val="00E86513"/>
    <w:rsid w:val="00E871D1"/>
    <w:rsid w:val="00E901A5"/>
    <w:rsid w:val="00E90F12"/>
    <w:rsid w:val="00E91588"/>
    <w:rsid w:val="00E93036"/>
    <w:rsid w:val="00E9314C"/>
    <w:rsid w:val="00E937F5"/>
    <w:rsid w:val="00E973A8"/>
    <w:rsid w:val="00E97C4B"/>
    <w:rsid w:val="00E97FA5"/>
    <w:rsid w:val="00EA137C"/>
    <w:rsid w:val="00EA2990"/>
    <w:rsid w:val="00EA7413"/>
    <w:rsid w:val="00EA7622"/>
    <w:rsid w:val="00EB0950"/>
    <w:rsid w:val="00EB27F7"/>
    <w:rsid w:val="00EB2BDB"/>
    <w:rsid w:val="00EB3F8F"/>
    <w:rsid w:val="00EB5569"/>
    <w:rsid w:val="00EB56AA"/>
    <w:rsid w:val="00EC01A9"/>
    <w:rsid w:val="00EC222A"/>
    <w:rsid w:val="00EC2D82"/>
    <w:rsid w:val="00EC36AA"/>
    <w:rsid w:val="00EC5330"/>
    <w:rsid w:val="00EC57ED"/>
    <w:rsid w:val="00EC706E"/>
    <w:rsid w:val="00EC7B9F"/>
    <w:rsid w:val="00ED0263"/>
    <w:rsid w:val="00ED1DFA"/>
    <w:rsid w:val="00ED241D"/>
    <w:rsid w:val="00ED31DC"/>
    <w:rsid w:val="00ED462D"/>
    <w:rsid w:val="00ED61EB"/>
    <w:rsid w:val="00ED6719"/>
    <w:rsid w:val="00ED70C4"/>
    <w:rsid w:val="00ED797C"/>
    <w:rsid w:val="00EE0B0B"/>
    <w:rsid w:val="00EE23E7"/>
    <w:rsid w:val="00EE2A49"/>
    <w:rsid w:val="00EE2EB4"/>
    <w:rsid w:val="00EE33A6"/>
    <w:rsid w:val="00EE3F50"/>
    <w:rsid w:val="00EE5764"/>
    <w:rsid w:val="00EE57DA"/>
    <w:rsid w:val="00EE7FA7"/>
    <w:rsid w:val="00EF0A93"/>
    <w:rsid w:val="00EF13C6"/>
    <w:rsid w:val="00EF30CA"/>
    <w:rsid w:val="00EF3787"/>
    <w:rsid w:val="00EF4939"/>
    <w:rsid w:val="00EF6F7A"/>
    <w:rsid w:val="00F0082D"/>
    <w:rsid w:val="00F024A4"/>
    <w:rsid w:val="00F0260A"/>
    <w:rsid w:val="00F026F9"/>
    <w:rsid w:val="00F05C81"/>
    <w:rsid w:val="00F05FDF"/>
    <w:rsid w:val="00F06D19"/>
    <w:rsid w:val="00F06FF9"/>
    <w:rsid w:val="00F10437"/>
    <w:rsid w:val="00F11881"/>
    <w:rsid w:val="00F1240C"/>
    <w:rsid w:val="00F15024"/>
    <w:rsid w:val="00F15E21"/>
    <w:rsid w:val="00F17B85"/>
    <w:rsid w:val="00F20195"/>
    <w:rsid w:val="00F204EC"/>
    <w:rsid w:val="00F208AC"/>
    <w:rsid w:val="00F21829"/>
    <w:rsid w:val="00F2232B"/>
    <w:rsid w:val="00F22411"/>
    <w:rsid w:val="00F2385B"/>
    <w:rsid w:val="00F24F6A"/>
    <w:rsid w:val="00F26608"/>
    <w:rsid w:val="00F27BB9"/>
    <w:rsid w:val="00F31341"/>
    <w:rsid w:val="00F33388"/>
    <w:rsid w:val="00F33D24"/>
    <w:rsid w:val="00F33E63"/>
    <w:rsid w:val="00F34436"/>
    <w:rsid w:val="00F34D1C"/>
    <w:rsid w:val="00F36647"/>
    <w:rsid w:val="00F403C5"/>
    <w:rsid w:val="00F407D6"/>
    <w:rsid w:val="00F408DC"/>
    <w:rsid w:val="00F40F50"/>
    <w:rsid w:val="00F42186"/>
    <w:rsid w:val="00F43C9E"/>
    <w:rsid w:val="00F44F29"/>
    <w:rsid w:val="00F45792"/>
    <w:rsid w:val="00F45844"/>
    <w:rsid w:val="00F50404"/>
    <w:rsid w:val="00F53C95"/>
    <w:rsid w:val="00F53D60"/>
    <w:rsid w:val="00F53DF5"/>
    <w:rsid w:val="00F569A4"/>
    <w:rsid w:val="00F56D2D"/>
    <w:rsid w:val="00F57403"/>
    <w:rsid w:val="00F606BE"/>
    <w:rsid w:val="00F61B96"/>
    <w:rsid w:val="00F6283C"/>
    <w:rsid w:val="00F63D67"/>
    <w:rsid w:val="00F64762"/>
    <w:rsid w:val="00F65006"/>
    <w:rsid w:val="00F651DA"/>
    <w:rsid w:val="00F65B3F"/>
    <w:rsid w:val="00F65DAD"/>
    <w:rsid w:val="00F666DD"/>
    <w:rsid w:val="00F67FB9"/>
    <w:rsid w:val="00F71873"/>
    <w:rsid w:val="00F727FC"/>
    <w:rsid w:val="00F74DBF"/>
    <w:rsid w:val="00F75A1F"/>
    <w:rsid w:val="00F76C2D"/>
    <w:rsid w:val="00F8069E"/>
    <w:rsid w:val="00F807C0"/>
    <w:rsid w:val="00F810AD"/>
    <w:rsid w:val="00F81A6A"/>
    <w:rsid w:val="00F84584"/>
    <w:rsid w:val="00F855EC"/>
    <w:rsid w:val="00F856E4"/>
    <w:rsid w:val="00F8696E"/>
    <w:rsid w:val="00F8763E"/>
    <w:rsid w:val="00F879E6"/>
    <w:rsid w:val="00F909B9"/>
    <w:rsid w:val="00F911A7"/>
    <w:rsid w:val="00F916D9"/>
    <w:rsid w:val="00F92696"/>
    <w:rsid w:val="00F92D64"/>
    <w:rsid w:val="00F93A01"/>
    <w:rsid w:val="00F95293"/>
    <w:rsid w:val="00F962DB"/>
    <w:rsid w:val="00F963BF"/>
    <w:rsid w:val="00F971CF"/>
    <w:rsid w:val="00FA1482"/>
    <w:rsid w:val="00FA56A8"/>
    <w:rsid w:val="00FA5CC9"/>
    <w:rsid w:val="00FA5D51"/>
    <w:rsid w:val="00FA6B6F"/>
    <w:rsid w:val="00FA7885"/>
    <w:rsid w:val="00FB13A4"/>
    <w:rsid w:val="00FB25B9"/>
    <w:rsid w:val="00FB4BD5"/>
    <w:rsid w:val="00FB5006"/>
    <w:rsid w:val="00FB63E0"/>
    <w:rsid w:val="00FB731F"/>
    <w:rsid w:val="00FB7656"/>
    <w:rsid w:val="00FC1806"/>
    <w:rsid w:val="00FC1CB9"/>
    <w:rsid w:val="00FC2DDC"/>
    <w:rsid w:val="00FC33EA"/>
    <w:rsid w:val="00FC39D0"/>
    <w:rsid w:val="00FC3CFA"/>
    <w:rsid w:val="00FC69F9"/>
    <w:rsid w:val="00FD00CB"/>
    <w:rsid w:val="00FD07E1"/>
    <w:rsid w:val="00FD0E6A"/>
    <w:rsid w:val="00FD14AA"/>
    <w:rsid w:val="00FD1B52"/>
    <w:rsid w:val="00FD2334"/>
    <w:rsid w:val="00FD4894"/>
    <w:rsid w:val="00FD5CCE"/>
    <w:rsid w:val="00FD6014"/>
    <w:rsid w:val="00FD6160"/>
    <w:rsid w:val="00FD7521"/>
    <w:rsid w:val="00FD7AC0"/>
    <w:rsid w:val="00FE071C"/>
    <w:rsid w:val="00FE20D5"/>
    <w:rsid w:val="00FE2B74"/>
    <w:rsid w:val="00FE4D45"/>
    <w:rsid w:val="00FE5FBB"/>
    <w:rsid w:val="00FE6271"/>
    <w:rsid w:val="00FE6668"/>
    <w:rsid w:val="00FE687F"/>
    <w:rsid w:val="00FF0C7E"/>
    <w:rsid w:val="00FF294A"/>
    <w:rsid w:val="00FF5B12"/>
    <w:rsid w:val="00FF642C"/>
    <w:rsid w:val="00FF679D"/>
    <w:rsid w:val="00FF6CAA"/>
    <w:rsid w:val="00FF6E94"/>
    <w:rsid w:val="00FF79F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A76BB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22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2233"/>
    <w:rPr>
      <w:sz w:val="18"/>
      <w:szCs w:val="18"/>
    </w:rPr>
  </w:style>
  <w:style w:type="paragraph" w:styleId="CommentText">
    <w:name w:val="annotation text"/>
    <w:basedOn w:val="Normal"/>
    <w:link w:val="CommentTextChar"/>
    <w:uiPriority w:val="99"/>
    <w:unhideWhenUsed/>
    <w:rsid w:val="00082233"/>
  </w:style>
  <w:style w:type="character" w:customStyle="1" w:styleId="CommentTextChar">
    <w:name w:val="Comment Text Char"/>
    <w:basedOn w:val="DefaultParagraphFont"/>
    <w:link w:val="CommentText"/>
    <w:uiPriority w:val="99"/>
    <w:rsid w:val="00082233"/>
  </w:style>
  <w:style w:type="paragraph" w:styleId="BalloonText">
    <w:name w:val="Balloon Text"/>
    <w:basedOn w:val="Normal"/>
    <w:link w:val="BalloonTextChar"/>
    <w:uiPriority w:val="99"/>
    <w:semiHidden/>
    <w:unhideWhenUsed/>
    <w:rsid w:val="00082233"/>
    <w:rPr>
      <w:rFonts w:cs="Times New Roman"/>
      <w:sz w:val="18"/>
      <w:szCs w:val="18"/>
    </w:rPr>
  </w:style>
  <w:style w:type="character" w:customStyle="1" w:styleId="BalloonTextChar">
    <w:name w:val="Balloon Text Char"/>
    <w:basedOn w:val="DefaultParagraphFont"/>
    <w:link w:val="BalloonText"/>
    <w:uiPriority w:val="99"/>
    <w:semiHidden/>
    <w:rsid w:val="00082233"/>
    <w:rPr>
      <w:rFonts w:cs="Times New Roman"/>
      <w:sz w:val="18"/>
      <w:szCs w:val="18"/>
    </w:rPr>
  </w:style>
  <w:style w:type="character" w:styleId="Hyperlink">
    <w:name w:val="Hyperlink"/>
    <w:basedOn w:val="DefaultParagraphFont"/>
    <w:uiPriority w:val="99"/>
    <w:unhideWhenUsed/>
    <w:rsid w:val="00082233"/>
    <w:rPr>
      <w:color w:val="0563C1" w:themeColor="hyperlink"/>
      <w:u w:val="single"/>
    </w:rPr>
  </w:style>
  <w:style w:type="table" w:customStyle="1" w:styleId="ListTable6Colorful-Accent31">
    <w:name w:val="List Table 6 Colorful - Accent 31"/>
    <w:basedOn w:val="TableNormal"/>
    <w:uiPriority w:val="51"/>
    <w:rsid w:val="00082233"/>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uiPriority w:val="1"/>
    <w:qFormat/>
    <w:rsid w:val="00082233"/>
  </w:style>
  <w:style w:type="table" w:customStyle="1" w:styleId="PlainTable31">
    <w:name w:val="Plain Table 31"/>
    <w:basedOn w:val="TableNormal"/>
    <w:uiPriority w:val="43"/>
    <w:rsid w:val="00082233"/>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er">
    <w:name w:val="footer"/>
    <w:basedOn w:val="Normal"/>
    <w:link w:val="FooterChar"/>
    <w:uiPriority w:val="99"/>
    <w:unhideWhenUsed/>
    <w:rsid w:val="00C574C5"/>
    <w:pPr>
      <w:tabs>
        <w:tab w:val="center" w:pos="4680"/>
        <w:tab w:val="right" w:pos="9360"/>
      </w:tabs>
    </w:pPr>
  </w:style>
  <w:style w:type="character" w:customStyle="1" w:styleId="FooterChar">
    <w:name w:val="Footer Char"/>
    <w:basedOn w:val="DefaultParagraphFont"/>
    <w:link w:val="Footer"/>
    <w:uiPriority w:val="99"/>
    <w:rsid w:val="00C574C5"/>
  </w:style>
  <w:style w:type="character" w:styleId="PageNumber">
    <w:name w:val="page number"/>
    <w:basedOn w:val="DefaultParagraphFont"/>
    <w:uiPriority w:val="99"/>
    <w:semiHidden/>
    <w:unhideWhenUsed/>
    <w:rsid w:val="00C574C5"/>
  </w:style>
  <w:style w:type="paragraph" w:styleId="FootnoteText">
    <w:name w:val="footnote text"/>
    <w:basedOn w:val="Normal"/>
    <w:link w:val="FootnoteTextChar"/>
    <w:uiPriority w:val="99"/>
    <w:unhideWhenUsed/>
    <w:rsid w:val="0095033A"/>
  </w:style>
  <w:style w:type="character" w:customStyle="1" w:styleId="FootnoteTextChar">
    <w:name w:val="Footnote Text Char"/>
    <w:basedOn w:val="DefaultParagraphFont"/>
    <w:link w:val="FootnoteText"/>
    <w:uiPriority w:val="99"/>
    <w:rsid w:val="0095033A"/>
  </w:style>
  <w:style w:type="character" w:styleId="FootnoteReference">
    <w:name w:val="footnote reference"/>
    <w:basedOn w:val="DefaultParagraphFont"/>
    <w:uiPriority w:val="99"/>
    <w:unhideWhenUsed/>
    <w:rsid w:val="0095033A"/>
    <w:rPr>
      <w:vertAlign w:val="superscript"/>
    </w:rPr>
  </w:style>
  <w:style w:type="paragraph" w:styleId="CommentSubject">
    <w:name w:val="annotation subject"/>
    <w:basedOn w:val="CommentText"/>
    <w:next w:val="CommentText"/>
    <w:link w:val="CommentSubjectChar"/>
    <w:uiPriority w:val="99"/>
    <w:semiHidden/>
    <w:unhideWhenUsed/>
    <w:rsid w:val="00351131"/>
    <w:rPr>
      <w:b/>
      <w:bCs/>
      <w:sz w:val="20"/>
      <w:szCs w:val="20"/>
    </w:rPr>
  </w:style>
  <w:style w:type="character" w:customStyle="1" w:styleId="CommentSubjectChar">
    <w:name w:val="Comment Subject Char"/>
    <w:basedOn w:val="CommentTextChar"/>
    <w:link w:val="CommentSubject"/>
    <w:uiPriority w:val="99"/>
    <w:semiHidden/>
    <w:rsid w:val="00351131"/>
    <w:rPr>
      <w:b/>
      <w:bCs/>
      <w:sz w:val="20"/>
      <w:szCs w:val="20"/>
    </w:rPr>
  </w:style>
  <w:style w:type="paragraph" w:styleId="Header">
    <w:name w:val="header"/>
    <w:basedOn w:val="Normal"/>
    <w:link w:val="HeaderChar"/>
    <w:uiPriority w:val="99"/>
    <w:unhideWhenUsed/>
    <w:rsid w:val="00FD07E1"/>
    <w:pPr>
      <w:tabs>
        <w:tab w:val="center" w:pos="4680"/>
        <w:tab w:val="right" w:pos="9360"/>
      </w:tabs>
    </w:pPr>
  </w:style>
  <w:style w:type="character" w:customStyle="1" w:styleId="HeaderChar">
    <w:name w:val="Header Char"/>
    <w:basedOn w:val="DefaultParagraphFont"/>
    <w:link w:val="Header"/>
    <w:uiPriority w:val="99"/>
    <w:rsid w:val="00FD07E1"/>
  </w:style>
  <w:style w:type="table" w:styleId="TableGrid">
    <w:name w:val="Table Grid"/>
    <w:basedOn w:val="TableNormal"/>
    <w:uiPriority w:val="39"/>
    <w:rsid w:val="00B12A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2">
    <w:name w:val="Plain Table 32"/>
    <w:basedOn w:val="TableNormal"/>
    <w:uiPriority w:val="43"/>
    <w:rsid w:val="00B12A57"/>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C13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996117">
      <w:bodyDiv w:val="1"/>
      <w:marLeft w:val="0"/>
      <w:marRight w:val="0"/>
      <w:marTop w:val="0"/>
      <w:marBottom w:val="0"/>
      <w:divBdr>
        <w:top w:val="none" w:sz="0" w:space="0" w:color="auto"/>
        <w:left w:val="none" w:sz="0" w:space="0" w:color="auto"/>
        <w:bottom w:val="none" w:sz="0" w:space="0" w:color="auto"/>
        <w:right w:val="none" w:sz="0" w:space="0" w:color="auto"/>
      </w:divBdr>
    </w:div>
    <w:div w:id="1290624154">
      <w:bodyDiv w:val="1"/>
      <w:marLeft w:val="0"/>
      <w:marRight w:val="0"/>
      <w:marTop w:val="0"/>
      <w:marBottom w:val="0"/>
      <w:divBdr>
        <w:top w:val="none" w:sz="0" w:space="0" w:color="auto"/>
        <w:left w:val="none" w:sz="0" w:space="0" w:color="auto"/>
        <w:bottom w:val="none" w:sz="0" w:space="0" w:color="auto"/>
        <w:right w:val="none" w:sz="0" w:space="0" w:color="auto"/>
      </w:divBdr>
    </w:div>
    <w:div w:id="1992637103">
      <w:bodyDiv w:val="1"/>
      <w:marLeft w:val="0"/>
      <w:marRight w:val="0"/>
      <w:marTop w:val="0"/>
      <w:marBottom w:val="0"/>
      <w:divBdr>
        <w:top w:val="none" w:sz="0" w:space="0" w:color="auto"/>
        <w:left w:val="none" w:sz="0" w:space="0" w:color="auto"/>
        <w:bottom w:val="none" w:sz="0" w:space="0" w:color="auto"/>
        <w:right w:val="none" w:sz="0" w:space="0" w:color="auto"/>
      </w:divBdr>
    </w:div>
    <w:div w:id="20732331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png"/><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1.jpeg"/><Relationship Id="rId10"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1F609B5-99F3-3344-A92F-89791D60D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141</Pages>
  <Words>33116</Words>
  <Characters>188763</Characters>
  <Application>Microsoft Macintosh Word</Application>
  <DocSecurity>0</DocSecurity>
  <Lines>1573</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Kiehl, Lillian C.</dc:creator>
  <cp:keywords/>
  <dc:description/>
  <cp:lastModifiedBy>Kiehl, Lillian C.</cp:lastModifiedBy>
  <cp:revision>2</cp:revision>
  <cp:lastPrinted>2018-05-07T20:55:00Z</cp:lastPrinted>
  <dcterms:created xsi:type="dcterms:W3CDTF">2018-05-14T21:20:00Z</dcterms:created>
  <dcterms:modified xsi:type="dcterms:W3CDTF">2018-05-14T21:20:00Z</dcterms:modified>
</cp:coreProperties>
</file>