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514" w:rsidRDefault="00D23514" w:rsidP="00D23514">
      <w:pPr>
        <w:rPr>
          <w:caps/>
        </w:rPr>
      </w:pPr>
    </w:p>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F47126" w:rsidP="0008176F">
          <w:pPr>
            <w:pStyle w:val="NoSpacing"/>
            <w:spacing w:line="480" w:lineRule="auto"/>
            <w:jc w:val="center"/>
            <w:rPr>
              <w:caps/>
            </w:rPr>
          </w:pPr>
          <w:r>
            <w:rPr>
              <w:caps/>
            </w:rPr>
            <w:t>Investigating</w:t>
          </w:r>
          <w:r w:rsidR="00AD6B2B">
            <w:rPr>
              <w:caps/>
            </w:rPr>
            <w:t xml:space="preserve"> Microstructural heterogeneity in organic shale via large-scale, high resolution sem imaging</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rsidR="00746E16" w:rsidRDefault="00D3125C"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AD6B2B" w:rsidP="00746E16">
          <w:pPr>
            <w:pStyle w:val="NoSpacing"/>
            <w:jc w:val="center"/>
            <w:rPr>
              <w:caps/>
            </w:rPr>
          </w:pPr>
          <w:r>
            <w:rPr>
              <w:caps/>
            </w:rPr>
            <w:t>hung tran</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AD6B2B" w:rsidP="00730F0A">
          <w:pPr>
            <w:pStyle w:val="NoSpacing"/>
            <w:jc w:val="center"/>
          </w:pPr>
          <w:r>
            <w:t>2017</w:t>
          </w:r>
        </w:p>
      </w:sdtContent>
    </w:sdt>
    <w:p w:rsidR="00730F0A" w:rsidRDefault="00730F0A" w:rsidP="00155835">
      <w:pPr>
        <w:pStyle w:val="NoSpacing"/>
      </w:pP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sdt>
          <w:sdtPr>
            <w:rPr>
              <w:caps/>
            </w:rPr>
            <w:alias w:val="Click to enter thesis title"/>
            <w:tag w:val="Click to enter thesis title"/>
            <w:id w:val="-1364510872"/>
            <w:placeholder>
              <w:docPart w:val="B19A4C3954384B5D889FD6EE689D1C7C"/>
            </w:placeholder>
          </w:sdtPr>
          <w:sdtEndPr/>
          <w:sdtContent>
            <w:p w:rsidR="00730F0A" w:rsidRPr="00730F0A" w:rsidRDefault="00AD6B2B" w:rsidP="00941F3F">
              <w:pPr>
                <w:pStyle w:val="NoSpacing"/>
                <w:jc w:val="center"/>
                <w:rPr>
                  <w:caps/>
                </w:rPr>
              </w:pPr>
              <w:r>
                <w:rPr>
                  <w:caps/>
                </w:rPr>
                <w:t>Investigating Microstructural heterogeneity in organic shale via large-scale, high resolution sem imaging</w:t>
              </w:r>
            </w:p>
          </w:sdtContent>
        </w:sdt>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rsidR="00746E16" w:rsidRDefault="00D3125C" w:rsidP="00746E16">
          <w:pPr>
            <w:pStyle w:val="NoSpacing"/>
            <w:jc w:val="center"/>
            <w:rPr>
              <w:caps/>
            </w:rPr>
          </w:pPr>
          <w:r>
            <w:rPr>
              <w:caps/>
            </w:rPr>
            <w:t>Mewbourne School of Petroleum and Geological Engineering</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1E1AF0"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D3125C">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D3125C">
            <w:t>Carl Sondergeld</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1E1AF0"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D3125C">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D3125C">
            <w:t>Chandra Rai</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1E1AF0"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D3125C">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D3125C">
            <w:t>Mark Curtis</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D3125C" w:rsidRDefault="00D3125C" w:rsidP="00730F0A">
      <w:pPr>
        <w:pStyle w:val="NoSpacing"/>
        <w:jc w:val="center"/>
      </w:pPr>
    </w:p>
    <w:p w:rsidR="00730F0A" w:rsidRDefault="00730F0A" w:rsidP="00730F0A">
      <w:pPr>
        <w:pStyle w:val="NoSpacing"/>
        <w:jc w:val="center"/>
      </w:pPr>
    </w:p>
    <w:p w:rsidR="00941F3F" w:rsidRDefault="00941F3F"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1E1AF0"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D3125C">
            <w:rPr>
              <w:caps/>
            </w:rPr>
            <w:t>Hung Tran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D3125C">
            <w:t>2017</w:t>
          </w:r>
        </w:sdtContent>
      </w:sdt>
    </w:p>
    <w:p w:rsidR="00730F0A" w:rsidRDefault="00730F0A" w:rsidP="00730F0A">
      <w:pPr>
        <w:pStyle w:val="NoSpacing"/>
        <w:jc w:val="center"/>
      </w:pPr>
      <w:r>
        <w:t>All Rights Reserved.</w:t>
      </w:r>
    </w:p>
    <w:p w:rsidR="00D3125C" w:rsidRDefault="006F10CE" w:rsidP="00D3125C">
      <w:pPr>
        <w:jc w:val="center"/>
      </w:pPr>
      <w:r>
        <w:br w:type="page"/>
      </w:r>
    </w:p>
    <w:p w:rsidR="00D3125C" w:rsidRDefault="00D3125C" w:rsidP="00D3125C">
      <w:pPr>
        <w:jc w:val="center"/>
      </w:pPr>
    </w:p>
    <w:p w:rsidR="00D3125C" w:rsidRDefault="00D3125C" w:rsidP="00D3125C">
      <w:pPr>
        <w:jc w:val="center"/>
      </w:pPr>
    </w:p>
    <w:p w:rsidR="00D3125C" w:rsidRDefault="00D3125C" w:rsidP="00D3125C">
      <w:pPr>
        <w:jc w:val="center"/>
      </w:pPr>
    </w:p>
    <w:p w:rsidR="00D3125C" w:rsidRDefault="00D3125C" w:rsidP="00D3125C">
      <w:pPr>
        <w:jc w:val="center"/>
      </w:pPr>
    </w:p>
    <w:p w:rsidR="00D3125C" w:rsidRDefault="00D3125C" w:rsidP="00D3125C">
      <w:pPr>
        <w:jc w:val="center"/>
      </w:pPr>
    </w:p>
    <w:p w:rsidR="00D3125C" w:rsidRDefault="00D3125C" w:rsidP="00D3125C">
      <w:pPr>
        <w:jc w:val="center"/>
      </w:pPr>
    </w:p>
    <w:p w:rsidR="00D3125C" w:rsidRDefault="00D3125C" w:rsidP="00D3125C">
      <w:pPr>
        <w:jc w:val="center"/>
      </w:pPr>
    </w:p>
    <w:p w:rsidR="00D3125C" w:rsidRDefault="00D3125C" w:rsidP="00D3125C">
      <w:pPr>
        <w:jc w:val="center"/>
      </w:pPr>
    </w:p>
    <w:p w:rsidR="00D3125C" w:rsidRDefault="00D3125C" w:rsidP="00D3125C">
      <w:pPr>
        <w:jc w:val="center"/>
      </w:pPr>
    </w:p>
    <w:p w:rsidR="00D3125C" w:rsidRDefault="00D3125C" w:rsidP="00D3125C">
      <w:pPr>
        <w:jc w:val="center"/>
      </w:pPr>
    </w:p>
    <w:p w:rsidR="008E1C26" w:rsidRDefault="00D3125C" w:rsidP="00D3125C">
      <w:pPr>
        <w:jc w:val="center"/>
        <w:sectPr w:rsidR="008E1C26" w:rsidSect="00C378FA">
          <w:pgSz w:w="12240" w:h="15840" w:code="1"/>
          <w:pgMar w:top="1440" w:right="1440" w:bottom="1440" w:left="2304" w:header="720" w:footer="720" w:gutter="0"/>
          <w:cols w:space="720"/>
          <w:docGrid w:linePitch="360"/>
        </w:sectPr>
      </w:pPr>
      <w:r>
        <w:t>To my family, friends, and in memory of my late grandparents</w:t>
      </w:r>
    </w:p>
    <w:p w:rsidR="008E1C26" w:rsidRDefault="00775701" w:rsidP="00F63BF0">
      <w:pPr>
        <w:pStyle w:val="Heading1"/>
      </w:pPr>
      <w:bookmarkStart w:id="0" w:name="_Toc310579464"/>
      <w:bookmarkStart w:id="1" w:name="_Toc315681358"/>
      <w:r>
        <w:lastRenderedPageBreak/>
        <w:t>Acknowledgements</w:t>
      </w:r>
      <w:bookmarkEnd w:id="0"/>
      <w:bookmarkEnd w:id="1"/>
    </w:p>
    <w:p w:rsidR="00D72ED4" w:rsidRPr="00D72ED4" w:rsidRDefault="00D72ED4" w:rsidP="00D72ED4"/>
    <w:p w:rsidR="00E04840" w:rsidRDefault="00D72ED4" w:rsidP="0099555B">
      <w:pPr>
        <w:jc w:val="both"/>
      </w:pPr>
      <w:r>
        <w:t xml:space="preserve">Firstly, I would like to thank my advisors, Dr. Carl Sondergeld and Dr. Chandra Rai for the opportunities that you have generously provided me with. </w:t>
      </w:r>
      <w:r w:rsidR="00E04840">
        <w:t>Working in such a professional environment like the IC</w:t>
      </w:r>
      <w:r w:rsidR="00E04840">
        <w:rPr>
          <w:vertAlign w:val="superscript"/>
        </w:rPr>
        <w:t>3</w:t>
      </w:r>
      <w:r w:rsidR="00E04840">
        <w:t xml:space="preserve"> lab </w:t>
      </w:r>
      <w:r w:rsidR="0099555B">
        <w:t xml:space="preserve">and Devon Energy Nano Imaging Center </w:t>
      </w:r>
      <w:r w:rsidR="00E04840">
        <w:t xml:space="preserve">is beyond what I could ask for. </w:t>
      </w:r>
      <w:r>
        <w:t>This thesis would not have been possible without your guidance and support</w:t>
      </w:r>
      <w:r w:rsidR="00E04840">
        <w:t>. From the bottom of my heart, you are my best teachers.</w:t>
      </w:r>
    </w:p>
    <w:p w:rsidR="003450B1" w:rsidRDefault="00E04840" w:rsidP="0099555B">
      <w:pPr>
        <w:jc w:val="both"/>
      </w:pPr>
      <w:r>
        <w:t>I would like to thank Dr. Mark Curtis for your willingness and enthusias</w:t>
      </w:r>
      <w:r w:rsidR="0099555B">
        <w:t xml:space="preserve">m to deliver your great knowledge of Scanning Electron Microscopy and to help me with my research. Your discipline and professionalism truly inspire me. I also would like to thank Jeremy Jernigen for </w:t>
      </w:r>
      <w:r w:rsidR="004D5015">
        <w:t>helping me with the training and experiments. Thank you for sharing me many of your interesting stories.</w:t>
      </w:r>
    </w:p>
    <w:p w:rsidR="004D5015" w:rsidRDefault="004D5015" w:rsidP="0099555B">
      <w:pPr>
        <w:jc w:val="both"/>
      </w:pPr>
      <w:r>
        <w:t>I would like to express my sincerest thanks to my family overseas for believing in me. Their love and support for the past years truly motivate me to pursue my goals.</w:t>
      </w:r>
    </w:p>
    <w:p w:rsidR="004D5015" w:rsidRDefault="004D5015" w:rsidP="0099555B">
      <w:pPr>
        <w:jc w:val="both"/>
      </w:pPr>
      <w:r>
        <w:t>I would like to thank all of my friends in the IC</w:t>
      </w:r>
      <w:r>
        <w:rPr>
          <w:vertAlign w:val="superscript"/>
        </w:rPr>
        <w:t>3</w:t>
      </w:r>
      <w:r>
        <w:t xml:space="preserve"> lab, undergraduate and graduate students. Thank you for helping me w</w:t>
      </w:r>
      <w:r w:rsidR="00340051">
        <w:t>ith my research and sharing me great memories.</w:t>
      </w:r>
    </w:p>
    <w:p w:rsidR="00340051" w:rsidRPr="004D5015" w:rsidRDefault="00340051" w:rsidP="0099555B">
      <w:pPr>
        <w:jc w:val="both"/>
      </w:pPr>
      <w:r>
        <w:t>I would like to acknowledge the OU badminton club and its members as a second family to me. Thank you for providing me with friendly and competitive environment. Every memory with this club will be with me wherever I go. To Mr.</w:t>
      </w:r>
      <w:r w:rsidR="00A5099D">
        <w:t xml:space="preserve"> </w:t>
      </w:r>
      <w:r>
        <w:t xml:space="preserve">Minh Pham, my best friend, thank you for your encouragement and motivation for me to grow as a person. Last but not least, I would like to thank Miho Okuda for giving me the emotional support and helping me </w:t>
      </w:r>
      <w:r w:rsidR="00D87375">
        <w:t>get through my toughest time. You are my inspiration to finish this work.</w:t>
      </w:r>
    </w:p>
    <w:p w:rsidR="00775701" w:rsidRDefault="00775701" w:rsidP="00F63BF0">
      <w:pPr>
        <w:pStyle w:val="Title"/>
      </w:pPr>
      <w:r>
        <w:br w:type="page"/>
      </w:r>
      <w:r>
        <w:lastRenderedPageBreak/>
        <w:t xml:space="preserve">Table of </w:t>
      </w:r>
      <w:r w:rsidRPr="00775701">
        <w:t>Contents</w:t>
      </w:r>
    </w:p>
    <w:p w:rsidR="009C4FEF" w:rsidRDefault="009C4FEF" w:rsidP="009C4FEF">
      <w:pPr>
        <w:pStyle w:val="NoSpacing"/>
        <w:rPr>
          <w:szCs w:val="24"/>
        </w:rPr>
      </w:pPr>
    </w:p>
    <w:p w:rsidR="00941F3F" w:rsidRPr="0078679A" w:rsidRDefault="00941F3F" w:rsidP="009C4FEF">
      <w:pPr>
        <w:pStyle w:val="NoSpacing"/>
      </w:pPr>
    </w:p>
    <w:p w:rsidR="00FC5D6F"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15681358" w:history="1">
        <w:r w:rsidR="00FC5D6F" w:rsidRPr="008F2F88">
          <w:rPr>
            <w:rStyle w:val="Hyperlink"/>
            <w:noProof/>
          </w:rPr>
          <w:t>Acknowledgements</w:t>
        </w:r>
        <w:r w:rsidR="00FC5D6F">
          <w:rPr>
            <w:noProof/>
            <w:webHidden/>
          </w:rPr>
          <w:tab/>
        </w:r>
        <w:r>
          <w:rPr>
            <w:noProof/>
            <w:webHidden/>
          </w:rPr>
          <w:fldChar w:fldCharType="begin"/>
        </w:r>
        <w:r w:rsidR="00FC5D6F">
          <w:rPr>
            <w:noProof/>
            <w:webHidden/>
          </w:rPr>
          <w:instrText xml:space="preserve"> PAGEREF _Toc315681358 \h </w:instrText>
        </w:r>
        <w:r>
          <w:rPr>
            <w:noProof/>
            <w:webHidden/>
          </w:rPr>
        </w:r>
        <w:r>
          <w:rPr>
            <w:noProof/>
            <w:webHidden/>
          </w:rPr>
          <w:fldChar w:fldCharType="separate"/>
        </w:r>
        <w:r w:rsidR="00941F3F">
          <w:rPr>
            <w:noProof/>
            <w:webHidden/>
          </w:rPr>
          <w:t>iv</w:t>
        </w:r>
        <w:r>
          <w:rPr>
            <w:noProof/>
            <w:webHidden/>
          </w:rPr>
          <w:fldChar w:fldCharType="end"/>
        </w:r>
      </w:hyperlink>
    </w:p>
    <w:p w:rsidR="00FC5D6F" w:rsidRDefault="001E1AF0">
      <w:pPr>
        <w:pStyle w:val="TOC1"/>
        <w:rPr>
          <w:rFonts w:eastAsiaTheme="minorEastAsia" w:cstheme="minorBidi"/>
          <w:noProof/>
          <w:sz w:val="22"/>
          <w:szCs w:val="22"/>
          <w:lang w:bidi="ar-SA"/>
        </w:rPr>
      </w:pPr>
      <w:hyperlink w:anchor="_Toc315681359" w:history="1">
        <w:r w:rsidR="00FC5D6F" w:rsidRPr="008F2F88">
          <w:rPr>
            <w:rStyle w:val="Hyperlink"/>
            <w:noProof/>
          </w:rPr>
          <w:t>List of Tables</w:t>
        </w:r>
        <w:r w:rsidR="00FC5D6F">
          <w:rPr>
            <w:noProof/>
            <w:webHidden/>
          </w:rPr>
          <w:tab/>
        </w:r>
        <w:r w:rsidR="00AA4AED">
          <w:rPr>
            <w:noProof/>
            <w:webHidden/>
          </w:rPr>
          <w:fldChar w:fldCharType="begin"/>
        </w:r>
        <w:r w:rsidR="00FC5D6F">
          <w:rPr>
            <w:noProof/>
            <w:webHidden/>
          </w:rPr>
          <w:instrText xml:space="preserve"> PAGEREF _Toc315681359 \h </w:instrText>
        </w:r>
        <w:r w:rsidR="00AA4AED">
          <w:rPr>
            <w:noProof/>
            <w:webHidden/>
          </w:rPr>
        </w:r>
        <w:r w:rsidR="00AA4AED">
          <w:rPr>
            <w:noProof/>
            <w:webHidden/>
          </w:rPr>
          <w:fldChar w:fldCharType="separate"/>
        </w:r>
        <w:r w:rsidR="00941F3F">
          <w:rPr>
            <w:noProof/>
            <w:webHidden/>
          </w:rPr>
          <w:t>viii</w:t>
        </w:r>
        <w:r w:rsidR="00AA4AED">
          <w:rPr>
            <w:noProof/>
            <w:webHidden/>
          </w:rPr>
          <w:fldChar w:fldCharType="end"/>
        </w:r>
      </w:hyperlink>
      <w:r w:rsidR="00D47DC3">
        <w:rPr>
          <w:noProof/>
        </w:rPr>
        <w:t>i</w:t>
      </w:r>
    </w:p>
    <w:p w:rsidR="00FC5D6F" w:rsidRDefault="001E1AF0">
      <w:pPr>
        <w:pStyle w:val="TOC1"/>
        <w:rPr>
          <w:rFonts w:eastAsiaTheme="minorEastAsia" w:cstheme="minorBidi"/>
          <w:noProof/>
          <w:sz w:val="22"/>
          <w:szCs w:val="22"/>
          <w:lang w:bidi="ar-SA"/>
        </w:rPr>
      </w:pPr>
      <w:hyperlink w:anchor="_Toc315681360" w:history="1">
        <w:r w:rsidR="00FC5D6F" w:rsidRPr="008F2F88">
          <w:rPr>
            <w:rStyle w:val="Hyperlink"/>
            <w:noProof/>
          </w:rPr>
          <w:t>List of Figures</w:t>
        </w:r>
        <w:r w:rsidR="00FC5D6F">
          <w:rPr>
            <w:noProof/>
            <w:webHidden/>
          </w:rPr>
          <w:tab/>
        </w:r>
        <w:r w:rsidR="00AA4AED">
          <w:rPr>
            <w:noProof/>
            <w:webHidden/>
          </w:rPr>
          <w:fldChar w:fldCharType="begin"/>
        </w:r>
        <w:r w:rsidR="00FC5D6F">
          <w:rPr>
            <w:noProof/>
            <w:webHidden/>
          </w:rPr>
          <w:instrText xml:space="preserve"> PAGEREF _Toc315681360 \h </w:instrText>
        </w:r>
        <w:r w:rsidR="00AA4AED">
          <w:rPr>
            <w:noProof/>
            <w:webHidden/>
          </w:rPr>
        </w:r>
        <w:r w:rsidR="00AA4AED">
          <w:rPr>
            <w:noProof/>
            <w:webHidden/>
          </w:rPr>
          <w:fldChar w:fldCharType="separate"/>
        </w:r>
        <w:r w:rsidR="00941F3F">
          <w:rPr>
            <w:noProof/>
            <w:webHidden/>
          </w:rPr>
          <w:t>i</w:t>
        </w:r>
        <w:r w:rsidR="00304DD5">
          <w:rPr>
            <w:noProof/>
            <w:webHidden/>
          </w:rPr>
          <w:t>x</w:t>
        </w:r>
        <w:r w:rsidR="00AA4AED">
          <w:rPr>
            <w:noProof/>
            <w:webHidden/>
          </w:rPr>
          <w:fldChar w:fldCharType="end"/>
        </w:r>
      </w:hyperlink>
    </w:p>
    <w:p w:rsidR="00FC5D6F" w:rsidRDefault="001E1AF0">
      <w:pPr>
        <w:pStyle w:val="TOC1"/>
        <w:rPr>
          <w:rFonts w:eastAsiaTheme="minorEastAsia" w:cstheme="minorBidi"/>
          <w:noProof/>
          <w:sz w:val="22"/>
          <w:szCs w:val="22"/>
          <w:lang w:bidi="ar-SA"/>
        </w:rPr>
      </w:pPr>
      <w:hyperlink w:anchor="_Toc315681361" w:history="1">
        <w:r w:rsidR="00FC5D6F" w:rsidRPr="008F2F88">
          <w:rPr>
            <w:rStyle w:val="Hyperlink"/>
            <w:noProof/>
          </w:rPr>
          <w:t>Abstract</w:t>
        </w:r>
        <w:r w:rsidR="00FC5D6F">
          <w:rPr>
            <w:noProof/>
            <w:webHidden/>
          </w:rPr>
          <w:tab/>
        </w:r>
        <w:r w:rsidR="00D47DC3">
          <w:rPr>
            <w:noProof/>
            <w:webHidden/>
          </w:rPr>
          <w:t>xv</w:t>
        </w:r>
        <w:r w:rsidR="00304DD5">
          <w:rPr>
            <w:noProof/>
            <w:webHidden/>
          </w:rPr>
          <w:t>ii</w:t>
        </w:r>
        <w:r w:rsidR="00D47DC3">
          <w:rPr>
            <w:noProof/>
            <w:webHidden/>
          </w:rPr>
          <w:t>i</w:t>
        </w:r>
      </w:hyperlink>
    </w:p>
    <w:p w:rsidR="00FC5D6F" w:rsidRDefault="001E1AF0">
      <w:pPr>
        <w:pStyle w:val="TOC1"/>
        <w:rPr>
          <w:rFonts w:eastAsiaTheme="minorEastAsia" w:cstheme="minorBidi"/>
          <w:noProof/>
          <w:sz w:val="22"/>
          <w:szCs w:val="22"/>
          <w:lang w:bidi="ar-SA"/>
        </w:rPr>
      </w:pPr>
      <w:hyperlink w:anchor="_Toc315681362" w:history="1">
        <w:r w:rsidR="00FC5D6F" w:rsidRPr="008F2F88">
          <w:rPr>
            <w:rStyle w:val="Hyperlink"/>
            <w:noProof/>
          </w:rPr>
          <w:t>Chapter 1: Introduction</w:t>
        </w:r>
        <w:r w:rsidR="00FC5D6F">
          <w:rPr>
            <w:noProof/>
            <w:webHidden/>
          </w:rPr>
          <w:tab/>
        </w:r>
      </w:hyperlink>
      <w:r w:rsidR="00A5099D">
        <w:rPr>
          <w:noProof/>
        </w:rPr>
        <w:t>1</w:t>
      </w:r>
    </w:p>
    <w:p w:rsidR="00FC5D6F" w:rsidRDefault="004E27FC">
      <w:pPr>
        <w:pStyle w:val="TOC2"/>
        <w:tabs>
          <w:tab w:val="right" w:leader="dot" w:pos="8486"/>
        </w:tabs>
        <w:rPr>
          <w:noProof/>
        </w:rPr>
      </w:pPr>
      <w:r>
        <w:t>1.1 Motivation and Problem Statement</w:t>
      </w:r>
      <w:hyperlink w:anchor="_Toc315681363" w:history="1">
        <w:r w:rsidR="00FC5D6F">
          <w:rPr>
            <w:noProof/>
            <w:webHidden/>
          </w:rPr>
          <w:tab/>
        </w:r>
        <w:r w:rsidR="009D6861">
          <w:rPr>
            <w:noProof/>
            <w:webHidden/>
          </w:rPr>
          <w:t>1</w:t>
        </w:r>
      </w:hyperlink>
    </w:p>
    <w:p w:rsidR="004E27FC" w:rsidRDefault="004E27FC" w:rsidP="004E27FC">
      <w:pPr>
        <w:pStyle w:val="TOC2"/>
        <w:tabs>
          <w:tab w:val="right" w:leader="dot" w:pos="8486"/>
        </w:tabs>
        <w:rPr>
          <w:rFonts w:eastAsiaTheme="minorEastAsia" w:cstheme="minorBidi"/>
          <w:noProof/>
          <w:sz w:val="22"/>
          <w:szCs w:val="22"/>
          <w:lang w:bidi="ar-SA"/>
        </w:rPr>
      </w:pPr>
      <w:r>
        <w:t xml:space="preserve">1.2 Scope of </w:t>
      </w:r>
      <w:r w:rsidR="00C66AA8">
        <w:t>the</w:t>
      </w:r>
      <w:r>
        <w:t xml:space="preserve"> Thesis</w:t>
      </w:r>
      <w:hyperlink w:anchor="_Toc315681363" w:history="1">
        <w:r>
          <w:rPr>
            <w:noProof/>
            <w:webHidden/>
          </w:rPr>
          <w:tab/>
        </w:r>
      </w:hyperlink>
      <w:r w:rsidR="003A3C6B">
        <w:rPr>
          <w:noProof/>
        </w:rPr>
        <w:t>4</w:t>
      </w:r>
    </w:p>
    <w:p w:rsidR="004E27FC" w:rsidRPr="002127B7" w:rsidRDefault="004E27FC" w:rsidP="002127B7">
      <w:pPr>
        <w:pStyle w:val="TOC2"/>
        <w:tabs>
          <w:tab w:val="right" w:leader="dot" w:pos="8486"/>
        </w:tabs>
        <w:rPr>
          <w:rFonts w:eastAsiaTheme="minorEastAsia" w:cstheme="minorBidi"/>
          <w:noProof/>
          <w:sz w:val="22"/>
          <w:szCs w:val="22"/>
          <w:lang w:bidi="ar-SA"/>
        </w:rPr>
      </w:pPr>
      <w:r>
        <w:t>1.</w:t>
      </w:r>
      <w:r w:rsidR="00C66AA8">
        <w:t>3</w:t>
      </w:r>
      <w:r>
        <w:t xml:space="preserve"> </w:t>
      </w:r>
      <w:r w:rsidR="00C66AA8">
        <w:t>Organization of the Thesis</w:t>
      </w:r>
      <w:hyperlink w:anchor="_Toc315681363" w:history="1">
        <w:r>
          <w:rPr>
            <w:noProof/>
            <w:webHidden/>
          </w:rPr>
          <w:tab/>
        </w:r>
      </w:hyperlink>
      <w:r w:rsidR="003A3C6B">
        <w:rPr>
          <w:noProof/>
        </w:rPr>
        <w:t>5</w:t>
      </w:r>
    </w:p>
    <w:p w:rsidR="006B1B2D" w:rsidRDefault="001E1AF0" w:rsidP="006B1B2D">
      <w:pPr>
        <w:pStyle w:val="TOC1"/>
        <w:rPr>
          <w:rFonts w:eastAsiaTheme="minorEastAsia" w:cstheme="minorBidi"/>
          <w:noProof/>
          <w:sz w:val="22"/>
          <w:szCs w:val="22"/>
          <w:lang w:bidi="ar-SA"/>
        </w:rPr>
      </w:pPr>
      <w:hyperlink w:anchor="_Toc315681362" w:history="1">
        <w:r w:rsidR="006B1B2D" w:rsidRPr="008F2F88">
          <w:rPr>
            <w:rStyle w:val="Hyperlink"/>
            <w:noProof/>
          </w:rPr>
          <w:t xml:space="preserve">Chapter </w:t>
        </w:r>
        <w:r w:rsidR="006B1B2D">
          <w:rPr>
            <w:rStyle w:val="Hyperlink"/>
            <w:noProof/>
          </w:rPr>
          <w:t>2</w:t>
        </w:r>
        <w:r w:rsidR="006B1B2D" w:rsidRPr="008F2F88">
          <w:rPr>
            <w:rStyle w:val="Hyperlink"/>
            <w:noProof/>
          </w:rPr>
          <w:t xml:space="preserve">: </w:t>
        </w:r>
        <w:r w:rsidR="006B1B2D">
          <w:rPr>
            <w:rStyle w:val="Hyperlink"/>
            <w:noProof/>
          </w:rPr>
          <w:t>Research Background</w:t>
        </w:r>
        <w:r w:rsidR="006B1B2D">
          <w:rPr>
            <w:noProof/>
            <w:webHidden/>
          </w:rPr>
          <w:tab/>
        </w:r>
      </w:hyperlink>
      <w:r w:rsidR="003A3C6B">
        <w:rPr>
          <w:noProof/>
        </w:rPr>
        <w:t>6</w:t>
      </w:r>
    </w:p>
    <w:p w:rsidR="00FC5D6F" w:rsidRDefault="001E1AF0">
      <w:pPr>
        <w:pStyle w:val="TOC2"/>
        <w:tabs>
          <w:tab w:val="right" w:leader="dot" w:pos="8486"/>
        </w:tabs>
        <w:rPr>
          <w:noProof/>
        </w:rPr>
      </w:pPr>
      <w:hyperlink w:anchor="_Toc315681366" w:history="1">
        <w:r w:rsidR="002127B7">
          <w:rPr>
            <w:rStyle w:val="Hyperlink"/>
            <w:noProof/>
          </w:rPr>
          <w:t>2.1 Scanning Electron Microscopy (SEM)</w:t>
        </w:r>
        <w:r w:rsidR="00FC5D6F">
          <w:rPr>
            <w:noProof/>
            <w:webHidden/>
          </w:rPr>
          <w:tab/>
        </w:r>
      </w:hyperlink>
      <w:r w:rsidR="003A3C6B">
        <w:rPr>
          <w:noProof/>
        </w:rPr>
        <w:t>6</w:t>
      </w:r>
    </w:p>
    <w:p w:rsidR="002127B7" w:rsidRPr="004E27FC" w:rsidRDefault="001E1AF0" w:rsidP="002127B7">
      <w:pPr>
        <w:pStyle w:val="TOC3"/>
        <w:tabs>
          <w:tab w:val="right" w:leader="dot" w:pos="8486"/>
        </w:tabs>
        <w:rPr>
          <w:rFonts w:eastAsiaTheme="minorEastAsia" w:cstheme="minorBidi"/>
          <w:noProof/>
          <w:sz w:val="22"/>
          <w:szCs w:val="22"/>
          <w:lang w:bidi="ar-SA"/>
        </w:rPr>
      </w:pPr>
      <w:hyperlink w:anchor="_Toc315681364" w:history="1">
        <w:r w:rsidR="002127B7">
          <w:t>2.1.1 Principle of SEM</w:t>
        </w:r>
        <w:r w:rsidR="002127B7">
          <w:rPr>
            <w:noProof/>
            <w:webHidden/>
          </w:rPr>
          <w:tab/>
        </w:r>
      </w:hyperlink>
      <w:r w:rsidR="003A3C6B">
        <w:rPr>
          <w:noProof/>
        </w:rPr>
        <w:t>6</w:t>
      </w:r>
    </w:p>
    <w:p w:rsidR="002127B7" w:rsidRPr="004E27FC" w:rsidRDefault="001E1AF0" w:rsidP="002127B7">
      <w:pPr>
        <w:pStyle w:val="TOC3"/>
        <w:tabs>
          <w:tab w:val="right" w:leader="dot" w:pos="8486"/>
        </w:tabs>
        <w:rPr>
          <w:rFonts w:eastAsiaTheme="minorEastAsia" w:cstheme="minorBidi"/>
          <w:noProof/>
          <w:sz w:val="22"/>
          <w:szCs w:val="22"/>
          <w:lang w:bidi="ar-SA"/>
        </w:rPr>
      </w:pPr>
      <w:hyperlink w:anchor="_Toc315681364" w:history="1">
        <w:r w:rsidR="002127B7">
          <w:rPr>
            <w:rStyle w:val="Hyperlink"/>
            <w:noProof/>
          </w:rPr>
          <w:t xml:space="preserve">2.1.2 SEM Signals – Secondary Electrons and Backscattered Electrons </w:t>
        </w:r>
        <w:r w:rsidR="002127B7">
          <w:rPr>
            <w:noProof/>
            <w:webHidden/>
          </w:rPr>
          <w:tab/>
        </w:r>
      </w:hyperlink>
      <w:r w:rsidR="003A3C6B">
        <w:rPr>
          <w:noProof/>
        </w:rPr>
        <w:t>8</w:t>
      </w:r>
    </w:p>
    <w:p w:rsidR="002127B7" w:rsidRDefault="001E1AF0" w:rsidP="002127B7">
      <w:pPr>
        <w:pStyle w:val="TOC3"/>
        <w:tabs>
          <w:tab w:val="right" w:leader="dot" w:pos="8486"/>
        </w:tabs>
        <w:rPr>
          <w:noProof/>
        </w:rPr>
      </w:pPr>
      <w:hyperlink w:anchor="_Toc315681364" w:history="1">
        <w:r w:rsidR="002127B7">
          <w:rPr>
            <w:rStyle w:val="Hyperlink"/>
            <w:noProof/>
          </w:rPr>
          <w:t>2.1.3 SEM Map</w:t>
        </w:r>
        <w:r w:rsidR="002127B7">
          <w:rPr>
            <w:noProof/>
            <w:webHidden/>
          </w:rPr>
          <w:tab/>
        </w:r>
        <w:r w:rsidR="009D6861">
          <w:rPr>
            <w:noProof/>
            <w:webHidden/>
          </w:rPr>
          <w:t>1</w:t>
        </w:r>
      </w:hyperlink>
      <w:r w:rsidR="003A3C6B">
        <w:rPr>
          <w:noProof/>
        </w:rPr>
        <w:t>0</w:t>
      </w:r>
    </w:p>
    <w:p w:rsidR="002127B7" w:rsidRDefault="001E1AF0" w:rsidP="002127B7">
      <w:pPr>
        <w:pStyle w:val="TOC2"/>
        <w:tabs>
          <w:tab w:val="right" w:leader="dot" w:pos="8486"/>
        </w:tabs>
        <w:rPr>
          <w:noProof/>
        </w:rPr>
      </w:pPr>
      <w:hyperlink w:anchor="_Toc315681366" w:history="1">
        <w:r w:rsidR="002127B7">
          <w:rPr>
            <w:rStyle w:val="Hyperlink"/>
            <w:noProof/>
          </w:rPr>
          <w:t>2.2 Previous Work</w:t>
        </w:r>
        <w:r w:rsidR="003B0446">
          <w:rPr>
            <w:rStyle w:val="Hyperlink"/>
            <w:noProof/>
          </w:rPr>
          <w:t>s</w:t>
        </w:r>
        <w:r w:rsidR="002127B7">
          <w:rPr>
            <w:rStyle w:val="Hyperlink"/>
            <w:noProof/>
          </w:rPr>
          <w:t xml:space="preserve"> – SEM Upscaling</w:t>
        </w:r>
        <w:r w:rsidR="002127B7">
          <w:rPr>
            <w:noProof/>
            <w:webHidden/>
          </w:rPr>
          <w:tab/>
        </w:r>
        <w:r w:rsidR="009D6861">
          <w:rPr>
            <w:noProof/>
            <w:webHidden/>
          </w:rPr>
          <w:t>1</w:t>
        </w:r>
      </w:hyperlink>
      <w:r w:rsidR="003A3C6B">
        <w:rPr>
          <w:noProof/>
        </w:rPr>
        <w:t>1</w:t>
      </w:r>
    </w:p>
    <w:p w:rsidR="002127B7" w:rsidRPr="002570AB" w:rsidRDefault="001E1AF0" w:rsidP="002570AB">
      <w:pPr>
        <w:pStyle w:val="TOC2"/>
        <w:tabs>
          <w:tab w:val="right" w:leader="dot" w:pos="8486"/>
        </w:tabs>
        <w:rPr>
          <w:noProof/>
        </w:rPr>
      </w:pPr>
      <w:hyperlink w:anchor="_Toc315681366" w:history="1">
        <w:r w:rsidR="003B0446">
          <w:rPr>
            <w:rStyle w:val="Hyperlink"/>
            <w:noProof/>
          </w:rPr>
          <w:t>2.3 Geological Description – Wolfcamp Formation</w:t>
        </w:r>
        <w:r w:rsidR="003B0446">
          <w:rPr>
            <w:noProof/>
            <w:webHidden/>
          </w:rPr>
          <w:tab/>
        </w:r>
        <w:r w:rsidR="009D6861">
          <w:rPr>
            <w:noProof/>
            <w:webHidden/>
          </w:rPr>
          <w:t>1</w:t>
        </w:r>
      </w:hyperlink>
      <w:r w:rsidR="003A3C6B">
        <w:rPr>
          <w:noProof/>
        </w:rPr>
        <w:t>6</w:t>
      </w:r>
    </w:p>
    <w:p w:rsidR="002127B7" w:rsidRDefault="001E1AF0" w:rsidP="002127B7">
      <w:pPr>
        <w:pStyle w:val="TOC1"/>
        <w:rPr>
          <w:rFonts w:eastAsiaTheme="minorEastAsia" w:cstheme="minorBidi"/>
          <w:noProof/>
          <w:sz w:val="22"/>
          <w:szCs w:val="22"/>
          <w:lang w:bidi="ar-SA"/>
        </w:rPr>
      </w:pPr>
      <w:hyperlink w:anchor="_Toc315681362" w:history="1">
        <w:r w:rsidR="002127B7" w:rsidRPr="008F2F88">
          <w:rPr>
            <w:rStyle w:val="Hyperlink"/>
            <w:noProof/>
          </w:rPr>
          <w:t xml:space="preserve">Chapter </w:t>
        </w:r>
        <w:r w:rsidR="002570AB">
          <w:rPr>
            <w:rStyle w:val="Hyperlink"/>
            <w:noProof/>
          </w:rPr>
          <w:t>3</w:t>
        </w:r>
        <w:r w:rsidR="002127B7" w:rsidRPr="008F2F88">
          <w:rPr>
            <w:rStyle w:val="Hyperlink"/>
            <w:noProof/>
          </w:rPr>
          <w:t xml:space="preserve">: </w:t>
        </w:r>
        <w:r w:rsidR="00B35E12">
          <w:rPr>
            <w:rStyle w:val="Hyperlink"/>
            <w:noProof/>
          </w:rPr>
          <w:t>Experimental Procedure</w:t>
        </w:r>
        <w:r w:rsidR="002127B7">
          <w:rPr>
            <w:noProof/>
            <w:webHidden/>
          </w:rPr>
          <w:tab/>
        </w:r>
      </w:hyperlink>
      <w:r w:rsidR="003A3C6B">
        <w:rPr>
          <w:noProof/>
        </w:rPr>
        <w:t>19</w:t>
      </w:r>
    </w:p>
    <w:p w:rsidR="002127B7" w:rsidRDefault="001E1AF0" w:rsidP="002127B7">
      <w:pPr>
        <w:pStyle w:val="TOC2"/>
        <w:tabs>
          <w:tab w:val="right" w:leader="dot" w:pos="8486"/>
        </w:tabs>
        <w:rPr>
          <w:noProof/>
        </w:rPr>
      </w:pPr>
      <w:hyperlink w:anchor="_Toc315681366" w:history="1">
        <w:r w:rsidR="004176B3">
          <w:rPr>
            <w:rStyle w:val="Hyperlink"/>
            <w:noProof/>
          </w:rPr>
          <w:t>3.1</w:t>
        </w:r>
        <w:r w:rsidR="002127B7">
          <w:rPr>
            <w:rStyle w:val="Hyperlink"/>
            <w:noProof/>
          </w:rPr>
          <w:t xml:space="preserve"> </w:t>
        </w:r>
        <w:r w:rsidR="004176B3">
          <w:rPr>
            <w:rStyle w:val="Hyperlink"/>
            <w:noProof/>
          </w:rPr>
          <w:t>Sampling Procedure</w:t>
        </w:r>
        <w:r w:rsidR="002127B7">
          <w:rPr>
            <w:noProof/>
            <w:webHidden/>
          </w:rPr>
          <w:tab/>
        </w:r>
      </w:hyperlink>
      <w:r w:rsidR="003A3C6B">
        <w:rPr>
          <w:noProof/>
        </w:rPr>
        <w:t>19</w:t>
      </w:r>
    </w:p>
    <w:p w:rsidR="004176B3" w:rsidRDefault="001E1AF0" w:rsidP="004176B3">
      <w:pPr>
        <w:pStyle w:val="TOC2"/>
        <w:tabs>
          <w:tab w:val="right" w:leader="dot" w:pos="8486"/>
        </w:tabs>
        <w:rPr>
          <w:noProof/>
        </w:rPr>
      </w:pPr>
      <w:hyperlink w:anchor="_Toc315681366" w:history="1">
        <w:r w:rsidR="004176B3">
          <w:rPr>
            <w:rStyle w:val="Hyperlink"/>
            <w:noProof/>
          </w:rPr>
          <w:t>3.2 Scanning Electron Microscopy (SEM) Imaging</w:t>
        </w:r>
        <w:r w:rsidR="004176B3">
          <w:rPr>
            <w:noProof/>
            <w:webHidden/>
          </w:rPr>
          <w:tab/>
        </w:r>
      </w:hyperlink>
      <w:r w:rsidR="00FE648C">
        <w:rPr>
          <w:noProof/>
        </w:rPr>
        <w:t>2</w:t>
      </w:r>
      <w:r w:rsidR="003A3C6B">
        <w:rPr>
          <w:noProof/>
        </w:rPr>
        <w:t>0</w:t>
      </w:r>
    </w:p>
    <w:p w:rsidR="004176B3" w:rsidRPr="004E27FC" w:rsidRDefault="001E1AF0" w:rsidP="004176B3">
      <w:pPr>
        <w:pStyle w:val="TOC3"/>
        <w:tabs>
          <w:tab w:val="right" w:leader="dot" w:pos="8486"/>
        </w:tabs>
        <w:rPr>
          <w:rFonts w:eastAsiaTheme="minorEastAsia" w:cstheme="minorBidi"/>
          <w:noProof/>
          <w:sz w:val="22"/>
          <w:szCs w:val="22"/>
          <w:lang w:bidi="ar-SA"/>
        </w:rPr>
      </w:pPr>
      <w:hyperlink w:anchor="_Toc315681364" w:history="1">
        <w:r w:rsidR="004176B3">
          <w:rPr>
            <w:rStyle w:val="Hyperlink"/>
            <w:noProof/>
          </w:rPr>
          <w:t>3.2.1 SEM Procedure</w:t>
        </w:r>
        <w:r w:rsidR="004176B3">
          <w:rPr>
            <w:noProof/>
            <w:webHidden/>
          </w:rPr>
          <w:tab/>
        </w:r>
      </w:hyperlink>
      <w:r w:rsidR="00253B7D">
        <w:rPr>
          <w:noProof/>
        </w:rPr>
        <w:t>2</w:t>
      </w:r>
      <w:r w:rsidR="003A3C6B">
        <w:rPr>
          <w:noProof/>
        </w:rPr>
        <w:t>0</w:t>
      </w:r>
    </w:p>
    <w:p w:rsidR="004176B3" w:rsidRPr="004E27FC" w:rsidRDefault="001E1AF0" w:rsidP="004176B3">
      <w:pPr>
        <w:pStyle w:val="TOC3"/>
        <w:tabs>
          <w:tab w:val="right" w:leader="dot" w:pos="8486"/>
        </w:tabs>
        <w:rPr>
          <w:rFonts w:eastAsiaTheme="minorEastAsia" w:cstheme="minorBidi"/>
          <w:noProof/>
          <w:sz w:val="22"/>
          <w:szCs w:val="22"/>
          <w:lang w:bidi="ar-SA"/>
        </w:rPr>
      </w:pPr>
      <w:hyperlink w:anchor="_Toc315681364" w:history="1">
        <w:r w:rsidR="004176B3">
          <w:rPr>
            <w:rStyle w:val="Hyperlink"/>
            <w:noProof/>
          </w:rPr>
          <w:t>3.2.2 SEM Segmentation – Pore and Organic Matter</w:t>
        </w:r>
        <w:r w:rsidR="004176B3">
          <w:rPr>
            <w:noProof/>
            <w:webHidden/>
          </w:rPr>
          <w:tab/>
        </w:r>
      </w:hyperlink>
      <w:r w:rsidR="00253B7D">
        <w:rPr>
          <w:noProof/>
        </w:rPr>
        <w:t>2</w:t>
      </w:r>
      <w:r w:rsidR="00917519">
        <w:rPr>
          <w:noProof/>
        </w:rPr>
        <w:t>1</w:t>
      </w:r>
    </w:p>
    <w:p w:rsidR="004176B3" w:rsidRPr="004E27FC" w:rsidRDefault="001E1AF0" w:rsidP="004176B3">
      <w:pPr>
        <w:pStyle w:val="TOC3"/>
        <w:tabs>
          <w:tab w:val="right" w:leader="dot" w:pos="8486"/>
        </w:tabs>
        <w:rPr>
          <w:rFonts w:eastAsiaTheme="minorEastAsia" w:cstheme="minorBidi"/>
          <w:noProof/>
          <w:sz w:val="22"/>
          <w:szCs w:val="22"/>
          <w:lang w:bidi="ar-SA"/>
        </w:rPr>
      </w:pPr>
      <w:hyperlink w:anchor="_Toc315681364" w:history="1">
        <w:r w:rsidR="004176B3">
          <w:rPr>
            <w:rStyle w:val="Hyperlink"/>
            <w:noProof/>
          </w:rPr>
          <w:t xml:space="preserve">3.2.3 SEM Segmentation – </w:t>
        </w:r>
        <w:r w:rsidR="004621CD">
          <w:rPr>
            <w:rStyle w:val="Hyperlink"/>
            <w:noProof/>
          </w:rPr>
          <w:t>Mineral</w:t>
        </w:r>
        <w:r w:rsidR="004176B3">
          <w:rPr>
            <w:rStyle w:val="Hyperlink"/>
            <w:noProof/>
          </w:rPr>
          <w:t>ogy Breakdown</w:t>
        </w:r>
        <w:r w:rsidR="004176B3">
          <w:rPr>
            <w:noProof/>
            <w:webHidden/>
          </w:rPr>
          <w:tab/>
        </w:r>
        <w:r w:rsidR="009D6861">
          <w:rPr>
            <w:noProof/>
            <w:webHidden/>
          </w:rPr>
          <w:t>2</w:t>
        </w:r>
      </w:hyperlink>
      <w:r w:rsidR="00917519">
        <w:rPr>
          <w:noProof/>
        </w:rPr>
        <w:t>2</w:t>
      </w:r>
    </w:p>
    <w:p w:rsidR="00F562AA" w:rsidRPr="004E27FC" w:rsidRDefault="001E1AF0" w:rsidP="00F562AA">
      <w:pPr>
        <w:pStyle w:val="TOC3"/>
        <w:tabs>
          <w:tab w:val="right" w:leader="dot" w:pos="8486"/>
        </w:tabs>
        <w:rPr>
          <w:rFonts w:eastAsiaTheme="minorEastAsia" w:cstheme="minorBidi"/>
          <w:noProof/>
          <w:sz w:val="22"/>
          <w:szCs w:val="22"/>
          <w:lang w:bidi="ar-SA"/>
        </w:rPr>
      </w:pPr>
      <w:hyperlink w:anchor="_Toc315681364" w:history="1">
        <w:r w:rsidR="00F562AA">
          <w:rPr>
            <w:rStyle w:val="Hyperlink"/>
            <w:noProof/>
          </w:rPr>
          <w:t>3.2.4 SEM Segmentation – Watershed</w:t>
        </w:r>
        <w:r w:rsidR="00F562AA">
          <w:rPr>
            <w:noProof/>
            <w:webHidden/>
          </w:rPr>
          <w:tab/>
        </w:r>
      </w:hyperlink>
      <w:r w:rsidR="00253B7D">
        <w:rPr>
          <w:noProof/>
        </w:rPr>
        <w:t>3</w:t>
      </w:r>
      <w:r w:rsidR="00917519">
        <w:rPr>
          <w:noProof/>
        </w:rPr>
        <w:t>0</w:t>
      </w:r>
    </w:p>
    <w:p w:rsidR="000E6FB9" w:rsidRDefault="001E1AF0" w:rsidP="000E6FB9">
      <w:pPr>
        <w:pStyle w:val="TOC2"/>
        <w:tabs>
          <w:tab w:val="right" w:leader="dot" w:pos="8486"/>
        </w:tabs>
        <w:rPr>
          <w:noProof/>
        </w:rPr>
      </w:pPr>
      <w:hyperlink w:anchor="_Toc315681366" w:history="1">
        <w:r w:rsidR="000E6FB9">
          <w:rPr>
            <w:rStyle w:val="Hyperlink"/>
            <w:noProof/>
          </w:rPr>
          <w:t>3.3 Petrophysical Measurements</w:t>
        </w:r>
        <w:r w:rsidR="000E6FB9">
          <w:rPr>
            <w:noProof/>
            <w:webHidden/>
          </w:rPr>
          <w:tab/>
        </w:r>
        <w:r w:rsidR="009D6861">
          <w:rPr>
            <w:noProof/>
            <w:webHidden/>
          </w:rPr>
          <w:t>3</w:t>
        </w:r>
      </w:hyperlink>
      <w:r w:rsidR="00917519">
        <w:rPr>
          <w:noProof/>
        </w:rPr>
        <w:t>2</w:t>
      </w:r>
    </w:p>
    <w:p w:rsidR="000E6FB9" w:rsidRPr="004E27FC" w:rsidRDefault="001E1AF0" w:rsidP="000E6FB9">
      <w:pPr>
        <w:pStyle w:val="TOC3"/>
        <w:tabs>
          <w:tab w:val="right" w:leader="dot" w:pos="8486"/>
        </w:tabs>
        <w:rPr>
          <w:rFonts w:eastAsiaTheme="minorEastAsia" w:cstheme="minorBidi"/>
          <w:noProof/>
          <w:sz w:val="22"/>
          <w:szCs w:val="22"/>
          <w:lang w:bidi="ar-SA"/>
        </w:rPr>
      </w:pPr>
      <w:hyperlink w:anchor="_Toc315681364" w:history="1">
        <w:r w:rsidR="000E6FB9">
          <w:rPr>
            <w:rStyle w:val="Hyperlink"/>
            <w:noProof/>
          </w:rPr>
          <w:t xml:space="preserve">3.3.1 </w:t>
        </w:r>
        <w:r w:rsidR="00A76121">
          <w:rPr>
            <w:rStyle w:val="Hyperlink"/>
            <w:noProof/>
          </w:rPr>
          <w:t>Crushed helium</w:t>
        </w:r>
        <w:r w:rsidR="000E6FB9">
          <w:rPr>
            <w:rStyle w:val="Hyperlink"/>
            <w:noProof/>
          </w:rPr>
          <w:t xml:space="preserve"> Porosity Measurements</w:t>
        </w:r>
        <w:r w:rsidR="000E6FB9">
          <w:rPr>
            <w:noProof/>
            <w:webHidden/>
          </w:rPr>
          <w:tab/>
        </w:r>
        <w:r w:rsidR="009D6861">
          <w:rPr>
            <w:noProof/>
            <w:webHidden/>
          </w:rPr>
          <w:t>3</w:t>
        </w:r>
      </w:hyperlink>
      <w:r w:rsidR="00917519">
        <w:rPr>
          <w:noProof/>
        </w:rPr>
        <w:t>2</w:t>
      </w:r>
    </w:p>
    <w:p w:rsidR="000E6FB9" w:rsidRPr="004E27FC" w:rsidRDefault="001E1AF0" w:rsidP="000E6FB9">
      <w:pPr>
        <w:pStyle w:val="TOC3"/>
        <w:tabs>
          <w:tab w:val="right" w:leader="dot" w:pos="8486"/>
        </w:tabs>
        <w:rPr>
          <w:rFonts w:eastAsiaTheme="minorEastAsia" w:cstheme="minorBidi"/>
          <w:noProof/>
          <w:sz w:val="22"/>
          <w:szCs w:val="22"/>
          <w:lang w:bidi="ar-SA"/>
        </w:rPr>
      </w:pPr>
      <w:hyperlink w:anchor="_Toc315681364" w:history="1">
        <w:r w:rsidR="000E6FB9">
          <w:rPr>
            <w:rStyle w:val="Hyperlink"/>
            <w:noProof/>
          </w:rPr>
          <w:t>3.3.2 Total Organic Carbon (TOC) Measurements</w:t>
        </w:r>
        <w:r w:rsidR="000E6FB9">
          <w:rPr>
            <w:noProof/>
            <w:webHidden/>
          </w:rPr>
          <w:tab/>
        </w:r>
        <w:r w:rsidR="009D6861">
          <w:rPr>
            <w:noProof/>
            <w:webHidden/>
          </w:rPr>
          <w:t>3</w:t>
        </w:r>
      </w:hyperlink>
      <w:r w:rsidR="00917519">
        <w:rPr>
          <w:noProof/>
        </w:rPr>
        <w:t>3</w:t>
      </w:r>
    </w:p>
    <w:p w:rsidR="000E6FB9" w:rsidRPr="004E27FC" w:rsidRDefault="001E1AF0" w:rsidP="000E6FB9">
      <w:pPr>
        <w:pStyle w:val="TOC3"/>
        <w:tabs>
          <w:tab w:val="right" w:leader="dot" w:pos="8486"/>
        </w:tabs>
        <w:rPr>
          <w:rFonts w:eastAsiaTheme="minorEastAsia" w:cstheme="minorBidi"/>
          <w:noProof/>
          <w:sz w:val="22"/>
          <w:szCs w:val="22"/>
          <w:lang w:bidi="ar-SA"/>
        </w:rPr>
      </w:pPr>
      <w:hyperlink w:anchor="_Toc315681364" w:history="1">
        <w:r w:rsidR="000E6FB9">
          <w:rPr>
            <w:rStyle w:val="Hyperlink"/>
            <w:noProof/>
          </w:rPr>
          <w:t xml:space="preserve">3.3.3 FTIR </w:t>
        </w:r>
        <w:r w:rsidR="004621CD">
          <w:rPr>
            <w:rStyle w:val="Hyperlink"/>
            <w:noProof/>
          </w:rPr>
          <w:t>Mineral</w:t>
        </w:r>
        <w:r w:rsidR="000E6FB9">
          <w:rPr>
            <w:rStyle w:val="Hyperlink"/>
            <w:noProof/>
          </w:rPr>
          <w:t>ogy Measurements</w:t>
        </w:r>
        <w:r w:rsidR="000E6FB9">
          <w:rPr>
            <w:noProof/>
            <w:webHidden/>
          </w:rPr>
          <w:tab/>
          <w:t>3</w:t>
        </w:r>
      </w:hyperlink>
      <w:r w:rsidR="00917519">
        <w:rPr>
          <w:noProof/>
        </w:rPr>
        <w:t>3</w:t>
      </w:r>
    </w:p>
    <w:p w:rsidR="000E6FB9" w:rsidRDefault="001E1AF0" w:rsidP="000E6FB9">
      <w:pPr>
        <w:pStyle w:val="TOC3"/>
        <w:tabs>
          <w:tab w:val="right" w:leader="dot" w:pos="8486"/>
        </w:tabs>
        <w:rPr>
          <w:noProof/>
        </w:rPr>
      </w:pPr>
      <w:hyperlink w:anchor="_Toc315681364" w:history="1">
        <w:r w:rsidR="000E6FB9">
          <w:rPr>
            <w:rStyle w:val="Hyperlink"/>
            <w:noProof/>
          </w:rPr>
          <w:t>3.3.4 Mercury Injection Capilary Pressure (MICP) Measurements</w:t>
        </w:r>
        <w:r w:rsidR="000E6FB9">
          <w:rPr>
            <w:noProof/>
            <w:webHidden/>
          </w:rPr>
          <w:tab/>
          <w:t>3</w:t>
        </w:r>
      </w:hyperlink>
      <w:r w:rsidR="00917519">
        <w:rPr>
          <w:noProof/>
        </w:rPr>
        <w:t>4</w:t>
      </w:r>
    </w:p>
    <w:p w:rsidR="000E6FB9" w:rsidRPr="004E27FC" w:rsidRDefault="001E1AF0" w:rsidP="000E6FB9">
      <w:pPr>
        <w:pStyle w:val="TOC3"/>
        <w:tabs>
          <w:tab w:val="right" w:leader="dot" w:pos="8486"/>
        </w:tabs>
        <w:rPr>
          <w:rFonts w:eastAsiaTheme="minorEastAsia" w:cstheme="minorBidi"/>
          <w:noProof/>
          <w:sz w:val="22"/>
          <w:szCs w:val="22"/>
          <w:lang w:bidi="ar-SA"/>
        </w:rPr>
      </w:pPr>
      <w:hyperlink w:anchor="_Toc315681364" w:history="1">
        <w:r w:rsidR="000E6FB9">
          <w:rPr>
            <w:rStyle w:val="Hyperlink"/>
            <w:noProof/>
          </w:rPr>
          <w:t>3.3.5 Nuclear Magnetic Resonance (NMR) Measurements</w:t>
        </w:r>
        <w:r w:rsidR="000E6FB9">
          <w:rPr>
            <w:noProof/>
            <w:webHidden/>
          </w:rPr>
          <w:tab/>
          <w:t>3</w:t>
        </w:r>
      </w:hyperlink>
      <w:r w:rsidR="00917519">
        <w:rPr>
          <w:noProof/>
        </w:rPr>
        <w:t>5</w:t>
      </w:r>
    </w:p>
    <w:p w:rsidR="000E6FB9" w:rsidRPr="004E27FC" w:rsidRDefault="001E1AF0" w:rsidP="000E6FB9">
      <w:pPr>
        <w:pStyle w:val="TOC3"/>
        <w:tabs>
          <w:tab w:val="right" w:leader="dot" w:pos="8486"/>
        </w:tabs>
        <w:rPr>
          <w:rFonts w:eastAsiaTheme="minorEastAsia" w:cstheme="minorBidi"/>
          <w:noProof/>
          <w:sz w:val="22"/>
          <w:szCs w:val="22"/>
          <w:lang w:bidi="ar-SA"/>
        </w:rPr>
      </w:pPr>
      <w:hyperlink w:anchor="_Toc315681364" w:history="1">
        <w:r w:rsidR="000E6FB9">
          <w:rPr>
            <w:rStyle w:val="Hyperlink"/>
            <w:noProof/>
          </w:rPr>
          <w:t>3.3.6 Overview – Petrophysical Measurements</w:t>
        </w:r>
        <w:r w:rsidR="000E6FB9">
          <w:rPr>
            <w:noProof/>
            <w:webHidden/>
          </w:rPr>
          <w:tab/>
          <w:t>3</w:t>
        </w:r>
      </w:hyperlink>
      <w:r w:rsidR="00917519">
        <w:rPr>
          <w:noProof/>
        </w:rPr>
        <w:t>6</w:t>
      </w:r>
    </w:p>
    <w:p w:rsidR="000E6FB9" w:rsidRDefault="001E1AF0" w:rsidP="000E6FB9">
      <w:pPr>
        <w:pStyle w:val="TOC1"/>
        <w:rPr>
          <w:rFonts w:eastAsiaTheme="minorEastAsia" w:cstheme="minorBidi"/>
          <w:noProof/>
          <w:sz w:val="22"/>
          <w:szCs w:val="22"/>
          <w:lang w:bidi="ar-SA"/>
        </w:rPr>
      </w:pPr>
      <w:hyperlink w:anchor="_Toc315681362" w:history="1">
        <w:r w:rsidR="000E6FB9" w:rsidRPr="008F2F88">
          <w:rPr>
            <w:rStyle w:val="Hyperlink"/>
            <w:noProof/>
          </w:rPr>
          <w:t xml:space="preserve">Chapter </w:t>
        </w:r>
        <w:r w:rsidR="000E6FB9">
          <w:rPr>
            <w:rStyle w:val="Hyperlink"/>
            <w:noProof/>
          </w:rPr>
          <w:t>4</w:t>
        </w:r>
        <w:r w:rsidR="006E6C3A">
          <w:rPr>
            <w:rStyle w:val="Hyperlink"/>
            <w:noProof/>
          </w:rPr>
          <w:t>:</w:t>
        </w:r>
        <w:r w:rsidR="000E6FB9">
          <w:rPr>
            <w:rStyle w:val="Hyperlink"/>
            <w:noProof/>
          </w:rPr>
          <w:t xml:space="preserve"> Results and Discussion</w:t>
        </w:r>
        <w:r w:rsidR="000E6FB9">
          <w:rPr>
            <w:noProof/>
            <w:webHidden/>
          </w:rPr>
          <w:tab/>
        </w:r>
        <w:r w:rsidR="009D6861">
          <w:rPr>
            <w:noProof/>
            <w:webHidden/>
          </w:rPr>
          <w:t>3</w:t>
        </w:r>
      </w:hyperlink>
      <w:r w:rsidR="00917519">
        <w:rPr>
          <w:noProof/>
        </w:rPr>
        <w:t>8</w:t>
      </w:r>
    </w:p>
    <w:p w:rsidR="00B35B16" w:rsidRDefault="001E1AF0" w:rsidP="00B35B16">
      <w:pPr>
        <w:pStyle w:val="TOC2"/>
        <w:tabs>
          <w:tab w:val="right" w:leader="dot" w:pos="8486"/>
        </w:tabs>
        <w:rPr>
          <w:noProof/>
        </w:rPr>
      </w:pPr>
      <w:hyperlink w:anchor="_Toc315681366" w:history="1">
        <w:r w:rsidR="00B35B16">
          <w:rPr>
            <w:rStyle w:val="Hyperlink"/>
            <w:noProof/>
          </w:rPr>
          <w:t>4.1 Pore and Organic Matter</w:t>
        </w:r>
        <w:r w:rsidR="00B35B16">
          <w:rPr>
            <w:noProof/>
            <w:webHidden/>
          </w:rPr>
          <w:tab/>
        </w:r>
        <w:r w:rsidR="009D6861">
          <w:rPr>
            <w:noProof/>
            <w:webHidden/>
          </w:rPr>
          <w:t>3</w:t>
        </w:r>
      </w:hyperlink>
      <w:r w:rsidR="00917519">
        <w:rPr>
          <w:noProof/>
        </w:rPr>
        <w:t>8</w:t>
      </w:r>
    </w:p>
    <w:p w:rsidR="00A74EDA" w:rsidRPr="004E27FC" w:rsidRDefault="001E1AF0" w:rsidP="00A74EDA">
      <w:pPr>
        <w:pStyle w:val="TOC3"/>
        <w:tabs>
          <w:tab w:val="right" w:leader="dot" w:pos="8486"/>
        </w:tabs>
        <w:rPr>
          <w:rFonts w:eastAsiaTheme="minorEastAsia" w:cstheme="minorBidi"/>
          <w:noProof/>
          <w:sz w:val="22"/>
          <w:szCs w:val="22"/>
          <w:lang w:bidi="ar-SA"/>
        </w:rPr>
      </w:pPr>
      <w:hyperlink w:anchor="_Toc315681364" w:history="1">
        <w:r w:rsidR="00A74EDA">
          <w:rPr>
            <w:rStyle w:val="Hyperlink"/>
            <w:noProof/>
          </w:rPr>
          <w:t>4.1.1 Representative Elementary Area</w:t>
        </w:r>
        <w:r w:rsidR="00A74EDA">
          <w:rPr>
            <w:noProof/>
            <w:webHidden/>
          </w:rPr>
          <w:tab/>
        </w:r>
        <w:r w:rsidR="009D6861">
          <w:rPr>
            <w:noProof/>
            <w:webHidden/>
          </w:rPr>
          <w:t>3</w:t>
        </w:r>
      </w:hyperlink>
      <w:r w:rsidR="00917519">
        <w:rPr>
          <w:noProof/>
        </w:rPr>
        <w:t>8</w:t>
      </w:r>
    </w:p>
    <w:p w:rsidR="00A74EDA" w:rsidRPr="004E27FC" w:rsidRDefault="001E1AF0" w:rsidP="00A74EDA">
      <w:pPr>
        <w:pStyle w:val="TOC3"/>
        <w:tabs>
          <w:tab w:val="right" w:leader="dot" w:pos="8486"/>
        </w:tabs>
        <w:rPr>
          <w:rFonts w:eastAsiaTheme="minorEastAsia" w:cstheme="minorBidi"/>
          <w:noProof/>
          <w:sz w:val="22"/>
          <w:szCs w:val="22"/>
          <w:lang w:bidi="ar-SA"/>
        </w:rPr>
      </w:pPr>
      <w:hyperlink w:anchor="_Toc315681364" w:history="1">
        <w:r w:rsidR="00A74EDA">
          <w:rPr>
            <w:rStyle w:val="Hyperlink"/>
            <w:noProof/>
          </w:rPr>
          <w:t>4.1.2 Pore and Organic Matter Size Distribution</w:t>
        </w:r>
        <w:r w:rsidR="00A74EDA">
          <w:rPr>
            <w:noProof/>
            <w:webHidden/>
          </w:rPr>
          <w:tab/>
        </w:r>
        <w:r w:rsidR="009D6861">
          <w:rPr>
            <w:noProof/>
            <w:webHidden/>
          </w:rPr>
          <w:t>4</w:t>
        </w:r>
      </w:hyperlink>
      <w:r w:rsidR="00917519">
        <w:rPr>
          <w:noProof/>
        </w:rPr>
        <w:t>3</w:t>
      </w:r>
    </w:p>
    <w:p w:rsidR="00A74EDA" w:rsidRPr="004E27FC" w:rsidRDefault="001E1AF0" w:rsidP="00A74EDA">
      <w:pPr>
        <w:pStyle w:val="TOC3"/>
        <w:tabs>
          <w:tab w:val="right" w:leader="dot" w:pos="8486"/>
        </w:tabs>
        <w:rPr>
          <w:rFonts w:eastAsiaTheme="minorEastAsia" w:cstheme="minorBidi"/>
          <w:noProof/>
          <w:sz w:val="22"/>
          <w:szCs w:val="22"/>
          <w:lang w:bidi="ar-SA"/>
        </w:rPr>
      </w:pPr>
      <w:hyperlink w:anchor="_Toc315681364" w:history="1">
        <w:r w:rsidR="00A74EDA">
          <w:rPr>
            <w:rStyle w:val="Hyperlink"/>
            <w:noProof/>
          </w:rPr>
          <w:t>4.1.3 Imaging Data versus Petrophysical Data (</w:t>
        </w:r>
        <w:r w:rsidR="00A76121">
          <w:rPr>
            <w:rStyle w:val="Hyperlink"/>
            <w:noProof/>
          </w:rPr>
          <w:t>Crushed helium</w:t>
        </w:r>
        <w:r w:rsidR="00A74EDA">
          <w:rPr>
            <w:rStyle w:val="Hyperlink"/>
            <w:noProof/>
          </w:rPr>
          <w:t xml:space="preserve"> Porosity and TOC)</w:t>
        </w:r>
        <w:r w:rsidR="00A74EDA">
          <w:rPr>
            <w:noProof/>
            <w:webHidden/>
          </w:rPr>
          <w:tab/>
        </w:r>
      </w:hyperlink>
      <w:r w:rsidR="00917519">
        <w:rPr>
          <w:noProof/>
        </w:rPr>
        <w:t>49</w:t>
      </w:r>
    </w:p>
    <w:p w:rsidR="00A74EDA" w:rsidRPr="004E27FC" w:rsidRDefault="001E1AF0" w:rsidP="00A74EDA">
      <w:pPr>
        <w:pStyle w:val="TOC3"/>
        <w:tabs>
          <w:tab w:val="right" w:leader="dot" w:pos="8486"/>
        </w:tabs>
        <w:rPr>
          <w:rFonts w:eastAsiaTheme="minorEastAsia" w:cstheme="minorBidi"/>
          <w:noProof/>
          <w:sz w:val="22"/>
          <w:szCs w:val="22"/>
          <w:lang w:bidi="ar-SA"/>
        </w:rPr>
      </w:pPr>
      <w:hyperlink w:anchor="_Toc315681364" w:history="1">
        <w:r w:rsidR="00A74EDA">
          <w:rPr>
            <w:rStyle w:val="Hyperlink"/>
            <w:noProof/>
          </w:rPr>
          <w:t>4.1.4 Imaging Data versus Mercury Injection Data</w:t>
        </w:r>
        <w:r w:rsidR="00A74EDA">
          <w:rPr>
            <w:noProof/>
            <w:webHidden/>
          </w:rPr>
          <w:tab/>
        </w:r>
        <w:r w:rsidR="009D6861">
          <w:rPr>
            <w:noProof/>
            <w:webHidden/>
          </w:rPr>
          <w:t>5</w:t>
        </w:r>
      </w:hyperlink>
      <w:r w:rsidR="00917519">
        <w:rPr>
          <w:noProof/>
        </w:rPr>
        <w:t>3</w:t>
      </w:r>
    </w:p>
    <w:p w:rsidR="00A74EDA" w:rsidRPr="004E27FC" w:rsidRDefault="001E1AF0" w:rsidP="00A74EDA">
      <w:pPr>
        <w:pStyle w:val="TOC3"/>
        <w:tabs>
          <w:tab w:val="right" w:leader="dot" w:pos="8486"/>
        </w:tabs>
        <w:rPr>
          <w:rFonts w:eastAsiaTheme="minorEastAsia" w:cstheme="minorBidi"/>
          <w:noProof/>
          <w:sz w:val="22"/>
          <w:szCs w:val="22"/>
          <w:lang w:bidi="ar-SA"/>
        </w:rPr>
      </w:pPr>
      <w:hyperlink w:anchor="_Toc315681364" w:history="1">
        <w:r w:rsidR="00A74EDA">
          <w:rPr>
            <w:rStyle w:val="Hyperlink"/>
            <w:noProof/>
          </w:rPr>
          <w:t>4.1.5 Imaging Data versus NMR Data</w:t>
        </w:r>
        <w:r w:rsidR="00A74EDA">
          <w:rPr>
            <w:noProof/>
            <w:webHidden/>
          </w:rPr>
          <w:tab/>
        </w:r>
        <w:r w:rsidR="009D6861">
          <w:rPr>
            <w:noProof/>
            <w:webHidden/>
          </w:rPr>
          <w:t>5</w:t>
        </w:r>
      </w:hyperlink>
      <w:r w:rsidR="00917519">
        <w:rPr>
          <w:noProof/>
        </w:rPr>
        <w:t>8</w:t>
      </w:r>
    </w:p>
    <w:p w:rsidR="00A74EDA" w:rsidRDefault="001E1AF0" w:rsidP="00A74EDA">
      <w:pPr>
        <w:pStyle w:val="TOC2"/>
        <w:tabs>
          <w:tab w:val="right" w:leader="dot" w:pos="8486"/>
        </w:tabs>
        <w:rPr>
          <w:noProof/>
        </w:rPr>
      </w:pPr>
      <w:hyperlink w:anchor="_Toc315681366" w:history="1">
        <w:r w:rsidR="00A74EDA">
          <w:rPr>
            <w:rStyle w:val="Hyperlink"/>
            <w:noProof/>
          </w:rPr>
          <w:t xml:space="preserve">4.2 </w:t>
        </w:r>
        <w:r w:rsidR="004621CD">
          <w:rPr>
            <w:rStyle w:val="Hyperlink"/>
            <w:noProof/>
          </w:rPr>
          <w:t>Mineral</w:t>
        </w:r>
        <w:r w:rsidR="00A74EDA">
          <w:rPr>
            <w:rStyle w:val="Hyperlink"/>
            <w:noProof/>
          </w:rPr>
          <w:t xml:space="preserve"> Grain Size Distribution</w:t>
        </w:r>
        <w:r w:rsidR="00A74EDA">
          <w:rPr>
            <w:noProof/>
            <w:webHidden/>
          </w:rPr>
          <w:tab/>
        </w:r>
      </w:hyperlink>
      <w:r w:rsidR="006D7069">
        <w:rPr>
          <w:noProof/>
        </w:rPr>
        <w:t>6</w:t>
      </w:r>
      <w:r w:rsidR="00917519">
        <w:rPr>
          <w:noProof/>
        </w:rPr>
        <w:t>1</w:t>
      </w:r>
    </w:p>
    <w:p w:rsidR="00A74EDA" w:rsidRPr="004E27FC" w:rsidRDefault="001E1AF0" w:rsidP="00A74EDA">
      <w:pPr>
        <w:pStyle w:val="TOC3"/>
        <w:tabs>
          <w:tab w:val="right" w:leader="dot" w:pos="8486"/>
        </w:tabs>
        <w:rPr>
          <w:rFonts w:eastAsiaTheme="minorEastAsia" w:cstheme="minorBidi"/>
          <w:noProof/>
          <w:sz w:val="22"/>
          <w:szCs w:val="22"/>
          <w:lang w:bidi="ar-SA"/>
        </w:rPr>
      </w:pPr>
      <w:hyperlink w:anchor="_Toc315681364" w:history="1">
        <w:r w:rsidR="006D7069">
          <w:rPr>
            <w:rStyle w:val="Hyperlink"/>
            <w:noProof/>
          </w:rPr>
          <w:t>4.2</w:t>
        </w:r>
        <w:r w:rsidR="00A74EDA">
          <w:rPr>
            <w:rStyle w:val="Hyperlink"/>
            <w:noProof/>
          </w:rPr>
          <w:t>.1 Representative Elementary Area</w:t>
        </w:r>
        <w:r w:rsidR="00A74EDA">
          <w:rPr>
            <w:noProof/>
            <w:webHidden/>
          </w:rPr>
          <w:tab/>
        </w:r>
      </w:hyperlink>
      <w:r w:rsidR="006D7069">
        <w:rPr>
          <w:noProof/>
        </w:rPr>
        <w:t>6</w:t>
      </w:r>
      <w:r w:rsidR="00917519">
        <w:rPr>
          <w:noProof/>
        </w:rPr>
        <w:t>1</w:t>
      </w:r>
    </w:p>
    <w:bookmarkStart w:id="2" w:name="OLE_LINK83"/>
    <w:p w:rsidR="00A74EDA" w:rsidRDefault="006D7069" w:rsidP="00A74EDA">
      <w:pPr>
        <w:pStyle w:val="TOC3"/>
        <w:tabs>
          <w:tab w:val="right" w:leader="dot" w:pos="8486"/>
        </w:tabs>
        <w:rPr>
          <w:noProof/>
        </w:rPr>
      </w:pPr>
      <w:r>
        <w:fldChar w:fldCharType="begin"/>
      </w:r>
      <w:r>
        <w:instrText xml:space="preserve"> HYPERLINK \l "_Toc315681364" </w:instrText>
      </w:r>
      <w:r>
        <w:fldChar w:fldCharType="separate"/>
      </w:r>
      <w:r>
        <w:rPr>
          <w:rStyle w:val="Hyperlink"/>
          <w:noProof/>
        </w:rPr>
        <w:t>4.2</w:t>
      </w:r>
      <w:r w:rsidR="00A74EDA">
        <w:rPr>
          <w:rStyle w:val="Hyperlink"/>
          <w:noProof/>
        </w:rPr>
        <w:t>.2 Grain Size Distribution</w:t>
      </w:r>
      <w:r w:rsidR="00A74EDA">
        <w:rPr>
          <w:noProof/>
          <w:webHidden/>
        </w:rPr>
        <w:tab/>
      </w:r>
      <w:r w:rsidR="009D6861">
        <w:rPr>
          <w:noProof/>
          <w:webHidden/>
        </w:rPr>
        <w:t>6</w:t>
      </w:r>
      <w:r>
        <w:rPr>
          <w:noProof/>
        </w:rPr>
        <w:fldChar w:fldCharType="end"/>
      </w:r>
      <w:r w:rsidR="00917519">
        <w:rPr>
          <w:noProof/>
        </w:rPr>
        <w:t>7</w:t>
      </w:r>
    </w:p>
    <w:p w:rsidR="006D7069" w:rsidRPr="006D7069" w:rsidRDefault="001E1AF0" w:rsidP="006D7069">
      <w:pPr>
        <w:pStyle w:val="TOC3"/>
        <w:tabs>
          <w:tab w:val="right" w:leader="dot" w:pos="8486"/>
        </w:tabs>
        <w:rPr>
          <w:rFonts w:eastAsiaTheme="minorEastAsia" w:cstheme="minorBidi"/>
          <w:noProof/>
          <w:sz w:val="22"/>
          <w:szCs w:val="22"/>
          <w:lang w:bidi="ar-SA"/>
        </w:rPr>
      </w:pPr>
      <w:hyperlink w:anchor="_Toc315681364" w:history="1">
        <w:r w:rsidR="006D7069">
          <w:rPr>
            <w:rStyle w:val="Hyperlink"/>
            <w:noProof/>
          </w:rPr>
          <w:t>4.2.3 Clay Grains Alignment</w:t>
        </w:r>
        <w:r w:rsidR="006D7069">
          <w:rPr>
            <w:noProof/>
            <w:webHidden/>
          </w:rPr>
          <w:tab/>
        </w:r>
      </w:hyperlink>
      <w:r w:rsidR="006D7069">
        <w:rPr>
          <w:noProof/>
        </w:rPr>
        <w:t>7</w:t>
      </w:r>
      <w:r w:rsidR="00917519">
        <w:rPr>
          <w:noProof/>
        </w:rPr>
        <w:t>6</w:t>
      </w:r>
    </w:p>
    <w:bookmarkEnd w:id="2"/>
    <w:p w:rsidR="00A74EDA" w:rsidRDefault="006D7069" w:rsidP="00A74EDA">
      <w:pPr>
        <w:pStyle w:val="TOC1"/>
        <w:rPr>
          <w:rFonts w:eastAsiaTheme="minorEastAsia" w:cstheme="minorBidi"/>
          <w:noProof/>
          <w:sz w:val="22"/>
          <w:szCs w:val="22"/>
          <w:lang w:bidi="ar-SA"/>
        </w:rPr>
      </w:pPr>
      <w:r>
        <w:fldChar w:fldCharType="begin"/>
      </w:r>
      <w:r>
        <w:instrText xml:space="preserve"> HYPERLINK \l "_Toc315681362" </w:instrText>
      </w:r>
      <w:r>
        <w:fldChar w:fldCharType="separate"/>
      </w:r>
      <w:r w:rsidR="00A74EDA" w:rsidRPr="008F2F88">
        <w:rPr>
          <w:rStyle w:val="Hyperlink"/>
          <w:noProof/>
        </w:rPr>
        <w:t xml:space="preserve">Chapter </w:t>
      </w:r>
      <w:r w:rsidR="00A74EDA">
        <w:rPr>
          <w:rStyle w:val="Hyperlink"/>
          <w:noProof/>
        </w:rPr>
        <w:t>5</w:t>
      </w:r>
      <w:r w:rsidR="006E6C3A">
        <w:rPr>
          <w:rStyle w:val="Hyperlink"/>
          <w:noProof/>
        </w:rPr>
        <w:t>:</w:t>
      </w:r>
      <w:r w:rsidR="00A74EDA">
        <w:rPr>
          <w:rStyle w:val="Hyperlink"/>
          <w:noProof/>
        </w:rPr>
        <w:t xml:space="preserve"> Conclusion</w:t>
      </w:r>
      <w:r w:rsidR="00A74EDA">
        <w:rPr>
          <w:noProof/>
          <w:webHidden/>
        </w:rPr>
        <w:tab/>
      </w:r>
      <w:r w:rsidR="009D6861">
        <w:rPr>
          <w:noProof/>
          <w:webHidden/>
        </w:rPr>
        <w:t>7</w:t>
      </w:r>
      <w:r>
        <w:rPr>
          <w:noProof/>
        </w:rPr>
        <w:fldChar w:fldCharType="end"/>
      </w:r>
      <w:r w:rsidR="00304DD5">
        <w:rPr>
          <w:noProof/>
        </w:rPr>
        <w:t>8</w:t>
      </w:r>
    </w:p>
    <w:p w:rsidR="00A74EDA" w:rsidRDefault="001E1AF0" w:rsidP="00A74EDA">
      <w:pPr>
        <w:pStyle w:val="TOC2"/>
        <w:tabs>
          <w:tab w:val="right" w:leader="dot" w:pos="8486"/>
        </w:tabs>
        <w:rPr>
          <w:noProof/>
        </w:rPr>
      </w:pPr>
      <w:hyperlink w:anchor="_Toc315681366" w:history="1">
        <w:r w:rsidR="006D7069">
          <w:rPr>
            <w:rStyle w:val="Hyperlink"/>
            <w:noProof/>
          </w:rPr>
          <w:t>5.1 Significance</w:t>
        </w:r>
        <w:r w:rsidR="00304DD5">
          <w:rPr>
            <w:rStyle w:val="Hyperlink"/>
            <w:noProof/>
          </w:rPr>
          <w:t xml:space="preserve"> and Contribution</w:t>
        </w:r>
        <w:r w:rsidR="00A74EDA">
          <w:rPr>
            <w:noProof/>
            <w:webHidden/>
          </w:rPr>
          <w:tab/>
        </w:r>
        <w:r w:rsidR="009D6861">
          <w:rPr>
            <w:noProof/>
            <w:webHidden/>
          </w:rPr>
          <w:t>7</w:t>
        </w:r>
      </w:hyperlink>
      <w:r w:rsidR="00917519">
        <w:rPr>
          <w:noProof/>
        </w:rPr>
        <w:t>8</w:t>
      </w:r>
    </w:p>
    <w:p w:rsidR="00A74EDA" w:rsidRDefault="001E1AF0" w:rsidP="00A74EDA">
      <w:pPr>
        <w:pStyle w:val="TOC2"/>
        <w:tabs>
          <w:tab w:val="right" w:leader="dot" w:pos="8486"/>
        </w:tabs>
        <w:rPr>
          <w:noProof/>
        </w:rPr>
      </w:pPr>
      <w:hyperlink w:anchor="_Toc315681366" w:history="1">
        <w:r w:rsidR="006D7069">
          <w:rPr>
            <w:rStyle w:val="Hyperlink"/>
            <w:noProof/>
          </w:rPr>
          <w:t>5.2 Conclusion</w:t>
        </w:r>
        <w:r w:rsidR="00A74EDA">
          <w:rPr>
            <w:noProof/>
            <w:webHidden/>
          </w:rPr>
          <w:tab/>
        </w:r>
      </w:hyperlink>
      <w:r w:rsidR="00917519">
        <w:rPr>
          <w:noProof/>
        </w:rPr>
        <w:t>79</w:t>
      </w:r>
    </w:p>
    <w:p w:rsidR="000E6FB9" w:rsidRDefault="001E1AF0" w:rsidP="00A74EDA">
      <w:pPr>
        <w:pStyle w:val="TOC2"/>
        <w:tabs>
          <w:tab w:val="right" w:leader="dot" w:pos="8486"/>
        </w:tabs>
        <w:rPr>
          <w:noProof/>
        </w:rPr>
      </w:pPr>
      <w:hyperlink w:anchor="_Toc315681366" w:history="1">
        <w:r w:rsidR="006D7069">
          <w:rPr>
            <w:rStyle w:val="Hyperlink"/>
            <w:noProof/>
          </w:rPr>
          <w:t>5.3 Limitation of the Study</w:t>
        </w:r>
        <w:r w:rsidR="00A74EDA">
          <w:rPr>
            <w:noProof/>
            <w:webHidden/>
          </w:rPr>
          <w:tab/>
        </w:r>
      </w:hyperlink>
      <w:r w:rsidR="00253B7D">
        <w:rPr>
          <w:noProof/>
        </w:rPr>
        <w:t>8</w:t>
      </w:r>
      <w:r w:rsidR="00917519">
        <w:rPr>
          <w:noProof/>
        </w:rPr>
        <w:t>1</w:t>
      </w:r>
    </w:p>
    <w:p w:rsidR="00304DD5" w:rsidRPr="00304DD5" w:rsidRDefault="001E1AF0" w:rsidP="00304DD5">
      <w:pPr>
        <w:pStyle w:val="TOC2"/>
        <w:tabs>
          <w:tab w:val="right" w:leader="dot" w:pos="8486"/>
        </w:tabs>
        <w:rPr>
          <w:noProof/>
        </w:rPr>
      </w:pPr>
      <w:hyperlink w:anchor="_Toc315681366" w:history="1">
        <w:r w:rsidR="00304DD5">
          <w:rPr>
            <w:rStyle w:val="Hyperlink"/>
            <w:noProof/>
          </w:rPr>
          <w:t>5.4 Acknowledgements</w:t>
        </w:r>
        <w:r w:rsidR="00304DD5">
          <w:rPr>
            <w:noProof/>
            <w:webHidden/>
          </w:rPr>
          <w:tab/>
        </w:r>
      </w:hyperlink>
      <w:r w:rsidR="00304DD5">
        <w:rPr>
          <w:noProof/>
        </w:rPr>
        <w:t>82</w:t>
      </w:r>
    </w:p>
    <w:p w:rsidR="00FC5D6F" w:rsidRDefault="001E1AF0">
      <w:pPr>
        <w:pStyle w:val="TOC1"/>
        <w:rPr>
          <w:rFonts w:eastAsiaTheme="minorEastAsia" w:cstheme="minorBidi"/>
          <w:noProof/>
          <w:sz w:val="22"/>
          <w:szCs w:val="22"/>
          <w:lang w:bidi="ar-SA"/>
        </w:rPr>
      </w:pPr>
      <w:hyperlink w:anchor="_Toc315681371" w:history="1">
        <w:r w:rsidR="00FC5D6F" w:rsidRPr="008F2F88">
          <w:rPr>
            <w:rStyle w:val="Hyperlink"/>
            <w:noProof/>
          </w:rPr>
          <w:t>References</w:t>
        </w:r>
        <w:r w:rsidR="00FC5D6F">
          <w:rPr>
            <w:noProof/>
            <w:webHidden/>
          </w:rPr>
          <w:tab/>
        </w:r>
      </w:hyperlink>
      <w:r w:rsidR="00253B7D">
        <w:rPr>
          <w:noProof/>
        </w:rPr>
        <w:t>8</w:t>
      </w:r>
      <w:r w:rsidR="00304DD5">
        <w:rPr>
          <w:noProof/>
        </w:rPr>
        <w:t>3</w:t>
      </w:r>
    </w:p>
    <w:p w:rsidR="00DA1971" w:rsidRDefault="00AA4AED" w:rsidP="00DA1971">
      <w:r>
        <w:fldChar w:fldCharType="end"/>
      </w:r>
    </w:p>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6D7069" w:rsidRDefault="006D7069" w:rsidP="00DA1971"/>
    <w:p w:rsidR="00304DD5" w:rsidRDefault="00304DD5" w:rsidP="00304DD5">
      <w:pPr>
        <w:pStyle w:val="TableofFigures"/>
        <w:tabs>
          <w:tab w:val="right" w:leader="dot" w:pos="8486"/>
        </w:tabs>
      </w:pPr>
    </w:p>
    <w:p w:rsidR="00304DD5" w:rsidRPr="00304DD5" w:rsidRDefault="00304DD5" w:rsidP="00304DD5"/>
    <w:p w:rsidR="00304DD5" w:rsidRDefault="00304DD5" w:rsidP="00304DD5">
      <w:pPr>
        <w:pStyle w:val="Title"/>
      </w:pPr>
      <w:r>
        <w:t>List of Tables</w:t>
      </w:r>
    </w:p>
    <w:p w:rsidR="00304DD5" w:rsidRDefault="00304DD5" w:rsidP="00304DD5">
      <w:pPr>
        <w:pStyle w:val="TableofFigures"/>
        <w:tabs>
          <w:tab w:val="right" w:leader="dot" w:pos="8486"/>
        </w:tabs>
        <w:rPr>
          <w:noProof/>
        </w:rPr>
      </w:pPr>
      <w:r w:rsidRPr="00B74AFF">
        <w:fldChar w:fldCharType="begin"/>
      </w:r>
      <w:r w:rsidRPr="00B74AFF">
        <w:instrText xml:space="preserve"> TOC \h \z \c "Table" </w:instrText>
      </w:r>
      <w:r w:rsidRPr="00B74AFF">
        <w:fldChar w:fldCharType="separate"/>
      </w:r>
      <w:hyperlink w:anchor="_Toc315681373" w:history="1">
        <w:r w:rsidRPr="00B74AFF">
          <w:rPr>
            <w:rStyle w:val="Hyperlink"/>
            <w:noProof/>
          </w:rPr>
          <w:t>Table 2.1 Stratigraphy of selected Permian Basin (UNG, 2012)</w:t>
        </w:r>
        <w:r w:rsidRPr="00B74AFF">
          <w:rPr>
            <w:noProof/>
            <w:webHidden/>
          </w:rPr>
          <w:tab/>
        </w:r>
      </w:hyperlink>
      <w:r>
        <w:rPr>
          <w:noProof/>
        </w:rPr>
        <w:t>17</w:t>
      </w:r>
    </w:p>
    <w:p w:rsidR="00304DD5" w:rsidRPr="006E18C9" w:rsidRDefault="001E1AF0" w:rsidP="00304DD5">
      <w:pPr>
        <w:pStyle w:val="TableofFigures"/>
        <w:tabs>
          <w:tab w:val="right" w:leader="dot" w:pos="8486"/>
        </w:tabs>
        <w:rPr>
          <w:rFonts w:eastAsiaTheme="minorEastAsia"/>
        </w:rPr>
      </w:pPr>
      <w:hyperlink w:anchor="_Toc315681374" w:history="1">
        <w:r w:rsidR="00304DD5" w:rsidRPr="006E18C9">
          <w:t>Table 3</w:t>
        </w:r>
        <w:r w:rsidR="00304DD5">
          <w:t>.1</w:t>
        </w:r>
        <w:r w:rsidR="00304DD5" w:rsidRPr="006E18C9">
          <w:t xml:space="preserve"> Average threshold values from SEM 8-bit images. The classification of the </w:t>
        </w:r>
        <w:r w:rsidR="00304DD5">
          <w:t>mineral groups</w:t>
        </w:r>
        <w:r w:rsidR="00304DD5" w:rsidRPr="006E18C9">
          <w:t xml:space="preserve"> can be seen at 3.2.3</w:t>
        </w:r>
        <w:r w:rsidR="00304DD5" w:rsidRPr="00B74AFF">
          <w:rPr>
            <w:noProof/>
            <w:webHidden/>
          </w:rPr>
          <w:tab/>
        </w:r>
      </w:hyperlink>
      <w:r w:rsidR="00304DD5">
        <w:rPr>
          <w:noProof/>
        </w:rPr>
        <w:t>21</w:t>
      </w:r>
    </w:p>
    <w:p w:rsidR="00304DD5" w:rsidRPr="00941F3F" w:rsidRDefault="001E1AF0" w:rsidP="00304DD5">
      <w:pPr>
        <w:pStyle w:val="TableofFigures"/>
        <w:tabs>
          <w:tab w:val="right" w:leader="dot" w:pos="8486"/>
        </w:tabs>
        <w:rPr>
          <w:noProof/>
        </w:rPr>
      </w:pPr>
      <w:hyperlink w:anchor="_Toc315681374" w:history="1">
        <w:r w:rsidR="00304DD5" w:rsidRPr="00B74AFF">
          <w:rPr>
            <w:rStyle w:val="Hyperlink"/>
            <w:noProof/>
          </w:rPr>
          <w:t xml:space="preserve">Table 4.1 </w:t>
        </w:r>
        <w:r w:rsidR="00304DD5" w:rsidRPr="00B74AFF">
          <w:t xml:space="preserve">Average areal percentage and REA values for four </w:t>
        </w:r>
        <w:r w:rsidR="00304DD5">
          <w:t>mineral groups</w:t>
        </w:r>
        <w:r w:rsidR="00304DD5" w:rsidRPr="00B74AFF">
          <w:t xml:space="preserve"> of the selected seven samples</w:t>
        </w:r>
        <w:r w:rsidR="00304DD5" w:rsidRPr="00B74AFF">
          <w:rPr>
            <w:noProof/>
            <w:webHidden/>
          </w:rPr>
          <w:tab/>
        </w:r>
      </w:hyperlink>
      <w:r w:rsidR="00304DD5">
        <w:rPr>
          <w:noProof/>
        </w:rPr>
        <w:t>67</w:t>
      </w: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Default="00304DD5" w:rsidP="00304DD5">
      <w:pPr>
        <w:rPr>
          <w:rFonts w:eastAsiaTheme="minorEastAsia"/>
        </w:rPr>
      </w:pPr>
    </w:p>
    <w:p w:rsidR="00304DD5" w:rsidRPr="00941F3F" w:rsidRDefault="00304DD5" w:rsidP="00304DD5">
      <w:pPr>
        <w:rPr>
          <w:rFonts w:eastAsiaTheme="minorEastAsia"/>
        </w:rPr>
      </w:pPr>
    </w:p>
    <w:p w:rsidR="009C4FEF" w:rsidRDefault="00304DD5" w:rsidP="00304DD5">
      <w:r w:rsidRPr="00B74AFF">
        <w:lastRenderedPageBreak/>
        <w:fldChar w:fldCharType="end"/>
      </w:r>
    </w:p>
    <w:p w:rsidR="00941F3F" w:rsidRDefault="00941F3F" w:rsidP="009C4FEF">
      <w:pPr>
        <w:pStyle w:val="NoSpacing"/>
      </w:pPr>
    </w:p>
    <w:bookmarkStart w:id="3" w:name="_Toc310579466"/>
    <w:bookmarkStart w:id="4" w:name="_Toc315681360"/>
    <w:p w:rsidR="00DA1971" w:rsidRDefault="001E1AF0" w:rsidP="00F63BF0">
      <w:pPr>
        <w:pStyle w:val="Heading1"/>
      </w:pPr>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3"/>
      <w:bookmarkEnd w:id="4"/>
    </w:p>
    <w:p w:rsidR="009C4FEF" w:rsidRPr="00EE3EDB" w:rsidRDefault="009C4FEF" w:rsidP="00B74AFF">
      <w:pPr>
        <w:pStyle w:val="NoSpacing"/>
        <w:jc w:val="both"/>
      </w:pPr>
    </w:p>
    <w:p w:rsidR="00B74AFF" w:rsidRPr="00DC1817" w:rsidRDefault="00B74AFF" w:rsidP="00B74AFF">
      <w:pPr>
        <w:pStyle w:val="TableofFigures"/>
        <w:tabs>
          <w:tab w:val="right" w:leader="dot" w:pos="8486"/>
        </w:tabs>
        <w:jc w:val="both"/>
        <w:rPr>
          <w:rFonts w:eastAsiaTheme="minorEastAsia" w:cstheme="minorBidi"/>
          <w:noProof/>
          <w:lang w:bidi="ar-SA"/>
        </w:rPr>
      </w:pPr>
      <w:r w:rsidRPr="00DC1817">
        <w:fldChar w:fldCharType="begin"/>
      </w:r>
      <w:r w:rsidRPr="00DC1817">
        <w:instrText xml:space="preserve"> TOC \h \z \c "Figure" </w:instrText>
      </w:r>
      <w:r w:rsidRPr="00DC1817">
        <w:fldChar w:fldCharType="separate"/>
      </w:r>
      <w:r w:rsidR="000A7844" w:rsidRPr="00DC1817">
        <w:t>Figure 1.</w:t>
      </w:r>
      <w:r w:rsidR="003A3C6B">
        <w:t>1</w:t>
      </w:r>
      <w:r w:rsidR="000A7844" w:rsidRPr="00DC1817">
        <w:t xml:space="preserve">: Map of the U.S. shale gas and shale oil plays in the lower 48 states (sources: </w:t>
      </w:r>
      <w:hyperlink r:id="rId9" w:history="1">
        <w:r w:rsidR="000A7844" w:rsidRPr="00DC1817">
          <w:t>www.eia.gov</w:t>
        </w:r>
      </w:hyperlink>
      <w:r w:rsidR="000A7844" w:rsidRPr="00DC1817">
        <w:t>)</w:t>
      </w:r>
      <w:r w:rsidRPr="00DC1817">
        <w:rPr>
          <w:noProof/>
          <w:webHidden/>
        </w:rPr>
        <w:tab/>
      </w:r>
      <w:r w:rsidR="003A3C6B">
        <w:rPr>
          <w:noProof/>
          <w:webHidden/>
        </w:rPr>
        <w:t>2</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DC1817">
        <w:fldChar w:fldCharType="end"/>
      </w:r>
      <w:r w:rsidR="00FF7059">
        <w:fldChar w:fldCharType="begin"/>
      </w:r>
      <w:r w:rsidR="00FF7059">
        <w:instrText xml:space="preserve"> TOC \h \z \c "Figure" </w:instrText>
      </w:r>
      <w:r w:rsidR="00FF7059">
        <w:fldChar w:fldCharType="end"/>
      </w:r>
      <w:r w:rsidR="001E1AF0">
        <w:fldChar w:fldCharType="begin"/>
      </w:r>
      <w:r w:rsidR="001E1AF0">
        <w:instrText xml:space="preserve"> TOC \h \z \c "Figure" </w:instrText>
      </w:r>
      <w:r w:rsidR="001E1AF0">
        <w:fldChar w:fldCharType="separate"/>
      </w:r>
      <w:hyperlink r:id="rId10" w:anchor="_Toc315681375" w:history="1">
        <w:r w:rsidRPr="00DC1817">
          <w:rPr>
            <w:rFonts w:ascii="Times New Roman" w:hAnsi="Times New Roman"/>
          </w:rPr>
          <w:t>Figure 2.1: Components of a typical scanning electron microscope (Hafner, 2007)</w:t>
        </w:r>
        <w:r w:rsidRPr="00DC1817">
          <w:rPr>
            <w:rStyle w:val="Hyperlink"/>
            <w:noProof/>
            <w:webHidden/>
          </w:rPr>
          <w:tab/>
        </w:r>
      </w:hyperlink>
      <w:r w:rsidR="001E1AF0">
        <w:rPr>
          <w:rStyle w:val="Hyperlink"/>
          <w:noProof/>
        </w:rPr>
        <w:fldChar w:fldCharType="end"/>
      </w:r>
      <w:r w:rsidR="00917519">
        <w:t>7</w:t>
      </w:r>
      <w:r w:rsidRPr="00DC1817">
        <w:t xml:space="preserve"> </w:t>
      </w:r>
      <w:r w:rsidRPr="006E18C9">
        <w:fldChar w:fldCharType="begin"/>
      </w:r>
      <w:r w:rsidRPr="006E18C9">
        <w:instrText xml:space="preserve"> TOC \h \z \c "Figure" </w:instrText>
      </w:r>
      <w:r w:rsidRPr="006E18C9">
        <w:fldChar w:fldCharType="separate"/>
      </w:r>
      <w:hyperlink r:id="rId11" w:anchor="_Toc315681375" w:history="1">
        <w:r w:rsidRPr="006E18C9">
          <w:t xml:space="preserve">Figure 2.2: Illustration of multiple types of signals generated from </w:t>
        </w:r>
        <w:r w:rsidR="000A7844" w:rsidRPr="006E18C9">
          <w:t xml:space="preserve">an incident </w:t>
        </w:r>
        <w:r w:rsidRPr="006E18C9">
          <w:t>electron beam – sample interaction in the SEM and the regions from which the signals can be detected (Zhou et al., 2007)</w:t>
        </w:r>
        <w:r w:rsidRPr="006E18C9">
          <w:rPr>
            <w:rStyle w:val="Hyperlink"/>
            <w:noProof/>
            <w:webHidden/>
            <w:color w:val="auto"/>
            <w:u w:val="none"/>
          </w:rPr>
          <w:tab/>
        </w:r>
      </w:hyperlink>
      <w:r w:rsidR="00917519">
        <w:rPr>
          <w:rStyle w:val="Hyperlink"/>
          <w:noProof/>
          <w:color w:val="auto"/>
          <w:u w:val="none"/>
        </w:rPr>
        <w:t>9</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12" w:anchor="_Toc315681375" w:history="1">
        <w:r w:rsidRPr="006E18C9">
          <w:t xml:space="preserve">Figure 2.3: SEM illustration of a secondary electron caused by an inelastic event (left) and a backscattered electron caused by elastic events </w:t>
        </w:r>
        <w:r w:rsidRPr="006E18C9">
          <w:rPr>
            <w:rFonts w:ascii="Times New Roman" w:hAnsi="Times New Roman"/>
          </w:rPr>
          <w:t>(Hafner, 2007</w:t>
        </w:r>
        <w:r w:rsidR="00D47DC3" w:rsidRPr="006E18C9">
          <w:rPr>
            <w:rFonts w:ascii="Times New Roman" w:hAnsi="Times New Roman"/>
          </w:rPr>
          <w:t>)</w:t>
        </w:r>
        <w:r w:rsidRPr="006E18C9">
          <w:rPr>
            <w:rStyle w:val="Hyperlink"/>
            <w:noProof/>
            <w:webHidden/>
            <w:color w:val="auto"/>
            <w:u w:val="none"/>
          </w:rPr>
          <w:tab/>
        </w:r>
      </w:hyperlink>
      <w:r w:rsidR="00917519">
        <w:rPr>
          <w:rStyle w:val="Hyperlink"/>
          <w:noProof/>
          <w:color w:val="auto"/>
          <w:u w:val="none"/>
        </w:rPr>
        <w:t>9</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13" w:anchor="_Toc315681375" w:history="1">
        <w:r w:rsidRPr="006E18C9">
          <w:t>Figure 2.4: Portions of the BSE map of the Barnett sample (B4) and the Wolfcamp sample (W4) (left) and their corresponded segmented organic matter (white) network (right) Note a higher concentration of organic matter can be observed in B4 (Curtis et al., 2014</w:t>
        </w:r>
        <w:r w:rsidR="00D47DC3" w:rsidRPr="006E18C9">
          <w:t>)</w:t>
        </w:r>
        <w:r w:rsidRPr="006E18C9">
          <w:rPr>
            <w:rStyle w:val="Hyperlink"/>
            <w:noProof/>
            <w:webHidden/>
            <w:color w:val="auto"/>
            <w:u w:val="none"/>
          </w:rPr>
          <w:tab/>
        </w:r>
      </w:hyperlink>
      <w:r w:rsidR="000A7844" w:rsidRPr="006E18C9">
        <w:rPr>
          <w:rStyle w:val="Hyperlink"/>
          <w:noProof/>
          <w:color w:val="auto"/>
          <w:u w:val="none"/>
        </w:rPr>
        <w:t>1</w:t>
      </w:r>
      <w:r w:rsidR="00917519">
        <w:rPr>
          <w:rStyle w:val="Hyperlink"/>
          <w:noProof/>
          <w:color w:val="auto"/>
          <w:u w:val="none"/>
        </w:rPr>
        <w:t>1</w:t>
      </w:r>
    </w:p>
    <w:p w:rsidR="00B74AFF" w:rsidRPr="006E18C9" w:rsidRDefault="00B74AFF" w:rsidP="00B74AFF">
      <w:pPr>
        <w:pStyle w:val="TableofFigures"/>
        <w:tabs>
          <w:tab w:val="right" w:leader="dot" w:pos="8486"/>
        </w:tabs>
        <w:jc w:val="both"/>
        <w:rPr>
          <w:rStyle w:val="Hyperlink"/>
          <w:noProof/>
          <w:color w:val="auto"/>
          <w:u w:val="none"/>
        </w:rPr>
      </w:pPr>
      <w:r w:rsidRPr="006E18C9">
        <w:fldChar w:fldCharType="end"/>
      </w:r>
      <w:bookmarkStart w:id="5" w:name="OLE_LINK132"/>
      <w:bookmarkStart w:id="6" w:name="OLE_LINK133"/>
      <w:r w:rsidRPr="006E18C9">
        <w:t xml:space="preserve"> </w:t>
      </w:r>
      <w:r w:rsidRPr="006E18C9">
        <w:fldChar w:fldCharType="begin"/>
      </w:r>
      <w:r w:rsidRPr="006E18C9">
        <w:instrText xml:space="preserve"> TOC \h \z \c "Figure" </w:instrText>
      </w:r>
      <w:r w:rsidRPr="006E18C9">
        <w:fldChar w:fldCharType="separate"/>
      </w:r>
      <w:bookmarkStart w:id="7" w:name="OLE_LINK130"/>
      <w:bookmarkStart w:id="8" w:name="OLE_LINK131"/>
      <w:r w:rsidR="006E18C9" w:rsidRPr="006E18C9">
        <w:fldChar w:fldCharType="begin"/>
      </w:r>
      <w:r w:rsidR="006E18C9" w:rsidRPr="006E18C9">
        <w:instrText xml:space="preserve"> HYPERLINK "file:///I:\\Wolfcamp%20Upscaling\\thesis\\Thesis%20draft.docx" \l "_Toc315681375" </w:instrText>
      </w:r>
      <w:r w:rsidR="006E18C9" w:rsidRPr="006E18C9">
        <w:fldChar w:fldCharType="separate"/>
      </w:r>
      <w:r w:rsidR="00B042BA" w:rsidRPr="006E18C9">
        <w:t>Figure 2.5: SEM image from the map of sample #4. Porosity is segmented (red). Clay porosity leads to a high-degree of pore shape anisotropy (Goergen et al., 2014)</w:t>
      </w:r>
      <w:r w:rsidRPr="006E18C9">
        <w:rPr>
          <w:rStyle w:val="Hyperlink"/>
          <w:noProof/>
          <w:webHidden/>
          <w:color w:val="auto"/>
          <w:u w:val="none"/>
        </w:rPr>
        <w:tab/>
      </w:r>
      <w:r w:rsidR="004514EF" w:rsidRPr="006E18C9">
        <w:rPr>
          <w:rStyle w:val="Hyperlink"/>
          <w:noProof/>
          <w:webHidden/>
          <w:color w:val="auto"/>
          <w:u w:val="none"/>
        </w:rPr>
        <w:t>1</w:t>
      </w:r>
      <w:r w:rsidR="006E18C9" w:rsidRPr="006E18C9">
        <w:rPr>
          <w:rStyle w:val="Hyperlink"/>
          <w:noProof/>
          <w:color w:val="auto"/>
          <w:u w:val="none"/>
        </w:rPr>
        <w:fldChar w:fldCharType="end"/>
      </w:r>
      <w:bookmarkEnd w:id="7"/>
      <w:bookmarkEnd w:id="8"/>
      <w:r w:rsidR="00917519">
        <w:rPr>
          <w:rStyle w:val="Hyperlink"/>
          <w:noProof/>
          <w:color w:val="auto"/>
          <w:u w:val="none"/>
        </w:rPr>
        <w:t>4</w:t>
      </w:r>
    </w:p>
    <w:p w:rsidR="006E18C9" w:rsidRPr="006E18C9" w:rsidRDefault="001E1AF0" w:rsidP="006E18C9">
      <w:pPr>
        <w:pStyle w:val="TableofFigures"/>
        <w:tabs>
          <w:tab w:val="right" w:leader="dot" w:pos="8486"/>
        </w:tabs>
        <w:jc w:val="both"/>
      </w:pPr>
      <w:r>
        <w:fldChar w:fldCharType="begin"/>
      </w:r>
      <w:r>
        <w:instrText xml:space="preserve"> TOC \h \z \c "Figure" </w:instrText>
      </w:r>
      <w:r>
        <w:fldChar w:fldCharType="separate"/>
      </w:r>
      <w:hyperlink r:id="rId14" w:anchor="_Toc315681375" w:history="1">
        <w:r w:rsidR="006E18C9" w:rsidRPr="006E18C9">
          <w:t xml:space="preserve"> Figure 2.6: Workflow for upscaling rock properties in a 3.5 ft carbonate layer from nanometer to gird block scale (Vahrenkamp et al, 2011)</w:t>
        </w:r>
        <w:r w:rsidR="006E18C9" w:rsidRPr="006E18C9">
          <w:rPr>
            <w:rStyle w:val="Hyperlink"/>
            <w:noProof/>
            <w:webHidden/>
            <w:color w:val="auto"/>
            <w:u w:val="none"/>
          </w:rPr>
          <w:tab/>
          <w:t>1</w:t>
        </w:r>
      </w:hyperlink>
      <w:r>
        <w:rPr>
          <w:rStyle w:val="Hyperlink"/>
          <w:noProof/>
          <w:color w:val="auto"/>
          <w:u w:val="none"/>
        </w:rPr>
        <w:fldChar w:fldCharType="end"/>
      </w:r>
      <w:r w:rsidR="00917519">
        <w:t>5</w:t>
      </w:r>
    </w:p>
    <w:p w:rsidR="006E18C9" w:rsidRPr="006E18C9" w:rsidRDefault="006E18C9" w:rsidP="006E18C9">
      <w:pPr>
        <w:pStyle w:val="TableofFigures"/>
        <w:tabs>
          <w:tab w:val="right" w:leader="dot" w:pos="8486"/>
        </w:tabs>
        <w:jc w:val="both"/>
        <w:rPr>
          <w:rFonts w:eastAsiaTheme="minorEastAsia"/>
        </w:rPr>
      </w:pPr>
      <w:r w:rsidRPr="006E18C9">
        <w:fldChar w:fldCharType="begin"/>
      </w:r>
      <w:r w:rsidRPr="006E18C9">
        <w:instrText xml:space="preserve"> TOC \h \z \c "Figure" </w:instrText>
      </w:r>
      <w:r w:rsidRPr="006E18C9">
        <w:fldChar w:fldCharType="separate"/>
      </w:r>
      <w:hyperlink r:id="rId15" w:anchor="_Toc315681375" w:history="1">
        <w:r w:rsidRPr="006E18C9">
          <w:t>Figure 2.7: Absolute permeability for vertical flow from a 3.5 ft layer simulation model (first picture) derived from permeabilities for vertical flow (second picture) and horizontal flows (third and fourth pictures) from 8-inch sample slab (Vahrenkamp et al, 2011)</w:t>
        </w:r>
        <w:r w:rsidRPr="006E18C9">
          <w:rPr>
            <w:rStyle w:val="Hyperlink"/>
            <w:noProof/>
            <w:webHidden/>
            <w:color w:val="auto"/>
            <w:u w:val="none"/>
          </w:rPr>
          <w:tab/>
          <w:t>1</w:t>
        </w:r>
      </w:hyperlink>
      <w:r w:rsidR="00917519">
        <w:rPr>
          <w:rStyle w:val="Hyperlink"/>
          <w:noProof/>
          <w:color w:val="auto"/>
          <w:u w:val="none"/>
        </w:rPr>
        <w:t>5</w:t>
      </w:r>
    </w:p>
    <w:p w:rsidR="006E18C9" w:rsidRPr="006E18C9" w:rsidRDefault="006E18C9" w:rsidP="006E18C9">
      <w:pPr>
        <w:pStyle w:val="TableofFigures"/>
        <w:tabs>
          <w:tab w:val="right" w:leader="dot" w:pos="8486"/>
        </w:tabs>
        <w:jc w:val="both"/>
        <w:rPr>
          <w:rFonts w:eastAsiaTheme="minorEastAsia"/>
        </w:rPr>
      </w:pPr>
      <w:r w:rsidRPr="006E18C9">
        <w:lastRenderedPageBreak/>
        <w:fldChar w:fldCharType="end"/>
      </w:r>
      <w:r w:rsidRPr="006E18C9">
        <w:t xml:space="preserve"> </w:t>
      </w:r>
      <w:r w:rsidR="001E1AF0">
        <w:fldChar w:fldCharType="begin"/>
      </w:r>
      <w:r w:rsidR="001E1AF0">
        <w:instrText xml:space="preserve"> TOC \h \z \c "Figure" </w:instrText>
      </w:r>
      <w:r w:rsidR="001E1AF0">
        <w:fldChar w:fldCharType="separate"/>
      </w:r>
      <w:hyperlink r:id="rId16" w:anchor="_Toc315681375" w:history="1">
        <w:bookmarkStart w:id="9" w:name="OLE_LINK138"/>
        <w:r w:rsidRPr="006E18C9">
          <w:t>Figure 2.8: Comparison between porosity measured from laboratory and from CT scanning for three plugs located in the 8-inch slab. Strong agreement is observed (Vahrenkamp et al, 2011)</w:t>
        </w:r>
        <w:bookmarkEnd w:id="9"/>
        <w:r w:rsidRPr="006E18C9">
          <w:rPr>
            <w:rStyle w:val="Hyperlink"/>
            <w:noProof/>
            <w:webHidden/>
            <w:color w:val="auto"/>
            <w:u w:val="none"/>
          </w:rPr>
          <w:tab/>
          <w:t>1</w:t>
        </w:r>
      </w:hyperlink>
      <w:r w:rsidR="001E1AF0">
        <w:rPr>
          <w:rStyle w:val="Hyperlink"/>
          <w:noProof/>
          <w:color w:val="auto"/>
          <w:u w:val="none"/>
        </w:rPr>
        <w:fldChar w:fldCharType="end"/>
      </w:r>
      <w:r w:rsidR="00917519">
        <w:t>6</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bookmarkEnd w:id="5"/>
      <w:bookmarkEnd w:id="6"/>
      <w:r w:rsidRPr="006E18C9">
        <w:t xml:space="preserve"> </w:t>
      </w:r>
      <w:r w:rsidRPr="006E18C9">
        <w:fldChar w:fldCharType="begin"/>
      </w:r>
      <w:r w:rsidRPr="006E18C9">
        <w:instrText xml:space="preserve"> TOC \h \z \c "Figure" </w:instrText>
      </w:r>
      <w:r w:rsidRPr="006E18C9">
        <w:fldChar w:fldCharType="separate"/>
      </w:r>
      <w:hyperlink r:id="rId17" w:anchor="_Toc315681375" w:history="1">
        <w:r w:rsidR="006E18C9" w:rsidRPr="006E18C9">
          <w:t>Figure 2.9</w:t>
        </w:r>
        <w:r w:rsidR="005F74E0" w:rsidRPr="006E18C9">
          <w:t xml:space="preserve"> : Location of Wolfcamp formation (light blue) in the Permian Basin in Texas and New Mexico (USGS)</w:t>
        </w:r>
        <w:r w:rsidRPr="006E18C9">
          <w:rPr>
            <w:rStyle w:val="Hyperlink"/>
            <w:noProof/>
            <w:webHidden/>
            <w:color w:val="auto"/>
            <w:u w:val="none"/>
          </w:rPr>
          <w:tab/>
        </w:r>
        <w:r w:rsidR="004514EF" w:rsidRPr="006E18C9">
          <w:rPr>
            <w:rStyle w:val="Hyperlink"/>
            <w:noProof/>
            <w:webHidden/>
            <w:color w:val="auto"/>
            <w:u w:val="none"/>
          </w:rPr>
          <w:t>1</w:t>
        </w:r>
      </w:hyperlink>
      <w:r w:rsidR="00917519">
        <w:rPr>
          <w:rStyle w:val="Hyperlink"/>
          <w:noProof/>
          <w:color w:val="auto"/>
          <w:u w:val="none"/>
        </w:rPr>
        <w:t>7</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18" w:anchor="_Toc315681375" w:history="1">
        <w:r w:rsidR="006E18C9" w:rsidRPr="006E18C9">
          <w:t>Figure 2.10</w:t>
        </w:r>
        <w:r w:rsidR="005F74E0" w:rsidRPr="006E18C9">
          <w:t xml:space="preserve"> : Stratigraphic nomenclature of Delaware Basin and Midland Basin. Note the Wolfcamp formation in Midland Basin </w:t>
        </w:r>
        <w:r w:rsidR="00B042BA" w:rsidRPr="006E18C9">
          <w:t>is located</w:t>
        </w:r>
        <w:r w:rsidR="005F74E0" w:rsidRPr="006E18C9">
          <w:t xml:space="preserve"> below the Spaberry formation (</w:t>
        </w:r>
        <w:r w:rsidR="004514EF" w:rsidRPr="006E18C9">
          <w:t>Kelly et al., 2012</w:t>
        </w:r>
        <w:r w:rsidR="005F74E0" w:rsidRPr="006E18C9">
          <w:t>)</w:t>
        </w:r>
        <w:r w:rsidRPr="006E18C9">
          <w:rPr>
            <w:rStyle w:val="Hyperlink"/>
            <w:noProof/>
            <w:webHidden/>
            <w:color w:val="auto"/>
            <w:u w:val="none"/>
          </w:rPr>
          <w:tab/>
        </w:r>
        <w:r w:rsidR="004514EF" w:rsidRPr="006E18C9">
          <w:rPr>
            <w:rStyle w:val="Hyperlink"/>
            <w:noProof/>
            <w:webHidden/>
            <w:color w:val="auto"/>
            <w:u w:val="none"/>
          </w:rPr>
          <w:t>1</w:t>
        </w:r>
      </w:hyperlink>
      <w:r w:rsidR="00917519">
        <w:rPr>
          <w:rStyle w:val="Hyperlink"/>
          <w:noProof/>
          <w:color w:val="auto"/>
          <w:u w:val="none"/>
        </w:rPr>
        <w:t>8</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19" w:anchor="_Toc315681375" w:history="1">
        <w:r w:rsidR="006E18C9" w:rsidRPr="006E18C9">
          <w:t>Figure 2.11</w:t>
        </w:r>
        <w:r w:rsidR="005F74E0" w:rsidRPr="006E18C9">
          <w:t xml:space="preserve"> : Vertical depth map of the Wolfcamp formation throughout the Midland Basin (Bachmann et al., 2014</w:t>
        </w:r>
        <w:r w:rsidR="00D47DC3" w:rsidRPr="006E18C9">
          <w:t>)</w:t>
        </w:r>
        <w:r w:rsidRPr="006E18C9">
          <w:rPr>
            <w:rStyle w:val="Hyperlink"/>
            <w:noProof/>
            <w:webHidden/>
            <w:color w:val="auto"/>
            <w:u w:val="none"/>
          </w:rPr>
          <w:tab/>
        </w:r>
      </w:hyperlink>
      <w:r w:rsidR="006E18C9">
        <w:rPr>
          <w:rStyle w:val="Hyperlink"/>
          <w:noProof/>
          <w:color w:val="auto"/>
          <w:u w:val="none"/>
        </w:rPr>
        <w:t>1</w:t>
      </w:r>
      <w:r w:rsidR="00917519">
        <w:rPr>
          <w:rStyle w:val="Hyperlink"/>
          <w:noProof/>
          <w:color w:val="auto"/>
          <w:u w:val="none"/>
        </w:rPr>
        <w:t>8</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20" w:anchor="_Toc315681375" w:history="1">
        <w:r w:rsidR="005F74E0" w:rsidRPr="006E18C9">
          <w:rPr>
            <w:rFonts w:ascii="Times New Roman" w:hAnsi="Times New Roman"/>
          </w:rPr>
          <w:t>Figure 3.1:  Location of SEM Map and petrophysical measurements of the 24 samples from a one foot section of Wolfcamp shale cor</w:t>
        </w:r>
        <w:r w:rsidR="00B042BA" w:rsidRPr="006E18C9">
          <w:rPr>
            <w:rFonts w:ascii="Times New Roman" w:hAnsi="Times New Roman"/>
          </w:rPr>
          <w:t>e. Different colored labels indicate</w:t>
        </w:r>
        <w:r w:rsidR="005F74E0" w:rsidRPr="006E18C9">
          <w:rPr>
            <w:rFonts w:ascii="Times New Roman" w:hAnsi="Times New Roman"/>
          </w:rPr>
          <w:t xml:space="preserve"> different types of tests; the tests are performed next to each other horizontally in each interval. The measurements are compared to the properties estimated from the images spanning the cored interval</w:t>
        </w:r>
        <w:r w:rsidRPr="006E18C9">
          <w:rPr>
            <w:rStyle w:val="Hyperlink"/>
            <w:noProof/>
            <w:webHidden/>
            <w:color w:val="auto"/>
            <w:u w:val="none"/>
          </w:rPr>
          <w:tab/>
        </w:r>
      </w:hyperlink>
      <w:r w:rsidR="00917519">
        <w:rPr>
          <w:rStyle w:val="Hyperlink"/>
          <w:noProof/>
          <w:color w:val="auto"/>
          <w:u w:val="none"/>
        </w:rPr>
        <w:t>19</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21" w:anchor="_Toc315681375" w:history="1">
        <w:r w:rsidR="005F74E0" w:rsidRPr="006E18C9">
          <w:rPr>
            <w:rFonts w:ascii="Times New Roman" w:hAnsi="Times New Roman"/>
          </w:rPr>
          <w:t xml:space="preserve">Figure 3.2: A) pores are segmented, i.e. that is defined through setting </w:t>
        </w:r>
        <w:r w:rsidR="000A112F" w:rsidRPr="006E18C9">
          <w:rPr>
            <w:rFonts w:ascii="Times New Roman" w:hAnsi="Times New Roman"/>
          </w:rPr>
          <w:t>gray</w:t>
        </w:r>
        <w:r w:rsidR="005F74E0" w:rsidRPr="006E18C9">
          <w:rPr>
            <w:rFonts w:ascii="Times New Roman" w:hAnsi="Times New Roman"/>
          </w:rPr>
          <w:t xml:space="preserve"> scale threshold. The left most image is the original, the middle image shows the pore highlighted in red and the right most image show the extracted pore areas, B) organic matter is segmented in </w:t>
        </w:r>
        <w:r w:rsidR="00C43660" w:rsidRPr="006E18C9">
          <w:rPr>
            <w:rFonts w:ascii="Times New Roman" w:hAnsi="Times New Roman"/>
          </w:rPr>
          <w:t>an SEM image</w:t>
        </w:r>
        <w:r w:rsidR="005F74E0" w:rsidRPr="006E18C9">
          <w:rPr>
            <w:rFonts w:ascii="Times New Roman" w:hAnsi="Times New Roman"/>
          </w:rPr>
          <w:t>; organic matter is highlighted in blue. The sequence of images is the same as defined in A</w:t>
        </w:r>
        <w:r w:rsidRPr="006E18C9">
          <w:rPr>
            <w:rStyle w:val="Hyperlink"/>
            <w:noProof/>
            <w:webHidden/>
            <w:color w:val="auto"/>
            <w:u w:val="none"/>
          </w:rPr>
          <w:tab/>
        </w:r>
        <w:r w:rsidR="004514EF" w:rsidRPr="006E18C9">
          <w:rPr>
            <w:rStyle w:val="Hyperlink"/>
            <w:noProof/>
            <w:webHidden/>
            <w:color w:val="auto"/>
            <w:u w:val="none"/>
          </w:rPr>
          <w:t>2</w:t>
        </w:r>
      </w:hyperlink>
      <w:r w:rsidR="00917519">
        <w:rPr>
          <w:rStyle w:val="Hyperlink"/>
          <w:noProof/>
          <w:color w:val="auto"/>
          <w:u w:val="none"/>
        </w:rPr>
        <w:t>3</w:t>
      </w:r>
    </w:p>
    <w:p w:rsidR="00B74AFF" w:rsidRPr="00931DF6"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22" w:anchor="_Toc315681375" w:history="1">
        <w:r w:rsidR="005F74E0" w:rsidRPr="00931DF6">
          <w:rPr>
            <w:rFonts w:ascii="Times New Roman" w:hAnsi="Times New Roman"/>
          </w:rPr>
          <w:t xml:space="preserve">Figure 3.3: Sample #1 </w:t>
        </w:r>
        <w:r w:rsidR="004621CD">
          <w:rPr>
            <w:rFonts w:ascii="Times New Roman" w:hAnsi="Times New Roman"/>
          </w:rPr>
          <w:t>mineral</w:t>
        </w:r>
        <w:r w:rsidR="005F74E0" w:rsidRPr="00931DF6">
          <w:rPr>
            <w:rFonts w:ascii="Times New Roman" w:hAnsi="Times New Roman"/>
          </w:rPr>
          <w:t xml:space="preserve">s are segmented through setting </w:t>
        </w:r>
        <w:r w:rsidR="000A112F" w:rsidRPr="00931DF6">
          <w:rPr>
            <w:rFonts w:ascii="Times New Roman" w:hAnsi="Times New Roman"/>
          </w:rPr>
          <w:t>gray</w:t>
        </w:r>
        <w:r w:rsidR="005F74E0" w:rsidRPr="00931DF6">
          <w:rPr>
            <w:rFonts w:ascii="Times New Roman" w:hAnsi="Times New Roman"/>
          </w:rPr>
          <w:t xml:space="preserve"> scale threshold</w:t>
        </w:r>
        <w:r w:rsidR="00B042BA" w:rsidRPr="00931DF6">
          <w:rPr>
            <w:rFonts w:ascii="Times New Roman" w:hAnsi="Times New Roman"/>
          </w:rPr>
          <w:t>s</w:t>
        </w:r>
        <w:r w:rsidR="005F74E0" w:rsidRPr="00931DF6">
          <w:rPr>
            <w:rFonts w:ascii="Times New Roman" w:hAnsi="Times New Roman"/>
          </w:rPr>
          <w:t xml:space="preserve">. </w:t>
        </w:r>
        <w:r w:rsidR="00931DF6" w:rsidRPr="00931DF6">
          <w:rPr>
            <w:rFonts w:ascii="Times New Roman" w:hAnsi="Times New Roman"/>
          </w:rPr>
          <w:t xml:space="preserve">There are 4 major </w:t>
        </w:r>
        <w:r w:rsidR="00C74138">
          <w:rPr>
            <w:rFonts w:ascii="Times New Roman" w:hAnsi="Times New Roman"/>
          </w:rPr>
          <w:t>mineral groups</w:t>
        </w:r>
        <w:r w:rsidR="00931DF6" w:rsidRPr="00931DF6">
          <w:rPr>
            <w:rFonts w:ascii="Times New Roman" w:hAnsi="Times New Roman"/>
          </w:rPr>
          <w:t xml:space="preserve">: </w:t>
        </w:r>
        <w:r w:rsidR="00CC4D77">
          <w:rPr>
            <w:rFonts w:ascii="Times New Roman" w:hAnsi="Times New Roman"/>
          </w:rPr>
          <w:t>g</w:t>
        </w:r>
        <w:r w:rsidR="00931DF6" w:rsidRPr="00931DF6">
          <w:rPr>
            <w:rFonts w:ascii="Times New Roman" w:hAnsi="Times New Roman"/>
          </w:rPr>
          <w:t xml:space="preserve">roup SCL </w:t>
        </w:r>
        <w:bookmarkStart w:id="10" w:name="OLE_LINK88"/>
        <w:bookmarkStart w:id="11" w:name="OLE_LINK97"/>
        <w:bookmarkStart w:id="12" w:name="OLE_LINK112"/>
        <w:bookmarkStart w:id="13" w:name="OLE_LINK113"/>
        <w:bookmarkStart w:id="14" w:name="OLE_LINK114"/>
        <w:r w:rsidR="00931DF6" w:rsidRPr="00931DF6">
          <w:rPr>
            <w:rFonts w:ascii="Times New Roman" w:hAnsi="Times New Roman"/>
          </w:rPr>
          <w:t>(silica, clays, Mg-dol., feldspar)</w:t>
        </w:r>
        <w:bookmarkEnd w:id="10"/>
        <w:bookmarkEnd w:id="11"/>
        <w:bookmarkEnd w:id="12"/>
        <w:bookmarkEnd w:id="13"/>
        <w:bookmarkEnd w:id="14"/>
        <w:r w:rsidR="00931DF6" w:rsidRPr="00931DF6">
          <w:rPr>
            <w:rFonts w:ascii="Times New Roman" w:hAnsi="Times New Roman"/>
          </w:rPr>
          <w:t xml:space="preserve"> </w:t>
        </w:r>
        <w:r w:rsidR="00CC4D77">
          <w:rPr>
            <w:rFonts w:ascii="Times New Roman" w:hAnsi="Times New Roman"/>
          </w:rPr>
          <w:t>g</w:t>
        </w:r>
        <w:r w:rsidR="00931DF6" w:rsidRPr="00931DF6">
          <w:rPr>
            <w:rFonts w:ascii="Times New Roman" w:hAnsi="Times New Roman"/>
          </w:rPr>
          <w:t xml:space="preserve">roup CCL (calcite, clays, Fe-dol., K-feldspar), </w:t>
        </w:r>
        <w:r w:rsidR="00CC4D77">
          <w:rPr>
            <w:rFonts w:ascii="Times New Roman" w:hAnsi="Times New Roman"/>
          </w:rPr>
          <w:t>g</w:t>
        </w:r>
        <w:r w:rsidR="00931DF6" w:rsidRPr="00931DF6">
          <w:rPr>
            <w:rFonts w:ascii="Times New Roman" w:hAnsi="Times New Roman"/>
          </w:rPr>
          <w:t xml:space="preserve">roup RA (rutile, apatite), and </w:t>
        </w:r>
        <w:r w:rsidR="00CC4D77">
          <w:rPr>
            <w:rFonts w:ascii="Times New Roman" w:hAnsi="Times New Roman"/>
          </w:rPr>
          <w:t>g</w:t>
        </w:r>
        <w:r w:rsidR="00931DF6" w:rsidRPr="00931DF6">
          <w:rPr>
            <w:rFonts w:ascii="Times New Roman" w:hAnsi="Times New Roman"/>
          </w:rPr>
          <w:t xml:space="preserve">roup P </w:t>
        </w:r>
        <w:r w:rsidR="00931DF6" w:rsidRPr="00931DF6">
          <w:rPr>
            <w:rFonts w:ascii="Times New Roman" w:hAnsi="Times New Roman"/>
          </w:rPr>
          <w:lastRenderedPageBreak/>
          <w:t>(pyrite). These groups are highlighted in different colors with density range increasing from the left to the right</w:t>
        </w:r>
        <w:r w:rsidR="005F74E0" w:rsidRPr="00931DF6">
          <w:rPr>
            <w:rFonts w:ascii="Times New Roman" w:hAnsi="Times New Roman"/>
          </w:rPr>
          <w:t>.</w:t>
        </w:r>
        <w:r w:rsidRPr="00931DF6">
          <w:rPr>
            <w:rStyle w:val="Hyperlink"/>
            <w:noProof/>
            <w:webHidden/>
            <w:color w:val="auto"/>
            <w:u w:val="none"/>
          </w:rPr>
          <w:tab/>
        </w:r>
        <w:r w:rsidR="004514EF" w:rsidRPr="00931DF6">
          <w:rPr>
            <w:rStyle w:val="Hyperlink"/>
            <w:noProof/>
            <w:webHidden/>
            <w:color w:val="auto"/>
            <w:u w:val="none"/>
          </w:rPr>
          <w:t>2</w:t>
        </w:r>
      </w:hyperlink>
      <w:r w:rsidR="00917519" w:rsidRPr="00931DF6">
        <w:rPr>
          <w:rStyle w:val="Hyperlink"/>
          <w:noProof/>
          <w:color w:val="auto"/>
          <w:u w:val="none"/>
        </w:rPr>
        <w:t>4</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23" w:anchor="_Toc315681375" w:history="1">
        <w:r w:rsidR="005F74E0" w:rsidRPr="006E18C9">
          <w:rPr>
            <w:rFonts w:ascii="Times New Roman" w:hAnsi="Times New Roman"/>
          </w:rPr>
          <w:t xml:space="preserve">Figure 3.4: A portion of SEM map (sample #1) before and after </w:t>
        </w:r>
        <w:r w:rsidR="004621CD">
          <w:rPr>
            <w:rFonts w:ascii="Times New Roman" w:hAnsi="Times New Roman"/>
          </w:rPr>
          <w:t>mineral</w:t>
        </w:r>
        <w:r w:rsidR="005F74E0" w:rsidRPr="006E18C9">
          <w:rPr>
            <w:rFonts w:ascii="Times New Roman" w:hAnsi="Times New Roman"/>
          </w:rPr>
          <w:t xml:space="preserve">ogy segmentation. </w:t>
        </w:r>
        <w:r w:rsidR="00931DF6" w:rsidRPr="00931DF6">
          <w:rPr>
            <w:rFonts w:ascii="Times New Roman" w:hAnsi="Times New Roman"/>
          </w:rPr>
          <w:t xml:space="preserve">There are 4 major </w:t>
        </w:r>
        <w:r w:rsidR="00C74138">
          <w:rPr>
            <w:rFonts w:ascii="Times New Roman" w:hAnsi="Times New Roman"/>
          </w:rPr>
          <w:t>mineral groups</w:t>
        </w:r>
        <w:r w:rsidR="00931DF6" w:rsidRPr="00931DF6">
          <w:rPr>
            <w:rFonts w:ascii="Times New Roman" w:hAnsi="Times New Roman"/>
          </w:rPr>
          <w:t xml:space="preserve">: </w:t>
        </w:r>
        <w:r w:rsidR="00CC4D77">
          <w:rPr>
            <w:rFonts w:ascii="Times New Roman" w:hAnsi="Times New Roman"/>
          </w:rPr>
          <w:t>g</w:t>
        </w:r>
        <w:r w:rsidR="00931DF6" w:rsidRPr="00931DF6">
          <w:rPr>
            <w:rFonts w:ascii="Times New Roman" w:hAnsi="Times New Roman"/>
          </w:rPr>
          <w:t>roup SCL (silica, clays, Mg-dol., feldspar)</w:t>
        </w:r>
        <w:r w:rsidR="00CC4D77">
          <w:rPr>
            <w:rFonts w:ascii="Times New Roman" w:hAnsi="Times New Roman"/>
          </w:rPr>
          <w:t>,</w:t>
        </w:r>
        <w:r w:rsidR="00931DF6" w:rsidRPr="00931DF6">
          <w:rPr>
            <w:rFonts w:ascii="Times New Roman" w:hAnsi="Times New Roman"/>
          </w:rPr>
          <w:t xml:space="preserve"> </w:t>
        </w:r>
        <w:r w:rsidR="00CC4D77">
          <w:rPr>
            <w:rFonts w:ascii="Times New Roman" w:hAnsi="Times New Roman"/>
          </w:rPr>
          <w:t>g</w:t>
        </w:r>
        <w:r w:rsidR="00931DF6" w:rsidRPr="00931DF6">
          <w:rPr>
            <w:rFonts w:ascii="Times New Roman" w:hAnsi="Times New Roman"/>
          </w:rPr>
          <w:t xml:space="preserve">roup CCL </w:t>
        </w:r>
        <w:bookmarkStart w:id="15" w:name="OLE_LINK115"/>
        <w:bookmarkStart w:id="16" w:name="OLE_LINK127"/>
        <w:bookmarkStart w:id="17" w:name="OLE_LINK128"/>
        <w:bookmarkStart w:id="18" w:name="OLE_LINK129"/>
        <w:bookmarkStart w:id="19" w:name="OLE_LINK134"/>
        <w:r w:rsidR="00931DF6" w:rsidRPr="00931DF6">
          <w:rPr>
            <w:rFonts w:ascii="Times New Roman" w:hAnsi="Times New Roman"/>
          </w:rPr>
          <w:t>(calcite, clays, Fe-dol., K-feldspar)</w:t>
        </w:r>
        <w:bookmarkEnd w:id="15"/>
        <w:bookmarkEnd w:id="16"/>
        <w:bookmarkEnd w:id="17"/>
        <w:bookmarkEnd w:id="18"/>
        <w:bookmarkEnd w:id="19"/>
        <w:r w:rsidR="00931DF6" w:rsidRPr="00931DF6">
          <w:rPr>
            <w:rFonts w:ascii="Times New Roman" w:hAnsi="Times New Roman"/>
          </w:rPr>
          <w:t xml:space="preserve">, </w:t>
        </w:r>
        <w:r w:rsidR="00CC4D77">
          <w:rPr>
            <w:rFonts w:ascii="Times New Roman" w:hAnsi="Times New Roman"/>
          </w:rPr>
          <w:t>g</w:t>
        </w:r>
        <w:r w:rsidR="00931DF6" w:rsidRPr="00931DF6">
          <w:rPr>
            <w:rFonts w:ascii="Times New Roman" w:hAnsi="Times New Roman"/>
          </w:rPr>
          <w:t xml:space="preserve">roup RA </w:t>
        </w:r>
        <w:bookmarkStart w:id="20" w:name="OLE_LINK135"/>
        <w:bookmarkStart w:id="21" w:name="OLE_LINK136"/>
        <w:r w:rsidR="00931DF6" w:rsidRPr="00931DF6">
          <w:rPr>
            <w:rFonts w:ascii="Times New Roman" w:hAnsi="Times New Roman"/>
          </w:rPr>
          <w:t>(rutile, apatite)</w:t>
        </w:r>
        <w:bookmarkEnd w:id="20"/>
        <w:bookmarkEnd w:id="21"/>
        <w:r w:rsidR="00931DF6" w:rsidRPr="00931DF6">
          <w:rPr>
            <w:rFonts w:ascii="Times New Roman" w:hAnsi="Times New Roman"/>
          </w:rPr>
          <w:t xml:space="preserve">, and </w:t>
        </w:r>
        <w:r w:rsidR="00CC4D77">
          <w:rPr>
            <w:rFonts w:ascii="Times New Roman" w:hAnsi="Times New Roman"/>
          </w:rPr>
          <w:t>g</w:t>
        </w:r>
        <w:r w:rsidR="00931DF6" w:rsidRPr="00931DF6">
          <w:rPr>
            <w:rFonts w:ascii="Times New Roman" w:hAnsi="Times New Roman"/>
          </w:rPr>
          <w:t xml:space="preserve">roup P (pyrite). </w:t>
        </w:r>
        <w:r w:rsidR="005F74E0" w:rsidRPr="00931DF6">
          <w:rPr>
            <w:rFonts w:ascii="Times New Roman" w:hAnsi="Times New Roman"/>
          </w:rPr>
          <w:t xml:space="preserve">Note the </w:t>
        </w:r>
        <w:r w:rsidR="004621CD">
          <w:rPr>
            <w:rFonts w:ascii="Times New Roman" w:hAnsi="Times New Roman"/>
          </w:rPr>
          <w:t>mineral</w:t>
        </w:r>
        <w:r w:rsidR="005F74E0" w:rsidRPr="00931DF6">
          <w:rPr>
            <w:rFonts w:ascii="Times New Roman" w:hAnsi="Times New Roman"/>
          </w:rPr>
          <w:t xml:space="preserve"> distribution in shale microstructure is much easier to observe with the segmentation</w:t>
        </w:r>
        <w:r w:rsidRPr="006E18C9">
          <w:rPr>
            <w:rStyle w:val="Hyperlink"/>
            <w:noProof/>
            <w:webHidden/>
            <w:color w:val="auto"/>
            <w:u w:val="none"/>
          </w:rPr>
          <w:tab/>
        </w:r>
        <w:r w:rsidR="004514EF" w:rsidRPr="006E18C9">
          <w:rPr>
            <w:rStyle w:val="Hyperlink"/>
            <w:noProof/>
            <w:webHidden/>
            <w:color w:val="auto"/>
            <w:u w:val="none"/>
          </w:rPr>
          <w:t>2</w:t>
        </w:r>
      </w:hyperlink>
      <w:r w:rsidR="00917519">
        <w:rPr>
          <w:rStyle w:val="Hyperlink"/>
          <w:noProof/>
          <w:color w:val="auto"/>
          <w:u w:val="none"/>
        </w:rPr>
        <w:t>5</w:t>
      </w:r>
    </w:p>
    <w:p w:rsidR="00B74AFF" w:rsidRPr="006E18C9" w:rsidRDefault="00B74AFF" w:rsidP="00B74AFF">
      <w:pPr>
        <w:pStyle w:val="TableofFigures"/>
        <w:tabs>
          <w:tab w:val="right" w:leader="dot" w:pos="8486"/>
        </w:tabs>
        <w:jc w:val="both"/>
        <w:rPr>
          <w:rStyle w:val="Hyperlink"/>
          <w:noProof/>
          <w:color w:val="auto"/>
          <w:u w:val="none"/>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bookmarkStart w:id="22" w:name="OLE_LINK89"/>
      <w:r w:rsidR="006D7069" w:rsidRPr="006E18C9">
        <w:fldChar w:fldCharType="begin"/>
      </w:r>
      <w:r w:rsidR="006D7069" w:rsidRPr="006E18C9">
        <w:instrText xml:space="preserve"> HYPERLINK "file:///I:\\Wolfcamp%20Upscaling\\thesis\\Thesis%20draft.docx" \l "_Toc315681375" </w:instrText>
      </w:r>
      <w:r w:rsidR="006D7069" w:rsidRPr="006E18C9">
        <w:fldChar w:fldCharType="separate"/>
      </w:r>
      <w:r w:rsidR="005F74E0" w:rsidRPr="006E18C9">
        <w:rPr>
          <w:rFonts w:ascii="Times New Roman" w:hAnsi="Times New Roman"/>
        </w:rPr>
        <w:t xml:space="preserve">Figure 3.5: </w:t>
      </w:r>
      <w:r w:rsidR="00B042BA" w:rsidRPr="006E18C9">
        <w:rPr>
          <w:rFonts w:ascii="Times New Roman" w:hAnsi="Times New Roman"/>
        </w:rPr>
        <w:t>Aspect ratio is defined. Particle with aspect ratio of 1 is perfectly rounded. As the aspect ratio decreases, the particle is more elongated</w:t>
      </w:r>
      <w:r w:rsidRPr="006E18C9">
        <w:rPr>
          <w:rStyle w:val="Hyperlink"/>
          <w:noProof/>
          <w:webHidden/>
          <w:color w:val="auto"/>
          <w:u w:val="none"/>
        </w:rPr>
        <w:tab/>
      </w:r>
      <w:r w:rsidR="004514EF" w:rsidRPr="006E18C9">
        <w:rPr>
          <w:rStyle w:val="Hyperlink"/>
          <w:noProof/>
          <w:webHidden/>
          <w:color w:val="auto"/>
          <w:u w:val="none"/>
        </w:rPr>
        <w:t>2</w:t>
      </w:r>
      <w:r w:rsidR="006D7069" w:rsidRPr="006E18C9">
        <w:rPr>
          <w:rStyle w:val="Hyperlink"/>
          <w:noProof/>
          <w:color w:val="auto"/>
          <w:u w:val="none"/>
        </w:rPr>
        <w:fldChar w:fldCharType="end"/>
      </w:r>
      <w:bookmarkEnd w:id="22"/>
      <w:r w:rsidR="00917519">
        <w:rPr>
          <w:rStyle w:val="Hyperlink"/>
          <w:noProof/>
          <w:color w:val="auto"/>
          <w:u w:val="none"/>
        </w:rPr>
        <w:t>7</w:t>
      </w:r>
    </w:p>
    <w:p w:rsidR="00B74AFF" w:rsidRPr="006E18C9" w:rsidRDefault="00B74AFF" w:rsidP="00B74AFF">
      <w:pPr>
        <w:pStyle w:val="TableofFigures"/>
        <w:tabs>
          <w:tab w:val="right" w:leader="dot" w:pos="8486"/>
        </w:tabs>
        <w:jc w:val="both"/>
        <w:rPr>
          <w:rStyle w:val="Hyperlink"/>
          <w:noProof/>
          <w:color w:val="auto"/>
          <w:u w:val="none"/>
        </w:rPr>
      </w:pPr>
      <w:r w:rsidRPr="006E18C9">
        <w:fldChar w:fldCharType="end"/>
      </w:r>
      <w:bookmarkStart w:id="23" w:name="OLE_LINK95"/>
      <w:r w:rsidRPr="006E18C9">
        <w:t xml:space="preserve"> </w:t>
      </w:r>
      <w:r w:rsidRPr="006E18C9">
        <w:fldChar w:fldCharType="begin"/>
      </w:r>
      <w:r w:rsidRPr="006E18C9">
        <w:instrText xml:space="preserve"> TOC \h \z \c "Figure" </w:instrText>
      </w:r>
      <w:r w:rsidRPr="006E18C9">
        <w:fldChar w:fldCharType="separate"/>
      </w:r>
      <w:bookmarkStart w:id="24" w:name="OLE_LINK94"/>
      <w:bookmarkStart w:id="25" w:name="OLE_LINK93"/>
      <w:r w:rsidR="006D7069" w:rsidRPr="006E18C9">
        <w:fldChar w:fldCharType="begin"/>
      </w:r>
      <w:r w:rsidR="006D7069" w:rsidRPr="006E18C9">
        <w:instrText xml:space="preserve"> HYPERLINK "file:///I:\\Wolfcamp%20Upscaling\\thesis\\Thesis%20draft.docx" \l "_Toc315681375" </w:instrText>
      </w:r>
      <w:r w:rsidR="006D7069" w:rsidRPr="006E18C9">
        <w:fldChar w:fldCharType="separate"/>
      </w:r>
      <w:r w:rsidR="005F74E0" w:rsidRPr="006E18C9">
        <w:rPr>
          <w:rFonts w:ascii="Times New Roman" w:hAnsi="Times New Roman"/>
        </w:rPr>
        <w:t>Figure 3.6:</w:t>
      </w:r>
      <w:bookmarkStart w:id="26" w:name="OLE_LINK90"/>
      <w:bookmarkStart w:id="27" w:name="OLE_LINK91"/>
      <w:bookmarkStart w:id="28" w:name="OLE_LINK92"/>
      <w:r w:rsidR="00A67A37" w:rsidRPr="006E18C9">
        <w:rPr>
          <w:rFonts w:ascii="Times New Roman" w:hAnsi="Times New Roman"/>
        </w:rPr>
        <w:t xml:space="preserve"> </w:t>
      </w:r>
      <w:bookmarkStart w:id="29" w:name="OLE_LINK96"/>
      <w:r w:rsidR="00A67A37" w:rsidRPr="006E18C9">
        <w:rPr>
          <w:rFonts w:ascii="Times New Roman" w:hAnsi="Times New Roman"/>
        </w:rPr>
        <w:t>Grain size distribution of all particles with aspect ratio less than 0.4. Note no clear trend line is observed</w:t>
      </w:r>
      <w:bookmarkEnd w:id="26"/>
      <w:bookmarkEnd w:id="27"/>
      <w:bookmarkEnd w:id="28"/>
      <w:bookmarkEnd w:id="29"/>
      <w:r w:rsidRPr="006E18C9">
        <w:rPr>
          <w:rStyle w:val="Hyperlink"/>
          <w:noProof/>
          <w:webHidden/>
          <w:color w:val="auto"/>
          <w:u w:val="none"/>
        </w:rPr>
        <w:tab/>
      </w:r>
      <w:r w:rsidR="004514EF" w:rsidRPr="006E18C9">
        <w:rPr>
          <w:rStyle w:val="Hyperlink"/>
          <w:noProof/>
          <w:webHidden/>
          <w:color w:val="auto"/>
          <w:u w:val="none"/>
        </w:rPr>
        <w:t>2</w:t>
      </w:r>
      <w:r w:rsidR="006D7069" w:rsidRPr="006E18C9">
        <w:rPr>
          <w:rStyle w:val="Hyperlink"/>
          <w:noProof/>
          <w:color w:val="auto"/>
          <w:u w:val="none"/>
        </w:rPr>
        <w:fldChar w:fldCharType="end"/>
      </w:r>
      <w:bookmarkEnd w:id="24"/>
      <w:bookmarkEnd w:id="25"/>
      <w:r w:rsidR="00917519">
        <w:rPr>
          <w:rStyle w:val="Hyperlink"/>
          <w:noProof/>
          <w:color w:val="auto"/>
          <w:u w:val="none"/>
        </w:rPr>
        <w:t>7</w:t>
      </w:r>
    </w:p>
    <w:p w:rsidR="00A67A37" w:rsidRPr="006E18C9" w:rsidRDefault="00A67A37" w:rsidP="00A67A37">
      <w:pPr>
        <w:pStyle w:val="TableofFigures"/>
        <w:tabs>
          <w:tab w:val="right" w:leader="dot" w:pos="8486"/>
        </w:tabs>
        <w:jc w:val="both"/>
        <w:rPr>
          <w:rFonts w:eastAsiaTheme="minorEastAsia" w:cstheme="minorBidi"/>
          <w:noProof/>
          <w:lang w:bidi="ar-SA"/>
        </w:rPr>
      </w:pPr>
      <w:r w:rsidRPr="006E18C9">
        <w:fldChar w:fldCharType="begin"/>
      </w:r>
      <w:r w:rsidRPr="006E18C9">
        <w:instrText xml:space="preserve"> TOC \h \z \c "Figure" </w:instrText>
      </w:r>
      <w:r w:rsidRPr="006E18C9">
        <w:fldChar w:fldCharType="separate"/>
      </w:r>
      <w:hyperlink r:id="rId24" w:anchor="_Toc315681375" w:history="1">
        <w:r w:rsidRPr="006E18C9">
          <w:rPr>
            <w:rFonts w:ascii="Times New Roman" w:hAnsi="Times New Roman"/>
          </w:rPr>
          <w:t>Figure 3.7:</w:t>
        </w:r>
        <w:r w:rsidRPr="006E18C9">
          <w:t xml:space="preserve"> </w:t>
        </w:r>
        <w:r w:rsidRPr="006E18C9">
          <w:rPr>
            <w:rFonts w:ascii="Times New Roman" w:hAnsi="Times New Roman"/>
          </w:rPr>
          <w:t>Grain size distribution of all particles with aspect ratio less than 0.35. Note no clear trend line is observed</w:t>
        </w:r>
        <w:r w:rsidRPr="006E18C9">
          <w:rPr>
            <w:rStyle w:val="Hyperlink"/>
            <w:noProof/>
            <w:webHidden/>
            <w:color w:val="auto"/>
            <w:u w:val="none"/>
          </w:rPr>
          <w:tab/>
          <w:t>2</w:t>
        </w:r>
      </w:hyperlink>
      <w:r w:rsidR="00917519">
        <w:rPr>
          <w:rStyle w:val="Hyperlink"/>
          <w:noProof/>
          <w:color w:val="auto"/>
          <w:u w:val="none"/>
        </w:rPr>
        <w:t>8</w:t>
      </w:r>
    </w:p>
    <w:p w:rsidR="00A67A37" w:rsidRPr="006E18C9" w:rsidRDefault="00A67A37" w:rsidP="00A67A37">
      <w:pPr>
        <w:pStyle w:val="TableofFigures"/>
        <w:tabs>
          <w:tab w:val="right" w:leader="dot" w:pos="8486"/>
        </w:tabs>
        <w:jc w:val="both"/>
        <w:rPr>
          <w:rStyle w:val="Hyperlink"/>
          <w:noProof/>
          <w:color w:val="auto"/>
          <w:u w:val="none"/>
        </w:rPr>
      </w:pPr>
      <w:r w:rsidRPr="006E18C9">
        <w:fldChar w:fldCharType="end"/>
      </w:r>
      <w:bookmarkStart w:id="30" w:name="OLE_LINK103"/>
      <w:r w:rsidRPr="006E18C9">
        <w:t xml:space="preserve"> </w:t>
      </w:r>
      <w:r w:rsidRPr="006E18C9">
        <w:fldChar w:fldCharType="begin"/>
      </w:r>
      <w:r w:rsidRPr="006E18C9">
        <w:instrText xml:space="preserve"> TOC \h \z \c "Figure" </w:instrText>
      </w:r>
      <w:r w:rsidRPr="006E18C9">
        <w:fldChar w:fldCharType="separate"/>
      </w:r>
      <w:bookmarkStart w:id="31" w:name="OLE_LINK102"/>
      <w:bookmarkStart w:id="32" w:name="OLE_LINK101"/>
      <w:bookmarkStart w:id="33" w:name="OLE_LINK100"/>
      <w:r w:rsidRPr="006E18C9">
        <w:fldChar w:fldCharType="begin"/>
      </w:r>
      <w:r w:rsidRPr="006E18C9">
        <w:instrText xml:space="preserve"> HYPERLINK "file:///I:\\Wolfcamp%20Upscaling\\thesis\\Thesis%20draft.docx" \l "_Toc315681375" </w:instrText>
      </w:r>
      <w:r w:rsidRPr="006E18C9">
        <w:fldChar w:fldCharType="separate"/>
      </w:r>
      <w:bookmarkStart w:id="34" w:name="OLE_LINK99"/>
      <w:r w:rsidRPr="006E18C9">
        <w:rPr>
          <w:rFonts w:ascii="Times New Roman" w:hAnsi="Times New Roman"/>
        </w:rPr>
        <w:t>Figure 3.8: Grain size distribution of all particles with aspect ratio less than 0.3. Note a trend line is observed (black line). More fluctuation is observed due to less number of grains</w:t>
      </w:r>
      <w:bookmarkEnd w:id="34"/>
      <w:r w:rsidRPr="006E18C9">
        <w:rPr>
          <w:rStyle w:val="Hyperlink"/>
          <w:noProof/>
          <w:webHidden/>
          <w:color w:val="auto"/>
          <w:u w:val="none"/>
        </w:rPr>
        <w:tab/>
      </w:r>
      <w:r w:rsidRPr="006E18C9">
        <w:rPr>
          <w:rStyle w:val="Hyperlink"/>
          <w:noProof/>
          <w:color w:val="auto"/>
          <w:u w:val="none"/>
        </w:rPr>
        <w:fldChar w:fldCharType="end"/>
      </w:r>
      <w:bookmarkEnd w:id="31"/>
      <w:bookmarkEnd w:id="32"/>
      <w:bookmarkEnd w:id="33"/>
      <w:r w:rsidR="00FE648C">
        <w:rPr>
          <w:rStyle w:val="Hyperlink"/>
          <w:noProof/>
          <w:color w:val="auto"/>
          <w:u w:val="none"/>
        </w:rPr>
        <w:t>2</w:t>
      </w:r>
      <w:r w:rsidR="00917519">
        <w:rPr>
          <w:rStyle w:val="Hyperlink"/>
          <w:noProof/>
          <w:color w:val="auto"/>
          <w:u w:val="none"/>
        </w:rPr>
        <w:t>8</w:t>
      </w:r>
    </w:p>
    <w:p w:rsidR="00A67A37" w:rsidRPr="006E18C9" w:rsidRDefault="00A67A37" w:rsidP="00A67A37">
      <w:pPr>
        <w:pStyle w:val="TableofFigures"/>
        <w:tabs>
          <w:tab w:val="right" w:leader="dot" w:pos="8486"/>
        </w:tabs>
        <w:jc w:val="both"/>
        <w:rPr>
          <w:rStyle w:val="Hyperlink"/>
          <w:noProof/>
          <w:color w:val="auto"/>
          <w:u w:val="none"/>
        </w:rPr>
      </w:pPr>
      <w:r w:rsidRPr="006E18C9">
        <w:fldChar w:fldCharType="begin"/>
      </w:r>
      <w:r w:rsidRPr="006E18C9">
        <w:instrText xml:space="preserve"> TOC \h \z \c "Figure" </w:instrText>
      </w:r>
      <w:r w:rsidRPr="006E18C9">
        <w:fldChar w:fldCharType="separate"/>
      </w:r>
      <w:bookmarkStart w:id="35" w:name="OLE_LINK107"/>
      <w:r w:rsidRPr="006E18C9">
        <w:fldChar w:fldCharType="begin"/>
      </w:r>
      <w:r w:rsidRPr="006E18C9">
        <w:instrText xml:space="preserve"> HYPERLINK "file:///I:\\Wolfcamp%20Upscaling\\thesis\\Thesis%20draft.docx" \l "_Toc315681375" </w:instrText>
      </w:r>
      <w:r w:rsidRPr="006E18C9">
        <w:fldChar w:fldCharType="separate"/>
      </w:r>
      <w:r w:rsidR="006E18C9">
        <w:rPr>
          <w:rFonts w:ascii="Times New Roman" w:hAnsi="Times New Roman"/>
        </w:rPr>
        <w:t>Figure 3.9</w:t>
      </w:r>
      <w:r w:rsidRPr="006E18C9">
        <w:rPr>
          <w:rFonts w:ascii="Times New Roman" w:hAnsi="Times New Roman"/>
        </w:rPr>
        <w:t>: Clays are separated from other grain particles in aspect ratio histogram due to their elongated shape. The cut-off aspect ratio for separation is 0.3</w:t>
      </w:r>
      <w:r w:rsidRPr="006E18C9">
        <w:rPr>
          <w:rStyle w:val="Hyperlink"/>
          <w:noProof/>
          <w:webHidden/>
          <w:color w:val="auto"/>
          <w:u w:val="none"/>
        </w:rPr>
        <w:tab/>
      </w:r>
      <w:r w:rsidRPr="006E18C9">
        <w:rPr>
          <w:rStyle w:val="Hyperlink"/>
          <w:noProof/>
          <w:color w:val="auto"/>
          <w:u w:val="none"/>
        </w:rPr>
        <w:fldChar w:fldCharType="end"/>
      </w:r>
      <w:r w:rsidR="00917519">
        <w:rPr>
          <w:rStyle w:val="Hyperlink"/>
          <w:noProof/>
          <w:color w:val="auto"/>
          <w:u w:val="none"/>
        </w:rPr>
        <w:t>29</w:t>
      </w:r>
    </w:p>
    <w:p w:rsidR="00A67A37" w:rsidRPr="006E18C9" w:rsidRDefault="001E1AF0" w:rsidP="00A67A37">
      <w:pPr>
        <w:pStyle w:val="TableofFigures"/>
        <w:tabs>
          <w:tab w:val="right" w:leader="dot" w:pos="8486"/>
        </w:tabs>
        <w:jc w:val="both"/>
        <w:rPr>
          <w:rFonts w:eastAsiaTheme="minorEastAsia" w:cstheme="minorBidi"/>
          <w:noProof/>
          <w:lang w:bidi="ar-SA"/>
        </w:rPr>
      </w:pPr>
      <w:hyperlink r:id="rId25" w:anchor="_Toc315681375" w:history="1">
        <w:r w:rsidR="006E18C9">
          <w:rPr>
            <w:rFonts w:ascii="Times New Roman" w:hAnsi="Times New Roman"/>
          </w:rPr>
          <w:t>Figure 3.10</w:t>
        </w:r>
        <w:r w:rsidR="00A67A37" w:rsidRPr="006E18C9">
          <w:rPr>
            <w:rFonts w:ascii="Times New Roman" w:hAnsi="Times New Roman"/>
          </w:rPr>
          <w:t xml:space="preserve">: Four major </w:t>
        </w:r>
        <w:r w:rsidR="00C74138">
          <w:rPr>
            <w:rFonts w:ascii="Times New Roman" w:hAnsi="Times New Roman"/>
          </w:rPr>
          <w:t>mineral groups</w:t>
        </w:r>
        <w:r w:rsidR="00A67A37" w:rsidRPr="006E18C9">
          <w:rPr>
            <w:rFonts w:ascii="Times New Roman" w:hAnsi="Times New Roman"/>
          </w:rPr>
          <w:t xml:space="preserve"> are separated from an SEM map based on gray-scale values. The </w:t>
        </w:r>
        <w:r w:rsidR="004621CD">
          <w:rPr>
            <w:rFonts w:ascii="Times New Roman" w:hAnsi="Times New Roman"/>
          </w:rPr>
          <w:t>mineral</w:t>
        </w:r>
        <w:r w:rsidR="00A67A37" w:rsidRPr="006E18C9">
          <w:rPr>
            <w:rFonts w:ascii="Times New Roman" w:hAnsi="Times New Roman"/>
          </w:rPr>
          <w:t xml:space="preserve">s in each group have close or overlapping gray values. Clays are separated from other grains in </w:t>
        </w:r>
        <w:r w:rsidR="00CC4D77">
          <w:rPr>
            <w:rFonts w:ascii="Times New Roman" w:hAnsi="Times New Roman"/>
          </w:rPr>
          <w:t>g</w:t>
        </w:r>
        <w:r w:rsidR="00485EEE" w:rsidRPr="006E18C9">
          <w:rPr>
            <w:rFonts w:ascii="Times New Roman" w:hAnsi="Times New Roman"/>
          </w:rPr>
          <w:t xml:space="preserve">roup </w:t>
        </w:r>
        <w:r w:rsidR="00951A71">
          <w:rPr>
            <w:rFonts w:ascii="Times New Roman" w:hAnsi="Times New Roman"/>
          </w:rPr>
          <w:t>SCl</w:t>
        </w:r>
        <w:r w:rsidR="00A67A37" w:rsidRPr="006E18C9">
          <w:rPr>
            <w:rFonts w:ascii="Times New Roman" w:hAnsi="Times New Roman"/>
          </w:rPr>
          <w:t xml:space="preserve"> and </w:t>
        </w:r>
        <w:r w:rsidR="00CC4D77">
          <w:rPr>
            <w:rFonts w:ascii="Times New Roman" w:hAnsi="Times New Roman"/>
          </w:rPr>
          <w:t>g</w:t>
        </w:r>
        <w:r w:rsidR="00485EEE" w:rsidRPr="006E18C9">
          <w:rPr>
            <w:rFonts w:ascii="Times New Roman" w:hAnsi="Times New Roman"/>
          </w:rPr>
          <w:t xml:space="preserve">roup </w:t>
        </w:r>
        <w:r w:rsidR="00951A71">
          <w:rPr>
            <w:rFonts w:ascii="Times New Roman" w:hAnsi="Times New Roman"/>
          </w:rPr>
          <w:t>CCl</w:t>
        </w:r>
        <w:r w:rsidR="00A67A37" w:rsidRPr="006E18C9">
          <w:rPr>
            <w:rFonts w:ascii="Times New Roman" w:hAnsi="Times New Roman"/>
          </w:rPr>
          <w:t xml:space="preserve"> based on aspect ratio</w:t>
        </w:r>
        <w:r w:rsidR="00A67A37" w:rsidRPr="006E18C9">
          <w:rPr>
            <w:rStyle w:val="Hyperlink"/>
            <w:noProof/>
            <w:webHidden/>
            <w:color w:val="auto"/>
            <w:u w:val="none"/>
          </w:rPr>
          <w:tab/>
        </w:r>
      </w:hyperlink>
      <w:bookmarkEnd w:id="35"/>
      <w:r w:rsidR="00A67A37" w:rsidRPr="006E18C9">
        <w:fldChar w:fldCharType="end"/>
      </w:r>
      <w:r w:rsidR="00A67A37" w:rsidRPr="006E18C9">
        <w:fldChar w:fldCharType="end"/>
      </w:r>
      <w:bookmarkEnd w:id="30"/>
      <w:r w:rsidR="00FE648C">
        <w:t>3</w:t>
      </w:r>
      <w:r w:rsidR="00917519">
        <w:t>0</w:t>
      </w:r>
      <w:r w:rsidR="00A67A37" w:rsidRPr="006E18C9">
        <w:t xml:space="preserve"> </w:t>
      </w:r>
      <w:r w:rsidR="00A67A37" w:rsidRPr="006E18C9">
        <w:fldChar w:fldCharType="begin"/>
      </w:r>
      <w:r w:rsidR="00A67A37" w:rsidRPr="006E18C9">
        <w:instrText xml:space="preserve"> TOC \h \z \c "Figure" </w:instrText>
      </w:r>
      <w:r w:rsidR="00A67A37" w:rsidRPr="006E18C9">
        <w:fldChar w:fldCharType="separate"/>
      </w:r>
    </w:p>
    <w:p w:rsidR="00A67A37" w:rsidRPr="006E18C9" w:rsidRDefault="00A67A37" w:rsidP="00A67A37">
      <w:pPr>
        <w:pStyle w:val="TableofFigures"/>
        <w:tabs>
          <w:tab w:val="right" w:leader="dot" w:pos="8486"/>
        </w:tabs>
        <w:jc w:val="both"/>
        <w:rPr>
          <w:rFonts w:eastAsiaTheme="minorEastAsia"/>
        </w:rPr>
      </w:pPr>
      <w:r w:rsidRPr="006E18C9">
        <w:lastRenderedPageBreak/>
        <w:fldChar w:fldCharType="end"/>
      </w:r>
      <w:r w:rsidRPr="006E18C9">
        <w:t xml:space="preserve"> </w:t>
      </w:r>
      <w:r w:rsidR="001E1AF0">
        <w:fldChar w:fldCharType="begin"/>
      </w:r>
      <w:r w:rsidR="001E1AF0">
        <w:instrText xml:space="preserve"> TOC \h \z \c "Figure" </w:instrText>
      </w:r>
      <w:r w:rsidR="001E1AF0">
        <w:fldChar w:fldCharType="separate"/>
      </w:r>
      <w:hyperlink r:id="rId26" w:anchor="_Toc315681375" w:history="1">
        <w:r w:rsidR="006E18C9">
          <w:rPr>
            <w:rFonts w:ascii="Times New Roman" w:hAnsi="Times New Roman"/>
          </w:rPr>
          <w:t>Figure 3.11</w:t>
        </w:r>
        <w:r w:rsidRPr="006E18C9">
          <w:rPr>
            <w:rFonts w:ascii="Times New Roman" w:hAnsi="Times New Roman"/>
          </w:rPr>
          <w:t>: Illustration of watershed segmentation process – convert an image of overlapping objects (A) into a distance image (B) and finally into image with completed separated objects by progressively filling “water”</w:t>
        </w:r>
        <w:r w:rsidRPr="006E18C9">
          <w:rPr>
            <w:rStyle w:val="Hyperlink"/>
            <w:noProof/>
            <w:webHidden/>
            <w:color w:val="auto"/>
            <w:u w:val="none"/>
          </w:rPr>
          <w:tab/>
        </w:r>
      </w:hyperlink>
      <w:r w:rsidR="001E1AF0">
        <w:rPr>
          <w:rStyle w:val="Hyperlink"/>
          <w:noProof/>
          <w:color w:val="auto"/>
          <w:u w:val="none"/>
        </w:rPr>
        <w:fldChar w:fldCharType="end"/>
      </w:r>
      <w:r w:rsidR="00FE648C">
        <w:rPr>
          <w:rStyle w:val="Hyperlink"/>
          <w:noProof/>
          <w:color w:val="auto"/>
          <w:u w:val="none"/>
        </w:rPr>
        <w:t>3</w:t>
      </w:r>
      <w:r w:rsidR="00021015">
        <w:rPr>
          <w:rStyle w:val="Hyperlink"/>
          <w:noProof/>
          <w:color w:val="auto"/>
          <w:u w:val="none"/>
        </w:rPr>
        <w:t>1</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bookmarkEnd w:id="23"/>
      <w:r w:rsidRPr="006E18C9">
        <w:t xml:space="preserve"> </w:t>
      </w:r>
      <w:r w:rsidRPr="006E18C9">
        <w:fldChar w:fldCharType="begin"/>
      </w:r>
      <w:r w:rsidRPr="006E18C9">
        <w:instrText xml:space="preserve"> TOC \h \z \c "Figure" </w:instrText>
      </w:r>
      <w:r w:rsidRPr="006E18C9">
        <w:fldChar w:fldCharType="separate"/>
      </w:r>
      <w:hyperlink r:id="rId27" w:anchor="_Toc315681375" w:history="1">
        <w:r w:rsidR="006E18C9">
          <w:rPr>
            <w:rFonts w:ascii="Times New Roman" w:hAnsi="Times New Roman"/>
          </w:rPr>
          <w:t>Figure 3.12</w:t>
        </w:r>
        <w:r w:rsidR="005F74E0" w:rsidRPr="006E18C9">
          <w:rPr>
            <w:rFonts w:ascii="Times New Roman" w:hAnsi="Times New Roman"/>
          </w:rPr>
          <w:t>: Wa</w:t>
        </w:r>
        <w:r w:rsidR="00634CA3" w:rsidRPr="006E18C9">
          <w:rPr>
            <w:rFonts w:ascii="Times New Roman" w:hAnsi="Times New Roman"/>
          </w:rPr>
          <w:t>tershed segmentation applied to an</w:t>
        </w:r>
        <w:r w:rsidR="005F74E0" w:rsidRPr="006E18C9">
          <w:rPr>
            <w:rFonts w:ascii="Times New Roman" w:hAnsi="Times New Roman"/>
          </w:rPr>
          <w:t xml:space="preserve"> SEM images. Mixing grains are successfully separated (</w:t>
        </w:r>
        <w:r w:rsidR="00CC4D77">
          <w:rPr>
            <w:rFonts w:ascii="Times New Roman" w:hAnsi="Times New Roman"/>
          </w:rPr>
          <w:t>g</w:t>
        </w:r>
        <w:r w:rsidR="00485EEE" w:rsidRPr="006E18C9">
          <w:rPr>
            <w:rFonts w:ascii="Times New Roman" w:hAnsi="Times New Roman"/>
          </w:rPr>
          <w:t>roup CCl</w:t>
        </w:r>
        <w:r w:rsidR="00951A71">
          <w:rPr>
            <w:rFonts w:ascii="Times New Roman" w:hAnsi="Times New Roman"/>
          </w:rPr>
          <w:t xml:space="preserve"> </w:t>
        </w:r>
        <w:r w:rsidR="00951A71" w:rsidRPr="00951A71">
          <w:rPr>
            <w:rFonts w:ascii="Times New Roman" w:hAnsi="Times New Roman"/>
          </w:rPr>
          <w:t>(calcite, clays, Fe-dol., K-feldspar)</w:t>
        </w:r>
        <w:r w:rsidR="005F74E0" w:rsidRPr="006E18C9">
          <w:rPr>
            <w:rFonts w:ascii="Times New Roman" w:hAnsi="Times New Roman"/>
          </w:rPr>
          <w:t xml:space="preserve"> – sample #1).</w:t>
        </w:r>
        <w:r w:rsidRPr="006E18C9">
          <w:rPr>
            <w:rStyle w:val="Hyperlink"/>
            <w:noProof/>
            <w:webHidden/>
            <w:color w:val="auto"/>
            <w:u w:val="none"/>
          </w:rPr>
          <w:tab/>
        </w:r>
      </w:hyperlink>
      <w:r w:rsidR="00634CA3" w:rsidRPr="006E18C9">
        <w:rPr>
          <w:rStyle w:val="Hyperlink"/>
          <w:noProof/>
          <w:color w:val="auto"/>
          <w:u w:val="none"/>
        </w:rPr>
        <w:t>3</w:t>
      </w:r>
      <w:r w:rsidR="00917519">
        <w:rPr>
          <w:rStyle w:val="Hyperlink"/>
          <w:noProof/>
          <w:color w:val="auto"/>
          <w:u w:val="none"/>
        </w:rPr>
        <w:t>2</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28" w:anchor="_Toc315681375" w:history="1">
        <w:r w:rsidR="006E18C9">
          <w:rPr>
            <w:rFonts w:ascii="Times New Roman" w:hAnsi="Times New Roman"/>
          </w:rPr>
          <w:t>Figure 3.13</w:t>
        </w:r>
        <w:r w:rsidR="005F74E0" w:rsidRPr="006E18C9">
          <w:rPr>
            <w:rFonts w:ascii="Times New Roman" w:hAnsi="Times New Roman"/>
          </w:rPr>
          <w:t xml:space="preserve">: Measured TOC, </w:t>
        </w:r>
        <w:r w:rsidR="00A76121" w:rsidRPr="006E18C9">
          <w:rPr>
            <w:rFonts w:ascii="Times New Roman" w:hAnsi="Times New Roman"/>
          </w:rPr>
          <w:t>crushed helium</w:t>
        </w:r>
        <w:r w:rsidR="005F74E0" w:rsidRPr="006E18C9">
          <w:rPr>
            <w:rFonts w:ascii="Times New Roman" w:hAnsi="Times New Roman"/>
          </w:rPr>
          <w:t xml:space="preserve"> porosity, FTIR </w:t>
        </w:r>
        <w:r w:rsidR="004621CD">
          <w:rPr>
            <w:rFonts w:ascii="Times New Roman" w:hAnsi="Times New Roman"/>
          </w:rPr>
          <w:t>mineral</w:t>
        </w:r>
        <w:r w:rsidR="005F74E0" w:rsidRPr="006E18C9">
          <w:rPr>
            <w:rFonts w:ascii="Times New Roman" w:hAnsi="Times New Roman"/>
          </w:rPr>
          <w:t>ogy, NMR</w:t>
        </w:r>
        <w:r w:rsidR="00813FAF">
          <w:rPr>
            <w:rFonts w:ascii="Times New Roman" w:hAnsi="Times New Roman"/>
          </w:rPr>
          <w:t xml:space="preserve"> T2 distribution</w:t>
        </w:r>
        <w:r w:rsidR="005F74E0" w:rsidRPr="006E18C9">
          <w:rPr>
            <w:rFonts w:ascii="Times New Roman" w:hAnsi="Times New Roman"/>
          </w:rPr>
          <w:t xml:space="preserve">, and MICP for the 24 samples plotted against increasing depth over the one foot depth interval. Note that the </w:t>
        </w:r>
        <w:r w:rsidR="004621CD">
          <w:rPr>
            <w:rFonts w:ascii="Times New Roman" w:hAnsi="Times New Roman"/>
          </w:rPr>
          <w:t>mineral</w:t>
        </w:r>
        <w:r w:rsidR="005F74E0" w:rsidRPr="006E18C9">
          <w:rPr>
            <w:rFonts w:ascii="Times New Roman" w:hAnsi="Times New Roman"/>
          </w:rPr>
          <w:t>ogy is dominated by clay, predominately illite</w:t>
        </w:r>
        <w:r w:rsidRPr="006E18C9">
          <w:rPr>
            <w:rStyle w:val="Hyperlink"/>
            <w:noProof/>
            <w:webHidden/>
            <w:color w:val="auto"/>
            <w:u w:val="none"/>
          </w:rPr>
          <w:tab/>
        </w:r>
        <w:r w:rsidR="00EF6EF1" w:rsidRPr="006E18C9">
          <w:rPr>
            <w:rStyle w:val="Hyperlink"/>
            <w:noProof/>
            <w:webHidden/>
            <w:color w:val="auto"/>
            <w:u w:val="none"/>
          </w:rPr>
          <w:t>3</w:t>
        </w:r>
      </w:hyperlink>
      <w:r w:rsidR="00917519">
        <w:rPr>
          <w:rStyle w:val="Hyperlink"/>
          <w:noProof/>
          <w:color w:val="auto"/>
          <w:u w:val="none"/>
        </w:rPr>
        <w:t>7</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29" w:anchor="_Toc315681375" w:history="1">
        <w:r w:rsidR="005F74E0" w:rsidRPr="006E18C9">
          <w:rPr>
            <w:rFonts w:ascii="Times New Roman" w:hAnsi="Times New Roman"/>
          </w:rPr>
          <w:t>Figure 4.1: A) Porosity measured from SEM map (sample #5</w:t>
        </w:r>
        <w:r w:rsidR="00575135" w:rsidRPr="006E18C9">
          <w:rPr>
            <w:rFonts w:ascii="Times New Roman" w:hAnsi="Times New Roman"/>
          </w:rPr>
          <w:t>) for different sub-map areas is compared to</w:t>
        </w:r>
        <w:r w:rsidR="005F74E0" w:rsidRPr="006E18C9">
          <w:rPr>
            <w:rFonts w:ascii="Times New Roman" w:hAnsi="Times New Roman"/>
          </w:rPr>
          <w:t xml:space="preserve"> total porosity for the original map (red line), B) Trun</w:t>
        </w:r>
        <w:r w:rsidR="00575135" w:rsidRPr="006E18C9">
          <w:rPr>
            <w:rFonts w:ascii="Times New Roman" w:hAnsi="Times New Roman"/>
          </w:rPr>
          <w:t>cation errors of each porosity is compare to</w:t>
        </w:r>
        <w:r w:rsidR="005F74E0" w:rsidRPr="006E18C9">
          <w:rPr>
            <w:rFonts w:ascii="Times New Roman" w:hAnsi="Times New Roman"/>
          </w:rPr>
          <w:t xml:space="preserve"> 10% error (red line). Note beyond a map area of roughly 20% of the whole map, the difference in porosity estimates reduces and become acceptable</w:t>
        </w:r>
        <w:r w:rsidRPr="006E18C9">
          <w:rPr>
            <w:rStyle w:val="Hyperlink"/>
            <w:noProof/>
            <w:webHidden/>
            <w:color w:val="auto"/>
            <w:u w:val="none"/>
          </w:rPr>
          <w:tab/>
        </w:r>
      </w:hyperlink>
      <w:r w:rsidR="00917519">
        <w:rPr>
          <w:rStyle w:val="Hyperlink"/>
          <w:noProof/>
          <w:color w:val="auto"/>
          <w:u w:val="none"/>
        </w:rPr>
        <w:t>39</w:t>
      </w:r>
    </w:p>
    <w:p w:rsidR="00B74AFF" w:rsidRPr="006E18C9" w:rsidRDefault="00B74AFF" w:rsidP="00B74AFF">
      <w:pPr>
        <w:pStyle w:val="TableofFigures"/>
        <w:tabs>
          <w:tab w:val="right" w:leader="dot" w:pos="8486"/>
        </w:tabs>
        <w:jc w:val="both"/>
        <w:rPr>
          <w:rFonts w:eastAsiaTheme="minorEastAsia" w:cstheme="minorBidi"/>
          <w:noProof/>
          <w:lang w:bidi="ar-SA"/>
        </w:rPr>
      </w:pPr>
      <w:r w:rsidRPr="006E18C9">
        <w:fldChar w:fldCharType="end"/>
      </w:r>
      <w:r w:rsidRPr="006E18C9">
        <w:t xml:space="preserve"> </w:t>
      </w:r>
      <w:r w:rsidRPr="006E18C9">
        <w:fldChar w:fldCharType="begin"/>
      </w:r>
      <w:r w:rsidRPr="006E18C9">
        <w:instrText xml:space="preserve"> TOC \h \z \c "Figure" </w:instrText>
      </w:r>
      <w:r w:rsidRPr="006E18C9">
        <w:fldChar w:fldCharType="separate"/>
      </w:r>
      <w:hyperlink r:id="rId30" w:anchor="_Toc315681375" w:history="1">
        <w:r w:rsidR="005F74E0" w:rsidRPr="006E18C9">
          <w:rPr>
            <w:rFonts w:ascii="Times New Roman" w:hAnsi="Times New Roman"/>
          </w:rPr>
          <w:t>Figure 4.2: A) Organic matter content measured from an SEM map of sample #5 for different sub-map areas is compared to the total organic matter content for the original map (red line), B) Trun</w:t>
        </w:r>
        <w:r w:rsidR="00575135" w:rsidRPr="006E18C9">
          <w:rPr>
            <w:rFonts w:ascii="Times New Roman" w:hAnsi="Times New Roman"/>
          </w:rPr>
          <w:t xml:space="preserve">cation errors of </w:t>
        </w:r>
        <w:r w:rsidR="005D1F27" w:rsidRPr="006E18C9">
          <w:rPr>
            <w:rFonts w:ascii="Times New Roman" w:hAnsi="Times New Roman"/>
          </w:rPr>
          <w:t>TOC value is compared to</w:t>
        </w:r>
        <w:r w:rsidR="005F74E0" w:rsidRPr="006E18C9">
          <w:rPr>
            <w:rFonts w:ascii="Times New Roman" w:hAnsi="Times New Roman"/>
          </w:rPr>
          <w:t xml:space="preserve"> 10% error (red line). Note beyond a map area of roughly 70% of the total area, the difference in TOC estimates reduces and become acceptable. Note also this area threshold is considerably larger than that for porosity</w:t>
        </w:r>
        <w:r w:rsidRPr="006E18C9">
          <w:rPr>
            <w:rStyle w:val="Hyperlink"/>
            <w:noProof/>
            <w:webHidden/>
            <w:color w:val="auto"/>
            <w:u w:val="none"/>
          </w:rPr>
          <w:tab/>
        </w:r>
      </w:hyperlink>
      <w:r w:rsidR="00FE648C">
        <w:rPr>
          <w:rStyle w:val="Hyperlink"/>
          <w:noProof/>
          <w:color w:val="auto"/>
          <w:u w:val="none"/>
        </w:rPr>
        <w:t>4</w:t>
      </w:r>
      <w:r w:rsidR="00917519">
        <w:rPr>
          <w:rStyle w:val="Hyperlink"/>
          <w:noProof/>
          <w:color w:val="auto"/>
          <w:u w:val="none"/>
        </w:rPr>
        <w:t>1</w:t>
      </w:r>
    </w:p>
    <w:p w:rsidR="005F74E0" w:rsidRPr="006E18C9" w:rsidRDefault="00B74AFF" w:rsidP="005F74E0">
      <w:pPr>
        <w:pStyle w:val="TableofFigures"/>
        <w:tabs>
          <w:tab w:val="right" w:leader="dot" w:pos="8486"/>
        </w:tabs>
        <w:jc w:val="both"/>
        <w:rPr>
          <w:rFonts w:eastAsiaTheme="minorEastAsia" w:cstheme="minorBidi"/>
          <w:noProof/>
          <w:lang w:bidi="ar-SA"/>
        </w:rPr>
      </w:pPr>
      <w:r w:rsidRPr="006E18C9">
        <w:fldChar w:fldCharType="end"/>
      </w:r>
      <w:r w:rsidR="005F74E0" w:rsidRPr="006E18C9">
        <w:fldChar w:fldCharType="begin"/>
      </w:r>
      <w:r w:rsidR="005F74E0" w:rsidRPr="006E18C9">
        <w:instrText xml:space="preserve"> TOC \h \z \c "Figure" </w:instrText>
      </w:r>
      <w:r w:rsidR="005F74E0" w:rsidRPr="006E18C9">
        <w:fldChar w:fldCharType="separate"/>
      </w:r>
      <w:hyperlink r:id="rId31" w:anchor="_Toc315681375" w:history="1">
        <w:r w:rsidR="005F74E0" w:rsidRPr="006E18C9">
          <w:rPr>
            <w:rFonts w:ascii="Times New Roman" w:hAnsi="Times New Roman"/>
          </w:rPr>
          <w:t>Figure 4.3: REA for porosity and organic content for 24 samples with depth. These are estimated from the whole maps. In general the REAs for organics are roughly twice that for porosity</w:t>
        </w:r>
        <w:r w:rsidR="005F74E0" w:rsidRPr="006E18C9">
          <w:rPr>
            <w:rStyle w:val="Hyperlink"/>
            <w:noProof/>
            <w:webHidden/>
            <w:color w:val="auto"/>
            <w:u w:val="none"/>
          </w:rPr>
          <w:tab/>
        </w:r>
      </w:hyperlink>
      <w:r w:rsidR="00634CA3" w:rsidRPr="006E18C9">
        <w:rPr>
          <w:rStyle w:val="Hyperlink"/>
          <w:noProof/>
          <w:color w:val="auto"/>
          <w:u w:val="none"/>
        </w:rPr>
        <w:t>4</w:t>
      </w:r>
      <w:r w:rsidR="00917519">
        <w:rPr>
          <w:rStyle w:val="Hyperlink"/>
          <w:noProof/>
          <w:color w:val="auto"/>
          <w:u w:val="none"/>
        </w:rPr>
        <w:t>2</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lastRenderedPageBreak/>
        <w:fldChar w:fldCharType="end"/>
      </w:r>
      <w:r w:rsidRPr="006E18C9">
        <w:fldChar w:fldCharType="begin"/>
      </w:r>
      <w:r w:rsidRPr="006E18C9">
        <w:instrText xml:space="preserve"> TOC \h \z \c "Figure" </w:instrText>
      </w:r>
      <w:r w:rsidRPr="006E18C9">
        <w:fldChar w:fldCharType="separate"/>
      </w:r>
      <w:hyperlink r:id="rId32" w:anchor="_Toc315681375" w:history="1">
        <w:r w:rsidRPr="006E18C9">
          <w:rPr>
            <w:rFonts w:ascii="Times New Roman" w:hAnsi="Times New Roman"/>
          </w:rPr>
          <w:t>Figure 4.4:  Pore size distribution for 24 samples with 50 nm radius boundary (red line). Note the similarity in the trend for 24 samples</w:t>
        </w:r>
        <w:r w:rsidR="00AF1DB0" w:rsidRPr="006E18C9">
          <w:rPr>
            <w:rFonts w:ascii="Times New Roman" w:hAnsi="Times New Roman"/>
          </w:rPr>
          <w:t>.Note the assumption of spherical pores.</w:t>
        </w:r>
        <w:r w:rsidRPr="006E18C9">
          <w:rPr>
            <w:rStyle w:val="Hyperlink"/>
            <w:noProof/>
            <w:webHidden/>
            <w:color w:val="auto"/>
            <w:u w:val="none"/>
          </w:rPr>
          <w:tab/>
        </w:r>
        <w:r w:rsidR="00EF6EF1" w:rsidRPr="006E18C9">
          <w:rPr>
            <w:rStyle w:val="Hyperlink"/>
            <w:noProof/>
            <w:webHidden/>
            <w:color w:val="auto"/>
            <w:u w:val="none"/>
          </w:rPr>
          <w:t>4</w:t>
        </w:r>
      </w:hyperlink>
      <w:r w:rsidR="00917519">
        <w:rPr>
          <w:rStyle w:val="Hyperlink"/>
          <w:noProof/>
          <w:color w:val="auto"/>
          <w:u w:val="none"/>
        </w:rPr>
        <w:t>5</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33" w:anchor="_Toc315681375" w:history="1">
        <w:r w:rsidRPr="006E18C9">
          <w:rPr>
            <w:rFonts w:ascii="Times New Roman" w:hAnsi="Times New Roman"/>
          </w:rPr>
          <w:t>Figure 4.5:  Organic matter size distribution for 24 samples with 50 nm radius boundary (red line). There is more scatter in the organic trends than the porosity trends</w:t>
        </w:r>
        <w:r w:rsidR="00AF1DB0" w:rsidRPr="006E18C9">
          <w:rPr>
            <w:rFonts w:ascii="Times New Roman" w:hAnsi="Times New Roman"/>
          </w:rPr>
          <w:t>. Note the assumption of spherical organic matter.</w:t>
        </w:r>
        <w:r w:rsidRPr="006E18C9">
          <w:rPr>
            <w:rStyle w:val="Hyperlink"/>
            <w:noProof/>
            <w:webHidden/>
            <w:color w:val="auto"/>
            <w:u w:val="none"/>
          </w:rPr>
          <w:tab/>
        </w:r>
        <w:r w:rsidR="00EF6EF1" w:rsidRPr="006E18C9">
          <w:rPr>
            <w:rStyle w:val="Hyperlink"/>
            <w:noProof/>
            <w:webHidden/>
            <w:color w:val="auto"/>
            <w:u w:val="none"/>
          </w:rPr>
          <w:t>4</w:t>
        </w:r>
      </w:hyperlink>
      <w:r w:rsidR="00917519">
        <w:rPr>
          <w:rStyle w:val="Hyperlink"/>
          <w:noProof/>
          <w:color w:val="auto"/>
          <w:u w:val="none"/>
        </w:rPr>
        <w:t>5</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34" w:anchor="_Toc315681375" w:history="1">
        <w:r w:rsidRPr="006E18C9">
          <w:rPr>
            <w:rFonts w:ascii="Times New Roman" w:hAnsi="Times New Roman"/>
          </w:rPr>
          <w:t>Figure 4.6 SEM backscattered images of A) sample #5 and B) sample #13. Red circles highlighted larger organic matter particles which are mostly associated with cracks. These organic filled cracks are important and considered as key to HC generation.</w:t>
        </w:r>
        <w:r w:rsidRPr="006E18C9">
          <w:rPr>
            <w:rStyle w:val="Hyperlink"/>
            <w:noProof/>
            <w:webHidden/>
            <w:color w:val="auto"/>
            <w:u w:val="none"/>
          </w:rPr>
          <w:tab/>
        </w:r>
        <w:r w:rsidR="00EF6EF1" w:rsidRPr="006E18C9">
          <w:rPr>
            <w:rStyle w:val="Hyperlink"/>
            <w:noProof/>
            <w:webHidden/>
            <w:color w:val="auto"/>
            <w:u w:val="none"/>
          </w:rPr>
          <w:t>4</w:t>
        </w:r>
      </w:hyperlink>
      <w:r w:rsidR="00917519">
        <w:rPr>
          <w:rStyle w:val="Hyperlink"/>
          <w:noProof/>
          <w:color w:val="auto"/>
          <w:u w:val="none"/>
        </w:rPr>
        <w:t>6</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35" w:anchor="_Toc315681375" w:history="1">
        <w:r w:rsidRPr="006E18C9">
          <w:rPr>
            <w:rFonts w:ascii="Times New Roman" w:hAnsi="Times New Roman"/>
          </w:rPr>
          <w:t>Figure 4.7: Areal contribution of porosity (red) and organic matter (green) for 24 samples assuming a 50nm radius boundary (blue line)</w:t>
        </w:r>
        <w:r w:rsidR="00AF1DB0" w:rsidRPr="006E18C9">
          <w:rPr>
            <w:rFonts w:ascii="Times New Roman" w:hAnsi="Times New Roman"/>
          </w:rPr>
          <w:t xml:space="preserve">. </w:t>
        </w:r>
        <w:bookmarkStart w:id="36" w:name="OLE_LINK123"/>
        <w:r w:rsidR="00AF1DB0" w:rsidRPr="006E18C9">
          <w:rPr>
            <w:rFonts w:ascii="Times New Roman" w:hAnsi="Times New Roman"/>
          </w:rPr>
          <w:t>Note the assumption of spherical pores and organic matter</w:t>
        </w:r>
        <w:bookmarkEnd w:id="36"/>
        <w:r w:rsidRPr="006E18C9">
          <w:rPr>
            <w:rStyle w:val="Hyperlink"/>
            <w:noProof/>
            <w:webHidden/>
            <w:color w:val="auto"/>
            <w:u w:val="none"/>
          </w:rPr>
          <w:tab/>
        </w:r>
        <w:r w:rsidR="00EF6EF1" w:rsidRPr="006E18C9">
          <w:rPr>
            <w:rStyle w:val="Hyperlink"/>
            <w:noProof/>
            <w:webHidden/>
            <w:color w:val="auto"/>
            <w:u w:val="none"/>
          </w:rPr>
          <w:t>4</w:t>
        </w:r>
      </w:hyperlink>
      <w:r w:rsidR="00917519">
        <w:rPr>
          <w:rStyle w:val="Hyperlink"/>
          <w:noProof/>
          <w:color w:val="auto"/>
          <w:u w:val="none"/>
        </w:rPr>
        <w:t>7</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36" w:anchor="_Toc315681375" w:history="1">
        <w:r w:rsidRPr="006E18C9">
          <w:rPr>
            <w:rFonts w:ascii="Times New Roman" w:hAnsi="Times New Roman"/>
          </w:rPr>
          <w:t>Figure 4.8:  Pore size distribution of A) three sub-maps of 10% scale, average number of pores counted is 627,000 ± 17,000 and B) six sub-maps of 5% scale, average number of pores counted is 228,000 ± 39,000</w:t>
        </w:r>
        <w:r w:rsidR="00AF1DB0" w:rsidRPr="006E18C9">
          <w:rPr>
            <w:rFonts w:ascii="Times New Roman" w:hAnsi="Times New Roman"/>
          </w:rPr>
          <w:t>. Note variation at large size</w:t>
        </w:r>
        <w:r w:rsidRPr="006E18C9">
          <w:rPr>
            <w:rStyle w:val="Hyperlink"/>
            <w:noProof/>
            <w:webHidden/>
            <w:color w:val="auto"/>
            <w:u w:val="none"/>
          </w:rPr>
          <w:tab/>
        </w:r>
        <w:r w:rsidR="00EF6EF1" w:rsidRPr="006E18C9">
          <w:rPr>
            <w:rStyle w:val="Hyperlink"/>
            <w:noProof/>
            <w:webHidden/>
            <w:color w:val="auto"/>
            <w:u w:val="none"/>
          </w:rPr>
          <w:t>4</w:t>
        </w:r>
      </w:hyperlink>
      <w:r w:rsidR="00917519">
        <w:rPr>
          <w:rStyle w:val="Hyperlink"/>
          <w:noProof/>
          <w:color w:val="auto"/>
          <w:u w:val="none"/>
        </w:rPr>
        <w:t>8</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37" w:anchor="_Toc315681375" w:history="1">
        <w:r w:rsidRPr="006E18C9">
          <w:rPr>
            <w:rFonts w:asciiTheme="majorHAnsi" w:hAnsiTheme="majorHAnsi"/>
            <w:bCs/>
          </w:rPr>
          <w:t>Figure 4.9: Comparison of porosity measured from SEM imaging and petrophysical data. Red ellipse highlights the interval with the poorest correlation</w:t>
        </w:r>
        <w:r w:rsidR="00AF1DB0" w:rsidRPr="006E18C9">
          <w:rPr>
            <w:rFonts w:asciiTheme="majorHAnsi" w:hAnsiTheme="majorHAnsi"/>
            <w:bCs/>
          </w:rPr>
          <w:t>. The error is 1.0% on average. Note SEM porosity values are measured from the whole maps.</w:t>
        </w:r>
        <w:r w:rsidRPr="006E18C9">
          <w:rPr>
            <w:rStyle w:val="Hyperlink"/>
            <w:noProof/>
            <w:webHidden/>
            <w:color w:val="auto"/>
            <w:u w:val="none"/>
          </w:rPr>
          <w:tab/>
        </w:r>
      </w:hyperlink>
      <w:r w:rsidR="00021015">
        <w:rPr>
          <w:rStyle w:val="Hyperlink"/>
          <w:noProof/>
          <w:color w:val="auto"/>
          <w:u w:val="none"/>
        </w:rPr>
        <w:t>50</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38" w:anchor="_Toc315681375" w:history="1">
        <w:r w:rsidRPr="006E18C9">
          <w:rPr>
            <w:rFonts w:asciiTheme="majorHAnsi" w:hAnsiTheme="majorHAnsi"/>
            <w:bCs/>
          </w:rPr>
          <w:t>Figure 4.10: Comparison of organic content measured from SEM imaging and petrophysical data. Green ellipse highlights the interval with the poorest correlation</w:t>
        </w:r>
        <w:r w:rsidR="00AF1DB0" w:rsidRPr="006E18C9">
          <w:rPr>
            <w:rFonts w:asciiTheme="majorHAnsi" w:hAnsiTheme="majorHAnsi"/>
            <w:bCs/>
          </w:rPr>
          <w:t>. The error is 0.6% on average. Note the SEM TOC values are measured from the whole maps</w:t>
        </w:r>
        <w:r w:rsidRPr="006E18C9">
          <w:rPr>
            <w:rStyle w:val="Hyperlink"/>
            <w:noProof/>
            <w:webHidden/>
            <w:color w:val="auto"/>
            <w:u w:val="none"/>
          </w:rPr>
          <w:tab/>
        </w:r>
      </w:hyperlink>
      <w:r w:rsidR="00FE648C">
        <w:rPr>
          <w:rStyle w:val="Hyperlink"/>
          <w:noProof/>
          <w:color w:val="auto"/>
          <w:u w:val="none"/>
        </w:rPr>
        <w:t>5</w:t>
      </w:r>
      <w:r w:rsidR="00917519">
        <w:rPr>
          <w:rStyle w:val="Hyperlink"/>
          <w:noProof/>
          <w:color w:val="auto"/>
          <w:u w:val="none"/>
        </w:rPr>
        <w:t>1</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lastRenderedPageBreak/>
        <w:fldChar w:fldCharType="end"/>
      </w:r>
      <w:r w:rsidRPr="006E18C9">
        <w:fldChar w:fldCharType="begin"/>
      </w:r>
      <w:r w:rsidRPr="006E18C9">
        <w:instrText xml:space="preserve"> TOC \h \z \c "Figure" </w:instrText>
      </w:r>
      <w:r w:rsidRPr="006E18C9">
        <w:fldChar w:fldCharType="separate"/>
      </w:r>
      <w:hyperlink r:id="rId39" w:anchor="_Toc315681375" w:history="1">
        <w:r w:rsidRPr="006E18C9">
          <w:t xml:space="preserve">Figure 4.11: SEM backscattered image of sample #3. SEM porosity and </w:t>
        </w:r>
        <w:r w:rsidR="00A76121" w:rsidRPr="006E18C9">
          <w:t>crushed helium</w:t>
        </w:r>
        <w:r w:rsidRPr="006E18C9">
          <w:t xml:space="preserve"> porosity measured for this sample are 3.0% and 7.0%, respectively</w:t>
        </w:r>
        <w:r w:rsidRPr="006E18C9">
          <w:rPr>
            <w:rStyle w:val="Hyperlink"/>
            <w:noProof/>
            <w:webHidden/>
            <w:color w:val="auto"/>
            <w:u w:val="none"/>
          </w:rPr>
          <w:tab/>
        </w:r>
      </w:hyperlink>
      <w:r w:rsidR="00AF1DB0" w:rsidRPr="006E18C9">
        <w:rPr>
          <w:rStyle w:val="Hyperlink"/>
          <w:noProof/>
          <w:color w:val="auto"/>
          <w:u w:val="none"/>
        </w:rPr>
        <w:t>5</w:t>
      </w:r>
      <w:r w:rsidR="00917519">
        <w:rPr>
          <w:rStyle w:val="Hyperlink"/>
          <w:noProof/>
          <w:color w:val="auto"/>
          <w:u w:val="none"/>
        </w:rPr>
        <w:t>2</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40" w:anchor="_Toc315681375" w:history="1">
        <w:r w:rsidRPr="006E18C9">
          <w:t xml:space="preserve">Figure 4.12: SEM backscattered image of sample #3. SEM </w:t>
        </w:r>
        <w:r w:rsidR="00AF1DB0" w:rsidRPr="006E18C9">
          <w:t>TOC</w:t>
        </w:r>
        <w:r w:rsidRPr="006E18C9">
          <w:t xml:space="preserve"> and </w:t>
        </w:r>
        <w:r w:rsidR="00AF1DB0" w:rsidRPr="006E18C9">
          <w:t>LECO</w:t>
        </w:r>
        <w:r w:rsidR="00AF1DB0" w:rsidRPr="006E18C9">
          <w:rPr>
            <w:rFonts w:cstheme="minorHAnsi"/>
          </w:rPr>
          <w:t>™</w:t>
        </w:r>
        <w:r w:rsidR="00AF1DB0" w:rsidRPr="006E18C9">
          <w:t xml:space="preserve"> TOC</w:t>
        </w:r>
        <w:r w:rsidRPr="006E18C9">
          <w:t xml:space="preserve"> </w:t>
        </w:r>
        <w:r w:rsidR="00AF1DB0" w:rsidRPr="006E18C9">
          <w:t>measured for this sample are 2.4% and 3.8</w:t>
        </w:r>
        <w:r w:rsidRPr="006E18C9">
          <w:t>%, respectively</w:t>
        </w:r>
        <w:r w:rsidRPr="006E18C9">
          <w:rPr>
            <w:rStyle w:val="Hyperlink"/>
            <w:noProof/>
            <w:webHidden/>
            <w:color w:val="auto"/>
            <w:u w:val="none"/>
          </w:rPr>
          <w:tab/>
        </w:r>
      </w:hyperlink>
      <w:r w:rsidR="00AF1DB0" w:rsidRPr="006E18C9">
        <w:rPr>
          <w:rStyle w:val="Hyperlink"/>
          <w:noProof/>
          <w:color w:val="auto"/>
          <w:u w:val="none"/>
        </w:rPr>
        <w:t>5</w:t>
      </w:r>
      <w:r w:rsidR="00917519">
        <w:rPr>
          <w:rStyle w:val="Hyperlink"/>
          <w:noProof/>
          <w:color w:val="auto"/>
          <w:u w:val="none"/>
        </w:rPr>
        <w:t>3</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41" w:anchor="_Toc315681375" w:history="1">
        <w:r w:rsidRPr="006E18C9">
          <w:rPr>
            <w:rFonts w:asciiTheme="majorHAnsi" w:hAnsiTheme="majorHAnsi"/>
            <w:bCs/>
          </w:rPr>
          <w:t>Figure 4.13: Mercury intrusion and extrusion as a function of pressure of sample #1. Black arrow indicates the difference between intrusion and extrusion profile, which represent the amount of mercury trapped inside rock sample</w:t>
        </w:r>
        <w:r w:rsidRPr="006E18C9">
          <w:rPr>
            <w:rStyle w:val="Hyperlink"/>
            <w:noProof/>
            <w:webHidden/>
            <w:color w:val="auto"/>
            <w:u w:val="none"/>
          </w:rPr>
          <w:tab/>
        </w:r>
      </w:hyperlink>
      <w:r w:rsidR="00AF1DB0" w:rsidRPr="006E18C9">
        <w:rPr>
          <w:rStyle w:val="Hyperlink"/>
          <w:noProof/>
          <w:color w:val="auto"/>
          <w:u w:val="none"/>
        </w:rPr>
        <w:t>5</w:t>
      </w:r>
      <w:r w:rsidR="00917519">
        <w:rPr>
          <w:rStyle w:val="Hyperlink"/>
          <w:noProof/>
          <w:color w:val="auto"/>
          <w:u w:val="none"/>
        </w:rPr>
        <w:t>4</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42" w:anchor="_Toc315681375" w:history="1">
        <w:r w:rsidRPr="006E18C9">
          <w:t>Figure 4.14: MICP model assumption that all pores (blue) are homogeneous in size (left figure) versus real life scenario where pores with different sizes are mixed together</w:t>
        </w:r>
        <w:r w:rsidRPr="006E18C9">
          <w:rPr>
            <w:rStyle w:val="Hyperlink"/>
            <w:noProof/>
            <w:webHidden/>
            <w:color w:val="auto"/>
            <w:u w:val="none"/>
          </w:rPr>
          <w:tab/>
        </w:r>
      </w:hyperlink>
      <w:r w:rsidR="00AF1DB0" w:rsidRPr="006E18C9">
        <w:rPr>
          <w:rStyle w:val="Hyperlink"/>
          <w:noProof/>
          <w:color w:val="auto"/>
          <w:u w:val="none"/>
        </w:rPr>
        <w:t>5</w:t>
      </w:r>
      <w:r w:rsidR="00917519">
        <w:rPr>
          <w:rStyle w:val="Hyperlink"/>
          <w:noProof/>
          <w:color w:val="auto"/>
          <w:u w:val="none"/>
        </w:rPr>
        <w:t>5</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43" w:anchor="_Toc315681375" w:history="1">
        <w:r w:rsidRPr="006E18C9">
          <w:t>Fig 4.15: Comparison of M</w:t>
        </w:r>
        <w:r w:rsidRPr="00160581">
          <w:t xml:space="preserve">ICP pore volume distribution and SEM imaging pore area distribution of sample #1. </w:t>
        </w:r>
        <w:r w:rsidR="00160581" w:rsidRPr="00160581">
          <w:t>While each distribution has one dominant pick, they are not at the same pore radius.</w:t>
        </w:r>
        <w:r w:rsidRPr="006E18C9">
          <w:rPr>
            <w:rStyle w:val="Hyperlink"/>
            <w:noProof/>
            <w:webHidden/>
            <w:color w:val="auto"/>
            <w:u w:val="none"/>
          </w:rPr>
          <w:tab/>
        </w:r>
      </w:hyperlink>
      <w:r w:rsidR="00AF1DB0" w:rsidRPr="006E18C9">
        <w:rPr>
          <w:rStyle w:val="Hyperlink"/>
          <w:noProof/>
          <w:color w:val="auto"/>
          <w:u w:val="none"/>
        </w:rPr>
        <w:t>5</w:t>
      </w:r>
      <w:r w:rsidR="00917519">
        <w:rPr>
          <w:rStyle w:val="Hyperlink"/>
          <w:noProof/>
          <w:color w:val="auto"/>
          <w:u w:val="none"/>
        </w:rPr>
        <w:t>5</w:t>
      </w:r>
    </w:p>
    <w:p w:rsidR="005F74E0" w:rsidRPr="006E18C9" w:rsidRDefault="005F74E0" w:rsidP="005F74E0">
      <w:pPr>
        <w:pStyle w:val="TableofFigures"/>
        <w:tabs>
          <w:tab w:val="right" w:leader="dot" w:pos="8486"/>
        </w:tabs>
        <w:jc w:val="both"/>
        <w:rPr>
          <w:rStyle w:val="Hyperlink"/>
          <w:noProof/>
          <w:color w:val="auto"/>
          <w:u w:val="none"/>
        </w:rPr>
      </w:pPr>
      <w:r w:rsidRPr="006E18C9">
        <w:fldChar w:fldCharType="end"/>
      </w:r>
      <w:r w:rsidRPr="006E18C9">
        <w:fldChar w:fldCharType="begin"/>
      </w:r>
      <w:r w:rsidRPr="006E18C9">
        <w:instrText xml:space="preserve"> TOC \h \z \c "Figure" </w:instrText>
      </w:r>
      <w:r w:rsidRPr="006E18C9">
        <w:fldChar w:fldCharType="separate"/>
      </w:r>
      <w:hyperlink r:id="rId44" w:anchor="_Toc315681375" w:history="1">
        <w:r w:rsidRPr="006E18C9">
          <w:t>Figure 4.16: Comparison of MICP pore volume distribution and SEM imaging pore area distribution for the 24 Wolfcamp samples. Two separated peaks are still observed</w:t>
        </w:r>
        <w:r w:rsidRPr="006E18C9">
          <w:rPr>
            <w:rStyle w:val="Hyperlink"/>
            <w:noProof/>
            <w:webHidden/>
            <w:color w:val="auto"/>
            <w:u w:val="none"/>
          </w:rPr>
          <w:tab/>
        </w:r>
        <w:r w:rsidR="00EF6EF1" w:rsidRPr="006E18C9">
          <w:rPr>
            <w:rStyle w:val="Hyperlink"/>
            <w:noProof/>
            <w:webHidden/>
            <w:color w:val="auto"/>
            <w:u w:val="none"/>
          </w:rPr>
          <w:t>5</w:t>
        </w:r>
      </w:hyperlink>
      <w:r w:rsidR="00917519">
        <w:rPr>
          <w:rStyle w:val="Hyperlink"/>
          <w:noProof/>
          <w:color w:val="auto"/>
          <w:u w:val="none"/>
        </w:rPr>
        <w:t>7</w:t>
      </w:r>
    </w:p>
    <w:p w:rsidR="00AF1DB0" w:rsidRPr="006E18C9" w:rsidRDefault="001E1AF0" w:rsidP="00AF1DB0">
      <w:pPr>
        <w:pStyle w:val="TableofFigures"/>
        <w:tabs>
          <w:tab w:val="right" w:leader="dot" w:pos="8486"/>
        </w:tabs>
        <w:jc w:val="both"/>
        <w:rPr>
          <w:rFonts w:eastAsiaTheme="minorEastAsia"/>
        </w:rPr>
      </w:pPr>
      <w:r>
        <w:fldChar w:fldCharType="begin"/>
      </w:r>
      <w:r>
        <w:instrText xml:space="preserve"> TOC \h \z \c "Figure" </w:instrText>
      </w:r>
      <w:r>
        <w:fldChar w:fldCharType="separate"/>
      </w:r>
      <w:hyperlink r:id="rId45" w:anchor="_Toc315681375" w:history="1">
        <w:r w:rsidR="00AF1DB0" w:rsidRPr="006E18C9">
          <w:t>Figure 4.17: Difference between mercury intrusion and extrusion versus pore body to throat ratio shows a directly proportional relationship</w:t>
        </w:r>
        <w:r w:rsidR="00AF1DB0" w:rsidRPr="006E18C9">
          <w:rPr>
            <w:rStyle w:val="Hyperlink"/>
            <w:noProof/>
            <w:webHidden/>
            <w:color w:val="auto"/>
            <w:u w:val="none"/>
          </w:rPr>
          <w:tab/>
          <w:t>5</w:t>
        </w:r>
      </w:hyperlink>
      <w:r>
        <w:rPr>
          <w:rStyle w:val="Hyperlink"/>
          <w:noProof/>
          <w:color w:val="auto"/>
          <w:u w:val="none"/>
        </w:rPr>
        <w:fldChar w:fldCharType="end"/>
      </w:r>
      <w:r w:rsidR="00917519">
        <w:rPr>
          <w:rStyle w:val="Hyperlink"/>
          <w:noProof/>
          <w:color w:val="auto"/>
          <w:u w:val="none"/>
        </w:rPr>
        <w:t>7</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bookmarkStart w:id="37" w:name="OLE_LINK110"/>
      <w:r w:rsidRPr="006E18C9">
        <w:fldChar w:fldCharType="begin"/>
      </w:r>
      <w:r w:rsidRPr="006E18C9">
        <w:instrText xml:space="preserve"> TOC \h \z \c "Figure" </w:instrText>
      </w:r>
      <w:r w:rsidRPr="006E18C9">
        <w:fldChar w:fldCharType="separate"/>
      </w:r>
      <w:hyperlink r:id="rId46" w:anchor="_Toc315681375" w:history="1">
        <w:r w:rsidRPr="006E18C9">
          <w:t>Figure 4.18: Glass model with mercury. Lower part shows the residual trapped mercury (Wardlaw and McKellar, 1981</w:t>
        </w:r>
        <w:r w:rsidR="00D47DC3" w:rsidRPr="006E18C9">
          <w:t>)</w:t>
        </w:r>
        <w:r w:rsidRPr="006E18C9">
          <w:rPr>
            <w:rStyle w:val="Hyperlink"/>
            <w:noProof/>
            <w:webHidden/>
            <w:color w:val="auto"/>
            <w:u w:val="none"/>
          </w:rPr>
          <w:tab/>
        </w:r>
        <w:r w:rsidR="00EF6EF1" w:rsidRPr="006E18C9">
          <w:rPr>
            <w:rStyle w:val="Hyperlink"/>
            <w:noProof/>
            <w:webHidden/>
            <w:color w:val="auto"/>
            <w:u w:val="none"/>
          </w:rPr>
          <w:t>5</w:t>
        </w:r>
      </w:hyperlink>
      <w:r w:rsidR="00917519">
        <w:rPr>
          <w:rStyle w:val="Hyperlink"/>
          <w:noProof/>
          <w:color w:val="auto"/>
          <w:u w:val="none"/>
        </w:rPr>
        <w:t>8</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bookmarkEnd w:id="37"/>
      <w:r w:rsidRPr="006E18C9">
        <w:fldChar w:fldCharType="begin"/>
      </w:r>
      <w:r w:rsidRPr="006E18C9">
        <w:instrText xml:space="preserve"> TOC \h \z \c "Figure" </w:instrText>
      </w:r>
      <w:r w:rsidRPr="006E18C9">
        <w:fldChar w:fldCharType="separate"/>
      </w:r>
      <w:hyperlink r:id="rId47" w:anchor="_Toc315681375" w:history="1">
        <w:r w:rsidRPr="006E18C9">
          <w:rPr>
            <w:rFonts w:ascii="Times New Roman" w:hAnsi="Times New Roman"/>
          </w:rPr>
          <w:t>Figure 4.19: Comparison of NMR pore volume distribution (blue) and converted SEM pore area (red) distribution of sample #1. The effective surface relaxation is ρ</w:t>
        </w:r>
        <w:r w:rsidRPr="006E18C9">
          <w:rPr>
            <w:rFonts w:ascii="Times New Roman" w:hAnsi="Times New Roman"/>
            <w:vertAlign w:val="subscript"/>
          </w:rPr>
          <w:t xml:space="preserve">e </w:t>
        </w:r>
        <w:r w:rsidRPr="006E18C9">
          <w:rPr>
            <w:rFonts w:ascii="Times New Roman" w:hAnsi="Times New Roman"/>
          </w:rPr>
          <w:t xml:space="preserve"> = 33 </w:t>
        </w:r>
        <w:r w:rsidRPr="006E18C9">
          <w:rPr>
            <w:rFonts w:ascii="Times New Roman" w:eastAsiaTheme="minorEastAsia" w:hAnsi="Times New Roman"/>
          </w:rPr>
          <w:t>µm/</w:t>
        </w:r>
        <w:r w:rsidRPr="006E18C9">
          <w:rPr>
            <w:rFonts w:ascii="Times New Roman" w:hAnsi="Times New Roman"/>
          </w:rPr>
          <w:t>sec</w:t>
        </w:r>
        <w:r w:rsidRPr="006E18C9">
          <w:rPr>
            <w:rStyle w:val="Hyperlink"/>
            <w:noProof/>
            <w:webHidden/>
            <w:color w:val="auto"/>
            <w:u w:val="none"/>
          </w:rPr>
          <w:tab/>
        </w:r>
      </w:hyperlink>
      <w:r w:rsidR="00917519">
        <w:rPr>
          <w:rStyle w:val="Hyperlink"/>
          <w:noProof/>
          <w:color w:val="auto"/>
          <w:u w:val="none"/>
        </w:rPr>
        <w:t>59</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lastRenderedPageBreak/>
        <w:fldChar w:fldCharType="end"/>
      </w:r>
      <w:r w:rsidRPr="006E18C9">
        <w:fldChar w:fldCharType="begin"/>
      </w:r>
      <w:r w:rsidRPr="006E18C9">
        <w:instrText xml:space="preserve"> TOC \h \z \c "Figure" </w:instrText>
      </w:r>
      <w:r w:rsidRPr="006E18C9">
        <w:fldChar w:fldCharType="separate"/>
      </w:r>
      <w:hyperlink r:id="rId48" w:anchor="_Toc315681375" w:history="1">
        <w:r w:rsidRPr="006E18C9">
          <w:rPr>
            <w:rFonts w:ascii="Times New Roman" w:hAnsi="Times New Roman"/>
          </w:rPr>
          <w:t>Figure 4.20: Comparison of NMR pore volume distribution (blue) and converted SEM pore area distribution (red) of sample #2. The effective surface relaxation is ρ</w:t>
        </w:r>
        <w:r w:rsidRPr="006E18C9">
          <w:rPr>
            <w:rFonts w:ascii="Times New Roman" w:hAnsi="Times New Roman"/>
            <w:vertAlign w:val="subscript"/>
          </w:rPr>
          <w:t xml:space="preserve">e </w:t>
        </w:r>
        <w:r w:rsidRPr="006E18C9">
          <w:rPr>
            <w:rFonts w:ascii="Times New Roman" w:hAnsi="Times New Roman"/>
          </w:rPr>
          <w:t xml:space="preserve"> = 40 </w:t>
        </w:r>
        <w:r w:rsidRPr="006E18C9">
          <w:rPr>
            <w:rFonts w:ascii="Times New Roman" w:eastAsiaTheme="minorEastAsia" w:hAnsi="Times New Roman"/>
          </w:rPr>
          <w:t>µm/</w:t>
        </w:r>
        <w:r w:rsidRPr="006E18C9">
          <w:rPr>
            <w:rFonts w:ascii="Times New Roman" w:hAnsi="Times New Roman"/>
          </w:rPr>
          <w:t>sec</w:t>
        </w:r>
        <w:r w:rsidRPr="006E18C9">
          <w:rPr>
            <w:rStyle w:val="Hyperlink"/>
            <w:noProof/>
            <w:webHidden/>
            <w:color w:val="auto"/>
            <w:u w:val="none"/>
          </w:rPr>
          <w:tab/>
        </w:r>
      </w:hyperlink>
      <w:r w:rsidR="00FE648C">
        <w:rPr>
          <w:rStyle w:val="Hyperlink"/>
          <w:noProof/>
          <w:color w:val="auto"/>
          <w:u w:val="none"/>
        </w:rPr>
        <w:t>6</w:t>
      </w:r>
      <w:r w:rsidR="00917519">
        <w:rPr>
          <w:rStyle w:val="Hyperlink"/>
          <w:noProof/>
          <w:color w:val="auto"/>
          <w:u w:val="none"/>
        </w:rPr>
        <w:t>0</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49" w:anchor="_Toc315681375" w:history="1">
        <w:r w:rsidRPr="006E18C9">
          <w:rPr>
            <w:rFonts w:ascii="Times New Roman" w:hAnsi="Times New Roman"/>
          </w:rPr>
          <w:t>Figure 4.21: Comparison of NMR pore volume distribution (blue) and converted SEM pore area distribution (red) of sample #3. The effective surface relaxation is ρ</w:t>
        </w:r>
        <w:r w:rsidRPr="006E18C9">
          <w:rPr>
            <w:rFonts w:ascii="Times New Roman" w:hAnsi="Times New Roman"/>
            <w:vertAlign w:val="subscript"/>
          </w:rPr>
          <w:t xml:space="preserve">e </w:t>
        </w:r>
        <w:r w:rsidRPr="006E18C9">
          <w:rPr>
            <w:rFonts w:ascii="Times New Roman" w:hAnsi="Times New Roman"/>
          </w:rPr>
          <w:t xml:space="preserve"> = 46 </w:t>
        </w:r>
        <w:r w:rsidRPr="006E18C9">
          <w:rPr>
            <w:rFonts w:ascii="Times New Roman" w:eastAsiaTheme="minorEastAsia" w:hAnsi="Times New Roman"/>
          </w:rPr>
          <w:t>µm/</w:t>
        </w:r>
        <w:r w:rsidRPr="006E18C9">
          <w:rPr>
            <w:rFonts w:ascii="Times New Roman" w:hAnsi="Times New Roman"/>
          </w:rPr>
          <w:t>sec</w:t>
        </w:r>
        <w:r w:rsidRPr="006E18C9">
          <w:rPr>
            <w:rStyle w:val="Hyperlink"/>
            <w:noProof/>
            <w:webHidden/>
            <w:color w:val="auto"/>
            <w:u w:val="none"/>
          </w:rPr>
          <w:tab/>
        </w:r>
      </w:hyperlink>
      <w:r w:rsidR="00FE648C">
        <w:rPr>
          <w:rStyle w:val="Hyperlink"/>
          <w:noProof/>
          <w:color w:val="auto"/>
          <w:u w:val="none"/>
        </w:rPr>
        <w:t>6</w:t>
      </w:r>
      <w:r w:rsidR="00917519">
        <w:rPr>
          <w:rStyle w:val="Hyperlink"/>
          <w:noProof/>
          <w:color w:val="auto"/>
          <w:u w:val="none"/>
        </w:rPr>
        <w:t>0</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50" w:anchor="_Toc315681375" w:history="1">
        <w:r w:rsidRPr="006E18C9">
          <w:rPr>
            <w:rFonts w:ascii="Times New Roman" w:hAnsi="Times New Roman"/>
          </w:rPr>
          <w:t>Fig 4.22: Comparison of NMR pore volume distribution (blue) and converted SEM pore area distribution (red) of sample #4. The effective surface relaxation is ρ</w:t>
        </w:r>
        <w:r w:rsidRPr="006E18C9">
          <w:rPr>
            <w:rFonts w:ascii="Times New Roman" w:hAnsi="Times New Roman"/>
            <w:vertAlign w:val="subscript"/>
          </w:rPr>
          <w:t xml:space="preserve">e </w:t>
        </w:r>
        <w:r w:rsidRPr="006E18C9">
          <w:rPr>
            <w:rFonts w:ascii="Times New Roman" w:hAnsi="Times New Roman"/>
          </w:rPr>
          <w:t xml:space="preserve">= 46 </w:t>
        </w:r>
        <w:r w:rsidRPr="006E18C9">
          <w:rPr>
            <w:rFonts w:ascii="Times New Roman" w:eastAsiaTheme="minorEastAsia" w:hAnsi="Times New Roman"/>
          </w:rPr>
          <w:t>µm/</w:t>
        </w:r>
        <w:r w:rsidRPr="006E18C9">
          <w:rPr>
            <w:rFonts w:ascii="Times New Roman" w:hAnsi="Times New Roman"/>
          </w:rPr>
          <w:t>sec</w:t>
        </w:r>
        <w:r w:rsidRPr="006E18C9">
          <w:rPr>
            <w:rStyle w:val="Hyperlink"/>
            <w:noProof/>
            <w:webHidden/>
            <w:color w:val="auto"/>
            <w:u w:val="none"/>
          </w:rPr>
          <w:tab/>
        </w:r>
      </w:hyperlink>
      <w:r w:rsidR="00AF1DB0" w:rsidRPr="006E18C9">
        <w:rPr>
          <w:rStyle w:val="Hyperlink"/>
          <w:noProof/>
          <w:color w:val="auto"/>
          <w:u w:val="none"/>
        </w:rPr>
        <w:t>6</w:t>
      </w:r>
      <w:r w:rsidR="00917519">
        <w:rPr>
          <w:rStyle w:val="Hyperlink"/>
          <w:noProof/>
          <w:color w:val="auto"/>
          <w:u w:val="none"/>
        </w:rPr>
        <w:t>1</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51" w:anchor="_Toc315681375" w:history="1">
        <w:r w:rsidRPr="006E18C9">
          <w:rPr>
            <w:rFonts w:ascii="Times New Roman" w:hAnsi="Times New Roman"/>
          </w:rPr>
          <w:t xml:space="preserve">Figure 4.23: A) areal percentage for </w:t>
        </w:r>
        <w:r w:rsidR="00C74138">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sidRPr="006E18C9">
          <w:rPr>
            <w:rFonts w:ascii="Times New Roman" w:hAnsi="Times New Roman"/>
          </w:rPr>
          <w:t xml:space="preserve"> SCl</w:t>
        </w:r>
        <w:r w:rsidR="006E18C9">
          <w:rPr>
            <w:rFonts w:ascii="Times New Roman" w:hAnsi="Times New Roman"/>
          </w:rPr>
          <w:t xml:space="preserve"> (silica, clays, Mg-dolomite, feldspar)</w:t>
        </w:r>
        <w:r w:rsidRPr="006E18C9">
          <w:rPr>
            <w:rFonts w:ascii="Times New Roman" w:hAnsi="Times New Roman"/>
          </w:rPr>
          <w:t xml:space="preserve"> measured from SEM map (sample #1) for different sub-map areas i</w:t>
        </w:r>
        <w:r w:rsidR="005D1F27" w:rsidRPr="006E18C9">
          <w:rPr>
            <w:rFonts w:ascii="Times New Roman" w:hAnsi="Times New Roman"/>
          </w:rPr>
          <w:t>s</w:t>
        </w:r>
        <w:r w:rsidRPr="006E18C9">
          <w:rPr>
            <w:rFonts w:ascii="Times New Roman" w:hAnsi="Times New Roman"/>
          </w:rPr>
          <w:t xml:space="preserve"> compared </w:t>
        </w:r>
        <w:r w:rsidR="005D1F27" w:rsidRPr="006E18C9">
          <w:rPr>
            <w:rFonts w:ascii="Times New Roman" w:hAnsi="Times New Roman"/>
          </w:rPr>
          <w:t xml:space="preserve">to </w:t>
        </w:r>
        <w:r w:rsidRPr="006E18C9">
          <w:rPr>
            <w:rFonts w:ascii="Times New Roman" w:hAnsi="Times New Roman"/>
          </w:rPr>
          <w:t>total porosity for the original map (red line), B) Trun</w:t>
        </w:r>
        <w:r w:rsidR="005D1F27" w:rsidRPr="006E18C9">
          <w:rPr>
            <w:rFonts w:ascii="Times New Roman" w:hAnsi="Times New Roman"/>
          </w:rPr>
          <w:t>cation errors of each areal percentage value</w:t>
        </w:r>
        <w:r w:rsidRPr="006E18C9">
          <w:rPr>
            <w:rFonts w:ascii="Times New Roman" w:hAnsi="Times New Roman"/>
          </w:rPr>
          <w:t xml:space="preserve"> </w:t>
        </w:r>
        <w:r w:rsidR="005D1F27" w:rsidRPr="006E18C9">
          <w:rPr>
            <w:rFonts w:ascii="Times New Roman" w:hAnsi="Times New Roman"/>
          </w:rPr>
          <w:t>is compared to</w:t>
        </w:r>
        <w:r w:rsidRPr="006E18C9">
          <w:rPr>
            <w:rFonts w:ascii="Times New Roman" w:hAnsi="Times New Roman"/>
          </w:rPr>
          <w:t xml:space="preserve"> 10% error (red line). Note beyond a map area of roughly 11% of the whole map, the difference in areal percentage estimates reduces and become acceptable</w:t>
        </w:r>
        <w:r w:rsidRPr="006E18C9">
          <w:rPr>
            <w:rStyle w:val="Hyperlink"/>
            <w:noProof/>
            <w:webHidden/>
            <w:color w:val="auto"/>
            <w:u w:val="none"/>
          </w:rPr>
          <w:tab/>
        </w:r>
      </w:hyperlink>
      <w:r w:rsidR="00AF1DB0" w:rsidRPr="006E18C9">
        <w:rPr>
          <w:rStyle w:val="Hyperlink"/>
          <w:noProof/>
          <w:color w:val="auto"/>
          <w:u w:val="none"/>
        </w:rPr>
        <w:t>6</w:t>
      </w:r>
      <w:r w:rsidR="00917519">
        <w:rPr>
          <w:rStyle w:val="Hyperlink"/>
          <w:noProof/>
          <w:color w:val="auto"/>
          <w:u w:val="none"/>
        </w:rPr>
        <w:t>2</w:t>
      </w:r>
    </w:p>
    <w:p w:rsidR="005F74E0" w:rsidRPr="006E18C9"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6E18C9">
        <w:fldChar w:fldCharType="begin"/>
      </w:r>
      <w:r w:rsidRPr="006E18C9">
        <w:instrText xml:space="preserve"> TOC \h \z \c "Figure" </w:instrText>
      </w:r>
      <w:r w:rsidRPr="006E18C9">
        <w:fldChar w:fldCharType="separate"/>
      </w:r>
      <w:hyperlink r:id="rId52" w:anchor="_Toc315681375" w:history="1">
        <w:r w:rsidRPr="006E18C9">
          <w:rPr>
            <w:rFonts w:ascii="Times New Roman" w:hAnsi="Times New Roman"/>
          </w:rPr>
          <w:t xml:space="preserve">Figure 4.24: A) areal percentage for </w:t>
        </w:r>
        <w:r w:rsidR="00C74138">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sidRPr="006E18C9">
          <w:rPr>
            <w:rFonts w:ascii="Times New Roman" w:hAnsi="Times New Roman"/>
          </w:rPr>
          <w:t xml:space="preserve"> CCl</w:t>
        </w:r>
        <w:r w:rsidR="006E18C9">
          <w:rPr>
            <w:rFonts w:ascii="Times New Roman" w:hAnsi="Times New Roman"/>
          </w:rPr>
          <w:t xml:space="preserve"> (calcite, Fe-dolomite, clays, K-feldspar)</w:t>
        </w:r>
        <w:r w:rsidRPr="006E18C9">
          <w:rPr>
            <w:rFonts w:ascii="Times New Roman" w:hAnsi="Times New Roman"/>
          </w:rPr>
          <w:t xml:space="preserve"> measured from SEM map (sample #1</w:t>
        </w:r>
        <w:r w:rsidR="005D1F27" w:rsidRPr="006E18C9">
          <w:rPr>
            <w:rFonts w:ascii="Times New Roman" w:hAnsi="Times New Roman"/>
          </w:rPr>
          <w:t>) for different sub-map areas is compared to</w:t>
        </w:r>
        <w:r w:rsidRPr="006E18C9">
          <w:rPr>
            <w:rFonts w:ascii="Times New Roman" w:hAnsi="Times New Roman"/>
          </w:rPr>
          <w:t xml:space="preserve"> total porosity for the original map (red line), B) Truncation errors of each </w:t>
        </w:r>
        <w:r w:rsidR="005D1F27" w:rsidRPr="006E18C9">
          <w:rPr>
            <w:rFonts w:ascii="Times New Roman" w:hAnsi="Times New Roman"/>
          </w:rPr>
          <w:t>areal percentage value is compared to 1</w:t>
        </w:r>
        <w:r w:rsidRPr="006E18C9">
          <w:rPr>
            <w:rFonts w:ascii="Times New Roman" w:hAnsi="Times New Roman"/>
          </w:rPr>
          <w:t>0% error (red line). Note beyond a map area of roughly 90% of the whole map, the difference in areal percentage estimates reduces and become acceptable</w:t>
        </w:r>
        <w:r w:rsidRPr="006E18C9">
          <w:rPr>
            <w:rStyle w:val="Hyperlink"/>
            <w:noProof/>
            <w:webHidden/>
            <w:color w:val="auto"/>
            <w:u w:val="none"/>
          </w:rPr>
          <w:tab/>
        </w:r>
      </w:hyperlink>
      <w:r w:rsidR="00AF1DB0" w:rsidRPr="006E18C9">
        <w:rPr>
          <w:rStyle w:val="Hyperlink"/>
          <w:noProof/>
          <w:color w:val="auto"/>
          <w:u w:val="none"/>
        </w:rPr>
        <w:t>6</w:t>
      </w:r>
      <w:r w:rsidR="00917519">
        <w:rPr>
          <w:rStyle w:val="Hyperlink"/>
          <w:noProof/>
          <w:color w:val="auto"/>
          <w:u w:val="none"/>
        </w:rPr>
        <w:t>3</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6E18C9">
        <w:fldChar w:fldCharType="end"/>
      </w:r>
      <w:r w:rsidRPr="005D1F27">
        <w:fldChar w:fldCharType="begin"/>
      </w:r>
      <w:r w:rsidRPr="005D1F27">
        <w:instrText xml:space="preserve"> TOC \h \z \c "Figure" </w:instrText>
      </w:r>
      <w:r w:rsidRPr="005D1F27">
        <w:fldChar w:fldCharType="separate"/>
      </w:r>
      <w:hyperlink r:id="rId53" w:anchor="_Toc315681375" w:history="1">
        <w:r w:rsidR="00D47DC3" w:rsidRPr="005D1F27">
          <w:rPr>
            <w:rFonts w:ascii="Times New Roman" w:hAnsi="Times New Roman"/>
          </w:rPr>
          <w:t xml:space="preserve">Figure 4.25: A) areal percentage for </w:t>
        </w:r>
        <w:r w:rsidR="00C74138">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sidRPr="005D1F27">
          <w:rPr>
            <w:rFonts w:ascii="Times New Roman" w:hAnsi="Times New Roman"/>
          </w:rPr>
          <w:t xml:space="preserve"> RA</w:t>
        </w:r>
        <w:r w:rsidR="006E18C9">
          <w:rPr>
            <w:rFonts w:ascii="Times New Roman" w:hAnsi="Times New Roman"/>
          </w:rPr>
          <w:t xml:space="preserve"> (rutile and apatite)</w:t>
        </w:r>
        <w:r w:rsidR="00D47DC3" w:rsidRPr="005D1F27">
          <w:rPr>
            <w:rFonts w:ascii="Times New Roman" w:hAnsi="Times New Roman"/>
          </w:rPr>
          <w:t xml:space="preserve"> measured from SEM map (sample #1) for different sub-map areas in compared with total porosity </w:t>
        </w:r>
        <w:r w:rsidR="00D47DC3" w:rsidRPr="005D1F27">
          <w:rPr>
            <w:rFonts w:ascii="Times New Roman" w:hAnsi="Times New Roman"/>
          </w:rPr>
          <w:lastRenderedPageBreak/>
          <w:t xml:space="preserve">for the original map (red line), B) Truncation errors of each </w:t>
        </w:r>
        <w:r w:rsidR="005D1F27">
          <w:rPr>
            <w:rFonts w:ascii="Times New Roman" w:hAnsi="Times New Roman"/>
          </w:rPr>
          <w:t>areal percentage value</w:t>
        </w:r>
        <w:r w:rsidR="006E18C9">
          <w:rPr>
            <w:rFonts w:ascii="Times New Roman" w:hAnsi="Times New Roman"/>
          </w:rPr>
          <w:t xml:space="preserve"> with 10</w:t>
        </w:r>
        <w:r w:rsidR="00D47DC3" w:rsidRPr="005D1F27">
          <w:rPr>
            <w:rFonts w:ascii="Times New Roman" w:hAnsi="Times New Roman"/>
          </w:rPr>
          <w:t>% error (red line). Not</w:t>
        </w:r>
        <w:r w:rsidR="006E18C9">
          <w:rPr>
            <w:rFonts w:ascii="Times New Roman" w:hAnsi="Times New Roman"/>
          </w:rPr>
          <w:t>e beyond a map area of roughly 78</w:t>
        </w:r>
        <w:r w:rsidR="00D47DC3" w:rsidRPr="005D1F27">
          <w:rPr>
            <w:rFonts w:ascii="Times New Roman" w:hAnsi="Times New Roman"/>
          </w:rPr>
          <w:t>% of the whole map, the difference in areal percentage estimates reduces and become acceptable</w:t>
        </w:r>
        <w:r w:rsidRPr="005D1F27">
          <w:rPr>
            <w:rStyle w:val="Hyperlink"/>
            <w:noProof/>
            <w:webHidden/>
            <w:color w:val="auto"/>
            <w:u w:val="none"/>
          </w:rPr>
          <w:tab/>
        </w:r>
      </w:hyperlink>
      <w:r w:rsidR="00AF1DB0" w:rsidRPr="005D1F27">
        <w:rPr>
          <w:rStyle w:val="Hyperlink"/>
          <w:noProof/>
          <w:color w:val="auto"/>
          <w:u w:val="none"/>
        </w:rPr>
        <w:t>6</w:t>
      </w:r>
      <w:r w:rsidR="00917519">
        <w:rPr>
          <w:rStyle w:val="Hyperlink"/>
          <w:noProof/>
          <w:color w:val="auto"/>
          <w:u w:val="none"/>
        </w:rPr>
        <w:t>4</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54" w:anchor="_Toc315681375" w:history="1">
        <w:r w:rsidR="00D47DC3" w:rsidRPr="005D1F27">
          <w:rPr>
            <w:rFonts w:ascii="Times New Roman" w:hAnsi="Times New Roman"/>
          </w:rPr>
          <w:t xml:space="preserve">Figure 4.26: A) areal percentage for </w:t>
        </w:r>
        <w:r w:rsidR="00C74138">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sidRPr="005D1F27">
          <w:rPr>
            <w:rFonts w:ascii="Times New Roman" w:hAnsi="Times New Roman"/>
          </w:rPr>
          <w:t xml:space="preserve"> P</w:t>
        </w:r>
        <w:r w:rsidR="00D47DC3" w:rsidRPr="005D1F27">
          <w:rPr>
            <w:rFonts w:ascii="Times New Roman" w:hAnsi="Times New Roman"/>
          </w:rPr>
          <w:t xml:space="preserve"> </w:t>
        </w:r>
        <w:r w:rsidR="006E18C9">
          <w:rPr>
            <w:rFonts w:ascii="Times New Roman" w:hAnsi="Times New Roman"/>
          </w:rPr>
          <w:t xml:space="preserve">(pyrite) </w:t>
        </w:r>
        <w:r w:rsidR="00D47DC3" w:rsidRPr="005D1F27">
          <w:rPr>
            <w:rFonts w:ascii="Times New Roman" w:hAnsi="Times New Roman"/>
          </w:rPr>
          <w:t xml:space="preserve">measured from SEM map (sample #1) for different sub-map areas in compared with total porosity for the original map (red line), B) Truncation errors of each </w:t>
        </w:r>
        <w:r w:rsidR="005D1F27">
          <w:rPr>
            <w:rFonts w:ascii="Times New Roman" w:hAnsi="Times New Roman"/>
          </w:rPr>
          <w:t>areal percentage value</w:t>
        </w:r>
        <w:r w:rsidR="006E18C9">
          <w:rPr>
            <w:rFonts w:ascii="Times New Roman" w:hAnsi="Times New Roman"/>
          </w:rPr>
          <w:t xml:space="preserve"> with 10</w:t>
        </w:r>
        <w:r w:rsidR="00D47DC3" w:rsidRPr="005D1F27">
          <w:rPr>
            <w:rFonts w:ascii="Times New Roman" w:hAnsi="Times New Roman"/>
          </w:rPr>
          <w:t>% error (red line). Note</w:t>
        </w:r>
        <w:r w:rsidR="006E18C9">
          <w:rPr>
            <w:rFonts w:ascii="Times New Roman" w:hAnsi="Times New Roman"/>
          </w:rPr>
          <w:t xml:space="preserve"> beyond a map area of roughly 78</w:t>
        </w:r>
        <w:r w:rsidR="00D47DC3" w:rsidRPr="005D1F27">
          <w:rPr>
            <w:rFonts w:ascii="Times New Roman" w:hAnsi="Times New Roman"/>
          </w:rPr>
          <w:t>% of the whole map, the difference in areal percentage estimates reduces and become acceptable</w:t>
        </w:r>
        <w:r w:rsidRPr="005D1F27">
          <w:rPr>
            <w:rStyle w:val="Hyperlink"/>
            <w:noProof/>
            <w:webHidden/>
            <w:color w:val="auto"/>
            <w:u w:val="none"/>
          </w:rPr>
          <w:tab/>
        </w:r>
      </w:hyperlink>
      <w:r w:rsidR="00AF1DB0" w:rsidRPr="005D1F27">
        <w:rPr>
          <w:rStyle w:val="Hyperlink"/>
          <w:noProof/>
          <w:color w:val="auto"/>
          <w:u w:val="none"/>
        </w:rPr>
        <w:t>6</w:t>
      </w:r>
      <w:r w:rsidR="00917519">
        <w:rPr>
          <w:rStyle w:val="Hyperlink"/>
          <w:noProof/>
          <w:color w:val="auto"/>
          <w:u w:val="none"/>
        </w:rPr>
        <w:t>5</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55" w:anchor="_Toc315681375" w:history="1">
        <w:r w:rsidR="00D47DC3" w:rsidRPr="005D1F27">
          <w:t xml:space="preserve">Figure 4.27: REA values for porosity and four </w:t>
        </w:r>
        <w:r w:rsidR="00C74138">
          <w:t>mineral groups</w:t>
        </w:r>
        <w:r w:rsidR="00D47DC3" w:rsidRPr="005D1F27">
          <w:t xml:space="preserve"> for the selected seven samples. Note that REAs for </w:t>
        </w:r>
        <w:r w:rsidR="00CC4D77">
          <w:t>g</w:t>
        </w:r>
        <w:r w:rsidR="00485EEE" w:rsidRPr="005D1F27">
          <w:t>roup SCl</w:t>
        </w:r>
        <w:r w:rsidR="004621CD">
          <w:t xml:space="preserve"> </w:t>
        </w:r>
        <w:r w:rsidR="004621CD" w:rsidRPr="004621CD">
          <w:t>(silica, clays, Mg-dol., feldspar)</w:t>
        </w:r>
        <w:r w:rsidR="00D47DC3" w:rsidRPr="005D1F27">
          <w:t xml:space="preserve"> are significantly low compared to the others</w:t>
        </w:r>
        <w:r w:rsidRPr="005D1F27">
          <w:rPr>
            <w:rStyle w:val="Hyperlink"/>
            <w:noProof/>
            <w:webHidden/>
            <w:color w:val="auto"/>
            <w:u w:val="none"/>
          </w:rPr>
          <w:tab/>
        </w:r>
        <w:r w:rsidR="00EF6EF1" w:rsidRPr="005D1F27">
          <w:rPr>
            <w:rStyle w:val="Hyperlink"/>
            <w:noProof/>
            <w:webHidden/>
            <w:color w:val="auto"/>
            <w:u w:val="none"/>
          </w:rPr>
          <w:t>6</w:t>
        </w:r>
      </w:hyperlink>
      <w:r w:rsidR="00AF1DB0" w:rsidRPr="005D1F27">
        <w:rPr>
          <w:rStyle w:val="Hyperlink"/>
          <w:noProof/>
          <w:color w:val="auto"/>
          <w:u w:val="none"/>
        </w:rPr>
        <w:t>6</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56" w:anchor="_Toc315681375" w:history="1">
        <w:r w:rsidR="00D47DC3" w:rsidRPr="005D1F27">
          <w:t>Figure 4.28: All Grain size distribution for seven samples with their location on the right picture. Note the similar trend for these seven samples</w:t>
        </w:r>
        <w:r w:rsidRPr="005D1F27">
          <w:rPr>
            <w:rStyle w:val="Hyperlink"/>
            <w:noProof/>
            <w:webHidden/>
            <w:color w:val="auto"/>
            <w:u w:val="none"/>
          </w:rPr>
          <w:tab/>
        </w:r>
        <w:r w:rsidR="00EF6EF1" w:rsidRPr="005D1F27">
          <w:rPr>
            <w:rStyle w:val="Hyperlink"/>
            <w:noProof/>
            <w:webHidden/>
            <w:color w:val="auto"/>
            <w:u w:val="none"/>
          </w:rPr>
          <w:t>6</w:t>
        </w:r>
      </w:hyperlink>
      <w:r w:rsidR="00917519">
        <w:rPr>
          <w:rStyle w:val="Hyperlink"/>
          <w:noProof/>
          <w:color w:val="auto"/>
          <w:u w:val="none"/>
        </w:rPr>
        <w:t>8</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57" w:anchor="_Toc315681375" w:history="1">
        <w:r w:rsidR="00D47DC3" w:rsidRPr="005D1F27">
          <w:t xml:space="preserve">Figure 4.29: Grain size distribution for </w:t>
        </w:r>
        <w:r w:rsidR="00CC4D77">
          <w:t>g</w:t>
        </w:r>
        <w:r w:rsidR="00485EEE" w:rsidRPr="005D1F27">
          <w:t>roup SCl</w:t>
        </w:r>
        <w:r w:rsidR="00D47DC3" w:rsidRPr="005D1F27">
          <w:t xml:space="preserve"> </w:t>
        </w:r>
        <w:r w:rsidR="004621CD" w:rsidRPr="004621CD">
          <w:t>(silica, clays, Mg-dol., feldspar)</w:t>
        </w:r>
        <w:r w:rsidR="004621CD">
          <w:t xml:space="preserve"> </w:t>
        </w:r>
        <w:r w:rsidR="00D47DC3" w:rsidRPr="005D1F27">
          <w:t>of seven samples. Note the similar trend for these samples. A little bit more variation is observed compared to all grain distribution</w:t>
        </w:r>
        <w:r w:rsidR="000E5C7C">
          <w:t xml:space="preserve"> (see Fig.4.28)</w:t>
        </w:r>
        <w:r w:rsidRPr="005D1F27">
          <w:rPr>
            <w:rStyle w:val="Hyperlink"/>
            <w:noProof/>
            <w:webHidden/>
            <w:color w:val="auto"/>
            <w:u w:val="none"/>
          </w:rPr>
          <w:tab/>
        </w:r>
      </w:hyperlink>
      <w:r w:rsidR="00917519">
        <w:rPr>
          <w:rStyle w:val="Hyperlink"/>
          <w:noProof/>
          <w:color w:val="auto"/>
          <w:u w:val="none"/>
        </w:rPr>
        <w:t>69</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58" w:anchor="_Toc315681375" w:history="1">
        <w:r w:rsidR="00D47DC3" w:rsidRPr="005D1F27">
          <w:t xml:space="preserve">Figure 4.30: Grain size distribution for </w:t>
        </w:r>
        <w:r w:rsidR="00CC4D77">
          <w:t>g</w:t>
        </w:r>
        <w:r w:rsidR="00485EEE" w:rsidRPr="005D1F27">
          <w:t>roup CCl</w:t>
        </w:r>
        <w:r w:rsidR="00951A71">
          <w:t xml:space="preserve"> </w:t>
        </w:r>
        <w:r w:rsidR="00951A71" w:rsidRPr="00951A71">
          <w:t>(calcite, clays, Fe-dol., K-feldspar)</w:t>
        </w:r>
        <w:r w:rsidR="00D47DC3" w:rsidRPr="005D1F27">
          <w:t xml:space="preserve"> of seven samples. Note the similar trend for these samples. A little bit more variation is observed compared to all grain distribution</w:t>
        </w:r>
        <w:r w:rsidRPr="005D1F27">
          <w:rPr>
            <w:rStyle w:val="Hyperlink"/>
            <w:noProof/>
            <w:webHidden/>
            <w:color w:val="auto"/>
            <w:u w:val="none"/>
          </w:rPr>
          <w:tab/>
        </w:r>
      </w:hyperlink>
      <w:r w:rsidR="00021015">
        <w:rPr>
          <w:rStyle w:val="Hyperlink"/>
          <w:noProof/>
          <w:color w:val="auto"/>
          <w:u w:val="none"/>
        </w:rPr>
        <w:t>70</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59" w:anchor="_Toc315681375" w:history="1">
        <w:r w:rsidR="00D47DC3" w:rsidRPr="005D1F27">
          <w:t xml:space="preserve">Figure 4.31: Grain size distributions for </w:t>
        </w:r>
        <w:r w:rsidR="00CC4D77">
          <w:t>g</w:t>
        </w:r>
        <w:r w:rsidR="00485EEE" w:rsidRPr="005D1F27">
          <w:t>roup RA</w:t>
        </w:r>
        <w:r w:rsidR="00D47DC3" w:rsidRPr="005D1F27">
          <w:t xml:space="preserve"> </w:t>
        </w:r>
        <w:r w:rsidR="00951A71" w:rsidRPr="00951A71">
          <w:t>(rutile, apatite)</w:t>
        </w:r>
        <w:r w:rsidR="00951A71">
          <w:t xml:space="preserve"> </w:t>
        </w:r>
        <w:r w:rsidR="00D47DC3" w:rsidRPr="005D1F27">
          <w:t>of seven samples. Note the similar trend for these samples. More variation is observed compared to all grain distribution</w:t>
        </w:r>
        <w:r w:rsidRPr="005D1F27">
          <w:rPr>
            <w:rStyle w:val="Hyperlink"/>
            <w:noProof/>
            <w:webHidden/>
            <w:color w:val="auto"/>
            <w:u w:val="none"/>
          </w:rPr>
          <w:tab/>
        </w:r>
      </w:hyperlink>
      <w:r w:rsidR="00AF1DB0" w:rsidRPr="005D1F27">
        <w:rPr>
          <w:rStyle w:val="Hyperlink"/>
          <w:noProof/>
          <w:color w:val="auto"/>
          <w:u w:val="none"/>
        </w:rPr>
        <w:t>70</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lastRenderedPageBreak/>
        <w:fldChar w:fldCharType="end"/>
      </w:r>
      <w:r w:rsidRPr="005D1F27">
        <w:fldChar w:fldCharType="begin"/>
      </w:r>
      <w:r w:rsidRPr="005D1F27">
        <w:instrText xml:space="preserve"> TOC \h \z \c "Figure" </w:instrText>
      </w:r>
      <w:r w:rsidRPr="005D1F27">
        <w:fldChar w:fldCharType="separate"/>
      </w:r>
      <w:hyperlink r:id="rId60" w:anchor="_Toc315681375" w:history="1">
        <w:r w:rsidR="00D47DC3" w:rsidRPr="005D1F27">
          <w:t xml:space="preserve">Figure 4.32: Grain size distribution for </w:t>
        </w:r>
        <w:r w:rsidR="00CC4D77">
          <w:t>g</w:t>
        </w:r>
        <w:r w:rsidR="00485EEE" w:rsidRPr="005D1F27">
          <w:t>roup P</w:t>
        </w:r>
        <w:r w:rsidR="00951A71">
          <w:t xml:space="preserve"> </w:t>
        </w:r>
        <w:r w:rsidR="00951A71" w:rsidRPr="00951A71">
          <w:t>(pyrite)</w:t>
        </w:r>
        <w:r w:rsidR="00D47DC3" w:rsidRPr="005D1F27">
          <w:t xml:space="preserve"> of seven samples. Note the similar trend for these samples. More variation is observed compared to all grain distribution</w:t>
        </w:r>
        <w:r w:rsidRPr="005D1F27">
          <w:rPr>
            <w:rStyle w:val="Hyperlink"/>
            <w:noProof/>
            <w:webHidden/>
            <w:color w:val="auto"/>
            <w:u w:val="none"/>
          </w:rPr>
          <w:tab/>
        </w:r>
      </w:hyperlink>
      <w:r w:rsidR="00AF1DB0" w:rsidRPr="005D1F27">
        <w:rPr>
          <w:rStyle w:val="Hyperlink"/>
          <w:noProof/>
          <w:color w:val="auto"/>
          <w:u w:val="none"/>
        </w:rPr>
        <w:t>7</w:t>
      </w:r>
      <w:r w:rsidR="00021015">
        <w:rPr>
          <w:rStyle w:val="Hyperlink"/>
          <w:noProof/>
          <w:color w:val="auto"/>
          <w:u w:val="none"/>
        </w:rPr>
        <w:t>1</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61" w:anchor="_Toc315681375" w:history="1">
        <w:r w:rsidR="00D47DC3" w:rsidRPr="005D1F27">
          <w:t>Figure 4.33: Grain size distribution for clay grains (left) and othe</w:t>
        </w:r>
        <w:r w:rsidR="00B05E2E" w:rsidRPr="005D1F27">
          <w:t xml:space="preserve">r grains (right) from </w:t>
        </w:r>
        <w:r w:rsidR="00CC4D77">
          <w:t>g</w:t>
        </w:r>
        <w:r w:rsidR="00485EEE" w:rsidRPr="005D1F27">
          <w:t>roup CCl</w:t>
        </w:r>
        <w:r w:rsidR="00951A71">
          <w:t xml:space="preserve"> </w:t>
        </w:r>
        <w:r w:rsidR="00951A71" w:rsidRPr="00951A71">
          <w:t>(calcite, clays, Fe-dol., K-feldspar)</w:t>
        </w:r>
        <w:r w:rsidR="00B05E2E" w:rsidRPr="005D1F27">
          <w:t xml:space="preserve"> in</w:t>
        </w:r>
        <w:r w:rsidR="00D47DC3" w:rsidRPr="005D1F27">
          <w:t xml:space="preserve"> seven sa</w:t>
        </w:r>
        <w:r w:rsidR="00B05E2E" w:rsidRPr="005D1F27">
          <w:t>mples. Average radius of clay is less than of other grains</w:t>
        </w:r>
        <w:r w:rsidRPr="005D1F27">
          <w:rPr>
            <w:rStyle w:val="Hyperlink"/>
            <w:noProof/>
            <w:webHidden/>
            <w:color w:val="auto"/>
            <w:u w:val="none"/>
          </w:rPr>
          <w:tab/>
        </w:r>
      </w:hyperlink>
      <w:r w:rsidR="00AF1DB0" w:rsidRPr="005D1F27">
        <w:rPr>
          <w:rStyle w:val="Hyperlink"/>
          <w:noProof/>
          <w:color w:val="auto"/>
          <w:u w:val="none"/>
        </w:rPr>
        <w:t>7</w:t>
      </w:r>
      <w:r w:rsidR="00917519">
        <w:rPr>
          <w:rStyle w:val="Hyperlink"/>
          <w:noProof/>
          <w:color w:val="auto"/>
          <w:u w:val="none"/>
        </w:rPr>
        <w:t>2</w:t>
      </w:r>
    </w:p>
    <w:p w:rsidR="005F74E0" w:rsidRPr="005D1F27" w:rsidRDefault="005F74E0" w:rsidP="005F74E0">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62" w:anchor="_Toc315681375" w:history="1">
        <w:r w:rsidR="00D47DC3" w:rsidRPr="005D1F27">
          <w:t xml:space="preserve">Figure 4.34: All grain size distribution of three sub-maps of 30% scale for </w:t>
        </w:r>
        <w:r w:rsidR="00CC4D77">
          <w:t>g</w:t>
        </w:r>
        <w:r w:rsidR="00485EEE" w:rsidRPr="005D1F27">
          <w:t>roup SCl</w:t>
        </w:r>
        <w:r w:rsidR="004621CD">
          <w:t xml:space="preserve"> </w:t>
        </w:r>
        <w:r w:rsidR="004621CD" w:rsidRPr="004621CD">
          <w:t>(silica, clays, Mg-dol., feldspar)</w:t>
        </w:r>
        <w:r w:rsidR="00D47DC3" w:rsidRPr="005D1F27">
          <w:t xml:space="preserve"> of sample #1. Note the similar trend of these sub-maps</w:t>
        </w:r>
        <w:r w:rsidR="00B05E2E" w:rsidRPr="005D1F27">
          <w:t>.</w:t>
        </w:r>
        <w:bookmarkStart w:id="38" w:name="OLE_LINK124"/>
        <w:bookmarkStart w:id="39" w:name="OLE_LINK125"/>
        <w:bookmarkStart w:id="40" w:name="OLE_LINK126"/>
        <w:r w:rsidR="00B05E2E" w:rsidRPr="005D1F27">
          <w:t xml:space="preserve"> Note the assumption of spherical  grain</w:t>
        </w:r>
        <w:bookmarkEnd w:id="38"/>
        <w:bookmarkEnd w:id="39"/>
        <w:bookmarkEnd w:id="40"/>
        <w:r w:rsidRPr="005D1F27">
          <w:rPr>
            <w:rStyle w:val="Hyperlink"/>
            <w:noProof/>
            <w:webHidden/>
            <w:color w:val="auto"/>
            <w:u w:val="none"/>
          </w:rPr>
          <w:tab/>
        </w:r>
      </w:hyperlink>
      <w:r w:rsidR="00AF1DB0" w:rsidRPr="005D1F27">
        <w:rPr>
          <w:rStyle w:val="Hyperlink"/>
          <w:noProof/>
          <w:color w:val="auto"/>
          <w:u w:val="none"/>
        </w:rPr>
        <w:t>7</w:t>
      </w:r>
      <w:r w:rsidR="00917519">
        <w:rPr>
          <w:rStyle w:val="Hyperlink"/>
          <w:noProof/>
          <w:color w:val="auto"/>
          <w:u w:val="none"/>
        </w:rPr>
        <w:t>4</w:t>
      </w:r>
    </w:p>
    <w:p w:rsidR="00D47DC3" w:rsidRPr="005D1F27" w:rsidRDefault="005F74E0" w:rsidP="00D47DC3">
      <w:pPr>
        <w:pStyle w:val="TableofFigures"/>
        <w:tabs>
          <w:tab w:val="right" w:leader="dot" w:pos="8486"/>
        </w:tabs>
        <w:jc w:val="both"/>
        <w:rPr>
          <w:rFonts w:eastAsiaTheme="minorEastAsia" w:cstheme="minorBidi"/>
          <w:noProof/>
          <w:lang w:bidi="ar-SA"/>
        </w:rPr>
      </w:pPr>
      <w:r w:rsidRPr="005D1F27">
        <w:fldChar w:fldCharType="end"/>
      </w:r>
      <w:r w:rsidR="00D47DC3" w:rsidRPr="005D1F27">
        <w:fldChar w:fldCharType="begin"/>
      </w:r>
      <w:r w:rsidR="00D47DC3" w:rsidRPr="005D1F27">
        <w:instrText xml:space="preserve"> TOC \h \z \c "Figure" </w:instrText>
      </w:r>
      <w:r w:rsidR="00D47DC3" w:rsidRPr="005D1F27">
        <w:fldChar w:fldCharType="separate"/>
      </w:r>
      <w:hyperlink r:id="rId63" w:anchor="_Toc315681375" w:history="1">
        <w:r w:rsidR="00D47DC3" w:rsidRPr="005D1F27">
          <w:t xml:space="preserve">Figure 4.35: All grain size distribution of four sub-maps of 20% scale for </w:t>
        </w:r>
        <w:r w:rsidR="00CC4D77">
          <w:t>g</w:t>
        </w:r>
        <w:r w:rsidR="00485EEE" w:rsidRPr="005D1F27">
          <w:t>roup SCl</w:t>
        </w:r>
        <w:r w:rsidR="004621CD">
          <w:t xml:space="preserve"> </w:t>
        </w:r>
        <w:r w:rsidR="004621CD" w:rsidRPr="004621CD">
          <w:t>(silica, clays, Mg-dol., feldspar)</w:t>
        </w:r>
        <w:r w:rsidR="00D47DC3" w:rsidRPr="005D1F27">
          <w:t xml:space="preserve"> of sample #1. Note the similar trend of these sub-maps</w:t>
        </w:r>
        <w:r w:rsidR="00B05E2E" w:rsidRPr="005D1F27">
          <w:t>. Note the assumption of spherical  grain</w:t>
        </w:r>
        <w:r w:rsidR="00D47DC3" w:rsidRPr="005D1F27">
          <w:rPr>
            <w:rStyle w:val="Hyperlink"/>
            <w:noProof/>
            <w:webHidden/>
            <w:color w:val="auto"/>
            <w:u w:val="none"/>
          </w:rPr>
          <w:tab/>
        </w:r>
      </w:hyperlink>
      <w:r w:rsidR="00AF1DB0" w:rsidRPr="005D1F27">
        <w:rPr>
          <w:rStyle w:val="Hyperlink"/>
          <w:noProof/>
          <w:color w:val="auto"/>
          <w:u w:val="none"/>
        </w:rPr>
        <w:t>7</w:t>
      </w:r>
      <w:r w:rsidR="00917519">
        <w:rPr>
          <w:rStyle w:val="Hyperlink"/>
          <w:noProof/>
          <w:color w:val="auto"/>
          <w:u w:val="none"/>
        </w:rPr>
        <w:t>4</w:t>
      </w:r>
    </w:p>
    <w:p w:rsidR="00D47DC3" w:rsidRPr="005D1F27" w:rsidRDefault="00D47DC3" w:rsidP="00D47DC3">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64" w:anchor="_Toc315681375" w:history="1">
        <w:r w:rsidRPr="005D1F27">
          <w:t xml:space="preserve">Figure 4.36: All grain size distribution of six sub-maps of 10% scale for </w:t>
        </w:r>
        <w:r w:rsidR="00CC4D77">
          <w:t>g</w:t>
        </w:r>
        <w:r w:rsidR="00485EEE" w:rsidRPr="005D1F27">
          <w:t>roup SCl</w:t>
        </w:r>
        <w:r w:rsidR="004621CD">
          <w:t xml:space="preserve"> </w:t>
        </w:r>
        <w:r w:rsidR="004621CD" w:rsidRPr="004621CD">
          <w:t>(silica, clays, Mg-dol., feldspar)</w:t>
        </w:r>
        <w:r w:rsidRPr="005D1F27">
          <w:t xml:space="preserve"> of sample #1. Note the increase in variation between the plots</w:t>
        </w:r>
        <w:r w:rsidR="00B05E2E" w:rsidRPr="005D1F27">
          <w:t>. Note the assumption of spherical  grain</w:t>
        </w:r>
        <w:r w:rsidRPr="005D1F27">
          <w:rPr>
            <w:rStyle w:val="Hyperlink"/>
            <w:noProof/>
            <w:webHidden/>
            <w:color w:val="auto"/>
            <w:u w:val="none"/>
          </w:rPr>
          <w:tab/>
        </w:r>
      </w:hyperlink>
      <w:r w:rsidR="00AF1DB0" w:rsidRPr="005D1F27">
        <w:rPr>
          <w:rStyle w:val="Hyperlink"/>
          <w:noProof/>
          <w:color w:val="auto"/>
          <w:u w:val="none"/>
        </w:rPr>
        <w:t>7</w:t>
      </w:r>
      <w:r w:rsidR="00917519">
        <w:rPr>
          <w:rStyle w:val="Hyperlink"/>
          <w:noProof/>
          <w:color w:val="auto"/>
          <w:u w:val="none"/>
        </w:rPr>
        <w:t>5</w:t>
      </w:r>
    </w:p>
    <w:p w:rsidR="00D47DC3" w:rsidRPr="005D1F27" w:rsidRDefault="00D47DC3" w:rsidP="00D47DC3">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65" w:anchor="_Toc315681375" w:history="1">
        <w:r w:rsidRPr="005D1F27">
          <w:t xml:space="preserve">Figure 4.37: All grain size distribution of six sub-maps of 5% scale for </w:t>
        </w:r>
        <w:r w:rsidR="00CC4D77">
          <w:t>g</w:t>
        </w:r>
        <w:r w:rsidR="00485EEE" w:rsidRPr="005D1F27">
          <w:t>roup SCl</w:t>
        </w:r>
        <w:r w:rsidR="004621CD">
          <w:t xml:space="preserve"> </w:t>
        </w:r>
        <w:r w:rsidR="004621CD" w:rsidRPr="004621CD">
          <w:t>(silica, clays, Mg-dol., feldspar)</w:t>
        </w:r>
        <w:r w:rsidRPr="005D1F27">
          <w:t xml:space="preserve"> of sample #1.  Note the increase in variation between the plots</w:t>
        </w:r>
        <w:r w:rsidR="00B05E2E" w:rsidRPr="005D1F27">
          <w:t>. Note the assumption of spherical  grain</w:t>
        </w:r>
        <w:r w:rsidRPr="005D1F27">
          <w:rPr>
            <w:rStyle w:val="Hyperlink"/>
            <w:noProof/>
            <w:webHidden/>
            <w:color w:val="auto"/>
            <w:u w:val="none"/>
          </w:rPr>
          <w:tab/>
          <w:t>7</w:t>
        </w:r>
      </w:hyperlink>
      <w:r w:rsidR="00917519">
        <w:rPr>
          <w:rStyle w:val="Hyperlink"/>
          <w:noProof/>
          <w:color w:val="auto"/>
          <w:u w:val="none"/>
        </w:rPr>
        <w:t>5</w:t>
      </w:r>
    </w:p>
    <w:p w:rsidR="00D47DC3" w:rsidRPr="005D1F27" w:rsidRDefault="00D47DC3" w:rsidP="00D47DC3">
      <w:pPr>
        <w:pStyle w:val="TableofFigures"/>
        <w:tabs>
          <w:tab w:val="right" w:leader="dot" w:pos="8486"/>
        </w:tabs>
        <w:jc w:val="both"/>
        <w:rPr>
          <w:rFonts w:eastAsiaTheme="minorEastAsia" w:cstheme="minorBidi"/>
          <w:noProof/>
          <w:lang w:bidi="ar-SA"/>
        </w:rPr>
      </w:pPr>
      <w:r w:rsidRPr="005D1F27">
        <w:fldChar w:fldCharType="end"/>
      </w:r>
      <w:r w:rsidRPr="005D1F27">
        <w:fldChar w:fldCharType="begin"/>
      </w:r>
      <w:r w:rsidRPr="005D1F27">
        <w:instrText xml:space="preserve"> TOC \h \z \c "Figure" </w:instrText>
      </w:r>
      <w:r w:rsidRPr="005D1F27">
        <w:fldChar w:fldCharType="separate"/>
      </w:r>
      <w:hyperlink r:id="rId66" w:anchor="_Toc315681375" w:history="1">
        <w:r w:rsidRPr="005D1F27">
          <w:t xml:space="preserve">Figure 4.38: </w:t>
        </w:r>
        <w:r w:rsidR="00B05E2E" w:rsidRPr="005D1F27">
          <w:t>Clay particle orientation relative to the</w:t>
        </w:r>
        <w:r w:rsidRPr="005D1F27">
          <w:t xml:space="preserve"> bedding plane (</w:t>
        </w:r>
        <w:r w:rsidR="00CC4D77">
          <w:t>g</w:t>
        </w:r>
        <w:r w:rsidR="00485EEE" w:rsidRPr="005D1F27">
          <w:t>roup CCl</w:t>
        </w:r>
        <w:r w:rsidRPr="005D1F27">
          <w:t xml:space="preserve"> </w:t>
        </w:r>
        <w:r w:rsidR="00951A71" w:rsidRPr="00951A71">
          <w:t>(calcite, clays, Fe-dol., K-feldspar)</w:t>
        </w:r>
        <w:r w:rsidR="00951A71">
          <w:t xml:space="preserve"> </w:t>
        </w:r>
        <w:r w:rsidRPr="005D1F27">
          <w:t>– sample #1). Majority of clays are oriented at 0</w:t>
        </w:r>
        <w:r w:rsidRPr="005D1F27">
          <w:rPr>
            <w:vertAlign w:val="superscript"/>
          </w:rPr>
          <w:t>0</w:t>
        </w:r>
        <w:r w:rsidRPr="005D1F27">
          <w:t xml:space="preserve"> to 10</w:t>
        </w:r>
        <w:r w:rsidRPr="005D1F27">
          <w:rPr>
            <w:vertAlign w:val="superscript"/>
          </w:rPr>
          <w:t>0</w:t>
        </w:r>
        <w:r w:rsidRPr="005D1F27">
          <w:rPr>
            <w:rStyle w:val="Hyperlink"/>
            <w:noProof/>
            <w:webHidden/>
            <w:color w:val="auto"/>
            <w:u w:val="none"/>
          </w:rPr>
          <w:tab/>
        </w:r>
        <w:r w:rsidR="00EF6EF1" w:rsidRPr="005D1F27">
          <w:rPr>
            <w:rStyle w:val="Hyperlink"/>
            <w:noProof/>
            <w:webHidden/>
            <w:color w:val="auto"/>
            <w:u w:val="none"/>
          </w:rPr>
          <w:t>7</w:t>
        </w:r>
      </w:hyperlink>
      <w:r w:rsidR="00917519">
        <w:rPr>
          <w:rStyle w:val="Hyperlink"/>
          <w:noProof/>
          <w:color w:val="auto"/>
          <w:u w:val="none"/>
        </w:rPr>
        <w:t>7</w:t>
      </w:r>
    </w:p>
    <w:p w:rsidR="00304DD5" w:rsidRPr="00511A67" w:rsidRDefault="00D47DC3" w:rsidP="00021015">
      <w:pPr>
        <w:pStyle w:val="TableofFigures"/>
        <w:tabs>
          <w:tab w:val="right" w:leader="dot" w:pos="8486"/>
        </w:tabs>
        <w:jc w:val="both"/>
      </w:pPr>
      <w:r w:rsidRPr="005D1F27">
        <w:fldChar w:fldCharType="end"/>
      </w:r>
      <w:r w:rsidR="001E1AF0">
        <w:fldChar w:fldCharType="begin"/>
      </w:r>
      <w:r w:rsidR="001E1AF0">
        <w:instrText xml:space="preserve"> TOC \h \z \c "Figure" </w:instrText>
      </w:r>
      <w:r w:rsidR="001E1AF0">
        <w:fldChar w:fldCharType="separate"/>
      </w:r>
      <w:hyperlink r:id="rId67" w:anchor="_Toc315681375" w:history="1">
        <w:r w:rsidRPr="005D1F27">
          <w:t>Figure 4.39: Clay particle orientation to the bedding plane at different scale (</w:t>
        </w:r>
        <w:r w:rsidR="00CC4D77">
          <w:t>g</w:t>
        </w:r>
        <w:r w:rsidR="00485EEE" w:rsidRPr="005D1F27">
          <w:t>roup CCl</w:t>
        </w:r>
        <w:r w:rsidRPr="005D1F27">
          <w:t xml:space="preserve"> </w:t>
        </w:r>
        <w:r w:rsidR="00951A71" w:rsidRPr="00951A71">
          <w:t>(calcite, clays, Fe-dol., K-feldspar)</w:t>
        </w:r>
        <w:r w:rsidR="00951A71">
          <w:t xml:space="preserve"> </w:t>
        </w:r>
        <w:r w:rsidRPr="005D1F27">
          <w:t>– sample #1). Note the trend gets better as the scale increases</w:t>
        </w:r>
        <w:r w:rsidRPr="005D1F27">
          <w:rPr>
            <w:rStyle w:val="Hyperlink"/>
            <w:noProof/>
            <w:webHidden/>
            <w:color w:val="auto"/>
            <w:u w:val="none"/>
          </w:rPr>
          <w:tab/>
        </w:r>
        <w:r w:rsidR="00EF6EF1" w:rsidRPr="005D1F27">
          <w:rPr>
            <w:rStyle w:val="Hyperlink"/>
            <w:noProof/>
            <w:webHidden/>
            <w:color w:val="auto"/>
            <w:u w:val="none"/>
          </w:rPr>
          <w:t>7</w:t>
        </w:r>
      </w:hyperlink>
      <w:r w:rsidR="00917519">
        <w:rPr>
          <w:rStyle w:val="Hyperlink"/>
          <w:noProof/>
          <w:color w:val="auto"/>
          <w:u w:val="none"/>
        </w:rPr>
        <w:t>7</w:t>
      </w:r>
      <w:r w:rsidR="001E1AF0">
        <w:rPr>
          <w:rStyle w:val="Hyperlink"/>
          <w:noProof/>
          <w:color w:val="auto"/>
          <w:u w:val="none"/>
        </w:rPr>
        <w:fldChar w:fldCharType="end"/>
      </w:r>
    </w:p>
    <w:p w:rsidR="00941F3F" w:rsidRDefault="00941F3F" w:rsidP="00941F3F">
      <w:pPr>
        <w:pStyle w:val="Heading1"/>
      </w:pPr>
      <w:bookmarkStart w:id="41" w:name="_Toc310579467"/>
      <w:bookmarkStart w:id="42" w:name="_Toc315681361"/>
      <w:r>
        <w:lastRenderedPageBreak/>
        <w:t>Abstract</w:t>
      </w:r>
      <w:bookmarkEnd w:id="41"/>
      <w:bookmarkEnd w:id="42"/>
    </w:p>
    <w:p w:rsidR="00941F3F" w:rsidRDefault="00941F3F" w:rsidP="00941F3F">
      <w:pPr>
        <w:jc w:val="both"/>
        <w:rPr>
          <w:rFonts w:ascii="Times New Roman" w:hAnsi="Times New Roman"/>
          <w:color w:val="000000"/>
        </w:rPr>
      </w:pPr>
      <w:r w:rsidRPr="005A7ECD">
        <w:rPr>
          <w:rFonts w:ascii="Times New Roman" w:hAnsi="Times New Roman"/>
          <w:color w:val="000000"/>
        </w:rPr>
        <w:t>The physical properties of shale are fundamentally controlled by its microstructure; however, shale is problematic due to microstructural heterogeneity that can exist across multiple scales. This creates difficulty in determining a representative sample size for imaging as well as petrophysical measurements. Utilizing large area, high-resolution SEM imaging, appropriate representative elementary areas (REA) are determined for imaging and analysis. Imaging has been performed on contiguous regions of a 1 ft long section of Wolfcamp Shale core. The porosity and organ</w:t>
      </w:r>
      <w:r w:rsidR="00AD2140">
        <w:rPr>
          <w:rFonts w:ascii="Times New Roman" w:hAnsi="Times New Roman"/>
          <w:color w:val="000000"/>
        </w:rPr>
        <w:t>ic matter content of this area</w:t>
      </w:r>
      <w:r w:rsidR="007E2609">
        <w:rPr>
          <w:rFonts w:ascii="Times New Roman" w:hAnsi="Times New Roman"/>
          <w:color w:val="000000"/>
        </w:rPr>
        <w:t xml:space="preserve"> </w:t>
      </w:r>
      <w:r w:rsidR="00AD2140" w:rsidRPr="005A7ECD">
        <w:rPr>
          <w:rFonts w:ascii="Times New Roman" w:hAnsi="Times New Roman"/>
          <w:color w:val="000000"/>
        </w:rPr>
        <w:t>ha</w:t>
      </w:r>
      <w:r w:rsidR="00AD2140">
        <w:rPr>
          <w:rFonts w:ascii="Times New Roman" w:hAnsi="Times New Roman"/>
          <w:color w:val="000000"/>
        </w:rPr>
        <w:t xml:space="preserve">s </w:t>
      </w:r>
      <w:r w:rsidRPr="005A7ECD">
        <w:rPr>
          <w:rFonts w:ascii="Times New Roman" w:hAnsi="Times New Roman"/>
          <w:color w:val="000000"/>
        </w:rPr>
        <w:t>been segmented, analyzed and are reported as bounded values. Pore size distributions and pore areal contributions have been calculated from th</w:t>
      </w:r>
      <w:r>
        <w:rPr>
          <w:rFonts w:ascii="Times New Roman" w:hAnsi="Times New Roman"/>
          <w:color w:val="000000"/>
        </w:rPr>
        <w:t>ese</w:t>
      </w:r>
      <w:r w:rsidRPr="005A7ECD">
        <w:rPr>
          <w:rFonts w:ascii="Times New Roman" w:hAnsi="Times New Roman"/>
          <w:color w:val="000000"/>
        </w:rPr>
        <w:t xml:space="preserve"> data. Measurements on sampling size suggest that the REAs needed for analysis differ for various microstructural components of interest (e.g. the size of the image </w:t>
      </w:r>
      <w:r w:rsidR="00AD2140">
        <w:rPr>
          <w:rFonts w:ascii="Times New Roman" w:hAnsi="Times New Roman"/>
          <w:color w:val="000000"/>
        </w:rPr>
        <w:t xml:space="preserve">required </w:t>
      </w:r>
      <w:r w:rsidRPr="005A7ECD">
        <w:rPr>
          <w:rFonts w:ascii="Times New Roman" w:hAnsi="Times New Roman"/>
          <w:color w:val="000000"/>
        </w:rPr>
        <w:t>for analysis of pores is much smaller than that needed to analyz</w:t>
      </w:r>
      <w:r>
        <w:rPr>
          <w:rFonts w:ascii="Times New Roman" w:hAnsi="Times New Roman"/>
          <w:color w:val="000000"/>
        </w:rPr>
        <w:t>e organic matter). Variations of REAs are reported for porosity and TOC of</w:t>
      </w:r>
      <w:r w:rsidRPr="005A7ECD">
        <w:rPr>
          <w:rFonts w:ascii="Times New Roman" w:hAnsi="Times New Roman"/>
          <w:color w:val="000000"/>
        </w:rPr>
        <w:t xml:space="preserve"> different samples along the 1 ft Wolfcamp Shale core section. REAs for samples of this core section range from 0.2 - 0.8 mm</w:t>
      </w:r>
      <w:r w:rsidRPr="005A7ECD">
        <w:rPr>
          <w:rFonts w:ascii="Times New Roman" w:hAnsi="Times New Roman"/>
          <w:color w:val="000000"/>
          <w:vertAlign w:val="superscript"/>
        </w:rPr>
        <w:t>2</w:t>
      </w:r>
      <w:r w:rsidRPr="005A7ECD">
        <w:rPr>
          <w:rFonts w:ascii="Times New Roman" w:hAnsi="Times New Roman"/>
          <w:color w:val="000000"/>
        </w:rPr>
        <w:t xml:space="preserve"> for analysis of pores and from 0.6</w:t>
      </w:r>
      <w:r>
        <w:rPr>
          <w:rFonts w:ascii="Times New Roman" w:hAnsi="Times New Roman"/>
          <w:color w:val="000000"/>
        </w:rPr>
        <w:t xml:space="preserve"> </w:t>
      </w:r>
      <w:r w:rsidRPr="005A7ECD">
        <w:rPr>
          <w:rFonts w:ascii="Times New Roman" w:hAnsi="Times New Roman"/>
          <w:color w:val="000000"/>
        </w:rPr>
        <w:t>– 1.2 mm</w:t>
      </w:r>
      <w:r w:rsidRPr="005A7ECD">
        <w:rPr>
          <w:rFonts w:ascii="Times New Roman" w:hAnsi="Times New Roman"/>
          <w:color w:val="000000"/>
          <w:vertAlign w:val="superscript"/>
        </w:rPr>
        <w:t>2</w:t>
      </w:r>
      <w:r w:rsidRPr="005A7ECD">
        <w:rPr>
          <w:rFonts w:ascii="Times New Roman" w:hAnsi="Times New Roman"/>
          <w:color w:val="000000"/>
        </w:rPr>
        <w:t xml:space="preserve"> for analysis of organic matter. </w:t>
      </w:r>
    </w:p>
    <w:p w:rsidR="00AD2140" w:rsidRDefault="00AD2140" w:rsidP="00941F3F">
      <w:pPr>
        <w:jc w:val="both"/>
        <w:rPr>
          <w:rFonts w:ascii="Times New Roman" w:hAnsi="Times New Roman"/>
          <w:color w:val="000000"/>
        </w:rPr>
      </w:pPr>
    </w:p>
    <w:p w:rsidR="00941F3F" w:rsidRDefault="00941F3F" w:rsidP="00941F3F">
      <w:pPr>
        <w:jc w:val="both"/>
        <w:rPr>
          <w:color w:val="000000"/>
        </w:rPr>
      </w:pPr>
      <w:r w:rsidRPr="0008066B">
        <w:rPr>
          <w:color w:val="000000"/>
        </w:rPr>
        <w:t xml:space="preserve">Grain size of shale controls multiple properties of the formation such as gross gamma ray response, thermal properties, elastic properties, and hydraulic properties. In addition, grain size can provide information about the depositional </w:t>
      </w:r>
      <w:r>
        <w:rPr>
          <w:color w:val="000000"/>
        </w:rPr>
        <w:t xml:space="preserve">environment </w:t>
      </w:r>
      <w:r w:rsidRPr="0008066B">
        <w:rPr>
          <w:color w:val="000000"/>
        </w:rPr>
        <w:t>that can be crucial to determine “sweet spots” for hydrocarbon exploration. In this research, an approach to analyze grain size distribution is developed</w:t>
      </w:r>
      <w:r>
        <w:rPr>
          <w:color w:val="000000"/>
        </w:rPr>
        <w:t xml:space="preserve">. </w:t>
      </w:r>
      <w:r w:rsidRPr="0008066B">
        <w:rPr>
          <w:color w:val="000000"/>
        </w:rPr>
        <w:t xml:space="preserve">Initially, </w:t>
      </w:r>
      <w:r w:rsidR="004621CD">
        <w:rPr>
          <w:color w:val="000000"/>
        </w:rPr>
        <w:t>mineral</w:t>
      </w:r>
      <w:r>
        <w:rPr>
          <w:color w:val="000000"/>
        </w:rPr>
        <w:t>s can be grouped into four</w:t>
      </w:r>
      <w:r w:rsidRPr="0008066B">
        <w:rPr>
          <w:color w:val="000000"/>
        </w:rPr>
        <w:t xml:space="preserve"> categories based of their grayscale values in </w:t>
      </w:r>
      <w:r>
        <w:rPr>
          <w:color w:val="000000"/>
        </w:rPr>
        <w:t>8</w:t>
      </w:r>
      <w:r w:rsidRPr="0008066B">
        <w:rPr>
          <w:color w:val="000000"/>
        </w:rPr>
        <w:t xml:space="preserve">-bit backscattered </w:t>
      </w:r>
      <w:r>
        <w:rPr>
          <w:color w:val="000000"/>
        </w:rPr>
        <w:lastRenderedPageBreak/>
        <w:t xml:space="preserve">electron </w:t>
      </w:r>
      <w:r w:rsidRPr="0008066B">
        <w:rPr>
          <w:color w:val="000000"/>
        </w:rPr>
        <w:t xml:space="preserve">tif images. Appropriate representative elementary area (REA) of each </w:t>
      </w:r>
      <w:r w:rsidR="00C74138">
        <w:rPr>
          <w:color w:val="000000"/>
        </w:rPr>
        <w:t>m</w:t>
      </w:r>
      <w:r w:rsidR="004621CD">
        <w:rPr>
          <w:color w:val="000000"/>
        </w:rPr>
        <w:t>ineral</w:t>
      </w:r>
      <w:r w:rsidR="00CC4D77">
        <w:rPr>
          <w:color w:val="000000"/>
        </w:rPr>
        <w:t xml:space="preserve"> group</w:t>
      </w:r>
      <w:r w:rsidRPr="0008066B">
        <w:rPr>
          <w:color w:val="000000"/>
        </w:rPr>
        <w:t xml:space="preserve"> is estimated for imaging and ana</w:t>
      </w:r>
      <w:r w:rsidR="007E2609">
        <w:rPr>
          <w:color w:val="000000"/>
        </w:rPr>
        <w:t>lysis</w:t>
      </w:r>
      <w:r w:rsidRPr="0008066B">
        <w:rPr>
          <w:color w:val="000000"/>
        </w:rPr>
        <w:t xml:space="preserve">. </w:t>
      </w:r>
      <w:r w:rsidR="00AD2140">
        <w:rPr>
          <w:color w:val="000000"/>
        </w:rPr>
        <w:t xml:space="preserve">The aspect ratio of clay </w:t>
      </w:r>
      <w:r w:rsidR="004621CD">
        <w:rPr>
          <w:color w:val="000000"/>
        </w:rPr>
        <w:t>mineral</w:t>
      </w:r>
      <w:r w:rsidR="00AD2140">
        <w:rPr>
          <w:color w:val="000000"/>
        </w:rPr>
        <w:t xml:space="preserve">s </w:t>
      </w:r>
      <w:r w:rsidRPr="0008066B">
        <w:rPr>
          <w:color w:val="000000"/>
        </w:rPr>
        <w:t xml:space="preserve">can be </w:t>
      </w:r>
      <w:r w:rsidR="00AD2140">
        <w:rPr>
          <w:color w:val="000000"/>
        </w:rPr>
        <w:t>used to distinguish them</w:t>
      </w:r>
      <w:r w:rsidRPr="0008066B">
        <w:rPr>
          <w:color w:val="000000"/>
        </w:rPr>
        <w:t xml:space="preserve"> from these groups. In addition, </w:t>
      </w:r>
      <w:r w:rsidR="00AD2140">
        <w:rPr>
          <w:color w:val="000000"/>
        </w:rPr>
        <w:t>watershed segmentation</w:t>
      </w:r>
      <w:r w:rsidRPr="0008066B">
        <w:rPr>
          <w:color w:val="000000"/>
        </w:rPr>
        <w:t xml:space="preserve"> techniques are app</w:t>
      </w:r>
      <w:r>
        <w:rPr>
          <w:color w:val="000000"/>
        </w:rPr>
        <w:t>lied to the images to further</w:t>
      </w:r>
      <w:r w:rsidRPr="0008066B">
        <w:rPr>
          <w:color w:val="000000"/>
        </w:rPr>
        <w:t xml:space="preserve"> the </w:t>
      </w:r>
      <w:r>
        <w:rPr>
          <w:color w:val="000000"/>
        </w:rPr>
        <w:t xml:space="preserve">grain size </w:t>
      </w:r>
      <w:r w:rsidRPr="0008066B">
        <w:rPr>
          <w:color w:val="000000"/>
        </w:rPr>
        <w:t xml:space="preserve">distribution. Orientation study is performed for these clay grains to </w:t>
      </w:r>
      <w:r>
        <w:rPr>
          <w:color w:val="000000"/>
        </w:rPr>
        <w:t xml:space="preserve">determine the </w:t>
      </w:r>
      <w:r w:rsidRPr="0008066B">
        <w:rPr>
          <w:color w:val="000000"/>
        </w:rPr>
        <w:t>tr</w:t>
      </w:r>
      <w:r>
        <w:rPr>
          <w:color w:val="000000"/>
        </w:rPr>
        <w:t>end of grain alignment, which is strong</w:t>
      </w:r>
      <w:r w:rsidRPr="0008066B">
        <w:rPr>
          <w:color w:val="000000"/>
        </w:rPr>
        <w:t xml:space="preserve"> </w:t>
      </w:r>
      <w:r>
        <w:rPr>
          <w:color w:val="000000"/>
        </w:rPr>
        <w:t>indication of shale anisotropy. It is confirmed by the velocity measurements conducted on samples within a 195 ft interval located in the same well.</w:t>
      </w:r>
    </w:p>
    <w:p w:rsidR="00941F3F" w:rsidRDefault="00941F3F" w:rsidP="00941F3F">
      <w:pPr>
        <w:jc w:val="both"/>
        <w:rPr>
          <w:rFonts w:ascii="Times New Roman" w:hAnsi="Times New Roman"/>
          <w:color w:val="000000"/>
        </w:rPr>
      </w:pPr>
      <w:r>
        <w:rPr>
          <w:rFonts w:ascii="Times New Roman" w:hAnsi="Times New Roman"/>
          <w:color w:val="000000"/>
        </w:rPr>
        <w:t>When</w:t>
      </w:r>
      <w:r w:rsidRPr="005A7ECD">
        <w:rPr>
          <w:rFonts w:ascii="Times New Roman" w:hAnsi="Times New Roman"/>
          <w:color w:val="000000"/>
        </w:rPr>
        <w:t xml:space="preserve"> comparing with the petrophysical measurements of porosity and organic matter content, the result shows a strong correlation between these petrophysical measurements </w:t>
      </w:r>
      <w:r>
        <w:rPr>
          <w:rFonts w:ascii="Times New Roman" w:hAnsi="Times New Roman"/>
          <w:color w:val="000000"/>
        </w:rPr>
        <w:t xml:space="preserve">(crushed helium porosity and TOC) </w:t>
      </w:r>
      <w:r w:rsidRPr="005A7ECD">
        <w:rPr>
          <w:rFonts w:ascii="Times New Roman" w:hAnsi="Times New Roman"/>
          <w:color w:val="000000"/>
        </w:rPr>
        <w:t>and the SEM measurements</w:t>
      </w:r>
      <w:r>
        <w:rPr>
          <w:rFonts w:ascii="Times New Roman" w:hAnsi="Times New Roman"/>
          <w:color w:val="000000"/>
        </w:rPr>
        <w:t xml:space="preserve"> (porosity and organic content)</w:t>
      </w:r>
      <w:r w:rsidR="003A3C6B">
        <w:rPr>
          <w:rFonts w:ascii="Times New Roman" w:hAnsi="Times New Roman"/>
          <w:color w:val="000000"/>
        </w:rPr>
        <w:t xml:space="preserve"> even though the unit bases are quite different</w:t>
      </w:r>
      <w:r w:rsidRPr="005A7ECD">
        <w:rPr>
          <w:rFonts w:ascii="Times New Roman" w:hAnsi="Times New Roman"/>
          <w:color w:val="000000"/>
        </w:rPr>
        <w:t xml:space="preserve">. </w:t>
      </w:r>
      <w:r w:rsidR="003A3C6B">
        <w:rPr>
          <w:rFonts w:ascii="Times New Roman" w:hAnsi="Times New Roman"/>
          <w:color w:val="000000"/>
        </w:rPr>
        <w:t>I compare SEM pore size distribution with MICP and MNR data</w:t>
      </w:r>
      <w:r>
        <w:rPr>
          <w:rFonts w:ascii="Times New Roman" w:hAnsi="Times New Roman"/>
          <w:color w:val="000000"/>
        </w:rPr>
        <w:t xml:space="preserve">. </w:t>
      </w:r>
      <w:r w:rsidRPr="005A7ECD">
        <w:rPr>
          <w:rFonts w:ascii="Times New Roman" w:hAnsi="Times New Roman"/>
          <w:color w:val="000000"/>
        </w:rPr>
        <w:t xml:space="preserve">The information obtained from this study has two important implications: 1) it </w:t>
      </w:r>
      <w:r>
        <w:rPr>
          <w:rFonts w:ascii="Times New Roman" w:hAnsi="Times New Roman"/>
          <w:color w:val="000000"/>
        </w:rPr>
        <w:t xml:space="preserve">defines the imaging scale </w:t>
      </w:r>
      <w:r w:rsidR="007E2609">
        <w:rPr>
          <w:rFonts w:ascii="Times New Roman" w:hAnsi="Times New Roman"/>
          <w:color w:val="000000"/>
        </w:rPr>
        <w:t xml:space="preserve">required </w:t>
      </w:r>
      <w:r>
        <w:rPr>
          <w:rFonts w:ascii="Times New Roman" w:hAnsi="Times New Roman"/>
          <w:color w:val="000000"/>
        </w:rPr>
        <w:t>to extract</w:t>
      </w:r>
      <w:r w:rsidRPr="005A7ECD">
        <w:rPr>
          <w:rFonts w:ascii="Times New Roman" w:hAnsi="Times New Roman"/>
          <w:color w:val="000000"/>
        </w:rPr>
        <w:t xml:space="preserve"> useful information about porosity and organic matter </w:t>
      </w:r>
      <w:r w:rsidR="003A3C6B">
        <w:rPr>
          <w:rFonts w:ascii="Times New Roman" w:hAnsi="Times New Roman"/>
          <w:color w:val="000000"/>
        </w:rPr>
        <w:t>and 2</w:t>
      </w:r>
      <w:r>
        <w:rPr>
          <w:rFonts w:ascii="Times New Roman" w:hAnsi="Times New Roman"/>
          <w:color w:val="000000"/>
        </w:rPr>
        <w:t xml:space="preserve">) it </w:t>
      </w:r>
      <w:r w:rsidR="007E2609">
        <w:rPr>
          <w:rFonts w:ascii="Times New Roman" w:hAnsi="Times New Roman"/>
          <w:color w:val="000000"/>
        </w:rPr>
        <w:t xml:space="preserve">provides a method </w:t>
      </w:r>
      <w:r w:rsidR="002161A4">
        <w:rPr>
          <w:rFonts w:ascii="Times New Roman" w:hAnsi="Times New Roman"/>
          <w:color w:val="000000"/>
        </w:rPr>
        <w:t>for grain</w:t>
      </w:r>
      <w:r w:rsidR="007E2609">
        <w:rPr>
          <w:rFonts w:ascii="Times New Roman" w:hAnsi="Times New Roman"/>
          <w:color w:val="000000"/>
        </w:rPr>
        <w:t xml:space="preserve"> size analysis</w:t>
      </w:r>
      <w:r>
        <w:rPr>
          <w:rFonts w:ascii="Times New Roman" w:hAnsi="Times New Roman"/>
          <w:color w:val="000000"/>
        </w:rPr>
        <w:t xml:space="preserve"> in shale. </w:t>
      </w:r>
    </w:p>
    <w:p w:rsidR="00941F3F" w:rsidRDefault="00941F3F" w:rsidP="00941F3F">
      <w:pPr>
        <w:pStyle w:val="Heading1"/>
        <w:sectPr w:rsidR="00941F3F" w:rsidSect="00F22D00">
          <w:footerReference w:type="default" r:id="rId68"/>
          <w:pgSz w:w="12240" w:h="15840" w:code="1"/>
          <w:pgMar w:top="1440" w:right="1440" w:bottom="1440" w:left="2304" w:header="720" w:footer="720" w:gutter="0"/>
          <w:pgNumType w:fmt="lowerRoman" w:start="4"/>
          <w:cols w:space="720"/>
          <w:docGrid w:linePitch="360"/>
        </w:sectPr>
      </w:pPr>
    </w:p>
    <w:p w:rsidR="00DA1971" w:rsidRDefault="00407842" w:rsidP="00F63BF0">
      <w:pPr>
        <w:pStyle w:val="Heading1"/>
      </w:pPr>
      <w:r>
        <w:lastRenderedPageBreak/>
        <w:t>Chapter 1: Introduction</w:t>
      </w:r>
    </w:p>
    <w:p w:rsidR="005A71D8" w:rsidRPr="005A71D8" w:rsidRDefault="00A4664A" w:rsidP="0080054D">
      <w:pPr>
        <w:pStyle w:val="Heading2"/>
      </w:pPr>
      <w:r>
        <w:t>1.1 Motivation and Problem Statement</w:t>
      </w:r>
    </w:p>
    <w:p w:rsidR="00A0094B" w:rsidRDefault="00407842" w:rsidP="000B0CA3">
      <w:pPr>
        <w:jc w:val="both"/>
      </w:pPr>
      <w:r>
        <w:t xml:space="preserve">Organic shales have been traditionally treated as a source rocks for </w:t>
      </w:r>
      <w:r w:rsidR="005A71D8">
        <w:t xml:space="preserve">conventional source rocks. In recent years, </w:t>
      </w:r>
      <w:r w:rsidR="008E64A9">
        <w:t>s</w:t>
      </w:r>
      <w:r w:rsidR="005A71D8">
        <w:t>hales have emerged as</w:t>
      </w:r>
      <w:r w:rsidR="008E64A9">
        <w:t xml:space="preserve"> oil and gas reservoirs</w:t>
      </w:r>
      <w:r w:rsidR="005A71D8">
        <w:t xml:space="preserve">. </w:t>
      </w:r>
      <w:r w:rsidR="004A3B35">
        <w:t>The exploration and production from shale plays, however, is extremely challenging and expensive due to their low porosity and ultra-low permeability as well as their complicated microstructure. With the development of horizontal drilling and multi-stage hydraulic fracturing</w:t>
      </w:r>
      <w:r w:rsidR="000B0CA3">
        <w:t xml:space="preserve"> technologies</w:t>
      </w:r>
      <w:r w:rsidR="004A3B35">
        <w:t xml:space="preserve">, the production </w:t>
      </w:r>
      <w:r w:rsidR="00A4664A">
        <w:t>has become</w:t>
      </w:r>
      <w:r w:rsidR="004A3B35">
        <w:t xml:space="preserve"> </w:t>
      </w:r>
      <w:r w:rsidR="008E64A9">
        <w:t>economic</w:t>
      </w:r>
      <w:r w:rsidR="004A3B35">
        <w:t xml:space="preserve">, </w:t>
      </w:r>
      <w:r w:rsidR="007E2609">
        <w:t>opening</w:t>
      </w:r>
      <w:r w:rsidR="004A3B35">
        <w:t xml:space="preserve"> a new era for unconventional </w:t>
      </w:r>
      <w:r w:rsidR="000B0CA3">
        <w:t xml:space="preserve">resource exploitation. </w:t>
      </w:r>
    </w:p>
    <w:p w:rsidR="00E55666" w:rsidRDefault="00E55666" w:rsidP="000B0CA3">
      <w:pPr>
        <w:jc w:val="both"/>
        <w:rPr>
          <w:b/>
        </w:rPr>
      </w:pPr>
    </w:p>
    <w:p w:rsidR="004E0996" w:rsidRDefault="004E0996" w:rsidP="004E0996">
      <w:pPr>
        <w:jc w:val="both"/>
      </w:pPr>
      <w:r>
        <w:t xml:space="preserve">The distribution of </w:t>
      </w:r>
      <w:r w:rsidR="0068056B">
        <w:t xml:space="preserve">U.S. </w:t>
      </w:r>
      <w:r>
        <w:t xml:space="preserve">organic shale formations can be seen in </w:t>
      </w:r>
      <w:r w:rsidR="00DC1817" w:rsidRPr="00DC1817">
        <w:rPr>
          <w:b/>
        </w:rPr>
        <w:t xml:space="preserve">Fig </w:t>
      </w:r>
      <w:r w:rsidRPr="00DC1817">
        <w:rPr>
          <w:b/>
        </w:rPr>
        <w:t>1.</w:t>
      </w:r>
      <w:r w:rsidR="003A3C6B">
        <w:rPr>
          <w:b/>
        </w:rPr>
        <w:t>1</w:t>
      </w:r>
      <w:r>
        <w:t xml:space="preserve">. For these onshore lower 48 states shale plays, the technically recoverable shale gas volume is estimated to be up to 750 </w:t>
      </w:r>
      <w:r w:rsidR="0068056B">
        <w:t>Tcf</w:t>
      </w:r>
      <w:r>
        <w:t xml:space="preserve"> and the technically recoverable shale oil volume is approximately 23.9 billion barrels (EIA, 2011).</w:t>
      </w:r>
    </w:p>
    <w:p w:rsidR="004E0996" w:rsidRDefault="004E0996" w:rsidP="004E0996">
      <w:pPr>
        <w:jc w:val="center"/>
      </w:pPr>
    </w:p>
    <w:p w:rsidR="004E0996" w:rsidRDefault="004E0996" w:rsidP="004E0996">
      <w:pPr>
        <w:jc w:val="both"/>
      </w:pPr>
      <w:r>
        <w:rPr>
          <w:noProof/>
          <w:lang w:bidi="ar-SA"/>
        </w:rPr>
        <w:lastRenderedPageBreak/>
        <w:drawing>
          <wp:inline distT="0" distB="0" distL="0" distR="0" wp14:anchorId="0883B713" wp14:editId="401308BA">
            <wp:extent cx="5394960" cy="4027199"/>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394960" cy="4027199"/>
                    </a:xfrm>
                    <a:prstGeom prst="rect">
                      <a:avLst/>
                    </a:prstGeom>
                  </pic:spPr>
                </pic:pic>
              </a:graphicData>
            </a:graphic>
          </wp:inline>
        </w:drawing>
      </w:r>
    </w:p>
    <w:p w:rsidR="004E0996" w:rsidRDefault="004E0996" w:rsidP="004E0996">
      <w:pPr>
        <w:jc w:val="both"/>
        <w:rPr>
          <w:b/>
        </w:rPr>
      </w:pPr>
      <w:bookmarkStart w:id="43" w:name="OLE_LINK85"/>
      <w:bookmarkStart w:id="44" w:name="OLE_LINK84"/>
      <w:r>
        <w:rPr>
          <w:b/>
        </w:rPr>
        <w:t>Figure 1.</w:t>
      </w:r>
      <w:r w:rsidR="003A3C6B">
        <w:rPr>
          <w:b/>
        </w:rPr>
        <w:t>1</w:t>
      </w:r>
      <w:r>
        <w:rPr>
          <w:b/>
        </w:rPr>
        <w:t xml:space="preserve">: Map of the U.S. shale gas and shale oil plays in the lower 48 states (sources: </w:t>
      </w:r>
      <w:hyperlink r:id="rId70" w:history="1">
        <w:r w:rsidRPr="006D6231">
          <w:rPr>
            <w:rStyle w:val="Hyperlink"/>
            <w:b/>
          </w:rPr>
          <w:t>www.eia.gov</w:t>
        </w:r>
      </w:hyperlink>
      <w:bookmarkEnd w:id="43"/>
      <w:r>
        <w:rPr>
          <w:b/>
        </w:rPr>
        <w:t>)</w:t>
      </w:r>
    </w:p>
    <w:bookmarkEnd w:id="44"/>
    <w:p w:rsidR="00336C40" w:rsidRPr="00336C40" w:rsidRDefault="00D272FA" w:rsidP="00336C40">
      <w:pPr>
        <w:jc w:val="both"/>
        <w:rPr>
          <w:rFonts w:ascii="Times New Roman" w:hAnsi="Times New Roman"/>
        </w:rPr>
      </w:pPr>
      <w:r>
        <w:rPr>
          <w:rFonts w:ascii="Times New Roman" w:hAnsi="Times New Roman"/>
        </w:rPr>
        <w:t xml:space="preserve">Although each shale has unique composition, organic rich shales by definition have small particle size (below 4 </w:t>
      </w:r>
      <w:r>
        <w:rPr>
          <w:rFonts w:ascii="Calibri" w:hAnsi="Calibri"/>
        </w:rPr>
        <w:t>µ</w:t>
      </w:r>
      <w:r>
        <w:rPr>
          <w:rFonts w:ascii="Times New Roman" w:hAnsi="Times New Roman"/>
        </w:rPr>
        <w:t xml:space="preserve">m in diameter) and </w:t>
      </w:r>
      <w:r w:rsidR="00AA5D15">
        <w:rPr>
          <w:rFonts w:ascii="Times New Roman" w:hAnsi="Times New Roman"/>
        </w:rPr>
        <w:t>contain significant amount of organic matter (2</w:t>
      </w:r>
      <w:r w:rsidR="0068056B">
        <w:rPr>
          <w:rFonts w:ascii="Times New Roman" w:hAnsi="Times New Roman"/>
        </w:rPr>
        <w:t xml:space="preserve"> wt</w:t>
      </w:r>
      <w:r w:rsidR="00AA5D15">
        <w:rPr>
          <w:rFonts w:ascii="Times New Roman" w:hAnsi="Times New Roman"/>
        </w:rPr>
        <w:t xml:space="preserve">% or above). </w:t>
      </w:r>
      <w:r>
        <w:rPr>
          <w:rFonts w:ascii="Times New Roman" w:hAnsi="Times New Roman"/>
        </w:rPr>
        <w:t>In addition to their low porosity and ultra-low permeability, s</w:t>
      </w:r>
      <w:r w:rsidRPr="00D272FA">
        <w:rPr>
          <w:rFonts w:ascii="Times New Roman" w:hAnsi="Times New Roman"/>
        </w:rPr>
        <w:t xml:space="preserve">hales have a high degree of </w:t>
      </w:r>
      <w:r w:rsidR="004621CD">
        <w:rPr>
          <w:rFonts w:ascii="Times New Roman" w:hAnsi="Times New Roman"/>
        </w:rPr>
        <w:t>mineral</w:t>
      </w:r>
      <w:r w:rsidRPr="00D272FA">
        <w:rPr>
          <w:rFonts w:ascii="Times New Roman" w:hAnsi="Times New Roman"/>
        </w:rPr>
        <w:t>og</w:t>
      </w:r>
      <w:r w:rsidR="0068056B">
        <w:rPr>
          <w:rFonts w:ascii="Times New Roman" w:hAnsi="Times New Roman"/>
        </w:rPr>
        <w:t>ical</w:t>
      </w:r>
      <w:r w:rsidRPr="00D272FA">
        <w:rPr>
          <w:rFonts w:ascii="Times New Roman" w:hAnsi="Times New Roman"/>
        </w:rPr>
        <w:t xml:space="preserve"> and microstructur</w:t>
      </w:r>
      <w:r w:rsidR="0068056B">
        <w:rPr>
          <w:rFonts w:ascii="Times New Roman" w:hAnsi="Times New Roman"/>
        </w:rPr>
        <w:t>al heterogeneity</w:t>
      </w:r>
      <w:r w:rsidRPr="00D272FA">
        <w:rPr>
          <w:rFonts w:ascii="Times New Roman" w:hAnsi="Times New Roman"/>
        </w:rPr>
        <w:t xml:space="preserve"> at different scales. This creates challenges for both petrophysical measurements and imaging analysis. To deal with heterogeneity, it is crucial to image and analyze shale microstructure across multiple scales. Different techniques including optical and scanning acoustic microscopy (Prasad et al., 2002; Prasad et al., 2009; Bocangel et al., 2013; Ko et al., 2017) were performed to serve this purpose as they allowed mapping </w:t>
      </w:r>
      <w:r w:rsidRPr="00D272FA">
        <w:rPr>
          <w:rFonts w:ascii="Times New Roman" w:hAnsi="Times New Roman"/>
        </w:rPr>
        <w:lastRenderedPageBreak/>
        <w:t>large areas. These techniques however are limited in</w:t>
      </w:r>
      <w:r w:rsidR="00AA5D15">
        <w:rPr>
          <w:rFonts w:ascii="Times New Roman" w:hAnsi="Times New Roman"/>
        </w:rPr>
        <w:t xml:space="preserve"> resolution. Images acquired using scanning electron microscopy (SEM) technique </w:t>
      </w:r>
      <w:r w:rsidR="0068056B">
        <w:rPr>
          <w:rFonts w:ascii="Times New Roman" w:hAnsi="Times New Roman"/>
        </w:rPr>
        <w:t>allow</w:t>
      </w:r>
      <w:r w:rsidR="00AA5D15">
        <w:rPr>
          <w:rFonts w:ascii="Times New Roman" w:hAnsi="Times New Roman"/>
        </w:rPr>
        <w:t xml:space="preserve"> extremely small features </w:t>
      </w:r>
      <w:r w:rsidR="0068056B">
        <w:rPr>
          <w:rFonts w:ascii="Times New Roman" w:hAnsi="Times New Roman"/>
        </w:rPr>
        <w:t xml:space="preserve">to </w:t>
      </w:r>
      <w:r w:rsidR="00AA5D15">
        <w:rPr>
          <w:rFonts w:ascii="Times New Roman" w:hAnsi="Times New Roman"/>
        </w:rPr>
        <w:t xml:space="preserve">be recognized.  However, with the favorable resolution, SEM images </w:t>
      </w:r>
      <w:r w:rsidR="0068056B">
        <w:rPr>
          <w:rFonts w:ascii="Times New Roman" w:hAnsi="Times New Roman"/>
        </w:rPr>
        <w:t>at high magnification have a very limited field of view</w:t>
      </w:r>
      <w:r w:rsidR="00AA5D15">
        <w:rPr>
          <w:rFonts w:ascii="Times New Roman" w:hAnsi="Times New Roman"/>
        </w:rPr>
        <w:t xml:space="preserve">. </w:t>
      </w:r>
      <w:r w:rsidR="00AA2EFE">
        <w:rPr>
          <w:rFonts w:ascii="Times New Roman" w:hAnsi="Times New Roman"/>
        </w:rPr>
        <w:t>The</w:t>
      </w:r>
      <w:r w:rsidR="0068056B">
        <w:rPr>
          <w:rFonts w:ascii="Times New Roman" w:hAnsi="Times New Roman"/>
        </w:rPr>
        <w:t>se</w:t>
      </w:r>
      <w:r w:rsidR="00AA2EFE">
        <w:rPr>
          <w:rFonts w:ascii="Times New Roman" w:hAnsi="Times New Roman"/>
        </w:rPr>
        <w:t xml:space="preserve"> </w:t>
      </w:r>
      <w:r w:rsidR="00AA2EFE" w:rsidRPr="00336C40">
        <w:rPr>
          <w:rFonts w:ascii="Times New Roman" w:hAnsi="Times New Roman"/>
        </w:rPr>
        <w:t>limitation</w:t>
      </w:r>
      <w:r w:rsidR="0068056B">
        <w:rPr>
          <w:rFonts w:ascii="Times New Roman" w:hAnsi="Times New Roman"/>
        </w:rPr>
        <w:t>s</w:t>
      </w:r>
      <w:r w:rsidR="00AA2EFE" w:rsidRPr="00336C40">
        <w:rPr>
          <w:rFonts w:ascii="Times New Roman" w:hAnsi="Times New Roman"/>
        </w:rPr>
        <w:t xml:space="preserve"> </w:t>
      </w:r>
      <w:bookmarkStart w:id="45" w:name="OLE_LINK51"/>
      <w:r w:rsidR="0068056B">
        <w:rPr>
          <w:rFonts w:ascii="Times New Roman" w:hAnsi="Times New Roman"/>
        </w:rPr>
        <w:t>are overcome by creating a stitched mosaic of high resolution images</w:t>
      </w:r>
      <w:r w:rsidR="00336C40">
        <w:rPr>
          <w:rFonts w:ascii="Times New Roman" w:hAnsi="Times New Roman"/>
        </w:rPr>
        <w:t xml:space="preserve">. </w:t>
      </w:r>
      <w:r w:rsidR="000C4CD9">
        <w:rPr>
          <w:rFonts w:ascii="Times New Roman" w:hAnsi="Times New Roman"/>
        </w:rPr>
        <w:t xml:space="preserve">In their research, Goergen et al. </w:t>
      </w:r>
      <w:r w:rsidR="007E2609">
        <w:rPr>
          <w:rFonts w:ascii="Times New Roman" w:hAnsi="Times New Roman"/>
        </w:rPr>
        <w:t xml:space="preserve">(2014) </w:t>
      </w:r>
      <w:r w:rsidR="000C4CD9">
        <w:rPr>
          <w:rFonts w:ascii="Times New Roman" w:hAnsi="Times New Roman"/>
        </w:rPr>
        <w:t>create</w:t>
      </w:r>
      <w:r w:rsidR="007E2609">
        <w:rPr>
          <w:rFonts w:ascii="Times New Roman" w:hAnsi="Times New Roman"/>
        </w:rPr>
        <w:t>d</w:t>
      </w:r>
      <w:r w:rsidR="000C4CD9">
        <w:rPr>
          <w:rFonts w:ascii="Times New Roman" w:hAnsi="Times New Roman"/>
        </w:rPr>
        <w:t xml:space="preserve"> the areas of </w:t>
      </w:r>
      <w:r w:rsidR="007E2609">
        <w:rPr>
          <w:rFonts w:ascii="Times New Roman" w:hAnsi="Times New Roman"/>
        </w:rPr>
        <w:t>1-inch</w:t>
      </w:r>
      <w:r w:rsidR="000C4CD9">
        <w:rPr>
          <w:rFonts w:ascii="Times New Roman" w:hAnsi="Times New Roman"/>
        </w:rPr>
        <w:t xml:space="preserve"> length with high resolution.</w:t>
      </w:r>
    </w:p>
    <w:bookmarkEnd w:id="45"/>
    <w:p w:rsidR="00336C40" w:rsidRDefault="00336C40" w:rsidP="00336C40">
      <w:pPr>
        <w:jc w:val="both"/>
        <w:rPr>
          <w:rFonts w:ascii="Times New Roman" w:hAnsi="Times New Roman"/>
        </w:rPr>
      </w:pPr>
      <w:r w:rsidRPr="00336C40">
        <w:rPr>
          <w:rFonts w:ascii="Times New Roman" w:hAnsi="Times New Roman"/>
        </w:rPr>
        <w:t>Researchers have extracted statistical measurements on pores and organic matter from SEM images, e.g., Loucks, 2009; Curtis et al., 2010; Suri 2011; and Pommer and Milliken, 2015. These studies were performed on relatively small areas, thus suffer significant uncertainty when compared to core-plug petrophysical experiments (Ko et al., 2017). Automated, large-area, high-resolution SEM imaging provides more stati</w:t>
      </w:r>
      <w:r w:rsidR="007E2609">
        <w:rPr>
          <w:rFonts w:ascii="Times New Roman" w:hAnsi="Times New Roman"/>
        </w:rPr>
        <w:t>sti</w:t>
      </w:r>
      <w:r w:rsidRPr="00336C40">
        <w:rPr>
          <w:rFonts w:ascii="Times New Roman" w:hAnsi="Times New Roman"/>
        </w:rPr>
        <w:t xml:space="preserve">cally significant sampling. Unnecessarily large areas, however, result in significant waste of time and money and increase demands for data storage. Determining the </w:t>
      </w:r>
      <w:r w:rsidR="000C4CD9">
        <w:rPr>
          <w:rFonts w:ascii="Times New Roman" w:hAnsi="Times New Roman"/>
        </w:rPr>
        <w:t xml:space="preserve">optimal </w:t>
      </w:r>
      <w:r w:rsidRPr="00336C40">
        <w:rPr>
          <w:rFonts w:ascii="Times New Roman" w:hAnsi="Times New Roman"/>
        </w:rPr>
        <w:t xml:space="preserve">scale and resolution required for such </w:t>
      </w:r>
      <w:r w:rsidR="000C4CD9" w:rsidRPr="00336C40">
        <w:rPr>
          <w:rFonts w:ascii="Times New Roman" w:hAnsi="Times New Roman"/>
        </w:rPr>
        <w:t xml:space="preserve">measurements </w:t>
      </w:r>
      <w:r w:rsidR="000C4CD9">
        <w:rPr>
          <w:rFonts w:ascii="Times New Roman" w:hAnsi="Times New Roman"/>
        </w:rPr>
        <w:t>would</w:t>
      </w:r>
      <w:r w:rsidRPr="00336C40">
        <w:rPr>
          <w:rFonts w:ascii="Times New Roman" w:hAnsi="Times New Roman"/>
        </w:rPr>
        <w:t xml:space="preserve"> make the overall process of data collection and analysis more efficient.   </w:t>
      </w:r>
    </w:p>
    <w:p w:rsidR="008B2709" w:rsidRPr="00336C40" w:rsidRDefault="003E19CE" w:rsidP="00336C40">
      <w:pPr>
        <w:jc w:val="both"/>
        <w:rPr>
          <w:rFonts w:ascii="Times New Roman" w:hAnsi="Times New Roman"/>
        </w:rPr>
      </w:pPr>
      <w:r>
        <w:rPr>
          <w:rFonts w:ascii="Times New Roman" w:hAnsi="Times New Roman"/>
        </w:rPr>
        <w:t>Multiple techniques have been applied to determine the grain size as well as grain size distribution for rock sample</w:t>
      </w:r>
      <w:r w:rsidR="008F0671">
        <w:rPr>
          <w:rFonts w:ascii="Times New Roman" w:hAnsi="Times New Roman"/>
        </w:rPr>
        <w:t xml:space="preserve"> including </w:t>
      </w:r>
      <w:r w:rsidR="00CC1981">
        <w:rPr>
          <w:rFonts w:ascii="Times New Roman" w:hAnsi="Times New Roman"/>
        </w:rPr>
        <w:t>sieving,</w:t>
      </w:r>
      <w:r w:rsidR="00246210">
        <w:rPr>
          <w:rFonts w:ascii="Times New Roman" w:hAnsi="Times New Roman"/>
        </w:rPr>
        <w:t xml:space="preserve"> laser diffraction, and optical microscopy (Bishop, 1934; </w:t>
      </w:r>
      <w:r w:rsidR="00FD3028">
        <w:rPr>
          <w:rFonts w:ascii="Times New Roman" w:hAnsi="Times New Roman"/>
        </w:rPr>
        <w:t xml:space="preserve">Gladkikh et al., 2008; Bakhtiary and Arson, 2013; </w:t>
      </w:r>
      <w:r w:rsidR="00246210">
        <w:rPr>
          <w:rFonts w:ascii="Times New Roman" w:hAnsi="Times New Roman"/>
        </w:rPr>
        <w:t>Ballard and Beare, 2013;</w:t>
      </w:r>
      <w:r w:rsidR="00FD3028">
        <w:rPr>
          <w:rFonts w:ascii="Times New Roman" w:hAnsi="Times New Roman"/>
        </w:rPr>
        <w:t xml:space="preserve"> Varfolomeev, 2016) Those techniques</w:t>
      </w:r>
      <w:r w:rsidR="00CC1981">
        <w:rPr>
          <w:rFonts w:ascii="Times New Roman" w:hAnsi="Times New Roman"/>
        </w:rPr>
        <w:t>, however,</w:t>
      </w:r>
      <w:r w:rsidR="00FD3028">
        <w:rPr>
          <w:rFonts w:ascii="Times New Roman" w:hAnsi="Times New Roman"/>
        </w:rPr>
        <w:t xml:space="preserve"> are </w:t>
      </w:r>
      <w:r w:rsidR="007E2609">
        <w:rPr>
          <w:rFonts w:ascii="Times New Roman" w:hAnsi="Times New Roman"/>
        </w:rPr>
        <w:t>more appropriate</w:t>
      </w:r>
      <w:r w:rsidR="00CC1981">
        <w:rPr>
          <w:rFonts w:ascii="Times New Roman" w:hAnsi="Times New Roman"/>
        </w:rPr>
        <w:t xml:space="preserve"> for conventional reservoir rocks</w:t>
      </w:r>
      <w:r w:rsidR="00FD3028">
        <w:rPr>
          <w:rFonts w:ascii="Times New Roman" w:hAnsi="Times New Roman"/>
        </w:rPr>
        <w:t>.</w:t>
      </w:r>
      <w:r w:rsidR="00DC6173">
        <w:rPr>
          <w:rFonts w:ascii="Times New Roman" w:hAnsi="Times New Roman"/>
        </w:rPr>
        <w:t xml:space="preserve"> An</w:t>
      </w:r>
      <w:r w:rsidR="00F36BC8">
        <w:rPr>
          <w:rFonts w:ascii="Times New Roman" w:hAnsi="Times New Roman"/>
        </w:rPr>
        <w:t xml:space="preserve"> approach to estimate grain size for shale</w:t>
      </w:r>
      <w:r w:rsidR="00DC6173">
        <w:rPr>
          <w:rFonts w:ascii="Times New Roman" w:hAnsi="Times New Roman"/>
        </w:rPr>
        <w:t xml:space="preserve"> using high resolution SEM imaging technique </w:t>
      </w:r>
      <w:r w:rsidR="007E2609">
        <w:rPr>
          <w:rFonts w:ascii="Times New Roman" w:hAnsi="Times New Roman"/>
        </w:rPr>
        <w:t>is introduced in</w:t>
      </w:r>
      <w:r w:rsidR="00C17477">
        <w:rPr>
          <w:rFonts w:ascii="Times New Roman" w:hAnsi="Times New Roman"/>
        </w:rPr>
        <w:t xml:space="preserve"> this thesis</w:t>
      </w:r>
      <w:r w:rsidR="00F36BC8">
        <w:rPr>
          <w:rFonts w:ascii="Times New Roman" w:hAnsi="Times New Roman"/>
        </w:rPr>
        <w:t>.</w:t>
      </w:r>
    </w:p>
    <w:p w:rsidR="00336C40" w:rsidRDefault="00A5099D" w:rsidP="00336C40">
      <w:pPr>
        <w:jc w:val="both"/>
        <w:rPr>
          <w:rFonts w:ascii="Times New Roman" w:hAnsi="Times New Roman"/>
        </w:rPr>
      </w:pPr>
      <w:r>
        <w:rPr>
          <w:rFonts w:ascii="Times New Roman" w:hAnsi="Times New Roman"/>
        </w:rPr>
        <w:t>This thesis</w:t>
      </w:r>
      <w:r w:rsidR="00336C40" w:rsidRPr="00336C40">
        <w:rPr>
          <w:rFonts w:ascii="Times New Roman" w:hAnsi="Times New Roman"/>
        </w:rPr>
        <w:t xml:space="preserve"> present</w:t>
      </w:r>
      <w:r>
        <w:rPr>
          <w:rFonts w:ascii="Times New Roman" w:hAnsi="Times New Roman"/>
        </w:rPr>
        <w:t>s</w:t>
      </w:r>
      <w:r w:rsidR="00336C40" w:rsidRPr="00336C40">
        <w:rPr>
          <w:rFonts w:ascii="Times New Roman" w:hAnsi="Times New Roman"/>
        </w:rPr>
        <w:t xml:space="preserve"> results on the determination of bounds on the representative elementary area for imaging and detailed petrophysical analyses of a 1 ft long section of </w:t>
      </w:r>
      <w:r w:rsidR="003A3C6B">
        <w:rPr>
          <w:rFonts w:ascii="Times New Roman" w:hAnsi="Times New Roman"/>
        </w:rPr>
        <w:lastRenderedPageBreak/>
        <w:t>Wolfcamp Shale core</w:t>
      </w:r>
      <w:r w:rsidR="00336C40" w:rsidRPr="00336C40">
        <w:rPr>
          <w:rFonts w:ascii="Times New Roman" w:hAnsi="Times New Roman"/>
        </w:rPr>
        <w:t xml:space="preserve">. While conventional techniques require expensive core plugs, SEM imaging can be performed on rock cuttings and less consolidated core plugs. </w:t>
      </w:r>
    </w:p>
    <w:p w:rsidR="00336C40" w:rsidRPr="00336C40" w:rsidRDefault="00336C40" w:rsidP="00336C40">
      <w:pPr>
        <w:jc w:val="both"/>
        <w:rPr>
          <w:rFonts w:ascii="Times New Roman" w:hAnsi="Times New Roman"/>
        </w:rPr>
      </w:pPr>
    </w:p>
    <w:p w:rsidR="00336C40" w:rsidRDefault="00336C40" w:rsidP="0080054D">
      <w:pPr>
        <w:pStyle w:val="Heading2"/>
      </w:pPr>
      <w:r>
        <w:t xml:space="preserve">1.2 Scope of </w:t>
      </w:r>
      <w:r w:rsidR="00C66AA8">
        <w:t>the</w:t>
      </w:r>
      <w:r>
        <w:t xml:space="preserve"> </w:t>
      </w:r>
      <w:r w:rsidR="00C66AA8">
        <w:t>T</w:t>
      </w:r>
      <w:r>
        <w:t>hesis</w:t>
      </w:r>
    </w:p>
    <w:p w:rsidR="00700306" w:rsidRPr="00700306" w:rsidRDefault="00700306" w:rsidP="00700306"/>
    <w:p w:rsidR="004E0996" w:rsidRDefault="00700306" w:rsidP="00700306">
      <w:pPr>
        <w:jc w:val="both"/>
      </w:pPr>
      <w:r>
        <w:t xml:space="preserve">This thesis </w:t>
      </w:r>
      <w:r w:rsidRPr="00336C40">
        <w:rPr>
          <w:rFonts w:ascii="Times New Roman" w:hAnsi="Times New Roman"/>
        </w:rPr>
        <w:t>present</w:t>
      </w:r>
      <w:r w:rsidR="0006020F">
        <w:rPr>
          <w:rFonts w:ascii="Times New Roman" w:hAnsi="Times New Roman"/>
        </w:rPr>
        <w:t>s</w:t>
      </w:r>
      <w:r w:rsidRPr="00336C40">
        <w:rPr>
          <w:rFonts w:ascii="Times New Roman" w:hAnsi="Times New Roman"/>
        </w:rPr>
        <w:t xml:space="preserve"> results on the determination of bounds on the representative elementary area </w:t>
      </w:r>
      <w:r>
        <w:rPr>
          <w:rFonts w:ascii="Times New Roman" w:hAnsi="Times New Roman"/>
        </w:rPr>
        <w:t xml:space="preserve">(REAs) </w:t>
      </w:r>
      <w:r w:rsidRPr="00336C40">
        <w:rPr>
          <w:rFonts w:ascii="Times New Roman" w:hAnsi="Times New Roman"/>
        </w:rPr>
        <w:t xml:space="preserve">for </w:t>
      </w:r>
      <w:r w:rsidR="0006020F">
        <w:rPr>
          <w:rFonts w:ascii="Times New Roman" w:hAnsi="Times New Roman"/>
        </w:rPr>
        <w:t xml:space="preserve">pore and organic matter from </w:t>
      </w:r>
      <w:r w:rsidRPr="00336C40">
        <w:rPr>
          <w:rFonts w:ascii="Times New Roman" w:hAnsi="Times New Roman"/>
        </w:rPr>
        <w:t xml:space="preserve">imaging </w:t>
      </w:r>
      <w:r w:rsidR="0006020F">
        <w:rPr>
          <w:rFonts w:ascii="Times New Roman" w:hAnsi="Times New Roman"/>
        </w:rPr>
        <w:t>analyses</w:t>
      </w:r>
      <w:r w:rsidR="00AB078F">
        <w:rPr>
          <w:rFonts w:ascii="Times New Roman" w:hAnsi="Times New Roman"/>
        </w:rPr>
        <w:t>. The r</w:t>
      </w:r>
      <w:r w:rsidRPr="00336C40">
        <w:rPr>
          <w:rFonts w:ascii="Times New Roman" w:hAnsi="Times New Roman"/>
        </w:rPr>
        <w:t xml:space="preserve">elationship between </w:t>
      </w:r>
      <w:r w:rsidR="0006020F">
        <w:rPr>
          <w:rFonts w:ascii="Times New Roman" w:hAnsi="Times New Roman"/>
        </w:rPr>
        <w:t xml:space="preserve">SEM imaging </w:t>
      </w:r>
      <w:r w:rsidR="0046233B">
        <w:rPr>
          <w:rFonts w:ascii="Times New Roman" w:hAnsi="Times New Roman"/>
        </w:rPr>
        <w:t>analyses is correlated</w:t>
      </w:r>
      <w:r w:rsidRPr="00336C40">
        <w:rPr>
          <w:rFonts w:ascii="Times New Roman" w:hAnsi="Times New Roman"/>
        </w:rPr>
        <w:t xml:space="preserve"> </w:t>
      </w:r>
      <w:r w:rsidR="0046233B">
        <w:rPr>
          <w:rFonts w:ascii="Times New Roman" w:hAnsi="Times New Roman"/>
        </w:rPr>
        <w:t xml:space="preserve">with </w:t>
      </w:r>
      <w:r w:rsidRPr="00336C40">
        <w:rPr>
          <w:rFonts w:ascii="Times New Roman" w:hAnsi="Times New Roman"/>
        </w:rPr>
        <w:t>direct petrophysical measurements on core. While conventional techniques require expensive core plugs, SEM imaging can be performed on rock cuttings and less consolidated core plugs.</w:t>
      </w:r>
      <w:r>
        <w:t xml:space="preserve"> </w:t>
      </w:r>
      <w:r w:rsidR="00336C40">
        <w:t xml:space="preserve">This thesis </w:t>
      </w:r>
      <w:r w:rsidR="0006020F">
        <w:t>addresses</w:t>
      </w:r>
      <w:r w:rsidR="00336C40">
        <w:t xml:space="preserve"> upscaling SEM data to core petrophysical measurement</w:t>
      </w:r>
      <w:r w:rsidR="0006020F">
        <w:t>s</w:t>
      </w:r>
      <w:r w:rsidR="00336C40">
        <w:t xml:space="preserve"> and potentially to log-scale. Earlier works </w:t>
      </w:r>
      <w:r w:rsidR="0006020F">
        <w:t>related to</w:t>
      </w:r>
      <w:r w:rsidR="00336C40">
        <w:t xml:space="preserve"> </w:t>
      </w:r>
      <w:r w:rsidR="0046233B">
        <w:t>upscaling SEM data to core data</w:t>
      </w:r>
      <w:r w:rsidR="00336C40">
        <w:t xml:space="preserve"> are discussed in Curtis et al. (2014) and Goergen et al. (2014).</w:t>
      </w:r>
      <w:r>
        <w:t xml:space="preserve"> </w:t>
      </w:r>
    </w:p>
    <w:p w:rsidR="00700306" w:rsidRDefault="000C4CD9" w:rsidP="0009340D">
      <w:pPr>
        <w:jc w:val="both"/>
        <w:rPr>
          <w:rFonts w:ascii="Times New Roman" w:hAnsi="Times New Roman"/>
        </w:rPr>
      </w:pPr>
      <w:r>
        <w:t>I used a</w:t>
      </w:r>
      <w:r w:rsidR="0006020F">
        <w:t xml:space="preserve"> FEI </w:t>
      </w:r>
      <w:r w:rsidR="00700306">
        <w:t>SEM map</w:t>
      </w:r>
      <w:r w:rsidR="0006020F">
        <w:t>ping</w:t>
      </w:r>
      <w:r w:rsidR="00700306">
        <w:t xml:space="preserve"> technique to </w:t>
      </w:r>
      <w:r w:rsidR="0006020F">
        <w:t>study</w:t>
      </w:r>
      <w:r w:rsidR="00700306" w:rsidRPr="00336C40">
        <w:rPr>
          <w:rFonts w:ascii="Times New Roman" w:hAnsi="Times New Roman"/>
        </w:rPr>
        <w:t xml:space="preserve"> large areas (up to 1.6 mm</w:t>
      </w:r>
      <w:r w:rsidR="00700306" w:rsidRPr="00336C40">
        <w:rPr>
          <w:rFonts w:ascii="Times New Roman" w:hAnsi="Times New Roman"/>
          <w:vertAlign w:val="superscript"/>
        </w:rPr>
        <w:t>2</w:t>
      </w:r>
      <w:r w:rsidR="00700306" w:rsidRPr="00336C40">
        <w:rPr>
          <w:rFonts w:ascii="Times New Roman" w:hAnsi="Times New Roman"/>
        </w:rPr>
        <w:t>) with a resolution of 10 nm.</w:t>
      </w:r>
      <w:r w:rsidR="00C33384">
        <w:rPr>
          <w:rFonts w:ascii="Times New Roman" w:hAnsi="Times New Roman"/>
        </w:rPr>
        <w:t xml:space="preserve"> The SEM map experiments as well as petrophysical measurements were conducted on 24 samples </w:t>
      </w:r>
      <w:r w:rsidR="0006020F">
        <w:rPr>
          <w:rFonts w:ascii="Times New Roman" w:hAnsi="Times New Roman"/>
        </w:rPr>
        <w:t xml:space="preserve">taken from a 1 ft </w:t>
      </w:r>
      <w:r w:rsidR="001010E8">
        <w:rPr>
          <w:rFonts w:ascii="Times New Roman" w:hAnsi="Times New Roman"/>
        </w:rPr>
        <w:t xml:space="preserve">section of </w:t>
      </w:r>
      <w:r w:rsidR="0006020F">
        <w:rPr>
          <w:rFonts w:ascii="Times New Roman" w:hAnsi="Times New Roman"/>
        </w:rPr>
        <w:t>Wolfcamp core</w:t>
      </w:r>
      <w:r w:rsidR="00C33384">
        <w:rPr>
          <w:rFonts w:ascii="Times New Roman" w:hAnsi="Times New Roman"/>
        </w:rPr>
        <w:t xml:space="preserve">. For each of the samples, a map was broken down into sub-maps. Petrophysical results such as 2D porosity, 2D organic matter, or 2D </w:t>
      </w:r>
      <w:r w:rsidR="004621CD">
        <w:rPr>
          <w:rFonts w:ascii="Times New Roman" w:hAnsi="Times New Roman"/>
        </w:rPr>
        <w:t>mineral</w:t>
      </w:r>
      <w:r w:rsidR="00C33384">
        <w:rPr>
          <w:rFonts w:ascii="Times New Roman" w:hAnsi="Times New Roman"/>
        </w:rPr>
        <w:t xml:space="preserve"> areal percentage </w:t>
      </w:r>
      <w:r w:rsidR="0006020F">
        <w:rPr>
          <w:rFonts w:ascii="Times New Roman" w:hAnsi="Times New Roman"/>
        </w:rPr>
        <w:t>we</w:t>
      </w:r>
      <w:r w:rsidR="00C33384">
        <w:rPr>
          <w:rFonts w:ascii="Times New Roman" w:hAnsi="Times New Roman"/>
        </w:rPr>
        <w:t xml:space="preserve">re </w:t>
      </w:r>
      <w:r w:rsidR="00B96A4C">
        <w:rPr>
          <w:rFonts w:ascii="Times New Roman" w:hAnsi="Times New Roman"/>
        </w:rPr>
        <w:t>obtained for</w:t>
      </w:r>
      <w:r w:rsidR="00B76B45">
        <w:rPr>
          <w:rFonts w:ascii="Times New Roman" w:hAnsi="Times New Roman"/>
        </w:rPr>
        <w:t xml:space="preserve"> each sub-map</w:t>
      </w:r>
      <w:r w:rsidR="00C33384">
        <w:rPr>
          <w:rFonts w:ascii="Times New Roman" w:hAnsi="Times New Roman"/>
        </w:rPr>
        <w:t xml:space="preserve">. </w:t>
      </w:r>
      <w:r w:rsidR="00A76121">
        <w:rPr>
          <w:rFonts w:ascii="Times New Roman" w:hAnsi="Times New Roman"/>
        </w:rPr>
        <w:t>These results</w:t>
      </w:r>
      <w:r w:rsidR="00B96A4C">
        <w:rPr>
          <w:rFonts w:ascii="Times New Roman" w:hAnsi="Times New Roman"/>
        </w:rPr>
        <w:t xml:space="preserve"> were combined to de</w:t>
      </w:r>
      <w:r w:rsidR="0006020F">
        <w:rPr>
          <w:rFonts w:ascii="Times New Roman" w:hAnsi="Times New Roman"/>
        </w:rPr>
        <w:t>termine</w:t>
      </w:r>
      <w:r w:rsidR="00B96A4C">
        <w:rPr>
          <w:rFonts w:ascii="Times New Roman" w:hAnsi="Times New Roman"/>
        </w:rPr>
        <w:t xml:space="preserve"> the REAs. For upscaling purpose, the results extracted from SEM map were compared with results from petrophysical</w:t>
      </w:r>
      <w:r w:rsidR="00C33384">
        <w:rPr>
          <w:rFonts w:ascii="Times New Roman" w:hAnsi="Times New Roman"/>
        </w:rPr>
        <w:t xml:space="preserve"> </w:t>
      </w:r>
      <w:r w:rsidR="00B96A4C">
        <w:rPr>
          <w:rFonts w:ascii="Times New Roman" w:hAnsi="Times New Roman"/>
        </w:rPr>
        <w:t xml:space="preserve">experiments. To be specific, SEM porosity was compared with </w:t>
      </w:r>
      <w:r w:rsidR="00A76121">
        <w:rPr>
          <w:rFonts w:ascii="Times New Roman" w:hAnsi="Times New Roman"/>
        </w:rPr>
        <w:t>crushed helium</w:t>
      </w:r>
      <w:r w:rsidR="00B96A4C">
        <w:rPr>
          <w:rFonts w:ascii="Times New Roman" w:hAnsi="Times New Roman"/>
        </w:rPr>
        <w:t xml:space="preserve"> porosity, SEM TOC was compared with </w:t>
      </w:r>
      <w:r w:rsidR="00A76121">
        <w:rPr>
          <w:rFonts w:ascii="Times New Roman" w:hAnsi="Times New Roman"/>
        </w:rPr>
        <w:t>LECO™</w:t>
      </w:r>
      <w:r w:rsidR="00B96A4C">
        <w:rPr>
          <w:rFonts w:ascii="Times New Roman" w:hAnsi="Times New Roman"/>
        </w:rPr>
        <w:t xml:space="preserve"> TOC, and pore size distribution</w:t>
      </w:r>
      <w:r w:rsidR="001010E8">
        <w:rPr>
          <w:rFonts w:ascii="Times New Roman" w:hAnsi="Times New Roman"/>
        </w:rPr>
        <w:t>s</w:t>
      </w:r>
      <w:r w:rsidR="00B96A4C">
        <w:rPr>
          <w:rFonts w:ascii="Times New Roman" w:hAnsi="Times New Roman"/>
        </w:rPr>
        <w:t xml:space="preserve"> from SEM </w:t>
      </w:r>
      <w:r w:rsidR="00B96A4C">
        <w:rPr>
          <w:rFonts w:ascii="Times New Roman" w:hAnsi="Times New Roman"/>
        </w:rPr>
        <w:lastRenderedPageBreak/>
        <w:t>was compared with pore size distribution</w:t>
      </w:r>
      <w:r w:rsidR="001010E8">
        <w:rPr>
          <w:rFonts w:ascii="Times New Roman" w:hAnsi="Times New Roman"/>
        </w:rPr>
        <w:t>s</w:t>
      </w:r>
      <w:r w:rsidR="00B96A4C">
        <w:rPr>
          <w:rFonts w:ascii="Times New Roman" w:hAnsi="Times New Roman"/>
        </w:rPr>
        <w:t xml:space="preserve"> acquired from Mercury Injection Capillary Pressure (MICP) and Nuclear Magnetic Resonance (NMR). </w:t>
      </w:r>
      <w:r w:rsidR="00C33384">
        <w:rPr>
          <w:rFonts w:ascii="Times New Roman" w:hAnsi="Times New Roman"/>
        </w:rPr>
        <w:t xml:space="preserve"> </w:t>
      </w:r>
      <w:r w:rsidR="00700306" w:rsidRPr="00336C40">
        <w:rPr>
          <w:rFonts w:ascii="Times New Roman" w:hAnsi="Times New Roman"/>
        </w:rPr>
        <w:t xml:space="preserve">        </w:t>
      </w:r>
    </w:p>
    <w:p w:rsidR="00B96A4C" w:rsidRPr="00336C40" w:rsidRDefault="00B96A4C" w:rsidP="0009340D">
      <w:pPr>
        <w:jc w:val="both"/>
        <w:rPr>
          <w:rFonts w:ascii="Times New Roman" w:hAnsi="Times New Roman"/>
        </w:rPr>
      </w:pPr>
    </w:p>
    <w:p w:rsidR="00B96A4C" w:rsidRDefault="00B96A4C" w:rsidP="0080054D">
      <w:pPr>
        <w:pStyle w:val="Heading2"/>
      </w:pPr>
      <w:r>
        <w:t xml:space="preserve">1.3 Organization of the </w:t>
      </w:r>
      <w:r w:rsidR="00C66AA8">
        <w:t>T</w:t>
      </w:r>
      <w:r>
        <w:t>hesis</w:t>
      </w:r>
    </w:p>
    <w:p w:rsidR="0009340D" w:rsidRPr="0009340D" w:rsidRDefault="0009340D" w:rsidP="0009340D"/>
    <w:p w:rsidR="0009340D" w:rsidRPr="0009340D" w:rsidRDefault="0009340D" w:rsidP="006C6C96">
      <w:pPr>
        <w:jc w:val="both"/>
      </w:pPr>
      <w:r w:rsidRPr="0009340D">
        <w:t>The thesis is divided into five chapters and is organized as follows</w:t>
      </w:r>
    </w:p>
    <w:p w:rsidR="00B96A4C" w:rsidRDefault="0009340D" w:rsidP="006C6C96">
      <w:pPr>
        <w:pStyle w:val="ListParagraph"/>
        <w:numPr>
          <w:ilvl w:val="0"/>
          <w:numId w:val="14"/>
        </w:numPr>
        <w:jc w:val="both"/>
      </w:pPr>
      <w:r>
        <w:t xml:space="preserve">Chapter 2 introduces background research undertaken for this thesis. It includes </w:t>
      </w:r>
      <w:r w:rsidR="000C4CD9">
        <w:t xml:space="preserve">a brief </w:t>
      </w:r>
      <w:r>
        <w:t xml:space="preserve">description of scanning electron microscopy, discussion </w:t>
      </w:r>
      <w:r w:rsidR="001547D3">
        <w:t>of</w:t>
      </w:r>
      <w:r>
        <w:t xml:space="preserve"> previous work on the upscaling process, and finally a brief geological descri</w:t>
      </w:r>
      <w:r w:rsidR="00A76121">
        <w:t>ption of the Wolfcamp formation.</w:t>
      </w:r>
    </w:p>
    <w:p w:rsidR="0009340D" w:rsidRDefault="0009340D" w:rsidP="006C6C96">
      <w:pPr>
        <w:pStyle w:val="ListParagraph"/>
        <w:numPr>
          <w:ilvl w:val="0"/>
          <w:numId w:val="14"/>
        </w:numPr>
        <w:jc w:val="both"/>
      </w:pPr>
      <w:r>
        <w:t>Chapter 3</w:t>
      </w:r>
      <w:r w:rsidR="001010E8">
        <w:t xml:space="preserve"> </w:t>
      </w:r>
      <w:r>
        <w:t xml:space="preserve">explains the methodology of the </w:t>
      </w:r>
      <w:r w:rsidR="00A76121">
        <w:t xml:space="preserve">FEI </w:t>
      </w:r>
      <w:r>
        <w:t>SEM map</w:t>
      </w:r>
      <w:r w:rsidR="00A76121">
        <w:t>ping</w:t>
      </w:r>
      <w:r>
        <w:t xml:space="preserve"> technique as well as petrophysical measurements performed on the samples.</w:t>
      </w:r>
    </w:p>
    <w:p w:rsidR="0009340D" w:rsidRDefault="0009340D" w:rsidP="006C6C96">
      <w:pPr>
        <w:pStyle w:val="ListParagraph"/>
        <w:numPr>
          <w:ilvl w:val="0"/>
          <w:numId w:val="14"/>
        </w:numPr>
        <w:jc w:val="both"/>
      </w:pPr>
      <w:r>
        <w:t xml:space="preserve"> In Chapter 4,</w:t>
      </w:r>
      <w:r w:rsidR="0046233B">
        <w:t xml:space="preserve"> the results </w:t>
      </w:r>
      <w:r w:rsidR="001010E8">
        <w:t>obtained</w:t>
      </w:r>
      <w:r w:rsidR="0046233B">
        <w:t xml:space="preserve"> from SEM maps</w:t>
      </w:r>
      <w:r>
        <w:t xml:space="preserve"> are presented and discussed</w:t>
      </w:r>
      <w:r w:rsidR="001010E8">
        <w:t>.</w:t>
      </w:r>
    </w:p>
    <w:p w:rsidR="0009340D" w:rsidRDefault="0009340D" w:rsidP="006C6C96">
      <w:pPr>
        <w:pStyle w:val="ListParagraph"/>
        <w:numPr>
          <w:ilvl w:val="0"/>
          <w:numId w:val="14"/>
        </w:numPr>
        <w:jc w:val="both"/>
      </w:pPr>
      <w:r>
        <w:t>Finally, in Chapter 5, conclusions and most significan</w:t>
      </w:r>
      <w:r w:rsidR="00A76121">
        <w:t>t</w:t>
      </w:r>
      <w:r>
        <w:t xml:space="preserve"> </w:t>
      </w:r>
      <w:r w:rsidR="00A76121">
        <w:t>finding from this study</w:t>
      </w:r>
      <w:r>
        <w:t>.</w:t>
      </w:r>
    </w:p>
    <w:p w:rsidR="0009340D" w:rsidRDefault="0009340D" w:rsidP="006C6C96">
      <w:pPr>
        <w:pStyle w:val="ListParagraph"/>
        <w:jc w:val="both"/>
      </w:pPr>
    </w:p>
    <w:p w:rsidR="00A76121" w:rsidRDefault="00A76121" w:rsidP="0009340D">
      <w:pPr>
        <w:pStyle w:val="ListParagraph"/>
      </w:pPr>
    </w:p>
    <w:p w:rsidR="003A3C6B" w:rsidRDefault="003A3C6B" w:rsidP="0009340D">
      <w:pPr>
        <w:pStyle w:val="ListParagraph"/>
      </w:pPr>
    </w:p>
    <w:p w:rsidR="00A76121" w:rsidRDefault="00A76121" w:rsidP="00A7496E"/>
    <w:p w:rsidR="00A7496E" w:rsidRDefault="00A7496E" w:rsidP="00A7496E"/>
    <w:p w:rsidR="00A7496E" w:rsidRDefault="00A7496E" w:rsidP="00A7496E"/>
    <w:p w:rsidR="0046233B" w:rsidRDefault="0046233B" w:rsidP="00A7496E"/>
    <w:p w:rsidR="001547D3" w:rsidRDefault="001547D3" w:rsidP="00A7496E"/>
    <w:p w:rsidR="0046233B" w:rsidRDefault="0046233B" w:rsidP="00A7496E"/>
    <w:p w:rsidR="00B96A4C" w:rsidRDefault="00B96A4C" w:rsidP="00F63BF0">
      <w:pPr>
        <w:pStyle w:val="Heading1"/>
      </w:pPr>
      <w:r w:rsidRPr="000F56FF">
        <w:lastRenderedPageBreak/>
        <w:t xml:space="preserve">Chapter </w:t>
      </w:r>
      <w:r>
        <w:t>2</w:t>
      </w:r>
      <w:r w:rsidRPr="000F56FF">
        <w:t xml:space="preserve">: </w:t>
      </w:r>
      <w:r w:rsidR="000221FF">
        <w:t xml:space="preserve">Research </w:t>
      </w:r>
      <w:r w:rsidR="00C37D11">
        <w:t xml:space="preserve">Background </w:t>
      </w:r>
    </w:p>
    <w:p w:rsidR="0080054D" w:rsidRPr="0080054D" w:rsidRDefault="000221FF" w:rsidP="0080054D">
      <w:pPr>
        <w:pStyle w:val="Heading2"/>
      </w:pPr>
      <w:bookmarkStart w:id="46" w:name="OLE_LINK52"/>
      <w:bookmarkStart w:id="47" w:name="OLE_LINK53"/>
      <w:r>
        <w:t>2.1</w:t>
      </w:r>
      <w:r w:rsidR="0080054D" w:rsidRPr="0080054D">
        <w:t xml:space="preserve"> Scanning Electron Microscopy (SEM)</w:t>
      </w:r>
    </w:p>
    <w:p w:rsidR="0080054D" w:rsidRPr="006204F6" w:rsidRDefault="000221FF" w:rsidP="0080054D">
      <w:pPr>
        <w:jc w:val="center"/>
        <w:rPr>
          <w:b/>
          <w:i/>
        </w:rPr>
      </w:pPr>
      <w:bookmarkStart w:id="48" w:name="OLE_LINK29"/>
      <w:bookmarkStart w:id="49" w:name="OLE_LINK30"/>
      <w:bookmarkEnd w:id="46"/>
      <w:bookmarkEnd w:id="47"/>
      <w:r w:rsidRPr="006204F6">
        <w:rPr>
          <w:b/>
          <w:i/>
        </w:rPr>
        <w:t>2.1.1 Principle</w:t>
      </w:r>
      <w:r w:rsidR="00C37D11" w:rsidRPr="006204F6">
        <w:rPr>
          <w:b/>
          <w:i/>
        </w:rPr>
        <w:t xml:space="preserve"> of SEM</w:t>
      </w:r>
    </w:p>
    <w:bookmarkEnd w:id="48"/>
    <w:bookmarkEnd w:id="49"/>
    <w:p w:rsidR="00C81ADB" w:rsidRDefault="00C81ADB" w:rsidP="0080054D">
      <w:pPr>
        <w:jc w:val="center"/>
        <w:rPr>
          <w:i/>
        </w:rPr>
      </w:pPr>
    </w:p>
    <w:p w:rsidR="00C37D11" w:rsidRDefault="00C37D11" w:rsidP="00C37D11">
      <w:pPr>
        <w:jc w:val="both"/>
        <w:rPr>
          <w:rFonts w:ascii="Times New Roman" w:hAnsi="Times New Roman"/>
        </w:rPr>
      </w:pPr>
      <w:r w:rsidRPr="000221FF">
        <w:t>The scanni</w:t>
      </w:r>
      <w:r w:rsidR="001547D3">
        <w:t>ng electron microscope is a</w:t>
      </w:r>
      <w:r w:rsidRPr="000221FF">
        <w:t xml:space="preserve"> powerful tool for observing and interpreting the </w:t>
      </w:r>
      <w:r w:rsidR="000221FF" w:rsidRPr="000221FF">
        <w:t xml:space="preserve">microstructure of rock samples at micro- and nanometer scale. For this study, all of SEM experiments are performed on the </w:t>
      </w:r>
      <w:bookmarkStart w:id="50" w:name="OLE_LINK9"/>
      <w:bookmarkStart w:id="51" w:name="OLE_LINK21"/>
      <w:r w:rsidR="000221FF" w:rsidRPr="000221FF">
        <w:rPr>
          <w:rFonts w:ascii="Times New Roman" w:hAnsi="Times New Roman"/>
        </w:rPr>
        <w:t xml:space="preserve">FEI Helios Nanolab™ 650 DualBeam™ </w:t>
      </w:r>
      <w:bookmarkEnd w:id="50"/>
      <w:bookmarkEnd w:id="51"/>
      <w:r w:rsidR="000221FF" w:rsidRPr="000221FF">
        <w:rPr>
          <w:rFonts w:ascii="Times New Roman" w:hAnsi="Times New Roman"/>
        </w:rPr>
        <w:t>FIB/SEM machine</w:t>
      </w:r>
      <w:r w:rsidR="000221FF">
        <w:rPr>
          <w:rFonts w:ascii="Times New Roman" w:hAnsi="Times New Roman"/>
        </w:rPr>
        <w:t>. The microscop</w:t>
      </w:r>
      <w:r w:rsidR="00D54BBA">
        <w:rPr>
          <w:rFonts w:ascii="Times New Roman" w:hAnsi="Times New Roman"/>
        </w:rPr>
        <w:t>e includes following components</w:t>
      </w:r>
      <w:bookmarkStart w:id="52" w:name="OLE_LINK24"/>
      <w:bookmarkStart w:id="53" w:name="OLE_LINK27"/>
      <w:bookmarkStart w:id="54" w:name="OLE_LINK28"/>
      <w:r w:rsidR="00C81ADB">
        <w:rPr>
          <w:rFonts w:ascii="Times New Roman" w:hAnsi="Times New Roman"/>
        </w:rPr>
        <w:t>:</w:t>
      </w:r>
      <w:bookmarkEnd w:id="52"/>
      <w:bookmarkEnd w:id="53"/>
      <w:bookmarkEnd w:id="54"/>
    </w:p>
    <w:p w:rsidR="000221FF" w:rsidRPr="00C81ADB" w:rsidRDefault="000221FF" w:rsidP="00C81ADB">
      <w:pPr>
        <w:pStyle w:val="ListParagraph"/>
        <w:numPr>
          <w:ilvl w:val="0"/>
          <w:numId w:val="15"/>
        </w:numPr>
        <w:jc w:val="both"/>
        <w:rPr>
          <w:rFonts w:ascii="Times New Roman" w:hAnsi="Times New Roman"/>
        </w:rPr>
      </w:pPr>
      <w:r w:rsidRPr="00C81ADB">
        <w:rPr>
          <w:rFonts w:ascii="Times New Roman" w:hAnsi="Times New Roman"/>
        </w:rPr>
        <w:t>An electron gun as a source from which an electron beam is accelerated down the column</w:t>
      </w:r>
    </w:p>
    <w:p w:rsidR="000221FF" w:rsidRPr="00C81ADB" w:rsidRDefault="000221FF" w:rsidP="00C81ADB">
      <w:pPr>
        <w:pStyle w:val="ListParagraph"/>
        <w:numPr>
          <w:ilvl w:val="0"/>
          <w:numId w:val="15"/>
        </w:numPr>
        <w:jc w:val="both"/>
        <w:rPr>
          <w:rFonts w:ascii="Times New Roman" w:hAnsi="Times New Roman"/>
        </w:rPr>
      </w:pPr>
      <w:r w:rsidRPr="00C81ADB">
        <w:rPr>
          <w:rFonts w:ascii="Times New Roman" w:hAnsi="Times New Roman"/>
        </w:rPr>
        <w:t>A series of lense</w:t>
      </w:r>
      <w:r w:rsidR="00D020E5" w:rsidRPr="00C81ADB">
        <w:rPr>
          <w:rFonts w:ascii="Times New Roman" w:hAnsi="Times New Roman"/>
        </w:rPr>
        <w:t>s including condenser lense</w:t>
      </w:r>
      <w:r w:rsidR="00C81ADB" w:rsidRPr="00C81ADB">
        <w:rPr>
          <w:rFonts w:ascii="Times New Roman" w:hAnsi="Times New Roman"/>
        </w:rPr>
        <w:t>s and objective lenses to control the diameter of the electron beam as it interacts the specimen</w:t>
      </w:r>
    </w:p>
    <w:p w:rsidR="00C81ADB" w:rsidRPr="00C81ADB" w:rsidRDefault="00C81ADB" w:rsidP="00C81ADB">
      <w:pPr>
        <w:pStyle w:val="ListParagraph"/>
        <w:numPr>
          <w:ilvl w:val="0"/>
          <w:numId w:val="15"/>
        </w:numPr>
        <w:jc w:val="both"/>
        <w:rPr>
          <w:rFonts w:ascii="Times New Roman" w:hAnsi="Times New Roman"/>
        </w:rPr>
      </w:pPr>
      <w:r w:rsidRPr="00C81ADB">
        <w:rPr>
          <w:rFonts w:ascii="Times New Roman" w:hAnsi="Times New Roman"/>
        </w:rPr>
        <w:t>A series of apertures to affect the properties of the electron beam when it passes through them</w:t>
      </w:r>
    </w:p>
    <w:p w:rsidR="00C81ADB" w:rsidRPr="00C81ADB" w:rsidRDefault="00A76121" w:rsidP="00C81ADB">
      <w:pPr>
        <w:pStyle w:val="ListParagraph"/>
        <w:numPr>
          <w:ilvl w:val="0"/>
          <w:numId w:val="15"/>
        </w:numPr>
        <w:jc w:val="both"/>
        <w:rPr>
          <w:rFonts w:ascii="Times New Roman" w:hAnsi="Times New Roman"/>
        </w:rPr>
      </w:pPr>
      <w:r w:rsidRPr="00C81ADB">
        <w:rPr>
          <w:rFonts w:ascii="Times New Roman" w:hAnsi="Times New Roman"/>
        </w:rPr>
        <w:t>All</w:t>
      </w:r>
      <w:r w:rsidR="00C81ADB" w:rsidRPr="00C81ADB">
        <w:rPr>
          <w:rFonts w:ascii="Times New Roman" w:hAnsi="Times New Roman"/>
        </w:rPr>
        <w:t xml:space="preserve"> </w:t>
      </w:r>
      <w:r>
        <w:rPr>
          <w:rFonts w:ascii="Times New Roman" w:hAnsi="Times New Roman"/>
        </w:rPr>
        <w:t xml:space="preserve">of the components </w:t>
      </w:r>
      <w:r w:rsidR="00C81ADB" w:rsidRPr="00C81ADB">
        <w:rPr>
          <w:rFonts w:ascii="Times New Roman" w:hAnsi="Times New Roman"/>
        </w:rPr>
        <w:t>above kept at high vacuum levels</w:t>
      </w:r>
      <w:r w:rsidR="0046233B">
        <w:rPr>
          <w:rFonts w:ascii="Times New Roman" w:hAnsi="Times New Roman"/>
        </w:rPr>
        <w:t xml:space="preserve"> (Hafner, 2007).</w:t>
      </w:r>
    </w:p>
    <w:p w:rsidR="00C81ADB" w:rsidRDefault="00D54BBA" w:rsidP="00C37D11">
      <w:pPr>
        <w:jc w:val="both"/>
        <w:rPr>
          <w:rFonts w:ascii="Times New Roman" w:hAnsi="Times New Roman"/>
        </w:rPr>
      </w:pPr>
      <w:r>
        <w:rPr>
          <w:rFonts w:ascii="Times New Roman" w:hAnsi="Times New Roman"/>
        </w:rPr>
        <w:t xml:space="preserve">A more detailed breakdown of SEM system is illustrated in </w:t>
      </w:r>
      <w:r w:rsidR="00DC1817">
        <w:rPr>
          <w:rFonts w:ascii="Times New Roman" w:hAnsi="Times New Roman"/>
          <w:b/>
        </w:rPr>
        <w:t xml:space="preserve">Fig </w:t>
      </w:r>
      <w:r w:rsidRPr="00A76121">
        <w:rPr>
          <w:rFonts w:ascii="Times New Roman" w:hAnsi="Times New Roman"/>
          <w:b/>
        </w:rPr>
        <w:t>2.1</w:t>
      </w:r>
      <w:r>
        <w:rPr>
          <w:rFonts w:ascii="Times New Roman" w:hAnsi="Times New Roman"/>
        </w:rPr>
        <w:t xml:space="preserve">. </w:t>
      </w:r>
      <w:r w:rsidR="006552A8">
        <w:rPr>
          <w:rFonts w:ascii="Times New Roman" w:hAnsi="Times New Roman"/>
        </w:rPr>
        <w:t xml:space="preserve">In the SEM, an image </w:t>
      </w:r>
      <w:r w:rsidR="00984F1A">
        <w:rPr>
          <w:rFonts w:ascii="Times New Roman" w:hAnsi="Times New Roman"/>
        </w:rPr>
        <w:t xml:space="preserve">of an area </w:t>
      </w:r>
      <w:r w:rsidR="006552A8">
        <w:rPr>
          <w:rFonts w:ascii="Times New Roman" w:hAnsi="Times New Roman"/>
        </w:rPr>
        <w:t xml:space="preserve">is obtained by </w:t>
      </w:r>
      <w:r w:rsidR="00984F1A">
        <w:rPr>
          <w:rFonts w:ascii="Times New Roman" w:hAnsi="Times New Roman"/>
        </w:rPr>
        <w:t>irradiating that area with a finely focus</w:t>
      </w:r>
      <w:r w:rsidR="00A76121">
        <w:rPr>
          <w:rFonts w:ascii="Times New Roman" w:hAnsi="Times New Roman"/>
        </w:rPr>
        <w:t>ed</w:t>
      </w:r>
      <w:r w:rsidR="00984F1A">
        <w:rPr>
          <w:rFonts w:ascii="Times New Roman" w:hAnsi="Times New Roman"/>
        </w:rPr>
        <w:t xml:space="preserve"> electron beam, which is swept in a raster across the surface of the sp</w:t>
      </w:r>
      <w:r w:rsidR="001547D3">
        <w:rPr>
          <w:rFonts w:ascii="Times New Roman" w:hAnsi="Times New Roman"/>
        </w:rPr>
        <w:t>ecimen (Goldstein et al., 2003</w:t>
      </w:r>
      <w:r w:rsidR="001010E8">
        <w:rPr>
          <w:rFonts w:ascii="Times New Roman" w:hAnsi="Times New Roman"/>
        </w:rPr>
        <w:t>) ; the</w:t>
      </w:r>
      <w:r w:rsidR="00895DD5">
        <w:rPr>
          <w:rFonts w:ascii="Times New Roman" w:hAnsi="Times New Roman"/>
        </w:rPr>
        <w:t xml:space="preserve"> electron beam is rastered from left to right and top to bottom; there is a one-to-one correspondence between the rastering pattern on the specimen/sample and the rastering pattern to produce the image or spectra on</w:t>
      </w:r>
      <w:r w:rsidR="00A76121">
        <w:rPr>
          <w:rFonts w:ascii="Times New Roman" w:hAnsi="Times New Roman"/>
        </w:rPr>
        <w:t xml:space="preserve"> a display</w:t>
      </w:r>
      <w:r w:rsidR="00895DD5">
        <w:rPr>
          <w:rFonts w:ascii="Times New Roman" w:hAnsi="Times New Roman"/>
        </w:rPr>
        <w:t xml:space="preserve"> </w:t>
      </w:r>
      <w:r w:rsidR="00984F1A">
        <w:rPr>
          <w:rFonts w:ascii="Times New Roman" w:hAnsi="Times New Roman"/>
        </w:rPr>
        <w:t>monitor. T</w:t>
      </w:r>
      <w:r w:rsidR="00895DD5">
        <w:rPr>
          <w:rFonts w:ascii="Times New Roman" w:hAnsi="Times New Roman"/>
        </w:rPr>
        <w:t>he signal created from beam-specimen interaction is collected by the detector and then processed; the intensity of the signal coming from a pixel on the specimen</w:t>
      </w:r>
      <w:r w:rsidR="00E37953">
        <w:rPr>
          <w:rFonts w:ascii="Times New Roman" w:hAnsi="Times New Roman"/>
        </w:rPr>
        <w:t xml:space="preserve"> </w:t>
      </w:r>
      <w:r w:rsidR="00984F1A">
        <w:rPr>
          <w:rFonts w:ascii="Times New Roman" w:hAnsi="Times New Roman"/>
        </w:rPr>
        <w:t xml:space="preserve">is converted into gray scale value of </w:t>
      </w:r>
      <w:r w:rsidR="00984F1A">
        <w:rPr>
          <w:rFonts w:ascii="Times New Roman" w:hAnsi="Times New Roman"/>
        </w:rPr>
        <w:lastRenderedPageBreak/>
        <w:t xml:space="preserve">the corresponding monitor pixel. The monitor image is thus a two dimensional rastered pattern of grayscale values </w:t>
      </w:r>
      <w:bookmarkStart w:id="55" w:name="OLE_LINK39"/>
      <w:bookmarkStart w:id="56" w:name="OLE_LINK40"/>
      <w:r w:rsidR="00984F1A">
        <w:rPr>
          <w:rFonts w:ascii="Times New Roman" w:hAnsi="Times New Roman"/>
        </w:rPr>
        <w:t>(</w:t>
      </w:r>
      <w:bookmarkStart w:id="57" w:name="OLE_LINK36"/>
      <w:bookmarkStart w:id="58" w:name="OLE_LINK37"/>
      <w:r w:rsidR="00984F1A">
        <w:rPr>
          <w:rFonts w:ascii="Times New Roman" w:hAnsi="Times New Roman"/>
        </w:rPr>
        <w:t xml:space="preserve">Hafner, 2007). </w:t>
      </w:r>
      <w:r w:rsidR="0046233B">
        <w:rPr>
          <w:rFonts w:ascii="Times New Roman" w:hAnsi="Times New Roman"/>
        </w:rPr>
        <w:t>Eac</w:t>
      </w:r>
      <w:r w:rsidR="001010E8">
        <w:rPr>
          <w:rFonts w:ascii="Times New Roman" w:hAnsi="Times New Roman"/>
        </w:rPr>
        <w:t>h image is 8-bit; the gray</w:t>
      </w:r>
      <w:r w:rsidR="0046233B">
        <w:rPr>
          <w:rFonts w:ascii="Times New Roman" w:hAnsi="Times New Roman"/>
        </w:rPr>
        <w:t xml:space="preserve"> </w:t>
      </w:r>
      <w:r w:rsidR="00A76121">
        <w:rPr>
          <w:rFonts w:ascii="Times New Roman" w:hAnsi="Times New Roman"/>
        </w:rPr>
        <w:t xml:space="preserve">value of 0 represents for black and </w:t>
      </w:r>
      <w:r w:rsidR="0046233B">
        <w:rPr>
          <w:rFonts w:ascii="Times New Roman" w:hAnsi="Times New Roman"/>
        </w:rPr>
        <w:t>255</w:t>
      </w:r>
      <w:r w:rsidR="00A76121">
        <w:rPr>
          <w:rFonts w:ascii="Times New Roman" w:hAnsi="Times New Roman"/>
        </w:rPr>
        <w:t xml:space="preserve"> represents for white. </w:t>
      </w:r>
      <w:r w:rsidR="00A76121">
        <w:rPr>
          <w:rFonts w:ascii="Times New Roman" w:hAnsi="Times New Roman"/>
        </w:rPr>
        <w:tab/>
      </w:r>
      <w:r w:rsidR="00895DD5">
        <w:rPr>
          <w:rFonts w:ascii="Times New Roman" w:hAnsi="Times New Roman"/>
        </w:rPr>
        <w:t xml:space="preserve">     </w:t>
      </w:r>
      <w:bookmarkEnd w:id="55"/>
      <w:bookmarkEnd w:id="56"/>
    </w:p>
    <w:bookmarkEnd w:id="57"/>
    <w:bookmarkEnd w:id="58"/>
    <w:p w:rsidR="00984F1A" w:rsidRDefault="00D54BBA" w:rsidP="00A7496E">
      <w:pPr>
        <w:jc w:val="center"/>
        <w:rPr>
          <w:rFonts w:ascii="Times New Roman" w:hAnsi="Times New Roman"/>
        </w:rPr>
      </w:pPr>
      <w:r>
        <w:rPr>
          <w:noProof/>
          <w:lang w:bidi="ar-SA"/>
        </w:rPr>
        <w:drawing>
          <wp:inline distT="0" distB="0" distL="0" distR="0" wp14:anchorId="2241EF86" wp14:editId="568EB6BA">
            <wp:extent cx="4738093" cy="5816009"/>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srcRect b="4776"/>
                    <a:stretch/>
                  </pic:blipFill>
                  <pic:spPr bwMode="auto">
                    <a:xfrm>
                      <a:off x="0" y="0"/>
                      <a:ext cx="4744672" cy="5824085"/>
                    </a:xfrm>
                    <a:prstGeom prst="rect">
                      <a:avLst/>
                    </a:prstGeom>
                    <a:ln>
                      <a:noFill/>
                    </a:ln>
                    <a:extLst>
                      <a:ext uri="{53640926-AAD7-44D8-BBD7-CCE9431645EC}">
                        <a14:shadowObscured xmlns:a14="http://schemas.microsoft.com/office/drawing/2010/main"/>
                      </a:ext>
                    </a:extLst>
                  </pic:spPr>
                </pic:pic>
              </a:graphicData>
            </a:graphic>
          </wp:inline>
        </w:drawing>
      </w:r>
    </w:p>
    <w:p w:rsidR="00827851" w:rsidRDefault="00D54BBA" w:rsidP="00441287">
      <w:pPr>
        <w:rPr>
          <w:rFonts w:ascii="Times New Roman" w:hAnsi="Times New Roman"/>
          <w:b/>
        </w:rPr>
      </w:pPr>
      <w:r>
        <w:rPr>
          <w:rFonts w:ascii="Times New Roman" w:hAnsi="Times New Roman"/>
          <w:b/>
        </w:rPr>
        <w:t xml:space="preserve">Figure 2.1: Components of a typical scanning electron </w:t>
      </w:r>
      <w:r w:rsidRPr="00891841">
        <w:rPr>
          <w:rFonts w:ascii="Times New Roman" w:hAnsi="Times New Roman"/>
          <w:b/>
        </w:rPr>
        <w:t>microscope</w:t>
      </w:r>
      <w:r w:rsidR="00891841">
        <w:rPr>
          <w:rFonts w:ascii="Times New Roman" w:hAnsi="Times New Roman"/>
          <w:b/>
        </w:rPr>
        <w:t xml:space="preserve"> </w:t>
      </w:r>
      <w:r w:rsidR="00891841" w:rsidRPr="00891841">
        <w:rPr>
          <w:rFonts w:ascii="Times New Roman" w:hAnsi="Times New Roman"/>
          <w:b/>
        </w:rPr>
        <w:t>(Hafner, 2007)</w:t>
      </w:r>
    </w:p>
    <w:p w:rsidR="00A7496E" w:rsidRDefault="00A7496E" w:rsidP="00441287">
      <w:pPr>
        <w:rPr>
          <w:rFonts w:ascii="Times New Roman" w:hAnsi="Times New Roman"/>
          <w:b/>
        </w:rPr>
      </w:pPr>
    </w:p>
    <w:p w:rsidR="003A3C6B" w:rsidRPr="00441287" w:rsidRDefault="003A3C6B" w:rsidP="00441287">
      <w:pPr>
        <w:rPr>
          <w:rFonts w:ascii="Times New Roman" w:hAnsi="Times New Roman"/>
          <w:b/>
        </w:rPr>
      </w:pPr>
    </w:p>
    <w:p w:rsidR="00984F1A" w:rsidRPr="006204F6" w:rsidRDefault="00984F1A" w:rsidP="00984F1A">
      <w:pPr>
        <w:jc w:val="center"/>
        <w:rPr>
          <w:b/>
          <w:i/>
        </w:rPr>
      </w:pPr>
      <w:bookmarkStart w:id="59" w:name="OLE_LINK49"/>
      <w:bookmarkStart w:id="60" w:name="OLE_LINK50"/>
      <w:r w:rsidRPr="006204F6">
        <w:rPr>
          <w:b/>
          <w:i/>
        </w:rPr>
        <w:lastRenderedPageBreak/>
        <w:t>2.1.2 SEM Signals – Secondary Electrons and Backscattered Electrons</w:t>
      </w:r>
    </w:p>
    <w:bookmarkEnd w:id="59"/>
    <w:bookmarkEnd w:id="60"/>
    <w:p w:rsidR="00C81ADB" w:rsidRDefault="00C81ADB" w:rsidP="00C37D11">
      <w:pPr>
        <w:jc w:val="both"/>
      </w:pPr>
    </w:p>
    <w:p w:rsidR="00891841" w:rsidRDefault="00ED503F" w:rsidP="00ED503F">
      <w:pPr>
        <w:jc w:val="both"/>
        <w:rPr>
          <w:rFonts w:ascii="Times New Roman" w:hAnsi="Times New Roman"/>
        </w:rPr>
      </w:pPr>
      <w:r>
        <w:t xml:space="preserve">During the beam – sample interaction, the beam electron can interact with the electric charge field of both the sample nucleus and electrons. As a result, numerous types of signals are created including backscattered electrons, secondary electrons, </w:t>
      </w:r>
      <w:r w:rsidR="00D54BBA">
        <w:t xml:space="preserve">characteristic </w:t>
      </w:r>
      <w:r w:rsidR="00A7496E">
        <w:t>X-</w:t>
      </w:r>
      <w:r>
        <w:t xml:space="preserve">Rays, Auger electrons, </w:t>
      </w:r>
      <w:bookmarkStart w:id="61" w:name="OLE_LINK31"/>
      <w:bookmarkStart w:id="62" w:name="OLE_LINK32"/>
      <w:r w:rsidR="00EE7BCA">
        <w:t xml:space="preserve">and </w:t>
      </w:r>
      <w:r>
        <w:t>cath</w:t>
      </w:r>
      <w:r w:rsidR="00D54BBA">
        <w:t>o</w:t>
      </w:r>
      <w:r>
        <w:t>doluminescence</w:t>
      </w:r>
      <w:r w:rsidR="00D54BBA">
        <w:t xml:space="preserve"> </w:t>
      </w:r>
      <w:bookmarkStart w:id="63" w:name="OLE_LINK41"/>
      <w:bookmarkStart w:id="64" w:name="OLE_LINK42"/>
      <w:bookmarkStart w:id="65" w:name="OLE_LINK45"/>
      <w:bookmarkStart w:id="66" w:name="OLE_LINK48"/>
      <w:r>
        <w:t>(</w:t>
      </w:r>
      <w:r w:rsidR="00D54BBA">
        <w:t>Zhou et al., 2007</w:t>
      </w:r>
      <w:r>
        <w:rPr>
          <w:rFonts w:ascii="Times New Roman" w:hAnsi="Times New Roman"/>
        </w:rPr>
        <w:t>)</w:t>
      </w:r>
      <w:r w:rsidR="00D54BBA">
        <w:rPr>
          <w:rFonts w:ascii="Times New Roman" w:hAnsi="Times New Roman"/>
        </w:rPr>
        <w:t xml:space="preserve"> </w:t>
      </w:r>
      <w:bookmarkEnd w:id="63"/>
      <w:bookmarkEnd w:id="64"/>
      <w:bookmarkEnd w:id="65"/>
      <w:bookmarkEnd w:id="66"/>
      <w:r w:rsidR="00D54BBA">
        <w:rPr>
          <w:rFonts w:ascii="Times New Roman" w:hAnsi="Times New Roman"/>
        </w:rPr>
        <w:t>(</w:t>
      </w:r>
      <w:r w:rsidR="00DC1817" w:rsidRPr="00DC1817">
        <w:rPr>
          <w:rFonts w:ascii="Times New Roman" w:hAnsi="Times New Roman"/>
          <w:b/>
        </w:rPr>
        <w:t xml:space="preserve">Fig </w:t>
      </w:r>
      <w:r w:rsidR="00D63958" w:rsidRPr="00DC1817">
        <w:rPr>
          <w:rFonts w:ascii="Times New Roman" w:hAnsi="Times New Roman"/>
          <w:b/>
        </w:rPr>
        <w:t>2.2</w:t>
      </w:r>
      <w:r w:rsidR="00D63958">
        <w:rPr>
          <w:rFonts w:ascii="Times New Roman" w:hAnsi="Times New Roman"/>
        </w:rPr>
        <w:t>)</w:t>
      </w:r>
      <w:r>
        <w:rPr>
          <w:rFonts w:ascii="Times New Roman" w:hAnsi="Times New Roman"/>
        </w:rPr>
        <w:t xml:space="preserve">. This study focuses upon secondary </w:t>
      </w:r>
      <w:r w:rsidR="00D54BBA">
        <w:rPr>
          <w:rFonts w:ascii="Times New Roman" w:hAnsi="Times New Roman"/>
        </w:rPr>
        <w:t>and backscattered electrons</w:t>
      </w:r>
      <w:r>
        <w:rPr>
          <w:rFonts w:ascii="Times New Roman" w:hAnsi="Times New Roman"/>
        </w:rPr>
        <w:t>.</w:t>
      </w:r>
      <w:r w:rsidR="00D54BBA">
        <w:rPr>
          <w:rFonts w:ascii="Times New Roman" w:hAnsi="Times New Roman"/>
        </w:rPr>
        <w:t xml:space="preserve"> Secondary electrons are </w:t>
      </w:r>
      <w:r w:rsidR="00166004">
        <w:rPr>
          <w:rFonts w:ascii="Times New Roman" w:hAnsi="Times New Roman"/>
        </w:rPr>
        <w:t>involved</w:t>
      </w:r>
      <w:r w:rsidR="00D54BBA">
        <w:rPr>
          <w:rFonts w:ascii="Times New Roman" w:hAnsi="Times New Roman"/>
        </w:rPr>
        <w:t xml:space="preserve"> in inelastic events w</w:t>
      </w:r>
      <w:r w:rsidR="00166004">
        <w:rPr>
          <w:rFonts w:ascii="Times New Roman" w:hAnsi="Times New Roman"/>
        </w:rPr>
        <w:t>here a beam electron interacts with the electric field of a sample atom electron; this results in transfer energy to the sample atom and a potential expulsion of an electron from that atom as a secondary electron (SE). SE</w:t>
      </w:r>
      <w:r w:rsidR="00EE7BCA">
        <w:rPr>
          <w:rFonts w:ascii="Times New Roman" w:hAnsi="Times New Roman"/>
        </w:rPr>
        <w:t>’</w:t>
      </w:r>
      <w:r w:rsidR="00166004">
        <w:rPr>
          <w:rFonts w:ascii="Times New Roman" w:hAnsi="Times New Roman"/>
        </w:rPr>
        <w:t xml:space="preserve">s </w:t>
      </w:r>
      <w:r w:rsidR="00827851">
        <w:rPr>
          <w:rFonts w:ascii="Times New Roman" w:hAnsi="Times New Roman"/>
        </w:rPr>
        <w:t>energy is</w:t>
      </w:r>
      <w:r w:rsidR="00166004">
        <w:rPr>
          <w:rFonts w:ascii="Times New Roman" w:hAnsi="Times New Roman"/>
        </w:rPr>
        <w:t xml:space="preserve"> less than 50 eV</w:t>
      </w:r>
      <w:r w:rsidR="00891841">
        <w:rPr>
          <w:rFonts w:ascii="Times New Roman" w:hAnsi="Times New Roman"/>
        </w:rPr>
        <w:t xml:space="preserve"> (Hafner, 2007). SEs are mostly used for topographic contrast in the SEM, i.e. for the visualization of surface texture and roughness. The topographical image quality depends on </w:t>
      </w:r>
      <w:r w:rsidR="00D33252">
        <w:rPr>
          <w:rFonts w:ascii="Times New Roman" w:hAnsi="Times New Roman"/>
        </w:rPr>
        <w:t xml:space="preserve">the number of SEs collected by the detector </w:t>
      </w:r>
      <w:r w:rsidR="00D33252">
        <w:t>(Zhou et al., 2007</w:t>
      </w:r>
      <w:r w:rsidR="00D33252">
        <w:rPr>
          <w:rFonts w:ascii="Times New Roman" w:hAnsi="Times New Roman"/>
        </w:rPr>
        <w:t>).</w:t>
      </w:r>
      <w:r w:rsidR="00891841">
        <w:rPr>
          <w:rFonts w:ascii="Times New Roman" w:hAnsi="Times New Roman"/>
        </w:rPr>
        <w:t xml:space="preserve"> </w:t>
      </w:r>
    </w:p>
    <w:p w:rsidR="00ED503F" w:rsidRDefault="00166004" w:rsidP="00ED503F">
      <w:pPr>
        <w:jc w:val="both"/>
        <w:rPr>
          <w:rFonts w:ascii="Times New Roman" w:hAnsi="Times New Roman"/>
        </w:rPr>
      </w:pPr>
      <w:r>
        <w:rPr>
          <w:rFonts w:ascii="Times New Roman" w:hAnsi="Times New Roman"/>
        </w:rPr>
        <w:t>Backscattered electrons are involved in elastic events where a beam electron interacts with the electric field of the nucleus of a specimen atom; this results in a change in direction of the beam electron without any significant change in the energy of the beam electron.</w:t>
      </w:r>
      <w:r w:rsidR="00ED503F">
        <w:rPr>
          <w:rFonts w:ascii="Times New Roman" w:hAnsi="Times New Roman"/>
        </w:rPr>
        <w:t xml:space="preserve"> </w:t>
      </w:r>
      <w:r w:rsidR="00D63958">
        <w:rPr>
          <w:rFonts w:ascii="Times New Roman" w:hAnsi="Times New Roman"/>
        </w:rPr>
        <w:t>If the beam electron is deflected bac</w:t>
      </w:r>
      <w:r w:rsidR="004901C1">
        <w:rPr>
          <w:rFonts w:ascii="Times New Roman" w:hAnsi="Times New Roman"/>
        </w:rPr>
        <w:t>k out of the sample, the diverte</w:t>
      </w:r>
      <w:r w:rsidR="00D63958">
        <w:rPr>
          <w:rFonts w:ascii="Times New Roman" w:hAnsi="Times New Roman"/>
        </w:rPr>
        <w:t xml:space="preserve">d electron is called backscatter electron (BSE). BSEs can have energy from 50 eV to almost equal to incident beam electron energy </w:t>
      </w:r>
      <w:bookmarkStart w:id="67" w:name="OLE_LINK43"/>
      <w:bookmarkStart w:id="68" w:name="OLE_LINK44"/>
      <w:bookmarkStart w:id="69" w:name="OLE_LINK46"/>
      <w:bookmarkStart w:id="70" w:name="OLE_LINK47"/>
      <w:r w:rsidR="00D63958">
        <w:rPr>
          <w:rFonts w:ascii="Times New Roman" w:hAnsi="Times New Roman"/>
        </w:rPr>
        <w:t>(Hafner, 2007)</w:t>
      </w:r>
      <w:bookmarkEnd w:id="67"/>
      <w:bookmarkEnd w:id="68"/>
      <w:r w:rsidR="00D63958">
        <w:rPr>
          <w:rFonts w:ascii="Times New Roman" w:hAnsi="Times New Roman"/>
        </w:rPr>
        <w:t xml:space="preserve">. </w:t>
      </w:r>
      <w:bookmarkEnd w:id="69"/>
      <w:bookmarkEnd w:id="70"/>
      <w:r w:rsidR="00DC1817">
        <w:rPr>
          <w:rFonts w:ascii="Times New Roman" w:hAnsi="Times New Roman"/>
          <w:b/>
        </w:rPr>
        <w:t xml:space="preserve">Fig </w:t>
      </w:r>
      <w:r w:rsidR="00D63958" w:rsidRPr="00827851">
        <w:rPr>
          <w:rFonts w:ascii="Times New Roman" w:hAnsi="Times New Roman"/>
          <w:b/>
        </w:rPr>
        <w:t>2.3</w:t>
      </w:r>
      <w:r w:rsidR="00D63958">
        <w:rPr>
          <w:rFonts w:ascii="Times New Roman" w:hAnsi="Times New Roman"/>
        </w:rPr>
        <w:t xml:space="preserve"> visualizes the two types of electrons by two types of beam-sample interaction. </w:t>
      </w:r>
      <w:r w:rsidR="00827851">
        <w:rPr>
          <w:rFonts w:ascii="Times New Roman" w:hAnsi="Times New Roman"/>
        </w:rPr>
        <w:t xml:space="preserve">The </w:t>
      </w:r>
      <w:r w:rsidR="00D33252">
        <w:rPr>
          <w:rFonts w:ascii="Times New Roman" w:hAnsi="Times New Roman"/>
        </w:rPr>
        <w:t xml:space="preserve">BSE signal is </w:t>
      </w:r>
      <w:r w:rsidR="0046233B">
        <w:rPr>
          <w:rFonts w:ascii="Times New Roman" w:hAnsi="Times New Roman"/>
        </w:rPr>
        <w:t>sensitive to</w:t>
      </w:r>
      <w:r w:rsidR="00D33252">
        <w:rPr>
          <w:rFonts w:ascii="Times New Roman" w:hAnsi="Times New Roman"/>
        </w:rPr>
        <w:t xml:space="preserve"> the atomic number (Z) contrast. Areas of sample composed of higher atomic number will have more positive charges on the nucleus resulting in </w:t>
      </w:r>
      <w:r w:rsidR="00297413">
        <w:rPr>
          <w:rFonts w:ascii="Times New Roman" w:hAnsi="Times New Roman"/>
        </w:rPr>
        <w:t xml:space="preserve">more electrons being </w:t>
      </w:r>
      <w:r w:rsidR="00297413">
        <w:rPr>
          <w:rFonts w:ascii="Times New Roman" w:hAnsi="Times New Roman"/>
        </w:rPr>
        <w:lastRenderedPageBreak/>
        <w:t>backscattered</w:t>
      </w:r>
      <w:r w:rsidR="00D33252">
        <w:rPr>
          <w:rFonts w:ascii="Times New Roman" w:hAnsi="Times New Roman"/>
        </w:rPr>
        <w:t xml:space="preserve">, which yields more backscatter signal and thus appear brighter in the image. </w:t>
      </w:r>
      <w:r w:rsidR="00D00054">
        <w:rPr>
          <w:rFonts w:ascii="Times New Roman" w:hAnsi="Times New Roman"/>
        </w:rPr>
        <w:t>For</w:t>
      </w:r>
      <w:r w:rsidR="00D33252">
        <w:rPr>
          <w:rFonts w:ascii="Times New Roman" w:hAnsi="Times New Roman"/>
        </w:rPr>
        <w:t xml:space="preserve"> pore, organic matter, and </w:t>
      </w:r>
      <w:r w:rsidR="004621CD">
        <w:rPr>
          <w:rFonts w:ascii="Times New Roman" w:hAnsi="Times New Roman"/>
        </w:rPr>
        <w:t>mineral</w:t>
      </w:r>
      <w:r w:rsidR="00D33252">
        <w:rPr>
          <w:rFonts w:ascii="Times New Roman" w:hAnsi="Times New Roman"/>
        </w:rPr>
        <w:t xml:space="preserve">ogy interpretation, the SEM images from </w:t>
      </w:r>
      <w:r w:rsidR="00D00054">
        <w:rPr>
          <w:rFonts w:ascii="Times New Roman" w:hAnsi="Times New Roman"/>
        </w:rPr>
        <w:t>SEM MAPS™</w:t>
      </w:r>
      <w:r w:rsidR="00D33252">
        <w:rPr>
          <w:rFonts w:ascii="Times New Roman" w:hAnsi="Times New Roman"/>
        </w:rPr>
        <w:t xml:space="preserve"> are generated </w:t>
      </w:r>
      <w:r w:rsidR="00827851">
        <w:rPr>
          <w:rFonts w:ascii="Times New Roman" w:hAnsi="Times New Roman"/>
        </w:rPr>
        <w:t>with</w:t>
      </w:r>
      <w:r w:rsidR="00D33252">
        <w:rPr>
          <w:rFonts w:ascii="Times New Roman" w:hAnsi="Times New Roman"/>
        </w:rPr>
        <w:t xml:space="preserve"> backscattered mode.</w:t>
      </w:r>
      <w:r w:rsidR="00ED503F">
        <w:rPr>
          <w:rFonts w:ascii="Times New Roman" w:hAnsi="Times New Roman"/>
        </w:rPr>
        <w:t xml:space="preserve">   </w:t>
      </w:r>
    </w:p>
    <w:bookmarkEnd w:id="61"/>
    <w:bookmarkEnd w:id="62"/>
    <w:p w:rsidR="00984F1A" w:rsidRDefault="00D63958" w:rsidP="00D63958">
      <w:pPr>
        <w:jc w:val="center"/>
      </w:pPr>
      <w:r>
        <w:rPr>
          <w:noProof/>
          <w:lang w:bidi="ar-SA"/>
        </w:rPr>
        <w:drawing>
          <wp:inline distT="0" distB="0" distL="0" distR="0" wp14:anchorId="3C04EF9D" wp14:editId="24691F0C">
            <wp:extent cx="3494948" cy="278961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531351" cy="2818668"/>
                    </a:xfrm>
                    <a:prstGeom prst="rect">
                      <a:avLst/>
                    </a:prstGeom>
                  </pic:spPr>
                </pic:pic>
              </a:graphicData>
            </a:graphic>
          </wp:inline>
        </w:drawing>
      </w:r>
    </w:p>
    <w:p w:rsidR="00D63958" w:rsidRPr="00D63958" w:rsidRDefault="00D63958" w:rsidP="00D63958">
      <w:pPr>
        <w:jc w:val="both"/>
        <w:rPr>
          <w:b/>
        </w:rPr>
      </w:pPr>
      <w:r>
        <w:rPr>
          <w:b/>
        </w:rPr>
        <w:t xml:space="preserve">Figure 2.2: Illustration of multiple types of signals generated from </w:t>
      </w:r>
      <w:r w:rsidR="00297413">
        <w:rPr>
          <w:b/>
        </w:rPr>
        <w:t xml:space="preserve">an incident </w:t>
      </w:r>
      <w:r>
        <w:rPr>
          <w:b/>
        </w:rPr>
        <w:t xml:space="preserve">electron beam – sample interaction in the SEM and the regions from which the signals can be </w:t>
      </w:r>
      <w:r w:rsidRPr="00D63958">
        <w:rPr>
          <w:b/>
        </w:rPr>
        <w:t>detected (Zhou et al., 2007</w:t>
      </w:r>
      <w:r w:rsidRPr="00D63958">
        <w:rPr>
          <w:rFonts w:ascii="Times New Roman" w:hAnsi="Times New Roman"/>
          <w:b/>
        </w:rPr>
        <w:t>)</w:t>
      </w:r>
    </w:p>
    <w:p w:rsidR="00700306" w:rsidRPr="000221FF" w:rsidRDefault="00D63958" w:rsidP="00D33252">
      <w:pPr>
        <w:jc w:val="center"/>
        <w:rPr>
          <w:b/>
        </w:rPr>
      </w:pPr>
      <w:r>
        <w:rPr>
          <w:noProof/>
          <w:lang w:bidi="ar-SA"/>
        </w:rPr>
        <w:drawing>
          <wp:inline distT="0" distB="0" distL="0" distR="0" wp14:anchorId="6FD8CDFF" wp14:editId="6B63AA24">
            <wp:extent cx="1856165" cy="2094614"/>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1857707" cy="2096354"/>
                    </a:xfrm>
                    <a:prstGeom prst="rect">
                      <a:avLst/>
                    </a:prstGeom>
                  </pic:spPr>
                </pic:pic>
              </a:graphicData>
            </a:graphic>
          </wp:inline>
        </w:drawing>
      </w:r>
      <w:r>
        <w:rPr>
          <w:noProof/>
          <w:lang w:bidi="ar-SA"/>
        </w:rPr>
        <w:drawing>
          <wp:inline distT="0" distB="0" distL="0" distR="0" wp14:anchorId="698326AE" wp14:editId="676FC7EF">
            <wp:extent cx="3007350" cy="2413591"/>
            <wp:effectExtent l="0" t="0" r="3175"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3009723" cy="2415495"/>
                    </a:xfrm>
                    <a:prstGeom prst="rect">
                      <a:avLst/>
                    </a:prstGeom>
                  </pic:spPr>
                </pic:pic>
              </a:graphicData>
            </a:graphic>
          </wp:inline>
        </w:drawing>
      </w:r>
    </w:p>
    <w:p w:rsidR="00FE648C" w:rsidRPr="003A3C6B" w:rsidRDefault="00D63958" w:rsidP="0009340D">
      <w:pPr>
        <w:jc w:val="both"/>
        <w:rPr>
          <w:rFonts w:ascii="Times New Roman" w:hAnsi="Times New Roman"/>
          <w:b/>
        </w:rPr>
      </w:pPr>
      <w:r w:rsidRPr="00D63958">
        <w:rPr>
          <w:b/>
        </w:rPr>
        <w:t xml:space="preserve">Figure </w:t>
      </w:r>
      <w:r>
        <w:rPr>
          <w:b/>
        </w:rPr>
        <w:t>2.3: SEM illustration of a secondary electron caused by an inelastic event (left) and a backscattered el</w:t>
      </w:r>
      <w:r w:rsidR="00891841">
        <w:rPr>
          <w:b/>
        </w:rPr>
        <w:t xml:space="preserve">ectron caused by elastic </w:t>
      </w:r>
      <w:r w:rsidR="00891841" w:rsidRPr="00891841">
        <w:rPr>
          <w:b/>
        </w:rPr>
        <w:t xml:space="preserve">events </w:t>
      </w:r>
      <w:r w:rsidR="00891841" w:rsidRPr="00891841">
        <w:rPr>
          <w:rFonts w:ascii="Times New Roman" w:hAnsi="Times New Roman"/>
          <w:b/>
        </w:rPr>
        <w:t>(Hafner, 2007)</w:t>
      </w:r>
    </w:p>
    <w:p w:rsidR="005D32A6" w:rsidRPr="006204F6" w:rsidRDefault="006204F6" w:rsidP="005D32A6">
      <w:pPr>
        <w:jc w:val="center"/>
        <w:rPr>
          <w:b/>
          <w:i/>
        </w:rPr>
      </w:pPr>
      <w:r>
        <w:rPr>
          <w:b/>
          <w:i/>
        </w:rPr>
        <w:lastRenderedPageBreak/>
        <w:t>2.1.3</w:t>
      </w:r>
      <w:r w:rsidR="005D32A6" w:rsidRPr="006204F6">
        <w:rPr>
          <w:b/>
          <w:i/>
        </w:rPr>
        <w:t xml:space="preserve"> SEM Map</w:t>
      </w:r>
    </w:p>
    <w:p w:rsidR="002D6BB5" w:rsidRPr="002D6BB5" w:rsidRDefault="005D32A6" w:rsidP="007A6198">
      <w:pPr>
        <w:jc w:val="both"/>
        <w:rPr>
          <w:rFonts w:ascii="Times New Roman" w:hAnsi="Times New Roman"/>
        </w:rPr>
      </w:pPr>
      <w:r>
        <w:rPr>
          <w:rFonts w:ascii="Times New Roman" w:hAnsi="Times New Roman"/>
        </w:rPr>
        <w:t xml:space="preserve">All the maps </w:t>
      </w:r>
      <w:r w:rsidR="00415849">
        <w:rPr>
          <w:rFonts w:ascii="Times New Roman" w:hAnsi="Times New Roman"/>
        </w:rPr>
        <w:t>were generated</w:t>
      </w:r>
      <w:r>
        <w:rPr>
          <w:rFonts w:ascii="Times New Roman" w:hAnsi="Times New Roman"/>
        </w:rPr>
        <w:t xml:space="preserve"> using FEI </w:t>
      </w:r>
      <w:r w:rsidR="00D00054">
        <w:rPr>
          <w:rFonts w:ascii="Times New Roman" w:hAnsi="Times New Roman"/>
        </w:rPr>
        <w:t>SEM MAPS™</w:t>
      </w:r>
      <w:r>
        <w:rPr>
          <w:rFonts w:ascii="Times New Roman" w:hAnsi="Times New Roman"/>
        </w:rPr>
        <w:t xml:space="preserve"> software which </w:t>
      </w:r>
      <w:r w:rsidR="00EE7BCA">
        <w:rPr>
          <w:rFonts w:ascii="Times New Roman" w:hAnsi="Times New Roman"/>
        </w:rPr>
        <w:t>facilitates</w:t>
      </w:r>
      <w:r w:rsidRPr="00336C40">
        <w:rPr>
          <w:rFonts w:ascii="Times New Roman" w:hAnsi="Times New Roman"/>
        </w:rPr>
        <w:t xml:space="preserve"> automated</w:t>
      </w:r>
      <w:r w:rsidR="008E4CD5">
        <w:rPr>
          <w:rFonts w:ascii="Times New Roman" w:hAnsi="Times New Roman"/>
        </w:rPr>
        <w:t xml:space="preserve"> acquisition of </w:t>
      </w:r>
      <w:r w:rsidRPr="00336C40">
        <w:rPr>
          <w:rFonts w:ascii="Times New Roman" w:hAnsi="Times New Roman"/>
        </w:rPr>
        <w:t xml:space="preserve">high-resolution SEM </w:t>
      </w:r>
      <w:r w:rsidR="008E4CD5">
        <w:rPr>
          <w:rFonts w:ascii="Times New Roman" w:hAnsi="Times New Roman"/>
        </w:rPr>
        <w:t>images</w:t>
      </w:r>
      <w:r>
        <w:rPr>
          <w:rFonts w:ascii="Times New Roman" w:hAnsi="Times New Roman"/>
        </w:rPr>
        <w:t xml:space="preserve">. </w:t>
      </w:r>
      <w:r w:rsidR="00517567">
        <w:rPr>
          <w:rFonts w:ascii="Times New Roman" w:hAnsi="Times New Roman"/>
        </w:rPr>
        <w:t xml:space="preserve">Initially, the dimensions and location of a map on the imaging surface of a sample is selected. By choosing the resolution, the dimension and the number of SEM images is thus determined. </w:t>
      </w:r>
      <w:r w:rsidR="00415849">
        <w:rPr>
          <w:rFonts w:ascii="Times New Roman" w:hAnsi="Times New Roman"/>
        </w:rPr>
        <w:t>The quality of the SEM images is extremely sensitive to the depth of focus. A slight change in working distance, i.e. the distance of between the objectives lens and the sample, during the automated imaging process</w:t>
      </w:r>
      <w:r w:rsidR="007A6198">
        <w:rPr>
          <w:rFonts w:ascii="Times New Roman" w:hAnsi="Times New Roman"/>
        </w:rPr>
        <w:t xml:space="preserve"> can result in out of focus image.</w:t>
      </w:r>
      <w:r w:rsidR="00415849">
        <w:rPr>
          <w:rFonts w:ascii="Times New Roman" w:hAnsi="Times New Roman"/>
        </w:rPr>
        <w:t xml:space="preserve"> </w:t>
      </w:r>
      <w:r w:rsidR="007A6198">
        <w:rPr>
          <w:rFonts w:ascii="Times New Roman" w:hAnsi="Times New Roman"/>
        </w:rPr>
        <w:t xml:space="preserve">Therefore, there is a requirement for calibrating focus. </w:t>
      </w:r>
      <w:r w:rsidR="00517567">
        <w:rPr>
          <w:rFonts w:ascii="Times New Roman" w:hAnsi="Times New Roman"/>
        </w:rPr>
        <w:t xml:space="preserve">The focus setting is chosen as </w:t>
      </w:r>
      <w:r w:rsidR="001010E8">
        <w:rPr>
          <w:rFonts w:ascii="Times New Roman" w:hAnsi="Times New Roman"/>
        </w:rPr>
        <w:t>“</w:t>
      </w:r>
      <w:r w:rsidR="00517567">
        <w:rPr>
          <w:rFonts w:ascii="Times New Roman" w:hAnsi="Times New Roman"/>
        </w:rPr>
        <w:t>interpolated</w:t>
      </w:r>
      <w:r w:rsidR="001010E8">
        <w:rPr>
          <w:rFonts w:ascii="Times New Roman" w:hAnsi="Times New Roman"/>
        </w:rPr>
        <w:t>”</w:t>
      </w:r>
      <w:r w:rsidR="00517567">
        <w:rPr>
          <w:rFonts w:ascii="Times New Roman" w:hAnsi="Times New Roman"/>
        </w:rPr>
        <w:t xml:space="preserve">. By using interpolated focus setting, </w:t>
      </w:r>
      <w:r w:rsidR="00B302D5">
        <w:rPr>
          <w:rFonts w:ascii="Times New Roman" w:hAnsi="Times New Roman"/>
        </w:rPr>
        <w:t>three locations in the map are manually picked for calibration; the locations near the edge of the map are favorable as they can cover the maximum area of the map. At each location, the SEM images are finely focused up to x100</w:t>
      </w:r>
      <w:r w:rsidR="00F212CA">
        <w:rPr>
          <w:rFonts w:ascii="Times New Roman" w:hAnsi="Times New Roman"/>
        </w:rPr>
        <w:t>,000</w:t>
      </w:r>
      <w:r w:rsidR="00B302D5">
        <w:rPr>
          <w:rFonts w:ascii="Times New Roman" w:hAnsi="Times New Roman"/>
        </w:rPr>
        <w:t xml:space="preserve"> magnification. All SEM images are then automatically acquired based on the working distance of the three calibrated locations. Finally, the images are stitched together to form a complete </w:t>
      </w:r>
      <w:r w:rsidR="007A6198">
        <w:rPr>
          <w:rFonts w:ascii="Times New Roman" w:hAnsi="Times New Roman"/>
        </w:rPr>
        <w:t>map.</w:t>
      </w:r>
      <w:r w:rsidR="0046233B">
        <w:rPr>
          <w:rFonts w:ascii="Times New Roman" w:hAnsi="Times New Roman"/>
        </w:rPr>
        <w:t xml:space="preserve"> The overlap between two image</w:t>
      </w:r>
      <w:r w:rsidR="00620555">
        <w:rPr>
          <w:rFonts w:ascii="Times New Roman" w:hAnsi="Times New Roman"/>
        </w:rPr>
        <w:t>s</w:t>
      </w:r>
      <w:r w:rsidR="0046233B">
        <w:rPr>
          <w:rFonts w:ascii="Times New Roman" w:hAnsi="Times New Roman"/>
        </w:rPr>
        <w:t xml:space="preserve"> is no larger than 5% of the dimension of each image.</w:t>
      </w:r>
    </w:p>
    <w:p w:rsidR="00A859E1" w:rsidRDefault="00A859E1" w:rsidP="00441287">
      <w:pPr>
        <w:jc w:val="both"/>
      </w:pPr>
    </w:p>
    <w:p w:rsidR="00A859E1" w:rsidRDefault="00A859E1" w:rsidP="00441287">
      <w:pPr>
        <w:jc w:val="both"/>
      </w:pPr>
    </w:p>
    <w:p w:rsidR="00A859E1" w:rsidRDefault="00A859E1" w:rsidP="00441287">
      <w:pPr>
        <w:jc w:val="both"/>
      </w:pPr>
    </w:p>
    <w:p w:rsidR="00A859E1" w:rsidRDefault="00A859E1" w:rsidP="00441287">
      <w:pPr>
        <w:jc w:val="both"/>
      </w:pPr>
    </w:p>
    <w:p w:rsidR="00A859E1" w:rsidRDefault="00A859E1" w:rsidP="00441287">
      <w:pPr>
        <w:jc w:val="both"/>
      </w:pPr>
    </w:p>
    <w:p w:rsidR="00A859E1" w:rsidRDefault="00A859E1" w:rsidP="00A859E1">
      <w:pPr>
        <w:jc w:val="center"/>
      </w:pPr>
      <w:r>
        <w:rPr>
          <w:noProof/>
          <w:lang w:bidi="ar-SA"/>
        </w:rPr>
        <w:lastRenderedPageBreak/>
        <w:drawing>
          <wp:inline distT="0" distB="0" distL="0" distR="0" wp14:anchorId="46561D26" wp14:editId="70A92846">
            <wp:extent cx="2177937" cy="444440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2181650" cy="4451985"/>
                    </a:xfrm>
                    <a:prstGeom prst="rect">
                      <a:avLst/>
                    </a:prstGeom>
                  </pic:spPr>
                </pic:pic>
              </a:graphicData>
            </a:graphic>
          </wp:inline>
        </w:drawing>
      </w:r>
      <w:r>
        <w:rPr>
          <w:noProof/>
          <w:lang w:bidi="ar-SA"/>
        </w:rPr>
        <w:drawing>
          <wp:inline distT="0" distB="0" distL="0" distR="0" wp14:anchorId="247AEDBB" wp14:editId="1AFEF2C8">
            <wp:extent cx="2266585" cy="4447866"/>
            <wp:effectExtent l="0" t="0" r="63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2276065" cy="4466469"/>
                    </a:xfrm>
                    <a:prstGeom prst="rect">
                      <a:avLst/>
                    </a:prstGeom>
                  </pic:spPr>
                </pic:pic>
              </a:graphicData>
            </a:graphic>
          </wp:inline>
        </w:drawing>
      </w:r>
    </w:p>
    <w:p w:rsidR="00A859E1" w:rsidRPr="00A859E1" w:rsidRDefault="00A859E1" w:rsidP="00441287">
      <w:pPr>
        <w:jc w:val="both"/>
        <w:rPr>
          <w:b/>
        </w:rPr>
      </w:pPr>
      <w:r>
        <w:rPr>
          <w:b/>
        </w:rPr>
        <w:t>Figure 2.</w:t>
      </w:r>
      <w:r w:rsidR="007D572C">
        <w:rPr>
          <w:b/>
        </w:rPr>
        <w:t>4</w:t>
      </w:r>
      <w:r>
        <w:rPr>
          <w:b/>
        </w:rPr>
        <w:t xml:space="preserve">: Portions of the BSE map of the Barnett sample (B4) and the Wolfcamp sample (W4) (left) and their corresponded segmented organic matter (white) network (right) Note a higher concentration of organic matter can be observed in </w:t>
      </w:r>
      <w:r w:rsidRPr="00A859E1">
        <w:rPr>
          <w:b/>
        </w:rPr>
        <w:t>B4 (Curtis et al., 2014)</w:t>
      </w:r>
    </w:p>
    <w:p w:rsidR="00A859E1" w:rsidRPr="00336C40" w:rsidRDefault="00A859E1" w:rsidP="00A859E1">
      <w:pPr>
        <w:jc w:val="both"/>
        <w:rPr>
          <w:rFonts w:ascii="Times New Roman" w:hAnsi="Times New Roman"/>
        </w:rPr>
      </w:pPr>
    </w:p>
    <w:p w:rsidR="00A859E1" w:rsidRDefault="00A859E1" w:rsidP="00A859E1">
      <w:pPr>
        <w:pStyle w:val="Heading2"/>
      </w:pPr>
      <w:r>
        <w:t xml:space="preserve">2.2 Previous </w:t>
      </w:r>
      <w:r w:rsidR="003B0446">
        <w:t>W</w:t>
      </w:r>
      <w:r>
        <w:t>ork</w:t>
      </w:r>
      <w:r w:rsidR="003B0446">
        <w:t>s</w:t>
      </w:r>
      <w:r>
        <w:t xml:space="preserve"> – SEM Upscaling </w:t>
      </w:r>
    </w:p>
    <w:p w:rsidR="00A859E1" w:rsidRPr="00441287" w:rsidRDefault="00A859E1" w:rsidP="00A859E1"/>
    <w:p w:rsidR="00A859E1" w:rsidRDefault="00A859E1" w:rsidP="00A859E1">
      <w:pPr>
        <w:jc w:val="both"/>
      </w:pPr>
      <w:r>
        <w:t xml:space="preserve">It is crucial to analyze and interpret shale microstructure as shale microstructure is the fundamental factor that controls its physical properties. While many different techniques mentioned in Chapter 1 applied for microstructural study fall short of either </w:t>
      </w:r>
      <w:r>
        <w:lastRenderedPageBreak/>
        <w:t>providing sufficient area of investigation or providing sufficient resolution. The idea of using automated high-resolution SEM imaging and stitching technique to overcome this challenge had been applied by Curtis et al. (2014) and Goergen et al. (2014).</w:t>
      </w:r>
      <w:r w:rsidR="00FA69C7">
        <w:t xml:space="preserve"> The </w:t>
      </w:r>
      <w:r w:rsidR="007D572C">
        <w:t>results from imaging data are</w:t>
      </w:r>
      <w:r w:rsidR="00FA69C7">
        <w:t xml:space="preserve"> c</w:t>
      </w:r>
      <w:r w:rsidR="007D572C">
        <w:t>orrelated</w:t>
      </w:r>
      <w:r w:rsidR="00FA69C7">
        <w:t xml:space="preserve"> with </w:t>
      </w:r>
      <w:r w:rsidR="007A6198">
        <w:t xml:space="preserve">discrete </w:t>
      </w:r>
      <w:r w:rsidR="007D572C">
        <w:t xml:space="preserve">core </w:t>
      </w:r>
      <w:r w:rsidR="00FA69C7">
        <w:t xml:space="preserve">petrophysical measurements </w:t>
      </w:r>
      <w:r w:rsidR="007D572C">
        <w:t>for upscaling purpose.</w:t>
      </w:r>
    </w:p>
    <w:p w:rsidR="00A859E1" w:rsidRPr="0097123F" w:rsidRDefault="00A859E1" w:rsidP="00441287">
      <w:pPr>
        <w:jc w:val="both"/>
      </w:pPr>
      <w:r>
        <w:t xml:space="preserve">Curtis et al. (2014) presented </w:t>
      </w:r>
      <w:r w:rsidR="007A6198">
        <w:t>an</w:t>
      </w:r>
      <w:r>
        <w:t xml:space="preserve"> attempt to map the distribution and connectivity of organic matter in shale. </w:t>
      </w:r>
      <w:r w:rsidR="00DC1817" w:rsidRPr="00DC1817">
        <w:rPr>
          <w:b/>
        </w:rPr>
        <w:t xml:space="preserve">Fig </w:t>
      </w:r>
      <w:r w:rsidRPr="00DC1817">
        <w:rPr>
          <w:b/>
        </w:rPr>
        <w:t>2.4</w:t>
      </w:r>
      <w:r>
        <w:t xml:space="preserve"> shows portion of the BSE maps of one Barnett sample (B4) and one Wolfcamp sample (W4) and their correspond</w:t>
      </w:r>
      <w:r w:rsidR="007A6198">
        <w:t xml:space="preserve">ing </w:t>
      </w:r>
      <w:r>
        <w:t xml:space="preserve">segmented organic matter network BSE maps. The length of the </w:t>
      </w:r>
      <w:r w:rsidR="007A6198">
        <w:t xml:space="preserve">images </w:t>
      </w:r>
      <w:r>
        <w:t>is 1.5 mm.</w:t>
      </w:r>
      <w:r w:rsidR="004E0B71">
        <w:t xml:space="preserve">  The measured TOC values for B4 and W4 are 7.6 wt% and 3.4 wt%, respectively, while the organic content</w:t>
      </w:r>
      <w:r w:rsidR="007A6198">
        <w:t>s from the</w:t>
      </w:r>
      <w:r w:rsidR="004E0B71">
        <w:t xml:space="preserve"> area measured from the maps for these two samples are </w:t>
      </w:r>
      <w:r w:rsidR="0097123F">
        <w:t>14.6</w:t>
      </w:r>
      <w:r w:rsidR="004E0B71">
        <w:t>% and 4.</w:t>
      </w:r>
      <w:r w:rsidR="0097123F">
        <w:t>5</w:t>
      </w:r>
      <w:r w:rsidR="004E0B71">
        <w:t xml:space="preserve">%, respectively. The weight percentage of organic matter translates into more organic matter by </w:t>
      </w:r>
      <w:r w:rsidR="00972039">
        <w:t xml:space="preserve"> </w:t>
      </w:r>
      <w:r w:rsidR="004E0B71">
        <w:t>area for all samples. However, while the difference between TOC and SEM organic matter content is fairly small for the Wol</w:t>
      </w:r>
      <w:r w:rsidR="001010E8">
        <w:t>fcamp sample, the difference is large</w:t>
      </w:r>
      <w:r w:rsidR="004E0B71">
        <w:t xml:space="preserve"> (</w:t>
      </w:r>
      <w:r w:rsidR="0097123F">
        <w:t>7</w:t>
      </w:r>
      <w:r w:rsidR="004E0B71">
        <w:t>% difference) for the Barnett sample</w:t>
      </w:r>
      <w:r w:rsidR="00C574F7">
        <w:t>.</w:t>
      </w:r>
      <w:r w:rsidR="007A6198">
        <w:t xml:space="preserve"> It can be </w:t>
      </w:r>
      <w:r w:rsidR="00C574F7">
        <w:t xml:space="preserve">seen from </w:t>
      </w:r>
      <w:r w:rsidR="00DC1817" w:rsidRPr="00DC1817">
        <w:rPr>
          <w:b/>
        </w:rPr>
        <w:t xml:space="preserve">Fig </w:t>
      </w:r>
      <w:r w:rsidR="00C574F7" w:rsidRPr="00DC1817">
        <w:rPr>
          <w:b/>
        </w:rPr>
        <w:t>2.4</w:t>
      </w:r>
      <w:r w:rsidR="00C574F7">
        <w:t xml:space="preserve"> that most of organic matter associated with the clay is small and elongated while majority of organic matter associated with larger, non-clay grain is </w:t>
      </w:r>
      <w:r w:rsidR="007A6198">
        <w:t>larger</w:t>
      </w:r>
      <w:r w:rsidR="00C574F7">
        <w:t xml:space="preserve">. W4 is heavily dominated by clay (78%), more of small, elongated organic matter is observed, resulting in </w:t>
      </w:r>
      <w:r w:rsidR="007A6198">
        <w:t>less</w:t>
      </w:r>
      <w:r w:rsidR="00C574F7">
        <w:t xml:space="preserve"> organic content. Compared to W4, B4 is less clay dominated (48%) </w:t>
      </w:r>
      <w:r w:rsidR="007A6198">
        <w:t>but</w:t>
      </w:r>
      <w:r w:rsidR="00C574F7">
        <w:t xml:space="preserve"> contains much more quartz and carbonate, resulting </w:t>
      </w:r>
      <w:r w:rsidR="007A6198">
        <w:t xml:space="preserve">in </w:t>
      </w:r>
      <w:r w:rsidR="00B36856">
        <w:t>larger organic sizes</w:t>
      </w:r>
      <w:r w:rsidR="00C574F7">
        <w:t>. Statistical results extract</w:t>
      </w:r>
      <w:r w:rsidR="0097123F">
        <w:t>ed</w:t>
      </w:r>
      <w:r w:rsidR="00C574F7">
        <w:t xml:space="preserve"> from 1/8 of </w:t>
      </w:r>
      <w:r w:rsidR="007A6198">
        <w:t xml:space="preserve">area of the </w:t>
      </w:r>
      <w:r w:rsidR="00C574F7">
        <w:t xml:space="preserve">map (due to </w:t>
      </w:r>
      <w:r w:rsidR="007A6198">
        <w:t>size</w:t>
      </w:r>
      <w:r w:rsidR="00C574F7">
        <w:t xml:space="preserve"> limitation) on sample W4 suggests that most of </w:t>
      </w:r>
      <w:r w:rsidR="0097123F">
        <w:t xml:space="preserve">organic matter is </w:t>
      </w:r>
      <w:r w:rsidR="007A6198">
        <w:t xml:space="preserve">below </w:t>
      </w:r>
      <w:r w:rsidR="0097123F">
        <w:t>100 nm in diameter and is elongated.</w:t>
      </w:r>
      <w:r w:rsidR="0046233B">
        <w:t xml:space="preserve"> Note that most of organic matter being elongated may be a consequence of looking parallel to bedding plane and </w:t>
      </w:r>
      <w:r w:rsidR="0046233B">
        <w:lastRenderedPageBreak/>
        <w:t>viewing the edge of the organics.</w:t>
      </w:r>
      <w:r w:rsidR="0097123F">
        <w:t xml:space="preserve"> </w:t>
      </w:r>
      <w:r w:rsidR="007A6198">
        <w:t>The o</w:t>
      </w:r>
      <w:r w:rsidR="0097123F">
        <w:t xml:space="preserve">rientation study </w:t>
      </w:r>
      <w:r w:rsidR="001D701A">
        <w:t xml:space="preserve">for both two samples </w:t>
      </w:r>
      <w:r w:rsidR="0097123F">
        <w:t xml:space="preserve">suggests no strong preference to the bedding plane is found for </w:t>
      </w:r>
      <w:r w:rsidR="0046233B">
        <w:t xml:space="preserve">all </w:t>
      </w:r>
      <w:r w:rsidR="0097123F">
        <w:t>organic ma</w:t>
      </w:r>
      <w:r w:rsidR="008C0782">
        <w:t>tter</w:t>
      </w:r>
      <w:r w:rsidR="0097123F">
        <w:t xml:space="preserve">. </w:t>
      </w:r>
      <w:r w:rsidR="001D701A">
        <w:t>However, when the study is restricted to the largest 100 organic matter objects, they</w:t>
      </w:r>
      <w:r w:rsidR="001D701A">
        <w:tab/>
      </w:r>
      <w:r w:rsidR="00485EEE">
        <w:t>appear</w:t>
      </w:r>
      <w:r w:rsidR="00972039">
        <w:t xml:space="preserve"> to </w:t>
      </w:r>
      <w:r w:rsidR="0097123F">
        <w:t>orient at roughly 19</w:t>
      </w:r>
      <w:r w:rsidR="0097123F">
        <w:rPr>
          <w:vertAlign w:val="superscript"/>
        </w:rPr>
        <w:t>o</w:t>
      </w:r>
      <w:r w:rsidR="0097123F">
        <w:t xml:space="preserve"> to bedding</w:t>
      </w:r>
      <w:r w:rsidR="00485EEE">
        <w:t xml:space="preserve"> for both two samples</w:t>
      </w:r>
      <w:r w:rsidR="0097123F">
        <w:t>.</w:t>
      </w:r>
    </w:p>
    <w:p w:rsidR="00A859E1" w:rsidRDefault="00EE7BCA" w:rsidP="00441287">
      <w:pPr>
        <w:jc w:val="both"/>
      </w:pPr>
      <w:r>
        <w:t>Before this thesis, study on capturing s</w:t>
      </w:r>
      <w:r w:rsidR="0097123F">
        <w:t>cale of he</w:t>
      </w:r>
      <w:r w:rsidR="008C0782">
        <w:t xml:space="preserve">terogeneity </w:t>
      </w:r>
      <w:r w:rsidR="001D701A">
        <w:t>in organic shale</w:t>
      </w:r>
      <w:r>
        <w:t xml:space="preserve"> was </w:t>
      </w:r>
      <w:r w:rsidR="00E43D89">
        <w:t>presented (Goergen et al., 2014)</w:t>
      </w:r>
      <w:r w:rsidR="001D701A">
        <w:t xml:space="preserve">. The study was conducted using </w:t>
      </w:r>
      <w:r w:rsidR="00FA69C7">
        <w:t xml:space="preserve">the </w:t>
      </w:r>
      <w:r w:rsidR="001D701A">
        <w:t>FEI SEM mapping technique</w:t>
      </w:r>
      <w:r w:rsidR="00FA69C7">
        <w:t>. The experiments were conducted on a 1 ft section of Wolfcamp core</w:t>
      </w:r>
      <w:r w:rsidR="008C0782">
        <w:t>,</w:t>
      </w:r>
      <w:r w:rsidR="00FA69C7">
        <w:t xml:space="preserve"> the same with the samples using in this thesis. The map</w:t>
      </w:r>
      <w:r w:rsidR="008C0782">
        <w:t>s</w:t>
      </w:r>
      <w:r w:rsidR="00FA69C7">
        <w:t xml:space="preserve"> acquired for the samples is up to</w:t>
      </w:r>
      <w:r w:rsidR="00756FFB">
        <w:t xml:space="preserve"> 2 mm</w:t>
      </w:r>
      <w:r w:rsidR="001D701A">
        <w:t xml:space="preserve"> in length. Goergen’s s</w:t>
      </w:r>
      <w:r w:rsidR="00FA69C7">
        <w:t xml:space="preserve">tatistical results from the map of sample #4 indicate that although there is organic porosity, clay porosity dominates and makes up to 80% of the total segmented porosity. </w:t>
      </w:r>
      <w:r w:rsidR="00DC1817">
        <w:rPr>
          <w:b/>
        </w:rPr>
        <w:t xml:space="preserve">Fig </w:t>
      </w:r>
      <w:r w:rsidR="001B13F5">
        <w:rPr>
          <w:b/>
        </w:rPr>
        <w:t xml:space="preserve">2.5 </w:t>
      </w:r>
      <w:r w:rsidR="001B13F5">
        <w:t>illustrates the dominance of clay porosity. The image is from the map of the same sample</w:t>
      </w:r>
      <w:r w:rsidR="00642928">
        <w:t>; porosity is segmented and highlighted in red</w:t>
      </w:r>
      <w:r w:rsidR="001B13F5">
        <w:t xml:space="preserve">. </w:t>
      </w:r>
      <w:r w:rsidR="00642928">
        <w:t xml:space="preserve">Clay porosity develops a near bedding (horizontal orientation) dominant pore network. </w:t>
      </w:r>
      <w:r w:rsidR="007D572C">
        <w:t xml:space="preserve">When comparing with </w:t>
      </w:r>
      <w:r w:rsidR="00A76121">
        <w:t>crushed helium</w:t>
      </w:r>
      <w:r w:rsidR="007D572C">
        <w:t xml:space="preserve"> porosity, SEM porosity for </w:t>
      </w:r>
      <w:r w:rsidR="00642928">
        <w:t xml:space="preserve">the map of </w:t>
      </w:r>
      <w:r w:rsidR="008C0782">
        <w:t>this sample appears to be less, 4.0% compared to 7.8%</w:t>
      </w:r>
      <w:r>
        <w:t xml:space="preserve"> (Goergen et al., 2014)</w:t>
      </w:r>
      <w:r w:rsidR="008C0782">
        <w:t>.</w:t>
      </w:r>
    </w:p>
    <w:p w:rsidR="00A7496E" w:rsidRDefault="00A7496E" w:rsidP="00441287">
      <w:pPr>
        <w:jc w:val="both"/>
      </w:pPr>
    </w:p>
    <w:p w:rsidR="00EC4472" w:rsidRPr="001B7189" w:rsidRDefault="00AD44CD" w:rsidP="00441287">
      <w:pPr>
        <w:jc w:val="both"/>
      </w:pPr>
      <w:r>
        <w:t>Upscaling of rock properties was also studied for conventional reservoir</w:t>
      </w:r>
      <w:r w:rsidR="00C57EA5">
        <w:t xml:space="preserve">. </w:t>
      </w:r>
      <w:r>
        <w:t xml:space="preserve">Previously, rock properties measured from core plugs in the laboratory with inadequate evaluation of </w:t>
      </w:r>
      <w:r w:rsidR="00C57EA5">
        <w:t xml:space="preserve">heterogeneity. These properties were used as an input for simulation grid blocks which have larger volume, resulting in remarkable uncertainties and imprecision. </w:t>
      </w:r>
      <w:bookmarkStart w:id="71" w:name="OLE_LINK117"/>
      <w:r w:rsidR="00C57EA5">
        <w:t>Vahrenkamp et al, 2011</w:t>
      </w:r>
      <w:bookmarkEnd w:id="71"/>
      <w:r w:rsidR="00C57EA5">
        <w:t xml:space="preserve"> introduced a new approach to </w:t>
      </w:r>
      <w:r w:rsidR="008E6FBB">
        <w:t>account for carbonate inherent heterogeneity v</w:t>
      </w:r>
      <w:r w:rsidR="00AC1CC1">
        <w:t>ia small scale simulation model</w:t>
      </w:r>
      <w:r w:rsidR="008E6FBB">
        <w:t>.</w:t>
      </w:r>
      <w:r w:rsidR="00AC1CC1" w:rsidRPr="00AC1CC1">
        <w:t xml:space="preserve"> </w:t>
      </w:r>
      <w:r w:rsidR="00AC1CC1">
        <w:t xml:space="preserve">The study was conducted on a 3.5 ft thick carbonate layer in the vertical direction. Different rock properties such as porosity, </w:t>
      </w:r>
      <w:r w:rsidR="00AC1CC1">
        <w:lastRenderedPageBreak/>
        <w:t>permeability, and relative permeability curves were</w:t>
      </w:r>
      <w:r w:rsidR="008E6FBB">
        <w:t xml:space="preserve"> </w:t>
      </w:r>
      <w:r w:rsidR="00C57EA5">
        <w:t>determine</w:t>
      </w:r>
      <w:r w:rsidR="00AC1CC1">
        <w:t>d</w:t>
      </w:r>
      <w:r w:rsidR="00C57EA5">
        <w:t xml:space="preserve"> </w:t>
      </w:r>
      <w:r w:rsidR="00AC1CC1">
        <w:t xml:space="preserve">using high resolution CT scanning – Digital Rock Physics </w:t>
      </w:r>
      <w:r w:rsidR="001B7189">
        <w:t xml:space="preserve">(DRP) </w:t>
      </w:r>
      <w:r w:rsidR="00AC1CC1">
        <w:t>processes combination on a 8-inch slab of core. These properties were served as an input for the simulation model of the 3.5 ft carbonate layer; the simulation model is created from deriving Formation Macro Imager (FMI)</w:t>
      </w:r>
      <w:r w:rsidR="001B7189">
        <w:t xml:space="preserve"> logging data and it provides the upscaled absolute permeability and relative permeabilities. The detailed workflow is showed in </w:t>
      </w:r>
      <w:r w:rsidR="001B7189">
        <w:rPr>
          <w:b/>
        </w:rPr>
        <w:t>Fig</w:t>
      </w:r>
      <w:r w:rsidR="00FD2633">
        <w:rPr>
          <w:b/>
        </w:rPr>
        <w:t xml:space="preserve"> 2.6</w:t>
      </w:r>
      <w:r w:rsidR="001B7189">
        <w:rPr>
          <w:b/>
        </w:rPr>
        <w:t xml:space="preserve">. </w:t>
      </w:r>
      <w:r w:rsidR="00FD2633">
        <w:rPr>
          <w:b/>
        </w:rPr>
        <w:t>Fig 2.7</w:t>
      </w:r>
      <w:r w:rsidR="001B7189">
        <w:t xml:space="preserve"> shows the permeabilities estimated from </w:t>
      </w:r>
      <w:bookmarkStart w:id="72" w:name="OLE_LINK116"/>
      <w:r w:rsidR="001B7189">
        <w:t xml:space="preserve">CT-DRP combination </w:t>
      </w:r>
      <w:bookmarkEnd w:id="72"/>
      <w:r w:rsidR="001B7189">
        <w:t>on the 8-inch sample slab: the permeability for vertical flow is 6.0 mD and the permeabilities for horizontal flows are 2.3 mD and 3.3 mD. These permeabilities result in an absolute permeability of 8 mD for vertical flow for the grid block model derived from FMI logging (</w:t>
      </w:r>
      <w:r w:rsidR="00FD2633">
        <w:rPr>
          <w:b/>
        </w:rPr>
        <w:t>Fig 2.7</w:t>
      </w:r>
      <w:r w:rsidR="001B7189">
        <w:t xml:space="preserve">). </w:t>
      </w:r>
      <w:r w:rsidR="00FD2633">
        <w:rPr>
          <w:b/>
        </w:rPr>
        <w:t>Fig 2.8</w:t>
      </w:r>
      <w:r w:rsidR="001B7189">
        <w:t xml:space="preserve"> shows the comparison between porosity values of three plugs from this 8-inch slab estimated from CT-DRP combination and those from laboratory measurements. A strong agreement is observed for porosity estimation from all of the plugs.</w:t>
      </w:r>
    </w:p>
    <w:p w:rsidR="001B7189" w:rsidRDefault="001B7189" w:rsidP="001B7189">
      <w:pPr>
        <w:jc w:val="center"/>
        <w:rPr>
          <w:b/>
        </w:rPr>
      </w:pPr>
      <w:r>
        <w:rPr>
          <w:noProof/>
          <w:lang w:bidi="ar-SA"/>
        </w:rPr>
        <w:drawing>
          <wp:inline distT="0" distB="0" distL="0" distR="0" wp14:anchorId="434EF138" wp14:editId="4688D66C">
            <wp:extent cx="3765550" cy="2498843"/>
            <wp:effectExtent l="0" t="0" r="635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800233" cy="2521859"/>
                    </a:xfrm>
                    <a:prstGeom prst="rect">
                      <a:avLst/>
                    </a:prstGeom>
                  </pic:spPr>
                </pic:pic>
              </a:graphicData>
            </a:graphic>
          </wp:inline>
        </w:drawing>
      </w:r>
    </w:p>
    <w:p w:rsidR="001B7189" w:rsidRPr="006619F2" w:rsidRDefault="001B7189" w:rsidP="001B7189">
      <w:pPr>
        <w:jc w:val="center"/>
        <w:rPr>
          <w:b/>
        </w:rPr>
      </w:pPr>
      <w:r>
        <w:rPr>
          <w:b/>
        </w:rPr>
        <w:t xml:space="preserve">Figure 2.5: SEM image from the map of sample #4. Porosity is segmented (red). Clay porosity leads to a high-degree of pore shape anisotropy </w:t>
      </w:r>
      <w:r w:rsidRPr="00B74AFF">
        <w:rPr>
          <w:b/>
        </w:rPr>
        <w:t>(</w:t>
      </w:r>
      <w:r>
        <w:rPr>
          <w:b/>
        </w:rPr>
        <w:t xml:space="preserve">Goergen et al., </w:t>
      </w:r>
      <w:r w:rsidRPr="00B74AFF">
        <w:rPr>
          <w:b/>
        </w:rPr>
        <w:t>2014)</w:t>
      </w:r>
    </w:p>
    <w:p w:rsidR="001B7189" w:rsidRDefault="001B7189" w:rsidP="001B7189">
      <w:pPr>
        <w:jc w:val="center"/>
        <w:rPr>
          <w:b/>
        </w:rPr>
      </w:pPr>
    </w:p>
    <w:p w:rsidR="00FD2633" w:rsidRDefault="00FD2633" w:rsidP="001B7189">
      <w:pPr>
        <w:jc w:val="center"/>
        <w:rPr>
          <w:b/>
        </w:rPr>
      </w:pPr>
      <w:r>
        <w:rPr>
          <w:noProof/>
          <w:lang w:bidi="ar-SA"/>
        </w:rPr>
        <w:drawing>
          <wp:inline distT="0" distB="0" distL="0" distR="0" wp14:anchorId="72C6B448" wp14:editId="47B988C1">
            <wp:extent cx="4728711" cy="3214254"/>
            <wp:effectExtent l="0" t="0" r="0" b="571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766600" cy="3240008"/>
                    </a:xfrm>
                    <a:prstGeom prst="rect">
                      <a:avLst/>
                    </a:prstGeom>
                  </pic:spPr>
                </pic:pic>
              </a:graphicData>
            </a:graphic>
          </wp:inline>
        </w:drawing>
      </w:r>
    </w:p>
    <w:p w:rsidR="00FD2633" w:rsidRPr="00FD2633" w:rsidRDefault="00FD2633" w:rsidP="00FD2633">
      <w:pPr>
        <w:jc w:val="both"/>
        <w:rPr>
          <w:b/>
        </w:rPr>
      </w:pPr>
      <w:r>
        <w:rPr>
          <w:b/>
        </w:rPr>
        <w:t xml:space="preserve">Figure 2.6: Workflow for upscaling rock properties in a 3.5 ft carbonate layer from nanometer to gird block scale </w:t>
      </w:r>
      <w:bookmarkStart w:id="73" w:name="OLE_LINK118"/>
      <w:bookmarkStart w:id="74" w:name="OLE_LINK119"/>
      <w:bookmarkStart w:id="75" w:name="OLE_LINK120"/>
      <w:r w:rsidRPr="00FD2633">
        <w:rPr>
          <w:b/>
        </w:rPr>
        <w:t>(Vahrenkamp et al, 2011)</w:t>
      </w:r>
      <w:bookmarkEnd w:id="73"/>
      <w:bookmarkEnd w:id="74"/>
      <w:bookmarkEnd w:id="75"/>
      <w:r>
        <w:rPr>
          <w:b/>
        </w:rPr>
        <w:t>.</w:t>
      </w:r>
    </w:p>
    <w:p w:rsidR="00FD2633" w:rsidRDefault="00FD2633" w:rsidP="001B7189">
      <w:pPr>
        <w:jc w:val="center"/>
        <w:rPr>
          <w:b/>
        </w:rPr>
      </w:pPr>
      <w:r>
        <w:rPr>
          <w:noProof/>
          <w:lang w:bidi="ar-SA"/>
        </w:rPr>
        <w:drawing>
          <wp:inline distT="0" distB="0" distL="0" distR="0" wp14:anchorId="6F8FAF72" wp14:editId="5F4202CE">
            <wp:extent cx="3173557" cy="1967412"/>
            <wp:effectExtent l="0" t="0" r="825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187250" cy="1975901"/>
                    </a:xfrm>
                    <a:prstGeom prst="rect">
                      <a:avLst/>
                    </a:prstGeom>
                  </pic:spPr>
                </pic:pic>
              </a:graphicData>
            </a:graphic>
          </wp:inline>
        </w:drawing>
      </w:r>
    </w:p>
    <w:p w:rsidR="00FD2633" w:rsidRDefault="00FD2633" w:rsidP="00FD2633">
      <w:pPr>
        <w:jc w:val="both"/>
        <w:rPr>
          <w:b/>
        </w:rPr>
      </w:pPr>
      <w:r>
        <w:rPr>
          <w:b/>
        </w:rPr>
        <w:t xml:space="preserve">Figure 2.7: Absolute permeability for vertical flow from a 3.5 ft layer simulation model (first picture) derived from permeabilities for vertical flow (second picture) and horizontal flows (third and fourth pictures) from 8-inch sample slab </w:t>
      </w:r>
      <w:r w:rsidRPr="00FD2633">
        <w:rPr>
          <w:b/>
        </w:rPr>
        <w:t>(Vahrenkamp et al, 2011)</w:t>
      </w:r>
      <w:r>
        <w:rPr>
          <w:b/>
        </w:rPr>
        <w:t>.</w:t>
      </w:r>
    </w:p>
    <w:p w:rsidR="00FD2633" w:rsidRDefault="00FD2633" w:rsidP="001B7189">
      <w:pPr>
        <w:jc w:val="center"/>
        <w:rPr>
          <w:b/>
        </w:rPr>
      </w:pPr>
      <w:r>
        <w:rPr>
          <w:noProof/>
          <w:lang w:bidi="ar-SA"/>
        </w:rPr>
        <w:lastRenderedPageBreak/>
        <w:drawing>
          <wp:inline distT="0" distB="0" distL="0" distR="0" wp14:anchorId="55F685CE" wp14:editId="72E39C5E">
            <wp:extent cx="2648313" cy="2265218"/>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655901" cy="2271708"/>
                    </a:xfrm>
                    <a:prstGeom prst="rect">
                      <a:avLst/>
                    </a:prstGeom>
                  </pic:spPr>
                </pic:pic>
              </a:graphicData>
            </a:graphic>
          </wp:inline>
        </w:drawing>
      </w:r>
    </w:p>
    <w:p w:rsidR="00FD2633" w:rsidRDefault="00FD2633" w:rsidP="00FD2633">
      <w:pPr>
        <w:rPr>
          <w:b/>
        </w:rPr>
      </w:pPr>
      <w:r>
        <w:rPr>
          <w:b/>
        </w:rPr>
        <w:t xml:space="preserve">Figure 2.8: Comparison between porosity measured from laboratory and from CT scanning for three plugs located in the 8-inch slab. Strong agreement is observed </w:t>
      </w:r>
      <w:r w:rsidRPr="00FD2633">
        <w:rPr>
          <w:b/>
        </w:rPr>
        <w:t>(Vahrenkamp et al, 2011)</w:t>
      </w:r>
      <w:r>
        <w:rPr>
          <w:b/>
        </w:rPr>
        <w:t>.</w:t>
      </w:r>
    </w:p>
    <w:p w:rsidR="00FD2633" w:rsidRPr="001B7189" w:rsidRDefault="00FD2633" w:rsidP="00FD2633">
      <w:pPr>
        <w:rPr>
          <w:b/>
        </w:rPr>
      </w:pPr>
    </w:p>
    <w:p w:rsidR="00A7496E" w:rsidRDefault="00A7496E" w:rsidP="00A7496E">
      <w:pPr>
        <w:pStyle w:val="Heading2"/>
      </w:pPr>
      <w:r>
        <w:t xml:space="preserve">2.3 Geologic Description – Wolfcamp Formation </w:t>
      </w:r>
    </w:p>
    <w:p w:rsidR="00A7496E" w:rsidRPr="00F63BF0" w:rsidRDefault="00A7496E" w:rsidP="00A7496E"/>
    <w:p w:rsidR="00FD2633" w:rsidRDefault="00A7496E" w:rsidP="00FD2633">
      <w:pPr>
        <w:jc w:val="both"/>
      </w:pPr>
      <w:r>
        <w:rPr>
          <w:rFonts w:ascii="Times New Roman" w:hAnsi="Times New Roman"/>
        </w:rPr>
        <w:t>The Wolfcamp shale is located at the Permian Basin of Texas and New Mexico (</w:t>
      </w:r>
      <w:r w:rsidR="00DC1817">
        <w:rPr>
          <w:rFonts w:ascii="Times New Roman" w:hAnsi="Times New Roman"/>
          <w:b/>
        </w:rPr>
        <w:t xml:space="preserve">Fig </w:t>
      </w:r>
      <w:r w:rsidR="006E18C9">
        <w:rPr>
          <w:rFonts w:ascii="Times New Roman" w:hAnsi="Times New Roman"/>
          <w:b/>
        </w:rPr>
        <w:t>2.9</w:t>
      </w:r>
      <w:r>
        <w:rPr>
          <w:rFonts w:ascii="Times New Roman" w:hAnsi="Times New Roman"/>
          <w:b/>
        </w:rPr>
        <w:t>)</w:t>
      </w:r>
      <w:r>
        <w:rPr>
          <w:rFonts w:ascii="Times New Roman" w:hAnsi="Times New Roman"/>
        </w:rPr>
        <w:t>. The samples selected for this microstructural study were from the Wolfcamp Shale located in southern Midland Basin below the Spraberry Formation (</w:t>
      </w:r>
      <w:r w:rsidR="00DC1817">
        <w:rPr>
          <w:rFonts w:ascii="Times New Roman" w:hAnsi="Times New Roman"/>
          <w:b/>
        </w:rPr>
        <w:t xml:space="preserve">Fig </w:t>
      </w:r>
      <w:r w:rsidRPr="00642928">
        <w:rPr>
          <w:rFonts w:ascii="Times New Roman" w:hAnsi="Times New Roman"/>
          <w:b/>
        </w:rPr>
        <w:t>2.</w:t>
      </w:r>
      <w:r w:rsidR="006E18C9">
        <w:rPr>
          <w:rFonts w:ascii="Times New Roman" w:hAnsi="Times New Roman"/>
          <w:b/>
        </w:rPr>
        <w:t>10</w:t>
      </w:r>
      <w:r>
        <w:rPr>
          <w:rFonts w:ascii="Times New Roman" w:hAnsi="Times New Roman"/>
        </w:rPr>
        <w:t>). United States Geological Survey (USGS) has confirmed that the Midland Basin Wolfcamp contain approximately 20 billion barrels of recoverable oil, 16 trillion cubic feet of associated natural gas, and 1.6 billion barrels of natural gas liquids (USGS, 2016). The total organic carbon for the Midland Basin Wolfcamp Shale range from 2 to 10 wt%; Ro values ranges from 0.85 to 1.10% which indicates the formation is at the late oil generation and early gas generation windows (UNG, 2012). The formation is</w:t>
      </w:r>
      <w:r w:rsidRPr="00A7496E">
        <w:rPr>
          <w:rFonts w:ascii="Times New Roman" w:hAnsi="Times New Roman"/>
        </w:rPr>
        <w:t xml:space="preserve"> </w:t>
      </w:r>
      <w:r>
        <w:rPr>
          <w:rFonts w:ascii="Times New Roman" w:hAnsi="Times New Roman"/>
        </w:rPr>
        <w:t xml:space="preserve">deepest at the center of the Basin (approximately 12,000 ft) and becomes much shallower varying </w:t>
      </w:r>
      <w:r>
        <w:rPr>
          <w:rFonts w:ascii="Times New Roman" w:hAnsi="Times New Roman"/>
        </w:rPr>
        <w:lastRenderedPageBreak/>
        <w:t>from 4,000 to 7,000 ft when moving towards the edges of the basin (</w:t>
      </w:r>
      <w:r w:rsidR="00DC1817">
        <w:rPr>
          <w:rFonts w:ascii="Times New Roman" w:hAnsi="Times New Roman"/>
          <w:b/>
        </w:rPr>
        <w:t xml:space="preserve">Fig </w:t>
      </w:r>
      <w:r w:rsidR="006E18C9">
        <w:rPr>
          <w:rFonts w:ascii="Times New Roman" w:hAnsi="Times New Roman"/>
          <w:b/>
        </w:rPr>
        <w:t>2.11</w:t>
      </w:r>
      <w:r>
        <w:rPr>
          <w:rFonts w:ascii="Times New Roman" w:hAnsi="Times New Roman"/>
        </w:rPr>
        <w:t>). The formation is composed of a series of laminated black shales and argillaceous limestone.</w:t>
      </w:r>
    </w:p>
    <w:p w:rsidR="00914869" w:rsidRDefault="00914869" w:rsidP="0009340D">
      <w:pPr>
        <w:jc w:val="both"/>
        <w:rPr>
          <w:b/>
        </w:rPr>
      </w:pPr>
      <w:r>
        <w:rPr>
          <w:noProof/>
          <w:lang w:bidi="ar-SA"/>
        </w:rPr>
        <w:drawing>
          <wp:inline distT="0" distB="0" distL="0" distR="0" wp14:anchorId="56B8C3CB" wp14:editId="093C273B">
            <wp:extent cx="5394960" cy="1956249"/>
            <wp:effectExtent l="0" t="0" r="0" b="6350"/>
            <wp:docPr id="63" name="Picture 6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1"/>
                    <a:stretch>
                      <a:fillRect/>
                    </a:stretch>
                  </pic:blipFill>
                  <pic:spPr>
                    <a:xfrm>
                      <a:off x="0" y="0"/>
                      <a:ext cx="5394960" cy="1956249"/>
                    </a:xfrm>
                    <a:prstGeom prst="rect">
                      <a:avLst/>
                    </a:prstGeom>
                  </pic:spPr>
                </pic:pic>
              </a:graphicData>
            </a:graphic>
          </wp:inline>
        </w:drawing>
      </w:r>
      <w:r>
        <w:rPr>
          <w:b/>
        </w:rPr>
        <w:t xml:space="preserve">Figure </w:t>
      </w:r>
      <w:r w:rsidR="006E18C9">
        <w:rPr>
          <w:b/>
        </w:rPr>
        <w:t>2.9</w:t>
      </w:r>
      <w:r w:rsidR="00E37953">
        <w:rPr>
          <w:b/>
        </w:rPr>
        <w:t>:</w:t>
      </w:r>
      <w:r>
        <w:rPr>
          <w:b/>
        </w:rPr>
        <w:t xml:space="preserve"> Location of Wolfcamp formation (light blue) in the Permian Basin in </w:t>
      </w:r>
      <w:r w:rsidR="00A40497">
        <w:rPr>
          <w:b/>
        </w:rPr>
        <w:t>Texas and New Mexico (USGS)</w:t>
      </w:r>
    </w:p>
    <w:p w:rsidR="00A7496E" w:rsidRDefault="00A7496E" w:rsidP="0009340D">
      <w:pPr>
        <w:jc w:val="both"/>
        <w:rPr>
          <w:b/>
        </w:rPr>
      </w:pPr>
    </w:p>
    <w:p w:rsidR="00914869" w:rsidRDefault="00914869" w:rsidP="00914869">
      <w:pPr>
        <w:jc w:val="center"/>
        <w:rPr>
          <w:b/>
        </w:rPr>
      </w:pPr>
      <w:r>
        <w:rPr>
          <w:b/>
        </w:rPr>
        <w:t>Table 2.1: Stratigraphy of selected Permian Basin</w:t>
      </w:r>
      <w:r w:rsidR="00680B1E">
        <w:rPr>
          <w:b/>
        </w:rPr>
        <w:t xml:space="preserve"> (UNG, 2012)</w:t>
      </w:r>
    </w:p>
    <w:p w:rsidR="00A40497" w:rsidRDefault="00914869" w:rsidP="0009340D">
      <w:pPr>
        <w:jc w:val="both"/>
        <w:rPr>
          <w:b/>
        </w:rPr>
      </w:pPr>
      <w:r>
        <w:rPr>
          <w:noProof/>
          <w:lang w:bidi="ar-SA"/>
        </w:rPr>
        <w:drawing>
          <wp:inline distT="0" distB="0" distL="0" distR="0" wp14:anchorId="63B9A5CC" wp14:editId="641A791F">
            <wp:extent cx="5394960" cy="3858895"/>
            <wp:effectExtent l="0" t="0" r="0" b="8255"/>
            <wp:docPr id="192" name="Picture 192"/>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2"/>
                    <a:stretch>
                      <a:fillRect/>
                    </a:stretch>
                  </pic:blipFill>
                  <pic:spPr>
                    <a:xfrm>
                      <a:off x="0" y="0"/>
                      <a:ext cx="5394960" cy="3858895"/>
                    </a:xfrm>
                    <a:prstGeom prst="rect">
                      <a:avLst/>
                    </a:prstGeom>
                  </pic:spPr>
                </pic:pic>
              </a:graphicData>
            </a:graphic>
          </wp:inline>
        </w:drawing>
      </w:r>
    </w:p>
    <w:p w:rsidR="000B0CA3" w:rsidRDefault="00914869" w:rsidP="000B0CA3">
      <w:pPr>
        <w:jc w:val="both"/>
        <w:rPr>
          <w:b/>
        </w:rPr>
      </w:pPr>
      <w:r>
        <w:rPr>
          <w:noProof/>
          <w:lang w:bidi="ar-SA"/>
        </w:rPr>
        <w:lastRenderedPageBreak/>
        <w:drawing>
          <wp:inline distT="0" distB="0" distL="0" distR="0" wp14:anchorId="66A57752" wp14:editId="74DF758E">
            <wp:extent cx="5390984" cy="2027583"/>
            <wp:effectExtent l="0" t="0" r="635" b="0"/>
            <wp:docPr id="193" name="Picture 19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3"/>
                    <a:srcRect b="18642"/>
                    <a:stretch/>
                  </pic:blipFill>
                  <pic:spPr bwMode="auto">
                    <a:xfrm>
                      <a:off x="0" y="0"/>
                      <a:ext cx="5394960" cy="2029078"/>
                    </a:xfrm>
                    <a:prstGeom prst="rect">
                      <a:avLst/>
                    </a:prstGeom>
                    <a:ln>
                      <a:noFill/>
                    </a:ln>
                    <a:extLst>
                      <a:ext uri="{53640926-AAD7-44D8-BBD7-CCE9431645EC}">
                        <a14:shadowObscured xmlns:a14="http://schemas.microsoft.com/office/drawing/2010/main"/>
                      </a:ext>
                    </a:extLst>
                  </pic:spPr>
                </pic:pic>
              </a:graphicData>
            </a:graphic>
          </wp:inline>
        </w:drawing>
      </w:r>
    </w:p>
    <w:p w:rsidR="000B0CA3" w:rsidRDefault="00914869" w:rsidP="000B0CA3">
      <w:pPr>
        <w:jc w:val="both"/>
        <w:rPr>
          <w:b/>
        </w:rPr>
      </w:pPr>
      <w:r>
        <w:rPr>
          <w:b/>
        </w:rPr>
        <w:t xml:space="preserve">Figure </w:t>
      </w:r>
      <w:r w:rsidR="006E18C9">
        <w:rPr>
          <w:b/>
        </w:rPr>
        <w:t>2.10</w:t>
      </w:r>
      <w:r w:rsidR="00E37953">
        <w:rPr>
          <w:b/>
        </w:rPr>
        <w:t>:</w:t>
      </w:r>
      <w:r>
        <w:rPr>
          <w:b/>
        </w:rPr>
        <w:t xml:space="preserve"> Stratigraphic nomenclature </w:t>
      </w:r>
      <w:r w:rsidR="00680B1E">
        <w:rPr>
          <w:b/>
        </w:rPr>
        <w:t xml:space="preserve">of Delaware Basin and Midland Basin. Note the Wolfcamp formation in Midland Basin </w:t>
      </w:r>
      <w:r w:rsidR="00F63BF0">
        <w:rPr>
          <w:b/>
        </w:rPr>
        <w:t>is located</w:t>
      </w:r>
      <w:r w:rsidR="00680B1E">
        <w:rPr>
          <w:b/>
        </w:rPr>
        <w:t xml:space="preserve"> below the Spaberry formation (</w:t>
      </w:r>
      <w:r w:rsidR="000179F1">
        <w:rPr>
          <w:b/>
        </w:rPr>
        <w:t>Kelly et al., 2012</w:t>
      </w:r>
      <w:r w:rsidR="00680B1E">
        <w:rPr>
          <w:b/>
        </w:rPr>
        <w:t>).</w:t>
      </w:r>
    </w:p>
    <w:p w:rsidR="00680B1E" w:rsidRDefault="00680B1E" w:rsidP="00680B1E">
      <w:pPr>
        <w:jc w:val="center"/>
        <w:rPr>
          <w:b/>
        </w:rPr>
      </w:pPr>
      <w:r>
        <w:rPr>
          <w:noProof/>
          <w:lang w:bidi="ar-SA"/>
        </w:rPr>
        <w:drawing>
          <wp:inline distT="0" distB="0" distL="0" distR="0" wp14:anchorId="3BADB096" wp14:editId="115C48D5">
            <wp:extent cx="4920343" cy="3864429"/>
            <wp:effectExtent l="0" t="0" r="0" b="3175"/>
            <wp:docPr id="195" name="Picture 19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84"/>
                    <a:srcRect r="20059" b="11656"/>
                    <a:stretch/>
                  </pic:blipFill>
                  <pic:spPr bwMode="auto">
                    <a:xfrm>
                      <a:off x="0" y="0"/>
                      <a:ext cx="4935812" cy="3876578"/>
                    </a:xfrm>
                    <a:prstGeom prst="rect">
                      <a:avLst/>
                    </a:prstGeom>
                    <a:ln>
                      <a:noFill/>
                    </a:ln>
                    <a:extLst>
                      <a:ext uri="{53640926-AAD7-44D8-BBD7-CCE9431645EC}">
                        <a14:shadowObscured xmlns:a14="http://schemas.microsoft.com/office/drawing/2010/main"/>
                      </a:ext>
                    </a:extLst>
                  </pic:spPr>
                </pic:pic>
              </a:graphicData>
            </a:graphic>
          </wp:inline>
        </w:drawing>
      </w:r>
    </w:p>
    <w:p w:rsidR="00680B1E" w:rsidRDefault="00680B1E" w:rsidP="00680B1E">
      <w:pPr>
        <w:rPr>
          <w:b/>
        </w:rPr>
      </w:pPr>
      <w:r w:rsidRPr="00680B1E">
        <w:rPr>
          <w:b/>
        </w:rPr>
        <w:t xml:space="preserve">Figure </w:t>
      </w:r>
      <w:r w:rsidR="00155835" w:rsidRPr="00680B1E">
        <w:rPr>
          <w:b/>
        </w:rPr>
        <w:t>2.</w:t>
      </w:r>
      <w:r w:rsidR="006E18C9">
        <w:rPr>
          <w:b/>
        </w:rPr>
        <w:t>11</w:t>
      </w:r>
      <w:r w:rsidR="00155835" w:rsidRPr="00680B1E">
        <w:rPr>
          <w:b/>
        </w:rPr>
        <w:t>:</w:t>
      </w:r>
      <w:r w:rsidRPr="00680B1E">
        <w:rPr>
          <w:b/>
        </w:rPr>
        <w:t xml:space="preserve"> Vertical depth map of the Wolfcamp formation throughout the Midland Basin (Bachmann et al., 2014)</w:t>
      </w:r>
    </w:p>
    <w:p w:rsidR="00FD2633" w:rsidRPr="00680B1E" w:rsidRDefault="00FD2633" w:rsidP="00680B1E">
      <w:pPr>
        <w:rPr>
          <w:b/>
        </w:rPr>
      </w:pPr>
    </w:p>
    <w:p w:rsidR="00AD6B2B" w:rsidRPr="000F56FF" w:rsidRDefault="00AD6B2B" w:rsidP="00F63BF0">
      <w:pPr>
        <w:pStyle w:val="Heading1"/>
        <w:rPr>
          <w:noProof/>
          <w:lang w:bidi="ar-SA"/>
        </w:rPr>
      </w:pPr>
      <w:r w:rsidRPr="000F56FF">
        <w:lastRenderedPageBreak/>
        <w:t xml:space="preserve">Chapter </w:t>
      </w:r>
      <w:r>
        <w:t>3</w:t>
      </w:r>
      <w:r w:rsidRPr="000F56FF">
        <w:t xml:space="preserve">: </w:t>
      </w:r>
      <w:r>
        <w:t>Experimental Procedure</w:t>
      </w:r>
    </w:p>
    <w:p w:rsidR="00AD6B2B" w:rsidRDefault="00B17778" w:rsidP="0080054D">
      <w:pPr>
        <w:pStyle w:val="Heading2"/>
      </w:pPr>
      <w:bookmarkStart w:id="76" w:name="OLE_LINK5"/>
      <w:bookmarkStart w:id="77" w:name="OLE_LINK6"/>
      <w:bookmarkStart w:id="78" w:name="OLE_LINK54"/>
      <w:r>
        <w:t xml:space="preserve">3.1 Sampling </w:t>
      </w:r>
      <w:r w:rsidR="00A0269F">
        <w:t>P</w:t>
      </w:r>
      <w:r>
        <w:t>rocedure</w:t>
      </w:r>
    </w:p>
    <w:bookmarkEnd w:id="76"/>
    <w:bookmarkEnd w:id="77"/>
    <w:bookmarkEnd w:id="78"/>
    <w:p w:rsidR="00B17778" w:rsidRDefault="004901C1" w:rsidP="00A0269F">
      <w:pPr>
        <w:jc w:val="both"/>
        <w:rPr>
          <w:rFonts w:ascii="Times New Roman" w:hAnsi="Times New Roman"/>
        </w:rPr>
      </w:pPr>
      <w:r>
        <w:rPr>
          <w:rFonts w:ascii="Times New Roman" w:hAnsi="Times New Roman"/>
        </w:rPr>
        <w:t>A 1</w:t>
      </w:r>
      <w:r w:rsidRPr="00B17778">
        <w:rPr>
          <w:rFonts w:ascii="Times New Roman" w:hAnsi="Times New Roman"/>
        </w:rPr>
        <w:t>-foot</w:t>
      </w:r>
      <w:r w:rsidR="00B17778" w:rsidRPr="00B17778">
        <w:rPr>
          <w:rFonts w:ascii="Times New Roman" w:hAnsi="Times New Roman"/>
        </w:rPr>
        <w:t xml:space="preserve"> section of core was selected from the </w:t>
      </w:r>
      <w:r w:rsidR="00E43D89">
        <w:rPr>
          <w:rFonts w:ascii="Times New Roman" w:hAnsi="Times New Roman"/>
        </w:rPr>
        <w:t xml:space="preserve">Midland Basin </w:t>
      </w:r>
      <w:r w:rsidR="00B17778" w:rsidRPr="00B17778">
        <w:rPr>
          <w:rFonts w:ascii="Times New Roman" w:hAnsi="Times New Roman"/>
        </w:rPr>
        <w:t xml:space="preserve">Wolfcamp Shale and sampled. </w:t>
      </w:r>
      <w:r w:rsidR="00DC1817">
        <w:rPr>
          <w:rFonts w:ascii="Times New Roman" w:hAnsi="Times New Roman"/>
          <w:b/>
        </w:rPr>
        <w:t>Fig 3.</w:t>
      </w:r>
      <w:r w:rsidR="00B17778" w:rsidRPr="00B17778">
        <w:rPr>
          <w:rFonts w:ascii="Times New Roman" w:hAnsi="Times New Roman"/>
          <w:b/>
        </w:rPr>
        <w:t>1</w:t>
      </w:r>
      <w:r w:rsidR="00B17778" w:rsidRPr="00B17778">
        <w:rPr>
          <w:rFonts w:ascii="Times New Roman" w:hAnsi="Times New Roman"/>
        </w:rPr>
        <w:t xml:space="preserve"> illustrates the </w:t>
      </w:r>
      <w:r w:rsidR="00E43D89">
        <w:rPr>
          <w:rFonts w:ascii="Times New Roman" w:hAnsi="Times New Roman"/>
        </w:rPr>
        <w:t>sampling and tests performed</w:t>
      </w:r>
      <w:r w:rsidR="00B17778" w:rsidRPr="00B17778">
        <w:rPr>
          <w:rFonts w:ascii="Times New Roman" w:hAnsi="Times New Roman"/>
        </w:rPr>
        <w:t>. A vertical slab was taken from the core and divided into</w:t>
      </w:r>
      <w:r w:rsidR="00F63BF0">
        <w:rPr>
          <w:rFonts w:ascii="Times New Roman" w:hAnsi="Times New Roman"/>
        </w:rPr>
        <w:t xml:space="preserve"> 24 intervals (approximately 12.</w:t>
      </w:r>
      <w:r w:rsidR="00B17778" w:rsidRPr="00B17778">
        <w:rPr>
          <w:rFonts w:ascii="Times New Roman" w:hAnsi="Times New Roman"/>
        </w:rPr>
        <w:t xml:space="preserve">5 mm each). Samples were taken from each interval for SEM, FTIR, SRA, </w:t>
      </w:r>
      <w:r w:rsidR="00A76121">
        <w:rPr>
          <w:rFonts w:ascii="Times New Roman" w:hAnsi="Times New Roman"/>
        </w:rPr>
        <w:t>crushed helium</w:t>
      </w:r>
      <w:r w:rsidR="00B17778" w:rsidRPr="00B17778">
        <w:rPr>
          <w:rFonts w:ascii="Times New Roman" w:hAnsi="Times New Roman"/>
        </w:rPr>
        <w:t xml:space="preserve"> porosity, and TOC measurement. As indicated, the samples were taken such that the material for each test was taken as close as possible, horizontally, to other test samples for that interval</w:t>
      </w:r>
      <w:r w:rsidR="0043594E">
        <w:rPr>
          <w:rFonts w:ascii="Times New Roman" w:hAnsi="Times New Roman"/>
        </w:rPr>
        <w:t>.</w:t>
      </w:r>
    </w:p>
    <w:p w:rsidR="00B43928" w:rsidRDefault="00B43928" w:rsidP="00B17778">
      <w:pPr>
        <w:jc w:val="both"/>
        <w:rPr>
          <w:rFonts w:ascii="Times New Roman" w:hAnsi="Times New Roman"/>
        </w:rPr>
      </w:pPr>
    </w:p>
    <w:p w:rsidR="00E43D89" w:rsidRPr="00972039" w:rsidRDefault="00972039" w:rsidP="00A0269F">
      <w:pPr>
        <w:jc w:val="both"/>
        <w:rPr>
          <w:rFonts w:ascii="Times New Roman" w:hAnsi="Times New Roman"/>
          <w:b/>
        </w:rPr>
      </w:pPr>
      <w:bookmarkStart w:id="79" w:name="OLE_LINK22"/>
      <w:bookmarkStart w:id="80" w:name="OLE_LINK23"/>
      <w:r>
        <w:rPr>
          <w:noProof/>
          <w:lang w:bidi="ar-SA"/>
        </w:rPr>
        <w:drawing>
          <wp:inline distT="0" distB="0" distL="0" distR="0" wp14:anchorId="00810738" wp14:editId="70FE90E9">
            <wp:extent cx="5394960" cy="320672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394960" cy="3206724"/>
                    </a:xfrm>
                    <a:prstGeom prst="rect">
                      <a:avLst/>
                    </a:prstGeom>
                  </pic:spPr>
                </pic:pic>
              </a:graphicData>
            </a:graphic>
          </wp:inline>
        </w:drawing>
      </w:r>
      <w:r w:rsidR="005267CF" w:rsidRPr="00972039">
        <w:rPr>
          <w:rFonts w:ascii="Times New Roman" w:hAnsi="Times New Roman"/>
          <w:b/>
        </w:rPr>
        <w:t xml:space="preserve">Figure 3.1:  Location of SEM Map and petrophysical measurements of the 24 samples from a </w:t>
      </w:r>
      <w:r w:rsidR="00A7496E" w:rsidRPr="00972039">
        <w:rPr>
          <w:rFonts w:ascii="Times New Roman" w:hAnsi="Times New Roman"/>
          <w:b/>
        </w:rPr>
        <w:t>one-foot</w:t>
      </w:r>
      <w:r w:rsidR="005267CF" w:rsidRPr="00972039">
        <w:rPr>
          <w:rFonts w:ascii="Times New Roman" w:hAnsi="Times New Roman"/>
          <w:b/>
        </w:rPr>
        <w:t xml:space="preserve"> section of Wolfcamp shale core. Different colored labels </w:t>
      </w:r>
      <w:r w:rsidR="00F63BF0" w:rsidRPr="00972039">
        <w:rPr>
          <w:rFonts w:ascii="Times New Roman" w:hAnsi="Times New Roman"/>
          <w:b/>
        </w:rPr>
        <w:t>indicate</w:t>
      </w:r>
      <w:r w:rsidR="005267CF" w:rsidRPr="00972039">
        <w:rPr>
          <w:rFonts w:ascii="Times New Roman" w:hAnsi="Times New Roman"/>
          <w:b/>
        </w:rPr>
        <w:t xml:space="preserve"> different types of tests; the tests are performed next to each other horizontally in each interval. The measurements are compared to the properties estimated from the images spanning the cored interval</w:t>
      </w:r>
      <w:bookmarkEnd w:id="79"/>
      <w:bookmarkEnd w:id="80"/>
    </w:p>
    <w:p w:rsidR="00B43928" w:rsidRDefault="00B43928" w:rsidP="0080054D">
      <w:pPr>
        <w:pStyle w:val="Heading2"/>
      </w:pPr>
      <w:r>
        <w:lastRenderedPageBreak/>
        <w:t>3.2 Scanning Electron Microscopy (SEM) Imaging</w:t>
      </w:r>
    </w:p>
    <w:p w:rsidR="00B43928" w:rsidRPr="006204F6" w:rsidRDefault="00B43928" w:rsidP="00A0269F">
      <w:pPr>
        <w:jc w:val="center"/>
        <w:rPr>
          <w:b/>
          <w:i/>
        </w:rPr>
      </w:pPr>
      <w:bookmarkStart w:id="81" w:name="OLE_LINK34"/>
      <w:bookmarkStart w:id="82" w:name="OLE_LINK35"/>
      <w:r w:rsidRPr="006204F6">
        <w:rPr>
          <w:b/>
          <w:i/>
        </w:rPr>
        <w:t xml:space="preserve">3.2.1 SEM </w:t>
      </w:r>
      <w:r w:rsidR="00A0269F" w:rsidRPr="006204F6">
        <w:rPr>
          <w:b/>
          <w:i/>
        </w:rPr>
        <w:t>P</w:t>
      </w:r>
      <w:r w:rsidRPr="006204F6">
        <w:rPr>
          <w:b/>
          <w:i/>
        </w:rPr>
        <w:t>rocedure</w:t>
      </w:r>
    </w:p>
    <w:p w:rsidR="00B43928" w:rsidRDefault="00B43928" w:rsidP="00A0269F">
      <w:pPr>
        <w:jc w:val="both"/>
        <w:rPr>
          <w:rFonts w:ascii="Times New Roman" w:hAnsi="Times New Roman"/>
        </w:rPr>
      </w:pPr>
      <w:bookmarkStart w:id="83" w:name="OLE_LINK19"/>
      <w:bookmarkStart w:id="84" w:name="OLE_LINK20"/>
      <w:bookmarkEnd w:id="81"/>
      <w:bookmarkEnd w:id="82"/>
      <w:r w:rsidRPr="00B43928">
        <w:rPr>
          <w:rFonts w:ascii="Times New Roman" w:hAnsi="Times New Roman"/>
        </w:rPr>
        <w:t>The SEM samples were prepared perpendicular to bedding by mechanical polishing</w:t>
      </w:r>
      <w:r w:rsidR="00E43D89">
        <w:rPr>
          <w:rFonts w:ascii="Times New Roman" w:hAnsi="Times New Roman"/>
        </w:rPr>
        <w:t>. 400, 600, and 800 grit emery paper</w:t>
      </w:r>
      <w:r>
        <w:rPr>
          <w:rFonts w:ascii="Times New Roman" w:hAnsi="Times New Roman"/>
        </w:rPr>
        <w:t xml:space="preserve"> were used </w:t>
      </w:r>
      <w:r w:rsidR="006D14DF">
        <w:rPr>
          <w:rFonts w:ascii="Times New Roman" w:hAnsi="Times New Roman"/>
        </w:rPr>
        <w:t>until there were no remarkable scratches or artifacts observed on the surface under monocular microscope</w:t>
      </w:r>
      <w:r w:rsidR="001D701A">
        <w:rPr>
          <w:rFonts w:ascii="Times New Roman" w:hAnsi="Times New Roman"/>
        </w:rPr>
        <w:t xml:space="preserve"> at</w:t>
      </w:r>
      <w:r w:rsidR="00E43D89">
        <w:rPr>
          <w:rFonts w:ascii="Times New Roman" w:hAnsi="Times New Roman"/>
        </w:rPr>
        <w:t xml:space="preserve"> 50x magnification</w:t>
      </w:r>
      <w:r w:rsidR="006D14DF">
        <w:rPr>
          <w:rFonts w:ascii="Times New Roman" w:hAnsi="Times New Roman"/>
        </w:rPr>
        <w:t>.</w:t>
      </w:r>
      <w:r w:rsidRPr="00B43928">
        <w:rPr>
          <w:rFonts w:ascii="Times New Roman" w:hAnsi="Times New Roman"/>
        </w:rPr>
        <w:t xml:space="preserve"> </w:t>
      </w:r>
      <w:r w:rsidR="006D14DF">
        <w:rPr>
          <w:rFonts w:ascii="Times New Roman" w:hAnsi="Times New Roman"/>
        </w:rPr>
        <w:t xml:space="preserve">The samples then underwent </w:t>
      </w:r>
      <w:r w:rsidR="006D14DF" w:rsidRPr="00B43928">
        <w:rPr>
          <w:rFonts w:ascii="Times New Roman" w:hAnsi="Times New Roman"/>
        </w:rPr>
        <w:t>broad</w:t>
      </w:r>
      <w:r w:rsidRPr="00B43928">
        <w:rPr>
          <w:rFonts w:ascii="Times New Roman" w:hAnsi="Times New Roman"/>
        </w:rPr>
        <w:t xml:space="preserve"> ion beam milling </w:t>
      </w:r>
      <w:r w:rsidR="006D14DF">
        <w:rPr>
          <w:rFonts w:ascii="Times New Roman" w:hAnsi="Times New Roman"/>
        </w:rPr>
        <w:t>the sample process</w:t>
      </w:r>
      <w:r w:rsidR="00F63BF0">
        <w:rPr>
          <w:rFonts w:ascii="Times New Roman" w:hAnsi="Times New Roman"/>
        </w:rPr>
        <w:t>.</w:t>
      </w:r>
      <w:r w:rsidR="006D14DF">
        <w:rPr>
          <w:rFonts w:ascii="Times New Roman" w:hAnsi="Times New Roman"/>
        </w:rPr>
        <w:t xml:space="preserve"> </w:t>
      </w:r>
      <w:r w:rsidR="00F63BF0">
        <w:rPr>
          <w:rFonts w:ascii="Times New Roman" w:hAnsi="Times New Roman"/>
        </w:rPr>
        <w:t>T</w:t>
      </w:r>
      <w:r w:rsidRPr="00B43928">
        <w:rPr>
          <w:rFonts w:ascii="Times New Roman" w:hAnsi="Times New Roman"/>
        </w:rPr>
        <w:t xml:space="preserve">wo-step </w:t>
      </w:r>
      <w:r w:rsidR="00F63BF0">
        <w:rPr>
          <w:rFonts w:ascii="Times New Roman" w:hAnsi="Times New Roman"/>
        </w:rPr>
        <w:t xml:space="preserve">milling </w:t>
      </w:r>
      <w:r w:rsidRPr="00B43928">
        <w:rPr>
          <w:rFonts w:ascii="Times New Roman" w:hAnsi="Times New Roman"/>
        </w:rPr>
        <w:t xml:space="preserve">procedure </w:t>
      </w:r>
      <w:r w:rsidR="00F63BF0">
        <w:rPr>
          <w:rFonts w:ascii="Times New Roman" w:hAnsi="Times New Roman"/>
        </w:rPr>
        <w:t xml:space="preserve">using a </w:t>
      </w:r>
      <w:r w:rsidR="00F63BF0" w:rsidRPr="00B43928">
        <w:rPr>
          <w:rFonts w:ascii="Times New Roman" w:hAnsi="Times New Roman"/>
        </w:rPr>
        <w:t xml:space="preserve">Fischione Instruments Model 1060 ion mill </w:t>
      </w:r>
      <w:r w:rsidR="00F63BF0">
        <w:rPr>
          <w:rFonts w:ascii="Times New Roman" w:hAnsi="Times New Roman"/>
        </w:rPr>
        <w:t>is performed</w:t>
      </w:r>
      <w:r w:rsidRPr="00B43928">
        <w:rPr>
          <w:rFonts w:ascii="Times New Roman" w:hAnsi="Times New Roman"/>
        </w:rPr>
        <w:t xml:space="preserve"> </w:t>
      </w:r>
      <w:r w:rsidR="00F63BF0">
        <w:rPr>
          <w:rFonts w:ascii="Times New Roman" w:hAnsi="Times New Roman"/>
        </w:rPr>
        <w:t>allow</w:t>
      </w:r>
      <w:r w:rsidRPr="00B43928">
        <w:rPr>
          <w:rFonts w:ascii="Times New Roman" w:hAnsi="Times New Roman"/>
        </w:rPr>
        <w:t xml:space="preserve"> </w:t>
      </w:r>
      <w:r w:rsidR="00F63BF0">
        <w:rPr>
          <w:rFonts w:ascii="Times New Roman" w:hAnsi="Times New Roman"/>
        </w:rPr>
        <w:t>large</w:t>
      </w:r>
      <w:r w:rsidRPr="00B43928">
        <w:rPr>
          <w:rFonts w:ascii="Times New Roman" w:hAnsi="Times New Roman"/>
        </w:rPr>
        <w:t xml:space="preserve"> milled surface area for imaging. </w:t>
      </w:r>
      <w:r w:rsidR="006D14DF">
        <w:rPr>
          <w:rFonts w:ascii="Times New Roman" w:hAnsi="Times New Roman"/>
        </w:rPr>
        <w:t>The first step is</w:t>
      </w:r>
      <w:r w:rsidR="00F73AA5">
        <w:rPr>
          <w:rFonts w:ascii="Times New Roman" w:hAnsi="Times New Roman"/>
        </w:rPr>
        <w:t xml:space="preserve"> three-hour milling at 5 kV voltage which focused on the center area of the sample. The second step is nine-hour milling at 6 kV voltage at low angle which focuses on the surrounding region. Milled s</w:t>
      </w:r>
      <w:r w:rsidRPr="00B43928">
        <w:rPr>
          <w:rFonts w:ascii="Times New Roman" w:hAnsi="Times New Roman"/>
        </w:rPr>
        <w:t xml:space="preserve">amples were lightly sputter coated with Au/Pd to minimize charging artifacts. Imaging was performed by FEI MAPS software on </w:t>
      </w:r>
      <w:bookmarkStart w:id="85" w:name="OLE_LINK7"/>
      <w:bookmarkStart w:id="86" w:name="OLE_LINK8"/>
      <w:r w:rsidRPr="00B43928">
        <w:rPr>
          <w:rFonts w:ascii="Times New Roman" w:hAnsi="Times New Roman"/>
        </w:rPr>
        <w:t xml:space="preserve">a FEI Helios Nanolab™ 650 DualBeam™ FIB/SEM </w:t>
      </w:r>
      <w:bookmarkEnd w:id="85"/>
      <w:bookmarkEnd w:id="86"/>
      <w:r w:rsidRPr="00B43928">
        <w:rPr>
          <w:rFonts w:ascii="Times New Roman" w:hAnsi="Times New Roman"/>
        </w:rPr>
        <w:t>using a concentric bac</w:t>
      </w:r>
      <w:r w:rsidR="00B36856">
        <w:rPr>
          <w:rFonts w:ascii="Times New Roman" w:hAnsi="Times New Roman"/>
        </w:rPr>
        <w:t xml:space="preserve">kscatter detector (CBS) and a 2 </w:t>
      </w:r>
      <w:r w:rsidRPr="00B43928">
        <w:rPr>
          <w:rFonts w:ascii="Times New Roman" w:hAnsi="Times New Roman"/>
        </w:rPr>
        <w:t xml:space="preserve">kV accelerating voltage. </w:t>
      </w:r>
      <w:r w:rsidR="006D14DF">
        <w:rPr>
          <w:rFonts w:ascii="Times New Roman" w:hAnsi="Times New Roman"/>
        </w:rPr>
        <w:t>The reason for using backscattered electron images is that this type of imag</w:t>
      </w:r>
      <w:r w:rsidR="00F63BF0">
        <w:rPr>
          <w:rFonts w:ascii="Times New Roman" w:hAnsi="Times New Roman"/>
        </w:rPr>
        <w:t>ing</w:t>
      </w:r>
      <w:r w:rsidR="006D14DF">
        <w:rPr>
          <w:rFonts w:ascii="Times New Roman" w:hAnsi="Times New Roman"/>
        </w:rPr>
        <w:t xml:space="preserve"> </w:t>
      </w:r>
      <w:r w:rsidR="00F63BF0">
        <w:rPr>
          <w:rFonts w:ascii="Times New Roman" w:hAnsi="Times New Roman"/>
        </w:rPr>
        <w:t xml:space="preserve">is sensitive </w:t>
      </w:r>
      <w:r w:rsidR="006D14DF">
        <w:rPr>
          <w:rFonts w:ascii="Times New Roman" w:hAnsi="Times New Roman"/>
        </w:rPr>
        <w:t>to atomic number and Z-contrast. Feature</w:t>
      </w:r>
      <w:r w:rsidR="00F63BF0">
        <w:rPr>
          <w:rFonts w:ascii="Times New Roman" w:hAnsi="Times New Roman"/>
        </w:rPr>
        <w:t>s</w:t>
      </w:r>
      <w:r w:rsidR="006D14DF">
        <w:rPr>
          <w:rFonts w:ascii="Times New Roman" w:hAnsi="Times New Roman"/>
        </w:rPr>
        <w:t xml:space="preserve"> on the SEM image which </w:t>
      </w:r>
      <w:r w:rsidR="00F63BF0">
        <w:rPr>
          <w:rFonts w:ascii="Times New Roman" w:hAnsi="Times New Roman"/>
        </w:rPr>
        <w:t>are</w:t>
      </w:r>
      <w:r w:rsidR="009D5314">
        <w:rPr>
          <w:rFonts w:ascii="Times New Roman" w:hAnsi="Times New Roman"/>
        </w:rPr>
        <w:t xml:space="preserve"> composed of heavier elements, i.e. ha</w:t>
      </w:r>
      <w:r w:rsidR="00F63BF0">
        <w:rPr>
          <w:rFonts w:ascii="Times New Roman" w:hAnsi="Times New Roman"/>
        </w:rPr>
        <w:t>ve</w:t>
      </w:r>
      <w:r w:rsidR="009D5314">
        <w:rPr>
          <w:rFonts w:ascii="Times New Roman" w:hAnsi="Times New Roman"/>
        </w:rPr>
        <w:t xml:space="preserve"> higher </w:t>
      </w:r>
      <w:r w:rsidR="00B36856">
        <w:rPr>
          <w:rFonts w:ascii="Times New Roman" w:hAnsi="Times New Roman"/>
        </w:rPr>
        <w:t>Z</w:t>
      </w:r>
      <w:r w:rsidR="00E43D89">
        <w:rPr>
          <w:rFonts w:ascii="Times New Roman" w:hAnsi="Times New Roman"/>
        </w:rPr>
        <w:t>,</w:t>
      </w:r>
      <w:r w:rsidR="00F63BF0">
        <w:rPr>
          <w:rFonts w:ascii="Times New Roman" w:hAnsi="Times New Roman"/>
        </w:rPr>
        <w:t xml:space="preserve"> </w:t>
      </w:r>
      <w:r w:rsidR="00E43D89">
        <w:rPr>
          <w:rFonts w:ascii="Times New Roman" w:hAnsi="Times New Roman"/>
        </w:rPr>
        <w:t>appear</w:t>
      </w:r>
      <w:r w:rsidR="009D5314">
        <w:rPr>
          <w:rFonts w:ascii="Times New Roman" w:hAnsi="Times New Roman"/>
        </w:rPr>
        <w:t xml:space="preserve"> lighter. On a typical SEM image for shale microstructure, pore is the darkest feature, while pyrite is the lightest feature.</w:t>
      </w:r>
      <w:r w:rsidR="00690D5C">
        <w:rPr>
          <w:rFonts w:ascii="Times New Roman" w:hAnsi="Times New Roman"/>
        </w:rPr>
        <w:t xml:space="preserve"> </w:t>
      </w:r>
      <w:r w:rsidR="006D14DF">
        <w:rPr>
          <w:rFonts w:ascii="Times New Roman" w:hAnsi="Times New Roman"/>
        </w:rPr>
        <w:t xml:space="preserve"> </w:t>
      </w:r>
      <w:r w:rsidR="006F1DF3">
        <w:rPr>
          <w:rFonts w:ascii="Times New Roman" w:hAnsi="Times New Roman"/>
          <w:szCs w:val="20"/>
        </w:rPr>
        <w:t xml:space="preserve">An entire </w:t>
      </w:r>
      <w:r w:rsidR="00A0269F">
        <w:rPr>
          <w:rFonts w:ascii="Times New Roman" w:hAnsi="Times New Roman"/>
          <w:szCs w:val="20"/>
        </w:rPr>
        <w:t xml:space="preserve">SEM </w:t>
      </w:r>
      <w:r w:rsidR="00A0269F" w:rsidRPr="006F1DF3">
        <w:rPr>
          <w:rFonts w:ascii="Times New Roman" w:hAnsi="Times New Roman"/>
          <w:szCs w:val="20"/>
        </w:rPr>
        <w:t>map</w:t>
      </w:r>
      <w:r w:rsidR="006F1DF3" w:rsidRPr="006F1DF3">
        <w:rPr>
          <w:rFonts w:ascii="Times New Roman" w:hAnsi="Times New Roman"/>
          <w:szCs w:val="20"/>
        </w:rPr>
        <w:t xml:space="preserve"> for each sample was centered on the sample and the size of the maps w</w:t>
      </w:r>
      <w:r w:rsidR="00F63BF0">
        <w:rPr>
          <w:rFonts w:ascii="Times New Roman" w:hAnsi="Times New Roman"/>
          <w:szCs w:val="20"/>
        </w:rPr>
        <w:t>ere</w:t>
      </w:r>
      <w:r w:rsidR="006F1DF3" w:rsidRPr="006F1DF3">
        <w:rPr>
          <w:rFonts w:ascii="Times New Roman" w:hAnsi="Times New Roman"/>
          <w:szCs w:val="20"/>
        </w:rPr>
        <w:t xml:space="preserve"> approximately 270 µm wide by</w:t>
      </w:r>
      <w:r w:rsidR="00756FFB">
        <w:rPr>
          <w:rFonts w:ascii="Times New Roman" w:hAnsi="Times New Roman"/>
          <w:szCs w:val="20"/>
        </w:rPr>
        <w:t xml:space="preserve"> 6,000 µm</w:t>
      </w:r>
      <w:r w:rsidR="006F1DF3" w:rsidRPr="006F1DF3">
        <w:rPr>
          <w:rFonts w:ascii="Times New Roman" w:hAnsi="Times New Roman"/>
          <w:szCs w:val="20"/>
        </w:rPr>
        <w:t xml:space="preserve"> long</w:t>
      </w:r>
      <w:r w:rsidR="006F1DF3">
        <w:rPr>
          <w:rFonts w:ascii="Times New Roman" w:hAnsi="Times New Roman"/>
          <w:szCs w:val="20"/>
        </w:rPr>
        <w:t xml:space="preserve"> </w:t>
      </w:r>
      <w:r w:rsidR="006F1DF3">
        <w:rPr>
          <w:rFonts w:ascii="Times New Roman" w:hAnsi="Times New Roman"/>
        </w:rPr>
        <w:t>(1.56 mm</w:t>
      </w:r>
      <w:r w:rsidR="006F1DF3">
        <w:rPr>
          <w:rFonts w:ascii="Times New Roman" w:hAnsi="Times New Roman"/>
          <w:vertAlign w:val="superscript"/>
        </w:rPr>
        <w:t>2</w:t>
      </w:r>
      <w:r w:rsidR="006F1DF3">
        <w:rPr>
          <w:rFonts w:ascii="Times New Roman" w:hAnsi="Times New Roman"/>
        </w:rPr>
        <w:t xml:space="preserve"> area)</w:t>
      </w:r>
      <w:r w:rsidR="00F63BF0">
        <w:rPr>
          <w:rFonts w:ascii="Times New Roman" w:hAnsi="Times New Roman"/>
        </w:rPr>
        <w:t>. Each map is comprised of</w:t>
      </w:r>
      <w:r w:rsidR="006F1DF3">
        <w:rPr>
          <w:rFonts w:ascii="Times New Roman" w:hAnsi="Times New Roman"/>
        </w:rPr>
        <w:t xml:space="preserve"> </w:t>
      </w:r>
      <w:r w:rsidR="00F63BF0">
        <w:rPr>
          <w:rFonts w:ascii="Times New Roman" w:hAnsi="Times New Roman"/>
        </w:rPr>
        <w:t>about</w:t>
      </w:r>
      <w:r w:rsidR="006F1DF3">
        <w:rPr>
          <w:rFonts w:ascii="Times New Roman" w:hAnsi="Times New Roman"/>
        </w:rPr>
        <w:t xml:space="preserve"> 3,000 </w:t>
      </w:r>
      <w:r w:rsidR="00B36856">
        <w:rPr>
          <w:rFonts w:ascii="Times New Roman" w:hAnsi="Times New Roman"/>
        </w:rPr>
        <w:t xml:space="preserve">individual </w:t>
      </w:r>
      <w:r w:rsidR="006F1DF3">
        <w:rPr>
          <w:rFonts w:ascii="Times New Roman" w:hAnsi="Times New Roman"/>
        </w:rPr>
        <w:t>SEM images</w:t>
      </w:r>
      <w:r w:rsidR="00E43D89">
        <w:rPr>
          <w:rFonts w:ascii="Times New Roman" w:hAnsi="Times New Roman"/>
          <w:szCs w:val="20"/>
        </w:rPr>
        <w:t>;</w:t>
      </w:r>
      <w:r w:rsidR="006F1DF3" w:rsidRPr="006F1DF3">
        <w:rPr>
          <w:rFonts w:ascii="Times New Roman" w:hAnsi="Times New Roman"/>
          <w:szCs w:val="20"/>
        </w:rPr>
        <w:t xml:space="preserve"> the length </w:t>
      </w:r>
      <w:r w:rsidR="007E1F26">
        <w:rPr>
          <w:rFonts w:ascii="Times New Roman" w:hAnsi="Times New Roman"/>
          <w:szCs w:val="20"/>
        </w:rPr>
        <w:t xml:space="preserve">of the image is </w:t>
      </w:r>
      <w:r w:rsidR="006F1DF3" w:rsidRPr="006F1DF3">
        <w:rPr>
          <w:rFonts w:ascii="Times New Roman" w:hAnsi="Times New Roman"/>
          <w:szCs w:val="20"/>
        </w:rPr>
        <w:t>perpendicular to bedding</w:t>
      </w:r>
      <w:r w:rsidR="005267CF">
        <w:rPr>
          <w:rFonts w:ascii="Times New Roman" w:hAnsi="Times New Roman"/>
        </w:rPr>
        <w:t xml:space="preserve">. To </w:t>
      </w:r>
      <w:r w:rsidR="007E1F26">
        <w:rPr>
          <w:rFonts w:ascii="Times New Roman" w:hAnsi="Times New Roman"/>
        </w:rPr>
        <w:t>p</w:t>
      </w:r>
      <w:r w:rsidR="005267CF">
        <w:rPr>
          <w:rFonts w:ascii="Times New Roman" w:hAnsi="Times New Roman"/>
        </w:rPr>
        <w:t>res</w:t>
      </w:r>
      <w:r w:rsidR="006F1DF3">
        <w:rPr>
          <w:rFonts w:ascii="Times New Roman" w:hAnsi="Times New Roman"/>
        </w:rPr>
        <w:t>erve the highest quality</w:t>
      </w:r>
      <w:r w:rsidR="007E1F26">
        <w:rPr>
          <w:rFonts w:ascii="Times New Roman" w:hAnsi="Times New Roman"/>
        </w:rPr>
        <w:t xml:space="preserve"> for the map,</w:t>
      </w:r>
      <w:r w:rsidR="006F1DF3">
        <w:rPr>
          <w:rFonts w:ascii="Times New Roman" w:hAnsi="Times New Roman"/>
        </w:rPr>
        <w:t xml:space="preserve"> </w:t>
      </w:r>
      <w:r w:rsidR="007E1F26">
        <w:rPr>
          <w:rFonts w:ascii="Times New Roman" w:hAnsi="Times New Roman"/>
        </w:rPr>
        <w:t xml:space="preserve">consistency of </w:t>
      </w:r>
      <w:r w:rsidR="006F1DF3">
        <w:rPr>
          <w:rFonts w:ascii="Times New Roman" w:hAnsi="Times New Roman"/>
        </w:rPr>
        <w:t>contrast and focus of the</w:t>
      </w:r>
      <w:r w:rsidR="007E1F26">
        <w:rPr>
          <w:rFonts w:ascii="Times New Roman" w:hAnsi="Times New Roman"/>
        </w:rPr>
        <w:t xml:space="preserve"> images are required. </w:t>
      </w:r>
      <w:r w:rsidR="006F1DF3">
        <w:rPr>
          <w:rFonts w:ascii="Times New Roman" w:hAnsi="Times New Roman"/>
        </w:rPr>
        <w:t xml:space="preserve"> </w:t>
      </w:r>
      <w:r w:rsidR="007E1F26">
        <w:rPr>
          <w:rFonts w:ascii="Times New Roman" w:hAnsi="Times New Roman"/>
        </w:rPr>
        <w:t xml:space="preserve">Instead of running one map at the desired size (273 </w:t>
      </w:r>
      <w:r w:rsidR="007E1F26" w:rsidRPr="00CC76A4">
        <w:rPr>
          <w:rFonts w:ascii="Times New Roman" w:hAnsi="Times New Roman"/>
        </w:rPr>
        <w:t>µm</w:t>
      </w:r>
      <w:r w:rsidR="007E1F26">
        <w:rPr>
          <w:rFonts w:ascii="Times New Roman" w:hAnsi="Times New Roman"/>
        </w:rPr>
        <w:t xml:space="preserve"> x</w:t>
      </w:r>
      <w:r w:rsidR="00756FFB">
        <w:rPr>
          <w:rFonts w:ascii="Times New Roman" w:hAnsi="Times New Roman"/>
        </w:rPr>
        <w:t xml:space="preserve"> 6,000 µm</w:t>
      </w:r>
      <w:r w:rsidR="007E1F26">
        <w:rPr>
          <w:rFonts w:ascii="Times New Roman" w:hAnsi="Times New Roman"/>
        </w:rPr>
        <w:t>), t</w:t>
      </w:r>
      <w:r w:rsidR="006F1DF3">
        <w:rPr>
          <w:rFonts w:ascii="Times New Roman" w:hAnsi="Times New Roman"/>
        </w:rPr>
        <w:t xml:space="preserve">hree sub-maps with dimensions of </w:t>
      </w:r>
      <w:bookmarkStart w:id="87" w:name="OLE_LINK61"/>
      <w:r w:rsidR="006F1DF3">
        <w:rPr>
          <w:rFonts w:ascii="Times New Roman" w:hAnsi="Times New Roman"/>
        </w:rPr>
        <w:t xml:space="preserve">273 </w:t>
      </w:r>
      <w:r w:rsidR="006F1DF3" w:rsidRPr="00CC76A4">
        <w:rPr>
          <w:rFonts w:ascii="Times New Roman" w:hAnsi="Times New Roman"/>
        </w:rPr>
        <w:t>µm</w:t>
      </w:r>
      <w:r w:rsidR="006F1DF3">
        <w:rPr>
          <w:rFonts w:ascii="Times New Roman" w:hAnsi="Times New Roman"/>
        </w:rPr>
        <w:t xml:space="preserve"> x</w:t>
      </w:r>
      <w:r w:rsidR="00756FFB">
        <w:rPr>
          <w:rFonts w:ascii="Times New Roman" w:hAnsi="Times New Roman"/>
        </w:rPr>
        <w:t xml:space="preserve"> 2,000 µm</w:t>
      </w:r>
      <w:r w:rsidR="006F1DF3">
        <w:rPr>
          <w:rFonts w:ascii="Times New Roman" w:hAnsi="Times New Roman"/>
        </w:rPr>
        <w:t xml:space="preserve"> </w:t>
      </w:r>
      <w:bookmarkEnd w:id="87"/>
      <w:r w:rsidR="006F1DF3">
        <w:rPr>
          <w:rFonts w:ascii="Times New Roman" w:hAnsi="Times New Roman"/>
        </w:rPr>
        <w:lastRenderedPageBreak/>
        <w:t>(</w:t>
      </w:r>
      <w:r w:rsidR="007E1F26">
        <w:rPr>
          <w:rFonts w:ascii="Times New Roman" w:hAnsi="Times New Roman"/>
        </w:rPr>
        <w:t>each includes</w:t>
      </w:r>
      <w:r w:rsidR="006F1DF3">
        <w:rPr>
          <w:rFonts w:ascii="Times New Roman" w:hAnsi="Times New Roman"/>
        </w:rPr>
        <w:t xml:space="preserve"> ~1</w:t>
      </w:r>
      <w:r w:rsidR="007E1F26">
        <w:rPr>
          <w:rFonts w:ascii="Times New Roman" w:hAnsi="Times New Roman"/>
        </w:rPr>
        <w:t>,000 SEM images) were acquired. The three maps</w:t>
      </w:r>
      <w:r w:rsidR="006F1DF3">
        <w:rPr>
          <w:rFonts w:ascii="Times New Roman" w:hAnsi="Times New Roman"/>
        </w:rPr>
        <w:t xml:space="preserve"> were </w:t>
      </w:r>
      <w:r w:rsidR="007E1F26">
        <w:rPr>
          <w:rFonts w:ascii="Times New Roman" w:hAnsi="Times New Roman"/>
        </w:rPr>
        <w:t>stitched into a</w:t>
      </w:r>
      <w:r w:rsidR="006F1DF3">
        <w:rPr>
          <w:rFonts w:ascii="Times New Roman" w:hAnsi="Times New Roman"/>
        </w:rPr>
        <w:t xml:space="preserve"> </w:t>
      </w:r>
      <w:r w:rsidR="007E1F26">
        <w:rPr>
          <w:rFonts w:ascii="Times New Roman" w:hAnsi="Times New Roman"/>
        </w:rPr>
        <w:t xml:space="preserve">large </w:t>
      </w:r>
      <w:r w:rsidR="006F1DF3">
        <w:rPr>
          <w:rFonts w:ascii="Times New Roman" w:hAnsi="Times New Roman"/>
        </w:rPr>
        <w:t>map</w:t>
      </w:r>
      <w:r w:rsidR="007E1F26">
        <w:rPr>
          <w:rFonts w:ascii="Times New Roman" w:hAnsi="Times New Roman"/>
        </w:rPr>
        <w:t xml:space="preserve"> with desired dimension</w:t>
      </w:r>
      <w:r w:rsidR="006F1DF3">
        <w:rPr>
          <w:rFonts w:ascii="Times New Roman" w:hAnsi="Times New Roman"/>
        </w:rPr>
        <w:t xml:space="preserve">. </w:t>
      </w:r>
      <w:r w:rsidRPr="00B43928">
        <w:rPr>
          <w:rFonts w:ascii="Times New Roman" w:hAnsi="Times New Roman"/>
        </w:rPr>
        <w:t>The resolution of each map was 10 nm.</w:t>
      </w:r>
    </w:p>
    <w:p w:rsidR="006F1DF3" w:rsidRDefault="006F1DF3" w:rsidP="00A0269F">
      <w:pPr>
        <w:jc w:val="both"/>
        <w:rPr>
          <w:rFonts w:ascii="Times New Roman" w:hAnsi="Times New Roman"/>
          <w:b/>
          <w:szCs w:val="20"/>
        </w:rPr>
      </w:pPr>
      <w:bookmarkStart w:id="88" w:name="OLE_LINK33"/>
      <w:r w:rsidRPr="006F1DF3">
        <w:rPr>
          <w:rFonts w:ascii="Times New Roman" w:hAnsi="Times New Roman"/>
          <w:szCs w:val="20"/>
        </w:rPr>
        <w:t xml:space="preserve">Avizo® Fire 9.0 </w:t>
      </w:r>
      <w:bookmarkEnd w:id="88"/>
      <w:r w:rsidRPr="006F1DF3">
        <w:rPr>
          <w:rFonts w:ascii="Times New Roman" w:hAnsi="Times New Roman"/>
          <w:szCs w:val="20"/>
        </w:rPr>
        <w:t xml:space="preserve">and custom MATLAB software were utilized for analysis on the </w:t>
      </w:r>
      <w:r w:rsidR="00D00054">
        <w:rPr>
          <w:rFonts w:ascii="Times New Roman" w:hAnsi="Times New Roman"/>
          <w:szCs w:val="20"/>
        </w:rPr>
        <w:t>SEM MAPS™</w:t>
      </w:r>
      <w:r w:rsidRPr="006F1DF3">
        <w:rPr>
          <w:rFonts w:ascii="Times New Roman" w:hAnsi="Times New Roman"/>
          <w:szCs w:val="20"/>
        </w:rPr>
        <w:t xml:space="preserve">. </w:t>
      </w:r>
      <w:r>
        <w:rPr>
          <w:rFonts w:ascii="Times New Roman" w:hAnsi="Times New Roman"/>
          <w:szCs w:val="20"/>
        </w:rPr>
        <w:t xml:space="preserve">Every map underwent a denoising procedure using </w:t>
      </w:r>
      <w:r w:rsidR="00CF2D46">
        <w:rPr>
          <w:rFonts w:ascii="Times New Roman" w:hAnsi="Times New Roman"/>
          <w:szCs w:val="20"/>
        </w:rPr>
        <w:t>non-local</w:t>
      </w:r>
      <w:r>
        <w:rPr>
          <w:rFonts w:ascii="Times New Roman" w:hAnsi="Times New Roman"/>
          <w:szCs w:val="20"/>
        </w:rPr>
        <w:t xml:space="preserve"> means filter method by </w:t>
      </w:r>
      <w:r w:rsidRPr="006F1DF3">
        <w:rPr>
          <w:rFonts w:ascii="Times New Roman" w:hAnsi="Times New Roman"/>
          <w:szCs w:val="20"/>
        </w:rPr>
        <w:t>Avizo® Fire 9.0</w:t>
      </w:r>
      <w:r>
        <w:rPr>
          <w:rFonts w:ascii="Times New Roman" w:hAnsi="Times New Roman"/>
          <w:szCs w:val="20"/>
        </w:rPr>
        <w:t xml:space="preserve"> software. After that, components of interest were carefully segmented </w:t>
      </w:r>
      <w:r w:rsidR="00137000">
        <w:rPr>
          <w:rFonts w:ascii="Times New Roman" w:hAnsi="Times New Roman"/>
          <w:szCs w:val="20"/>
        </w:rPr>
        <w:t xml:space="preserve">by choosing threshold values </w:t>
      </w:r>
      <w:r w:rsidR="00A0269F">
        <w:rPr>
          <w:rFonts w:ascii="Times New Roman" w:hAnsi="Times New Roman"/>
          <w:szCs w:val="20"/>
        </w:rPr>
        <w:t>from SEM images and their statistical results were extracted.</w:t>
      </w:r>
      <w:r w:rsidR="00485EEE">
        <w:rPr>
          <w:rFonts w:ascii="Times New Roman" w:hAnsi="Times New Roman"/>
          <w:szCs w:val="20"/>
        </w:rPr>
        <w:t xml:space="preserve"> The average threshold values are reported in </w:t>
      </w:r>
      <w:r w:rsidR="00485EEE">
        <w:rPr>
          <w:rFonts w:ascii="Times New Roman" w:hAnsi="Times New Roman"/>
          <w:b/>
          <w:szCs w:val="20"/>
        </w:rPr>
        <w:t>Table 3.1.</w:t>
      </w:r>
    </w:p>
    <w:p w:rsidR="00485EEE" w:rsidRDefault="00485EEE" w:rsidP="00843F73">
      <w:pPr>
        <w:spacing w:line="240" w:lineRule="auto"/>
        <w:jc w:val="center"/>
        <w:rPr>
          <w:b/>
        </w:rPr>
      </w:pPr>
      <w:r>
        <w:rPr>
          <w:b/>
        </w:rPr>
        <w:t>Table 3.1 – Average threshold values from SEM 8-bit images.</w:t>
      </w:r>
      <w:r w:rsidR="00843F73">
        <w:rPr>
          <w:b/>
        </w:rPr>
        <w:t xml:space="preserve"> The classification of the </w:t>
      </w:r>
      <w:r w:rsidR="00C74138">
        <w:rPr>
          <w:b/>
        </w:rPr>
        <w:t>mineral groups</w:t>
      </w:r>
      <w:r w:rsidR="00843F73">
        <w:rPr>
          <w:b/>
        </w:rPr>
        <w:t xml:space="preserve"> can be seen at 3.2.3</w:t>
      </w:r>
    </w:p>
    <w:tbl>
      <w:tblPr>
        <w:tblStyle w:val="TableGrid"/>
        <w:tblW w:w="6210" w:type="dxa"/>
        <w:jc w:val="center"/>
        <w:tblLook w:val="04A0" w:firstRow="1" w:lastRow="0" w:firstColumn="1" w:lastColumn="0" w:noHBand="0" w:noVBand="1"/>
      </w:tblPr>
      <w:tblGrid>
        <w:gridCol w:w="3780"/>
        <w:gridCol w:w="2430"/>
      </w:tblGrid>
      <w:tr w:rsidR="00843F73" w:rsidTr="004621CD">
        <w:trPr>
          <w:jc w:val="center"/>
        </w:trPr>
        <w:tc>
          <w:tcPr>
            <w:tcW w:w="3780" w:type="dxa"/>
            <w:vAlign w:val="center"/>
          </w:tcPr>
          <w:p w:rsidR="00843F73" w:rsidRDefault="00843F73" w:rsidP="00843F73">
            <w:pPr>
              <w:jc w:val="center"/>
              <w:rPr>
                <w:rFonts w:ascii="Times New Roman" w:hAnsi="Times New Roman"/>
                <w:b/>
                <w:szCs w:val="20"/>
              </w:rPr>
            </w:pPr>
            <w:r>
              <w:rPr>
                <w:rFonts w:ascii="Times New Roman" w:hAnsi="Times New Roman"/>
                <w:b/>
                <w:szCs w:val="20"/>
              </w:rPr>
              <w:t>Component</w:t>
            </w:r>
          </w:p>
        </w:tc>
        <w:tc>
          <w:tcPr>
            <w:tcW w:w="2430" w:type="dxa"/>
            <w:vAlign w:val="center"/>
          </w:tcPr>
          <w:p w:rsidR="00843F73" w:rsidRPr="00843F73" w:rsidRDefault="00843F73" w:rsidP="00843F73">
            <w:pPr>
              <w:jc w:val="center"/>
              <w:rPr>
                <w:rFonts w:ascii="Times New Roman" w:hAnsi="Times New Roman"/>
                <w:b/>
                <w:szCs w:val="20"/>
              </w:rPr>
            </w:pPr>
            <w:r>
              <w:rPr>
                <w:rFonts w:ascii="Times New Roman" w:hAnsi="Times New Roman"/>
                <w:b/>
                <w:szCs w:val="20"/>
              </w:rPr>
              <w:t>Threshold range</w:t>
            </w:r>
          </w:p>
        </w:tc>
      </w:tr>
      <w:tr w:rsidR="00843F73" w:rsidTr="004621CD">
        <w:trPr>
          <w:jc w:val="center"/>
        </w:trPr>
        <w:tc>
          <w:tcPr>
            <w:tcW w:w="3780" w:type="dxa"/>
            <w:vAlign w:val="center"/>
          </w:tcPr>
          <w:p w:rsidR="00843F73" w:rsidRPr="00843F73" w:rsidRDefault="00843F73" w:rsidP="00843F73">
            <w:pPr>
              <w:jc w:val="center"/>
              <w:rPr>
                <w:rFonts w:ascii="Times New Roman" w:hAnsi="Times New Roman"/>
                <w:szCs w:val="20"/>
              </w:rPr>
            </w:pPr>
            <w:r w:rsidRPr="00843F73">
              <w:rPr>
                <w:rFonts w:ascii="Times New Roman" w:hAnsi="Times New Roman"/>
                <w:szCs w:val="20"/>
              </w:rPr>
              <w:t>Pore</w:t>
            </w:r>
          </w:p>
        </w:tc>
        <w:tc>
          <w:tcPr>
            <w:tcW w:w="2430" w:type="dxa"/>
            <w:vAlign w:val="center"/>
          </w:tcPr>
          <w:p w:rsidR="00843F73" w:rsidRPr="00843F73" w:rsidRDefault="00843F73" w:rsidP="00843F73">
            <w:pPr>
              <w:jc w:val="center"/>
              <w:rPr>
                <w:rFonts w:ascii="Times New Roman" w:hAnsi="Times New Roman"/>
                <w:szCs w:val="20"/>
              </w:rPr>
            </w:pPr>
            <w:r>
              <w:rPr>
                <w:rFonts w:ascii="Times New Roman" w:hAnsi="Times New Roman"/>
                <w:szCs w:val="20"/>
              </w:rPr>
              <w:t>0 - 114</w:t>
            </w:r>
          </w:p>
        </w:tc>
      </w:tr>
      <w:tr w:rsidR="00843F73" w:rsidTr="004621CD">
        <w:trPr>
          <w:jc w:val="center"/>
        </w:trPr>
        <w:tc>
          <w:tcPr>
            <w:tcW w:w="3780" w:type="dxa"/>
            <w:vAlign w:val="center"/>
          </w:tcPr>
          <w:p w:rsidR="00843F73" w:rsidRPr="00843F73" w:rsidRDefault="00843F73" w:rsidP="00843F73">
            <w:pPr>
              <w:jc w:val="center"/>
              <w:rPr>
                <w:rFonts w:ascii="Times New Roman" w:hAnsi="Times New Roman"/>
                <w:szCs w:val="20"/>
              </w:rPr>
            </w:pPr>
            <w:r w:rsidRPr="00843F73">
              <w:rPr>
                <w:rFonts w:ascii="Times New Roman" w:hAnsi="Times New Roman"/>
                <w:szCs w:val="20"/>
              </w:rPr>
              <w:t>Organic matter</w:t>
            </w:r>
          </w:p>
        </w:tc>
        <w:tc>
          <w:tcPr>
            <w:tcW w:w="2430" w:type="dxa"/>
            <w:vAlign w:val="center"/>
          </w:tcPr>
          <w:p w:rsidR="00843F73" w:rsidRPr="00843F73" w:rsidRDefault="00843F73" w:rsidP="00843F73">
            <w:pPr>
              <w:jc w:val="center"/>
              <w:rPr>
                <w:rFonts w:ascii="Times New Roman" w:hAnsi="Times New Roman"/>
                <w:szCs w:val="20"/>
              </w:rPr>
            </w:pPr>
            <w:r>
              <w:rPr>
                <w:rFonts w:ascii="Times New Roman" w:hAnsi="Times New Roman"/>
                <w:szCs w:val="20"/>
              </w:rPr>
              <w:t>115-135</w:t>
            </w:r>
          </w:p>
        </w:tc>
      </w:tr>
      <w:tr w:rsidR="00843F73" w:rsidTr="004621CD">
        <w:trPr>
          <w:jc w:val="center"/>
        </w:trPr>
        <w:tc>
          <w:tcPr>
            <w:tcW w:w="3780" w:type="dxa"/>
            <w:vAlign w:val="center"/>
          </w:tcPr>
          <w:p w:rsidR="004621CD" w:rsidRDefault="004621CD" w:rsidP="00843F73">
            <w:pPr>
              <w:jc w:val="center"/>
              <w:rPr>
                <w:rFonts w:ascii="Times New Roman" w:hAnsi="Times New Roman"/>
                <w:szCs w:val="20"/>
              </w:rPr>
            </w:pPr>
            <w:r>
              <w:rPr>
                <w:rFonts w:ascii="Times New Roman" w:hAnsi="Times New Roman"/>
                <w:szCs w:val="20"/>
              </w:rPr>
              <w:t>Mineral</w:t>
            </w:r>
            <w:r w:rsidR="00CC4D77">
              <w:rPr>
                <w:rFonts w:ascii="Times New Roman" w:hAnsi="Times New Roman"/>
                <w:szCs w:val="20"/>
              </w:rPr>
              <w:t xml:space="preserve"> group</w:t>
            </w:r>
            <w:r w:rsidR="00843F73">
              <w:rPr>
                <w:rFonts w:ascii="Times New Roman" w:hAnsi="Times New Roman"/>
                <w:szCs w:val="20"/>
              </w:rPr>
              <w:t xml:space="preserve"> SCl</w:t>
            </w:r>
            <w:r>
              <w:rPr>
                <w:rFonts w:ascii="Times New Roman" w:hAnsi="Times New Roman"/>
                <w:szCs w:val="20"/>
              </w:rPr>
              <w:t xml:space="preserve"> </w:t>
            </w:r>
          </w:p>
          <w:p w:rsidR="00843F73" w:rsidRPr="00843F73" w:rsidRDefault="004621CD" w:rsidP="00843F73">
            <w:pPr>
              <w:jc w:val="center"/>
              <w:rPr>
                <w:rFonts w:ascii="Times New Roman" w:hAnsi="Times New Roman"/>
                <w:szCs w:val="20"/>
              </w:rPr>
            </w:pPr>
            <w:r w:rsidRPr="004621CD">
              <w:rPr>
                <w:rFonts w:ascii="Times New Roman" w:hAnsi="Times New Roman"/>
                <w:szCs w:val="20"/>
              </w:rPr>
              <w:t>(silica, clays, Mg-dol., feldspar)</w:t>
            </w:r>
          </w:p>
        </w:tc>
        <w:tc>
          <w:tcPr>
            <w:tcW w:w="2430" w:type="dxa"/>
            <w:vAlign w:val="center"/>
          </w:tcPr>
          <w:p w:rsidR="00843F73" w:rsidRPr="00843F73" w:rsidRDefault="00843F73" w:rsidP="00843F73">
            <w:pPr>
              <w:jc w:val="center"/>
              <w:rPr>
                <w:rFonts w:ascii="Times New Roman" w:hAnsi="Times New Roman"/>
                <w:szCs w:val="20"/>
              </w:rPr>
            </w:pPr>
            <w:r>
              <w:rPr>
                <w:rFonts w:ascii="Times New Roman" w:hAnsi="Times New Roman"/>
                <w:szCs w:val="20"/>
              </w:rPr>
              <w:t>136-156</w:t>
            </w:r>
          </w:p>
        </w:tc>
      </w:tr>
      <w:tr w:rsidR="00843F73" w:rsidTr="004621CD">
        <w:trPr>
          <w:jc w:val="center"/>
        </w:trPr>
        <w:tc>
          <w:tcPr>
            <w:tcW w:w="3780" w:type="dxa"/>
            <w:vAlign w:val="center"/>
          </w:tcPr>
          <w:p w:rsidR="00843F73" w:rsidRDefault="004621CD" w:rsidP="00843F73">
            <w:pPr>
              <w:jc w:val="center"/>
              <w:rPr>
                <w:rFonts w:ascii="Times New Roman" w:hAnsi="Times New Roman"/>
                <w:szCs w:val="20"/>
              </w:rPr>
            </w:pPr>
            <w:r>
              <w:rPr>
                <w:rFonts w:ascii="Times New Roman" w:hAnsi="Times New Roman"/>
                <w:szCs w:val="20"/>
              </w:rPr>
              <w:t>Mineral</w:t>
            </w:r>
            <w:r w:rsidR="00CC4D77">
              <w:rPr>
                <w:rFonts w:ascii="Times New Roman" w:hAnsi="Times New Roman"/>
                <w:szCs w:val="20"/>
              </w:rPr>
              <w:t xml:space="preserve"> group</w:t>
            </w:r>
            <w:r w:rsidR="00843F73">
              <w:rPr>
                <w:rFonts w:ascii="Times New Roman" w:hAnsi="Times New Roman"/>
                <w:szCs w:val="20"/>
              </w:rPr>
              <w:t xml:space="preserve"> CCl</w:t>
            </w:r>
          </w:p>
          <w:p w:rsidR="00951A71" w:rsidRPr="00843F73" w:rsidRDefault="00951A71" w:rsidP="00843F73">
            <w:pPr>
              <w:jc w:val="center"/>
              <w:rPr>
                <w:rFonts w:ascii="Times New Roman" w:hAnsi="Times New Roman"/>
                <w:szCs w:val="20"/>
              </w:rPr>
            </w:pPr>
            <w:r w:rsidRPr="00951A71">
              <w:rPr>
                <w:rFonts w:ascii="Times New Roman" w:hAnsi="Times New Roman"/>
                <w:szCs w:val="20"/>
              </w:rPr>
              <w:t>(calcite, clays, Fe-dol., K-feldspar)</w:t>
            </w:r>
          </w:p>
        </w:tc>
        <w:tc>
          <w:tcPr>
            <w:tcW w:w="2430" w:type="dxa"/>
            <w:vAlign w:val="center"/>
          </w:tcPr>
          <w:p w:rsidR="00843F73" w:rsidRPr="00843F73" w:rsidRDefault="00843F73" w:rsidP="00843F73">
            <w:pPr>
              <w:jc w:val="center"/>
              <w:rPr>
                <w:rFonts w:ascii="Times New Roman" w:hAnsi="Times New Roman"/>
                <w:szCs w:val="20"/>
              </w:rPr>
            </w:pPr>
            <w:r>
              <w:rPr>
                <w:rFonts w:ascii="Times New Roman" w:hAnsi="Times New Roman"/>
                <w:szCs w:val="20"/>
              </w:rPr>
              <w:t>157-178</w:t>
            </w:r>
          </w:p>
        </w:tc>
      </w:tr>
      <w:tr w:rsidR="00843F73" w:rsidTr="004621CD">
        <w:trPr>
          <w:jc w:val="center"/>
        </w:trPr>
        <w:tc>
          <w:tcPr>
            <w:tcW w:w="3780" w:type="dxa"/>
            <w:vAlign w:val="center"/>
          </w:tcPr>
          <w:p w:rsidR="00843F73" w:rsidRDefault="004621CD" w:rsidP="00843F73">
            <w:pPr>
              <w:jc w:val="center"/>
              <w:rPr>
                <w:rFonts w:ascii="Times New Roman" w:hAnsi="Times New Roman"/>
                <w:szCs w:val="20"/>
              </w:rPr>
            </w:pPr>
            <w:r>
              <w:rPr>
                <w:rFonts w:ascii="Times New Roman" w:hAnsi="Times New Roman"/>
                <w:szCs w:val="20"/>
              </w:rPr>
              <w:t>Mineral</w:t>
            </w:r>
            <w:r w:rsidR="00CC4D77">
              <w:rPr>
                <w:rFonts w:ascii="Times New Roman" w:hAnsi="Times New Roman"/>
                <w:szCs w:val="20"/>
              </w:rPr>
              <w:t xml:space="preserve"> group</w:t>
            </w:r>
            <w:r w:rsidR="00843F73">
              <w:rPr>
                <w:rFonts w:ascii="Times New Roman" w:hAnsi="Times New Roman"/>
                <w:szCs w:val="20"/>
              </w:rPr>
              <w:t xml:space="preserve"> RA</w:t>
            </w:r>
          </w:p>
          <w:p w:rsidR="00951A71" w:rsidRPr="00843F73" w:rsidRDefault="00951A71" w:rsidP="00843F73">
            <w:pPr>
              <w:jc w:val="center"/>
              <w:rPr>
                <w:rFonts w:ascii="Times New Roman" w:hAnsi="Times New Roman"/>
                <w:szCs w:val="20"/>
              </w:rPr>
            </w:pPr>
            <w:r w:rsidRPr="00951A71">
              <w:rPr>
                <w:rFonts w:ascii="Times New Roman" w:hAnsi="Times New Roman"/>
                <w:szCs w:val="20"/>
              </w:rPr>
              <w:t>(rutile, apatite)</w:t>
            </w:r>
          </w:p>
        </w:tc>
        <w:tc>
          <w:tcPr>
            <w:tcW w:w="2430" w:type="dxa"/>
            <w:vAlign w:val="center"/>
          </w:tcPr>
          <w:p w:rsidR="00843F73" w:rsidRPr="00843F73" w:rsidRDefault="00843F73" w:rsidP="00843F73">
            <w:pPr>
              <w:jc w:val="center"/>
              <w:rPr>
                <w:rFonts w:ascii="Times New Roman" w:hAnsi="Times New Roman"/>
                <w:szCs w:val="20"/>
              </w:rPr>
            </w:pPr>
            <w:r>
              <w:rPr>
                <w:rFonts w:ascii="Times New Roman" w:hAnsi="Times New Roman"/>
                <w:szCs w:val="20"/>
              </w:rPr>
              <w:t>179-200</w:t>
            </w:r>
          </w:p>
        </w:tc>
      </w:tr>
      <w:tr w:rsidR="00843F73" w:rsidTr="004621CD">
        <w:trPr>
          <w:jc w:val="center"/>
        </w:trPr>
        <w:tc>
          <w:tcPr>
            <w:tcW w:w="3780" w:type="dxa"/>
            <w:vAlign w:val="center"/>
          </w:tcPr>
          <w:p w:rsidR="00843F73" w:rsidRDefault="004621CD" w:rsidP="00843F73">
            <w:pPr>
              <w:jc w:val="center"/>
              <w:rPr>
                <w:rFonts w:ascii="Times New Roman" w:hAnsi="Times New Roman"/>
                <w:szCs w:val="20"/>
              </w:rPr>
            </w:pPr>
            <w:r>
              <w:rPr>
                <w:rFonts w:ascii="Times New Roman" w:hAnsi="Times New Roman"/>
                <w:szCs w:val="20"/>
              </w:rPr>
              <w:t>Mineral</w:t>
            </w:r>
            <w:r w:rsidR="00CC4D77">
              <w:rPr>
                <w:rFonts w:ascii="Times New Roman" w:hAnsi="Times New Roman"/>
                <w:szCs w:val="20"/>
              </w:rPr>
              <w:t xml:space="preserve"> group</w:t>
            </w:r>
            <w:r w:rsidR="00843F73">
              <w:rPr>
                <w:rFonts w:ascii="Times New Roman" w:hAnsi="Times New Roman"/>
                <w:szCs w:val="20"/>
              </w:rPr>
              <w:t xml:space="preserve"> P</w:t>
            </w:r>
          </w:p>
          <w:p w:rsidR="00951A71" w:rsidRPr="00951A71" w:rsidRDefault="00951A71" w:rsidP="00843F73">
            <w:pPr>
              <w:jc w:val="center"/>
              <w:rPr>
                <w:rFonts w:ascii="Times New Roman" w:hAnsi="Times New Roman"/>
                <w:szCs w:val="20"/>
              </w:rPr>
            </w:pPr>
            <w:bookmarkStart w:id="89" w:name="OLE_LINK140"/>
            <w:bookmarkStart w:id="90" w:name="OLE_LINK141"/>
            <w:r w:rsidRPr="00951A71">
              <w:t>(pyrite)</w:t>
            </w:r>
            <w:bookmarkEnd w:id="89"/>
            <w:bookmarkEnd w:id="90"/>
          </w:p>
        </w:tc>
        <w:tc>
          <w:tcPr>
            <w:tcW w:w="2430" w:type="dxa"/>
            <w:vAlign w:val="center"/>
          </w:tcPr>
          <w:p w:rsidR="00843F73" w:rsidRPr="00843F73" w:rsidRDefault="00843F73" w:rsidP="00843F73">
            <w:pPr>
              <w:jc w:val="center"/>
              <w:rPr>
                <w:rFonts w:ascii="Times New Roman" w:hAnsi="Times New Roman"/>
                <w:szCs w:val="20"/>
              </w:rPr>
            </w:pPr>
            <w:r>
              <w:rPr>
                <w:rFonts w:ascii="Times New Roman" w:hAnsi="Times New Roman"/>
                <w:szCs w:val="20"/>
              </w:rPr>
              <w:t>201-255</w:t>
            </w:r>
          </w:p>
        </w:tc>
      </w:tr>
    </w:tbl>
    <w:p w:rsidR="00A0269F" w:rsidRDefault="00A0269F" w:rsidP="00A0269F">
      <w:pPr>
        <w:jc w:val="both"/>
        <w:rPr>
          <w:rFonts w:ascii="Times New Roman" w:hAnsi="Times New Roman"/>
          <w:szCs w:val="20"/>
        </w:rPr>
      </w:pPr>
    </w:p>
    <w:p w:rsidR="00A0269F" w:rsidRDefault="00A0269F" w:rsidP="00A0269F">
      <w:pPr>
        <w:jc w:val="center"/>
        <w:rPr>
          <w:i/>
        </w:rPr>
      </w:pPr>
      <w:bookmarkStart w:id="91" w:name="OLE_LINK38"/>
      <w:r>
        <w:rPr>
          <w:i/>
        </w:rPr>
        <w:t>3.2.1 SEM Segmentation – Pore and Organic Matter</w:t>
      </w:r>
    </w:p>
    <w:bookmarkEnd w:id="91"/>
    <w:p w:rsidR="00A0269F" w:rsidRDefault="00A0269F" w:rsidP="00A0269F">
      <w:pPr>
        <w:jc w:val="center"/>
        <w:rPr>
          <w:i/>
        </w:rPr>
      </w:pPr>
    </w:p>
    <w:p w:rsidR="006F1DF3" w:rsidRPr="00A0269F" w:rsidRDefault="00A0269F" w:rsidP="00A0269F">
      <w:pPr>
        <w:jc w:val="both"/>
      </w:pPr>
      <w:r>
        <w:lastRenderedPageBreak/>
        <w:t xml:space="preserve">Pore and organic matter are the </w:t>
      </w:r>
      <w:r w:rsidR="00E43D89">
        <w:t>lowest density</w:t>
      </w:r>
      <w:r>
        <w:t xml:space="preserve"> components in shale microstructure, hence pore</w:t>
      </w:r>
      <w:r w:rsidR="00972039">
        <w:t>s</w:t>
      </w:r>
      <w:r>
        <w:t xml:space="preserve"> </w:t>
      </w:r>
      <w:r w:rsidR="00972039">
        <w:t>are</w:t>
      </w:r>
      <w:r>
        <w:t xml:space="preserve"> the darkest and organic matter is the second darkest f</w:t>
      </w:r>
      <w:r w:rsidR="00137000">
        <w:t>eature presented on the SEM map</w:t>
      </w:r>
      <w:r>
        <w:t>.</w:t>
      </w:r>
      <w:r w:rsidR="00137000">
        <w:t xml:space="preserve"> </w:t>
      </w:r>
      <w:r w:rsidR="00DC1817">
        <w:rPr>
          <w:rFonts w:ascii="Times New Roman" w:hAnsi="Times New Roman"/>
          <w:b/>
          <w:szCs w:val="20"/>
        </w:rPr>
        <w:t xml:space="preserve">Fig </w:t>
      </w:r>
      <w:r w:rsidR="00137000">
        <w:rPr>
          <w:rFonts w:ascii="Times New Roman" w:hAnsi="Times New Roman"/>
          <w:b/>
          <w:szCs w:val="20"/>
        </w:rPr>
        <w:t>3.</w:t>
      </w:r>
      <w:r w:rsidR="006F1DF3" w:rsidRPr="006F1DF3">
        <w:rPr>
          <w:rFonts w:ascii="Times New Roman" w:hAnsi="Times New Roman"/>
          <w:b/>
          <w:szCs w:val="20"/>
        </w:rPr>
        <w:t xml:space="preserve">2 </w:t>
      </w:r>
      <w:r w:rsidR="006F1DF3" w:rsidRPr="006F1DF3">
        <w:rPr>
          <w:rFonts w:ascii="Times New Roman" w:hAnsi="Times New Roman"/>
          <w:szCs w:val="20"/>
        </w:rPr>
        <w:t>illustrates an example of how pore and organic matter are segmented from an SEM image. The threshold values are determined manually for each component and the gray scale image is converted into binary image.</w:t>
      </w:r>
    </w:p>
    <w:p w:rsidR="006F1DF3" w:rsidRPr="00B43928" w:rsidRDefault="006F1DF3" w:rsidP="00A0269F">
      <w:pPr>
        <w:jc w:val="both"/>
        <w:rPr>
          <w:rFonts w:ascii="Times New Roman" w:hAnsi="Times New Roman"/>
        </w:rPr>
      </w:pPr>
    </w:p>
    <w:bookmarkEnd w:id="83"/>
    <w:bookmarkEnd w:id="84"/>
    <w:p w:rsidR="00A0269F" w:rsidRPr="006204F6" w:rsidRDefault="00A0269F" w:rsidP="00A0269F">
      <w:pPr>
        <w:jc w:val="center"/>
        <w:rPr>
          <w:b/>
          <w:i/>
        </w:rPr>
      </w:pPr>
      <w:r w:rsidRPr="006204F6">
        <w:rPr>
          <w:b/>
          <w:i/>
        </w:rPr>
        <w:t>3.2.</w:t>
      </w:r>
      <w:r w:rsidR="004A6535" w:rsidRPr="006204F6">
        <w:rPr>
          <w:b/>
          <w:i/>
        </w:rPr>
        <w:t>3</w:t>
      </w:r>
      <w:r w:rsidRPr="006204F6">
        <w:rPr>
          <w:b/>
          <w:i/>
        </w:rPr>
        <w:t xml:space="preserve"> SEM Segmentation – </w:t>
      </w:r>
      <w:r w:rsidR="004621CD">
        <w:rPr>
          <w:b/>
          <w:i/>
        </w:rPr>
        <w:t>Mineral</w:t>
      </w:r>
      <w:r w:rsidRPr="006204F6">
        <w:rPr>
          <w:b/>
          <w:i/>
        </w:rPr>
        <w:t xml:space="preserve">ogy </w:t>
      </w:r>
      <w:r w:rsidR="004A6535" w:rsidRPr="006204F6">
        <w:rPr>
          <w:b/>
          <w:i/>
        </w:rPr>
        <w:t>B</w:t>
      </w:r>
      <w:r w:rsidRPr="006204F6">
        <w:rPr>
          <w:b/>
          <w:i/>
        </w:rPr>
        <w:t>reakdown</w:t>
      </w:r>
    </w:p>
    <w:p w:rsidR="00B43928" w:rsidRDefault="00B43928" w:rsidP="00A0269F">
      <w:pPr>
        <w:jc w:val="both"/>
      </w:pPr>
    </w:p>
    <w:p w:rsidR="00F81BA5" w:rsidRDefault="00F73AA5" w:rsidP="00B17778">
      <w:pPr>
        <w:jc w:val="both"/>
        <w:rPr>
          <w:rFonts w:ascii="Times New Roman" w:hAnsi="Times New Roman"/>
        </w:rPr>
      </w:pPr>
      <w:r>
        <w:rPr>
          <w:rFonts w:ascii="Times New Roman" w:hAnsi="Times New Roman"/>
        </w:rPr>
        <w:t>Besides p</w:t>
      </w:r>
      <w:r w:rsidRPr="00365C05">
        <w:rPr>
          <w:rFonts w:ascii="Times New Roman" w:hAnsi="Times New Roman"/>
        </w:rPr>
        <w:t xml:space="preserve">orosity and organic matter, </w:t>
      </w:r>
      <w:r w:rsidR="004621CD">
        <w:rPr>
          <w:rFonts w:ascii="Times New Roman" w:hAnsi="Times New Roman"/>
        </w:rPr>
        <w:t>mineral</w:t>
      </w:r>
      <w:r w:rsidRPr="00365C05">
        <w:rPr>
          <w:rFonts w:ascii="Times New Roman" w:hAnsi="Times New Roman"/>
        </w:rPr>
        <w:t xml:space="preserve">s with different densities </w:t>
      </w:r>
      <w:r w:rsidR="00137000">
        <w:rPr>
          <w:rFonts w:ascii="Times New Roman" w:hAnsi="Times New Roman"/>
        </w:rPr>
        <w:t>presents</w:t>
      </w:r>
      <w:r w:rsidRPr="00365C05">
        <w:rPr>
          <w:rFonts w:ascii="Times New Roman" w:hAnsi="Times New Roman"/>
        </w:rPr>
        <w:t xml:space="preserve"> a</w:t>
      </w:r>
      <w:r w:rsidR="00972039">
        <w:rPr>
          <w:rFonts w:ascii="Times New Roman" w:hAnsi="Times New Roman"/>
        </w:rPr>
        <w:t>s</w:t>
      </w:r>
      <w:r w:rsidRPr="00365C05">
        <w:rPr>
          <w:rFonts w:ascii="Times New Roman" w:hAnsi="Times New Roman"/>
        </w:rPr>
        <w:t xml:space="preserve"> different sha</w:t>
      </w:r>
      <w:r>
        <w:rPr>
          <w:rFonts w:ascii="Times New Roman" w:hAnsi="Times New Roman"/>
        </w:rPr>
        <w:t xml:space="preserve">des </w:t>
      </w:r>
      <w:r w:rsidR="00137000">
        <w:rPr>
          <w:rFonts w:ascii="Times New Roman" w:hAnsi="Times New Roman"/>
        </w:rPr>
        <w:t>of</w:t>
      </w:r>
      <w:r>
        <w:rPr>
          <w:rFonts w:ascii="Times New Roman" w:hAnsi="Times New Roman"/>
        </w:rPr>
        <w:t xml:space="preserve"> a gray</w:t>
      </w:r>
      <w:r w:rsidR="00137000">
        <w:rPr>
          <w:rFonts w:ascii="Times New Roman" w:hAnsi="Times New Roman"/>
        </w:rPr>
        <w:t xml:space="preserve"> in</w:t>
      </w:r>
      <w:r>
        <w:rPr>
          <w:rFonts w:ascii="Times New Roman" w:hAnsi="Times New Roman"/>
        </w:rPr>
        <w:t xml:space="preserve"> </w:t>
      </w:r>
      <w:r w:rsidR="00C43660">
        <w:rPr>
          <w:rFonts w:ascii="Times New Roman" w:hAnsi="Times New Roman"/>
        </w:rPr>
        <w:t>an SEM image</w:t>
      </w:r>
      <w:r>
        <w:rPr>
          <w:rFonts w:ascii="Times New Roman" w:hAnsi="Times New Roman"/>
        </w:rPr>
        <w:t xml:space="preserve">s. Due to their much higher density, </w:t>
      </w:r>
      <w:r w:rsidR="004621CD">
        <w:rPr>
          <w:rFonts w:ascii="Times New Roman" w:hAnsi="Times New Roman"/>
        </w:rPr>
        <w:t>mineral</w:t>
      </w:r>
      <w:r>
        <w:rPr>
          <w:rFonts w:ascii="Times New Roman" w:hAnsi="Times New Roman"/>
        </w:rPr>
        <w:t>s appear as much brighter features compa</w:t>
      </w:r>
      <w:r w:rsidR="00137000">
        <w:rPr>
          <w:rFonts w:ascii="Times New Roman" w:hAnsi="Times New Roman"/>
        </w:rPr>
        <w:t>red to pores and organic matter</w:t>
      </w:r>
      <w:r>
        <w:rPr>
          <w:rFonts w:ascii="Times New Roman" w:hAnsi="Times New Roman"/>
        </w:rPr>
        <w:t xml:space="preserve">. Based on gray scale, four major groups of </w:t>
      </w:r>
      <w:r w:rsidR="004621CD">
        <w:rPr>
          <w:rFonts w:ascii="Times New Roman" w:hAnsi="Times New Roman"/>
        </w:rPr>
        <w:t>mineral</w:t>
      </w:r>
      <w:r w:rsidR="00CF2D46">
        <w:rPr>
          <w:rFonts w:ascii="Times New Roman" w:hAnsi="Times New Roman"/>
        </w:rPr>
        <w:t>s</w:t>
      </w:r>
      <w:r>
        <w:rPr>
          <w:rFonts w:ascii="Times New Roman" w:hAnsi="Times New Roman"/>
        </w:rPr>
        <w:t xml:space="preserve"> are recognized and separated: </w:t>
      </w:r>
      <w:r w:rsidR="00CC4D77">
        <w:rPr>
          <w:rFonts w:ascii="Times New Roman" w:hAnsi="Times New Roman"/>
        </w:rPr>
        <w:t>g</w:t>
      </w:r>
      <w:r w:rsidR="00485EEE">
        <w:rPr>
          <w:rFonts w:ascii="Times New Roman" w:hAnsi="Times New Roman"/>
        </w:rPr>
        <w:t>roup SCl</w:t>
      </w:r>
      <w:r>
        <w:rPr>
          <w:rFonts w:ascii="Times New Roman" w:hAnsi="Times New Roman"/>
        </w:rPr>
        <w:t xml:space="preserve"> including silica, clays (kaolinite and illite), magnesium rich dolomite, and feldspar</w:t>
      </w:r>
      <w:r w:rsidR="00DF5C72">
        <w:rPr>
          <w:rFonts w:ascii="Times New Roman" w:hAnsi="Times New Roman"/>
        </w:rPr>
        <w:t>;</w:t>
      </w:r>
      <w:r>
        <w:rPr>
          <w:rFonts w:ascii="Times New Roman" w:hAnsi="Times New Roman"/>
        </w:rPr>
        <w:t xml:space="preserve"> </w:t>
      </w:r>
      <w:r w:rsidR="00CC4D77">
        <w:rPr>
          <w:rFonts w:ascii="Times New Roman" w:hAnsi="Times New Roman"/>
        </w:rPr>
        <w:t>g</w:t>
      </w:r>
      <w:r w:rsidR="00485EEE">
        <w:rPr>
          <w:rFonts w:ascii="Times New Roman" w:hAnsi="Times New Roman"/>
        </w:rPr>
        <w:t>roup CCl</w:t>
      </w:r>
      <w:r>
        <w:rPr>
          <w:rFonts w:ascii="Times New Roman" w:hAnsi="Times New Roman"/>
        </w:rPr>
        <w:t xml:space="preserve"> including calcite, clays (chlorite), iron rich d</w:t>
      </w:r>
      <w:r w:rsidR="00DF5C72">
        <w:rPr>
          <w:rFonts w:ascii="Times New Roman" w:hAnsi="Times New Roman"/>
        </w:rPr>
        <w:t>olomite, and potassium feldspar;</w:t>
      </w:r>
      <w:r>
        <w:rPr>
          <w:rFonts w:ascii="Times New Roman" w:hAnsi="Times New Roman"/>
        </w:rPr>
        <w:t xml:space="preserve"> </w:t>
      </w:r>
      <w:r w:rsidR="00CC4D77">
        <w:rPr>
          <w:rFonts w:ascii="Times New Roman" w:hAnsi="Times New Roman"/>
        </w:rPr>
        <w:t>g</w:t>
      </w:r>
      <w:r w:rsidR="00485EEE">
        <w:rPr>
          <w:rFonts w:ascii="Times New Roman" w:hAnsi="Times New Roman"/>
        </w:rPr>
        <w:t>roup RA</w:t>
      </w:r>
      <w:r w:rsidR="00DF5C72">
        <w:rPr>
          <w:rFonts w:ascii="Times New Roman" w:hAnsi="Times New Roman"/>
        </w:rPr>
        <w:t xml:space="preserve"> including rutile and apatite;</w:t>
      </w:r>
      <w:r>
        <w:rPr>
          <w:rFonts w:ascii="Times New Roman" w:hAnsi="Times New Roman"/>
        </w:rPr>
        <w:t xml:space="preserve"> and </w:t>
      </w:r>
      <w:r w:rsidR="00CC4D77">
        <w:rPr>
          <w:rFonts w:ascii="Times New Roman" w:hAnsi="Times New Roman"/>
        </w:rPr>
        <w:t>g</w:t>
      </w:r>
      <w:r w:rsidR="00485EEE">
        <w:rPr>
          <w:rFonts w:ascii="Times New Roman" w:hAnsi="Times New Roman"/>
        </w:rPr>
        <w:t>roup P</w:t>
      </w:r>
      <w:r>
        <w:rPr>
          <w:rFonts w:ascii="Times New Roman" w:hAnsi="Times New Roman"/>
        </w:rPr>
        <w:t xml:space="preserve"> including pyrite. </w:t>
      </w:r>
      <w:r w:rsidR="00CF2D46">
        <w:rPr>
          <w:rFonts w:ascii="Times New Roman" w:hAnsi="Times New Roman"/>
        </w:rPr>
        <w:t xml:space="preserve">Because the gray values of certain </w:t>
      </w:r>
      <w:r w:rsidR="004621CD">
        <w:rPr>
          <w:rFonts w:ascii="Times New Roman" w:hAnsi="Times New Roman"/>
        </w:rPr>
        <w:t>mineral</w:t>
      </w:r>
      <w:r w:rsidR="00CF2D46">
        <w:rPr>
          <w:rFonts w:ascii="Times New Roman" w:hAnsi="Times New Roman"/>
        </w:rPr>
        <w:t xml:space="preserve">s in each group are very </w:t>
      </w:r>
      <w:r w:rsidR="00E43D89">
        <w:rPr>
          <w:rFonts w:ascii="Times New Roman" w:hAnsi="Times New Roman"/>
        </w:rPr>
        <w:t>similar</w:t>
      </w:r>
      <w:r w:rsidR="00CF2D46">
        <w:rPr>
          <w:rFonts w:ascii="Times New Roman" w:hAnsi="Times New Roman"/>
        </w:rPr>
        <w:t xml:space="preserve"> </w:t>
      </w:r>
      <w:r w:rsidR="009B1098">
        <w:rPr>
          <w:rFonts w:ascii="Times New Roman" w:hAnsi="Times New Roman"/>
        </w:rPr>
        <w:t xml:space="preserve">or overlapping </w:t>
      </w:r>
      <w:r w:rsidR="00CF2D46">
        <w:rPr>
          <w:rFonts w:ascii="Times New Roman" w:hAnsi="Times New Roman"/>
        </w:rPr>
        <w:t xml:space="preserve">(especially in </w:t>
      </w:r>
      <w:r w:rsidR="00CC4D77">
        <w:rPr>
          <w:rFonts w:ascii="Times New Roman" w:hAnsi="Times New Roman"/>
        </w:rPr>
        <w:t>g</w:t>
      </w:r>
      <w:r w:rsidR="00485EEE">
        <w:rPr>
          <w:rFonts w:ascii="Times New Roman" w:hAnsi="Times New Roman"/>
        </w:rPr>
        <w:t>roup SCl</w:t>
      </w:r>
      <w:r w:rsidR="00CF2D46">
        <w:rPr>
          <w:rFonts w:ascii="Times New Roman" w:hAnsi="Times New Roman"/>
        </w:rPr>
        <w:t xml:space="preserve"> and </w:t>
      </w:r>
      <w:r w:rsidR="00CC4D77">
        <w:rPr>
          <w:rFonts w:ascii="Times New Roman" w:hAnsi="Times New Roman"/>
        </w:rPr>
        <w:t>g</w:t>
      </w:r>
      <w:r w:rsidR="00485EEE">
        <w:rPr>
          <w:rFonts w:ascii="Times New Roman" w:hAnsi="Times New Roman"/>
        </w:rPr>
        <w:t>roup CCl</w:t>
      </w:r>
      <w:r w:rsidR="00CF2D46">
        <w:rPr>
          <w:rFonts w:ascii="Times New Roman" w:hAnsi="Times New Roman"/>
        </w:rPr>
        <w:t xml:space="preserve">), they can not be separated </w:t>
      </w:r>
      <w:r w:rsidR="008B5116">
        <w:rPr>
          <w:rFonts w:ascii="Times New Roman" w:hAnsi="Times New Roman"/>
        </w:rPr>
        <w:t xml:space="preserve">from each other based on gray scales. </w:t>
      </w:r>
      <w:r w:rsidR="008B5116">
        <w:rPr>
          <w:rFonts w:ascii="Times New Roman" w:hAnsi="Times New Roman"/>
          <w:b/>
        </w:rPr>
        <w:t xml:space="preserve">Fig </w:t>
      </w:r>
      <w:r w:rsidRPr="008B5116">
        <w:rPr>
          <w:rFonts w:ascii="Times New Roman" w:hAnsi="Times New Roman"/>
          <w:b/>
        </w:rPr>
        <w:t>3.3</w:t>
      </w:r>
      <w:r>
        <w:rPr>
          <w:rFonts w:ascii="Times New Roman" w:hAnsi="Times New Roman"/>
          <w:b/>
        </w:rPr>
        <w:t xml:space="preserve"> </w:t>
      </w:r>
      <w:r>
        <w:rPr>
          <w:rFonts w:ascii="Times New Roman" w:hAnsi="Times New Roman"/>
        </w:rPr>
        <w:t xml:space="preserve">shows an example of how the four major groups of </w:t>
      </w:r>
      <w:r w:rsidR="004621CD">
        <w:rPr>
          <w:rFonts w:ascii="Times New Roman" w:hAnsi="Times New Roman"/>
        </w:rPr>
        <w:t>mineral</w:t>
      </w:r>
      <w:r w:rsidR="00CF2D46">
        <w:rPr>
          <w:rFonts w:ascii="Times New Roman" w:hAnsi="Times New Roman"/>
        </w:rPr>
        <w:t>s</w:t>
      </w:r>
      <w:r>
        <w:rPr>
          <w:rFonts w:ascii="Times New Roman" w:hAnsi="Times New Roman"/>
        </w:rPr>
        <w:t xml:space="preserve"> are segmented from an SEM image from sample #1. </w:t>
      </w:r>
      <w:r w:rsidR="00E43D89">
        <w:rPr>
          <w:rFonts w:ascii="Times New Roman" w:hAnsi="Times New Roman"/>
        </w:rPr>
        <w:t>Note</w:t>
      </w:r>
      <w:r>
        <w:rPr>
          <w:rFonts w:ascii="Times New Roman" w:hAnsi="Times New Roman"/>
        </w:rPr>
        <w:t xml:space="preserve"> the </w:t>
      </w:r>
      <w:r w:rsidR="004621CD">
        <w:rPr>
          <w:rFonts w:ascii="Times New Roman" w:hAnsi="Times New Roman"/>
        </w:rPr>
        <w:t>mineral</w:t>
      </w:r>
      <w:r>
        <w:rPr>
          <w:rFonts w:ascii="Times New Roman" w:hAnsi="Times New Roman"/>
        </w:rPr>
        <w:t xml:space="preserve"> grains in </w:t>
      </w:r>
      <w:r w:rsidR="00CC4D77">
        <w:rPr>
          <w:rFonts w:ascii="Times New Roman" w:hAnsi="Times New Roman"/>
        </w:rPr>
        <w:t>g</w:t>
      </w:r>
      <w:r w:rsidR="00485EEE">
        <w:rPr>
          <w:rFonts w:ascii="Times New Roman" w:hAnsi="Times New Roman"/>
        </w:rPr>
        <w:t>roup SCl</w:t>
      </w:r>
      <w:r w:rsidR="008B5116">
        <w:rPr>
          <w:rFonts w:ascii="Times New Roman" w:hAnsi="Times New Roman"/>
        </w:rPr>
        <w:t xml:space="preserve"> constitute</w:t>
      </w:r>
      <w:r>
        <w:rPr>
          <w:rFonts w:ascii="Times New Roman" w:hAnsi="Times New Roman"/>
        </w:rPr>
        <w:t xml:space="preserve"> to most of the microstructu</w:t>
      </w:r>
      <w:r w:rsidR="008B5116">
        <w:rPr>
          <w:rFonts w:ascii="Times New Roman" w:hAnsi="Times New Roman"/>
        </w:rPr>
        <w:t>re</w:t>
      </w:r>
      <w:r>
        <w:rPr>
          <w:rFonts w:ascii="Times New Roman" w:hAnsi="Times New Roman"/>
        </w:rPr>
        <w:t xml:space="preserve">. </w:t>
      </w:r>
      <w:r w:rsidR="008B5116">
        <w:rPr>
          <w:rFonts w:ascii="Times New Roman" w:hAnsi="Times New Roman"/>
        </w:rPr>
        <w:t>The m</w:t>
      </w:r>
      <w:r>
        <w:rPr>
          <w:rFonts w:ascii="Times New Roman" w:hAnsi="Times New Roman"/>
        </w:rPr>
        <w:t xml:space="preserve">ajority of the </w:t>
      </w:r>
      <w:r w:rsidR="004621CD">
        <w:rPr>
          <w:rFonts w:ascii="Times New Roman" w:hAnsi="Times New Roman"/>
        </w:rPr>
        <w:t>mineral</w:t>
      </w:r>
      <w:r>
        <w:rPr>
          <w:rFonts w:ascii="Times New Roman" w:hAnsi="Times New Roman"/>
        </w:rPr>
        <w:t xml:space="preserve">s in this group are large quartz grains mixing with numerous clays. Majority of the </w:t>
      </w:r>
      <w:r w:rsidR="004621CD">
        <w:rPr>
          <w:rFonts w:ascii="Times New Roman" w:hAnsi="Times New Roman"/>
        </w:rPr>
        <w:t>mineral</w:t>
      </w:r>
      <w:r>
        <w:rPr>
          <w:rFonts w:ascii="Times New Roman" w:hAnsi="Times New Roman"/>
        </w:rPr>
        <w:t xml:space="preserve">s in </w:t>
      </w:r>
      <w:r w:rsidR="00CC4D77">
        <w:rPr>
          <w:rFonts w:ascii="Times New Roman" w:hAnsi="Times New Roman"/>
        </w:rPr>
        <w:t>g</w:t>
      </w:r>
      <w:r w:rsidR="00485EEE">
        <w:rPr>
          <w:rFonts w:ascii="Times New Roman" w:hAnsi="Times New Roman"/>
        </w:rPr>
        <w:t>roup CCl</w:t>
      </w:r>
      <w:r>
        <w:rPr>
          <w:rFonts w:ascii="Times New Roman" w:hAnsi="Times New Roman"/>
        </w:rPr>
        <w:t xml:space="preserve"> are highly elongated clays and large to average sized cal</w:t>
      </w:r>
      <w:r w:rsidR="00CD5D04">
        <w:rPr>
          <w:rFonts w:ascii="Times New Roman" w:hAnsi="Times New Roman"/>
        </w:rPr>
        <w:t>cite and dolomite grains. C</w:t>
      </w:r>
      <w:r>
        <w:rPr>
          <w:rFonts w:ascii="Times New Roman" w:hAnsi="Times New Roman"/>
        </w:rPr>
        <w:t xml:space="preserve">ompared to </w:t>
      </w:r>
      <w:r w:rsidR="00CC4D77">
        <w:rPr>
          <w:rFonts w:ascii="Times New Roman" w:hAnsi="Times New Roman"/>
        </w:rPr>
        <w:t>g</w:t>
      </w:r>
      <w:r w:rsidR="00485EEE">
        <w:rPr>
          <w:rFonts w:ascii="Times New Roman" w:hAnsi="Times New Roman"/>
        </w:rPr>
        <w:t>roup SCl</w:t>
      </w:r>
      <w:r>
        <w:rPr>
          <w:rFonts w:ascii="Times New Roman" w:hAnsi="Times New Roman"/>
        </w:rPr>
        <w:t xml:space="preserve">, clays in </w:t>
      </w:r>
      <w:r w:rsidR="00CC4D77">
        <w:rPr>
          <w:rFonts w:ascii="Times New Roman" w:hAnsi="Times New Roman"/>
        </w:rPr>
        <w:t>g</w:t>
      </w:r>
      <w:r w:rsidR="00485EEE">
        <w:rPr>
          <w:rFonts w:ascii="Times New Roman" w:hAnsi="Times New Roman"/>
        </w:rPr>
        <w:t>roup CCl</w:t>
      </w:r>
      <w:r>
        <w:rPr>
          <w:rFonts w:ascii="Times New Roman" w:hAnsi="Times New Roman"/>
        </w:rPr>
        <w:t xml:space="preserve"> are more</w:t>
      </w:r>
      <w:r w:rsidR="00E43D89">
        <w:rPr>
          <w:rFonts w:ascii="Times New Roman" w:hAnsi="Times New Roman"/>
        </w:rPr>
        <w:t xml:space="preserve"> abundant</w:t>
      </w:r>
      <w:r>
        <w:rPr>
          <w:rFonts w:ascii="Times New Roman" w:hAnsi="Times New Roman"/>
        </w:rPr>
        <w:t xml:space="preserve">. Only a few </w:t>
      </w:r>
      <w:r w:rsidR="004621CD">
        <w:rPr>
          <w:rFonts w:ascii="Times New Roman" w:hAnsi="Times New Roman"/>
        </w:rPr>
        <w:t>mineral</w:t>
      </w:r>
      <w:r>
        <w:rPr>
          <w:rFonts w:ascii="Times New Roman" w:hAnsi="Times New Roman"/>
        </w:rPr>
        <w:t xml:space="preserve"> </w:t>
      </w:r>
      <w:r>
        <w:rPr>
          <w:rFonts w:ascii="Times New Roman" w:hAnsi="Times New Roman"/>
        </w:rPr>
        <w:lastRenderedPageBreak/>
        <w:t xml:space="preserve">grains are observed in </w:t>
      </w:r>
      <w:r w:rsidR="00F3616C">
        <w:rPr>
          <w:rFonts w:ascii="Times New Roman" w:hAnsi="Times New Roman"/>
        </w:rPr>
        <w:t>g</w:t>
      </w:r>
      <w:r w:rsidR="00485EEE">
        <w:rPr>
          <w:rFonts w:ascii="Times New Roman" w:hAnsi="Times New Roman"/>
        </w:rPr>
        <w:t>roup RA</w:t>
      </w:r>
      <w:r>
        <w:rPr>
          <w:rFonts w:ascii="Times New Roman" w:hAnsi="Times New Roman"/>
        </w:rPr>
        <w:t xml:space="preserve"> and </w:t>
      </w:r>
      <w:r w:rsidR="0092173C">
        <w:rPr>
          <w:rFonts w:ascii="Times New Roman" w:hAnsi="Times New Roman"/>
        </w:rPr>
        <w:t>P</w:t>
      </w:r>
      <w:r>
        <w:rPr>
          <w:rFonts w:ascii="Times New Roman" w:hAnsi="Times New Roman"/>
        </w:rPr>
        <w:t>. Rutile and apatite grains (</w:t>
      </w:r>
      <w:r w:rsidR="00F3616C">
        <w:rPr>
          <w:rFonts w:ascii="Times New Roman" w:hAnsi="Times New Roman"/>
        </w:rPr>
        <w:t>g</w:t>
      </w:r>
      <w:r w:rsidR="00485EEE">
        <w:rPr>
          <w:rFonts w:ascii="Times New Roman" w:hAnsi="Times New Roman"/>
        </w:rPr>
        <w:t>roup RA</w:t>
      </w:r>
      <w:r>
        <w:rPr>
          <w:rFonts w:ascii="Times New Roman" w:hAnsi="Times New Roman"/>
        </w:rPr>
        <w:t>) tend to have smaller size than pyrite grains (</w:t>
      </w:r>
      <w:r w:rsidR="00F3616C">
        <w:rPr>
          <w:rFonts w:ascii="Times New Roman" w:hAnsi="Times New Roman"/>
        </w:rPr>
        <w:t>g</w:t>
      </w:r>
      <w:r w:rsidR="00485EEE">
        <w:rPr>
          <w:rFonts w:ascii="Times New Roman" w:hAnsi="Times New Roman"/>
        </w:rPr>
        <w:t>roup P</w:t>
      </w:r>
      <w:r>
        <w:rPr>
          <w:rFonts w:ascii="Times New Roman" w:hAnsi="Times New Roman"/>
        </w:rPr>
        <w:t xml:space="preserve">). </w:t>
      </w:r>
      <w:r w:rsidR="00DC1817" w:rsidRPr="00DC1817">
        <w:rPr>
          <w:rFonts w:ascii="Times New Roman" w:hAnsi="Times New Roman"/>
          <w:b/>
        </w:rPr>
        <w:t xml:space="preserve">Fig </w:t>
      </w:r>
      <w:r w:rsidRPr="00DC1817">
        <w:rPr>
          <w:rFonts w:ascii="Times New Roman" w:hAnsi="Times New Roman"/>
          <w:b/>
        </w:rPr>
        <w:t>3.4</w:t>
      </w:r>
      <w:r>
        <w:rPr>
          <w:rFonts w:ascii="Times New Roman" w:hAnsi="Times New Roman"/>
          <w:b/>
        </w:rPr>
        <w:t xml:space="preserve"> </w:t>
      </w:r>
      <w:r>
        <w:rPr>
          <w:rFonts w:ascii="Times New Roman" w:hAnsi="Times New Roman"/>
        </w:rPr>
        <w:t xml:space="preserve">illustrates how the </w:t>
      </w:r>
      <w:r w:rsidR="004621CD">
        <w:rPr>
          <w:rFonts w:ascii="Times New Roman" w:hAnsi="Times New Roman"/>
        </w:rPr>
        <w:t>mineral</w:t>
      </w:r>
      <w:r>
        <w:rPr>
          <w:rFonts w:ascii="Times New Roman" w:hAnsi="Times New Roman"/>
        </w:rPr>
        <w:t xml:space="preserve"> distribution observation is significantly enhanced by converting gray scale SEM map into color map with different colors represent different major </w:t>
      </w:r>
      <w:r w:rsidR="00951A71">
        <w:rPr>
          <w:rFonts w:ascii="Times New Roman" w:hAnsi="Times New Roman"/>
        </w:rPr>
        <w:t>m</w:t>
      </w:r>
      <w:r w:rsidR="00C74138">
        <w:rPr>
          <w:rFonts w:ascii="Times New Roman" w:hAnsi="Times New Roman"/>
        </w:rPr>
        <w:t>ineral groups</w:t>
      </w:r>
      <w:r>
        <w:rPr>
          <w:rFonts w:ascii="Times New Roman" w:hAnsi="Times New Roman"/>
        </w:rPr>
        <w:t xml:space="preserve"> as well as pore and organic matter.</w:t>
      </w:r>
      <w:r w:rsidR="00FD2633">
        <w:rPr>
          <w:rFonts w:ascii="Times New Roman" w:hAnsi="Times New Roman"/>
        </w:rPr>
        <w:t xml:space="preserve"> </w:t>
      </w:r>
    </w:p>
    <w:p w:rsidR="00FD2633" w:rsidRPr="008B5116" w:rsidRDefault="00FD2633" w:rsidP="00B17778">
      <w:pPr>
        <w:jc w:val="both"/>
        <w:rPr>
          <w:rFonts w:ascii="Times New Roman" w:hAnsi="Times New Roman"/>
        </w:rPr>
      </w:pPr>
    </w:p>
    <w:p w:rsidR="00B43928" w:rsidRDefault="00A0269F" w:rsidP="00B17778">
      <w:pPr>
        <w:jc w:val="both"/>
        <w:rPr>
          <w:rFonts w:ascii="Times New Roman" w:hAnsi="Times New Roman"/>
        </w:rPr>
      </w:pPr>
      <w:r>
        <w:rPr>
          <w:noProof/>
          <w:lang w:bidi="ar-SA"/>
        </w:rPr>
        <w:drawing>
          <wp:inline distT="0" distB="0" distL="0" distR="0" wp14:anchorId="7633A59C" wp14:editId="3665430A">
            <wp:extent cx="5394960" cy="473327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394960" cy="4733270"/>
                    </a:xfrm>
                    <a:prstGeom prst="rect">
                      <a:avLst/>
                    </a:prstGeom>
                  </pic:spPr>
                </pic:pic>
              </a:graphicData>
            </a:graphic>
          </wp:inline>
        </w:drawing>
      </w:r>
    </w:p>
    <w:p w:rsidR="003C3B4E" w:rsidRPr="00FD2633" w:rsidRDefault="00A0269F" w:rsidP="00B17778">
      <w:pPr>
        <w:jc w:val="both"/>
        <w:rPr>
          <w:rFonts w:ascii="Times New Roman" w:hAnsi="Times New Roman"/>
          <w:b/>
          <w:sz w:val="32"/>
        </w:rPr>
      </w:pPr>
      <w:r w:rsidRPr="00A0269F">
        <w:rPr>
          <w:rFonts w:ascii="Times New Roman" w:hAnsi="Times New Roman"/>
          <w:b/>
        </w:rPr>
        <w:t xml:space="preserve">Figure </w:t>
      </w:r>
      <w:r>
        <w:rPr>
          <w:rFonts w:ascii="Times New Roman" w:hAnsi="Times New Roman"/>
          <w:b/>
        </w:rPr>
        <w:t>3.2</w:t>
      </w:r>
      <w:r w:rsidRPr="00A0269F">
        <w:rPr>
          <w:rFonts w:ascii="Times New Roman" w:hAnsi="Times New Roman"/>
          <w:b/>
        </w:rPr>
        <w:t xml:space="preserve">: A) pores are segmented, i.e. that is defined through setting </w:t>
      </w:r>
      <w:r w:rsidR="000A112F">
        <w:rPr>
          <w:rFonts w:ascii="Times New Roman" w:hAnsi="Times New Roman"/>
          <w:b/>
        </w:rPr>
        <w:t>gray</w:t>
      </w:r>
      <w:r w:rsidRPr="00A0269F">
        <w:rPr>
          <w:rFonts w:ascii="Times New Roman" w:hAnsi="Times New Roman"/>
          <w:b/>
        </w:rPr>
        <w:t xml:space="preserve"> scale threshold</w:t>
      </w:r>
      <w:r w:rsidR="00C43660">
        <w:rPr>
          <w:rFonts w:ascii="Times New Roman" w:hAnsi="Times New Roman"/>
          <w:b/>
        </w:rPr>
        <w:t>s</w:t>
      </w:r>
      <w:r w:rsidRPr="00A0269F">
        <w:rPr>
          <w:rFonts w:ascii="Times New Roman" w:hAnsi="Times New Roman"/>
          <w:b/>
        </w:rPr>
        <w:t xml:space="preserve">. The left most image is the original, the middle image shows the pore highlighted in red and the right most image show the extracted pore areas, B) </w:t>
      </w:r>
      <w:r w:rsidRPr="00A0269F">
        <w:rPr>
          <w:rFonts w:ascii="Times New Roman" w:hAnsi="Times New Roman"/>
          <w:b/>
        </w:rPr>
        <w:lastRenderedPageBreak/>
        <w:t xml:space="preserve">organic matter is segmented in </w:t>
      </w:r>
      <w:r w:rsidR="00C43660">
        <w:rPr>
          <w:rFonts w:ascii="Times New Roman" w:hAnsi="Times New Roman"/>
          <w:b/>
        </w:rPr>
        <w:t>an SEM image</w:t>
      </w:r>
      <w:r w:rsidRPr="00A0269F">
        <w:rPr>
          <w:rFonts w:ascii="Times New Roman" w:hAnsi="Times New Roman"/>
          <w:b/>
        </w:rPr>
        <w:t>; organic matter is highlighted in blue. The sequence of images is the same as defined in A.</w:t>
      </w:r>
    </w:p>
    <w:p w:rsidR="00F73AA5" w:rsidRDefault="00485EEE" w:rsidP="00B17778">
      <w:pPr>
        <w:jc w:val="both"/>
        <w:rPr>
          <w:rFonts w:ascii="Times New Roman" w:hAnsi="Times New Roman"/>
        </w:rPr>
      </w:pPr>
      <w:r>
        <w:rPr>
          <w:noProof/>
          <w:lang w:bidi="ar-SA"/>
        </w:rPr>
        <w:drawing>
          <wp:inline distT="0" distB="0" distL="0" distR="0" wp14:anchorId="649DA7CA" wp14:editId="7FDBDE0F">
            <wp:extent cx="5394960" cy="345122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394960" cy="3451225"/>
                    </a:xfrm>
                    <a:prstGeom prst="rect">
                      <a:avLst/>
                    </a:prstGeom>
                  </pic:spPr>
                </pic:pic>
              </a:graphicData>
            </a:graphic>
          </wp:inline>
        </w:drawing>
      </w:r>
    </w:p>
    <w:p w:rsidR="00F73AA5" w:rsidRDefault="00F73AA5" w:rsidP="00F73AA5">
      <w:pPr>
        <w:jc w:val="both"/>
        <w:rPr>
          <w:rFonts w:ascii="Times New Roman" w:hAnsi="Times New Roman"/>
          <w:b/>
        </w:rPr>
      </w:pPr>
      <w:r w:rsidRPr="00A0269F">
        <w:rPr>
          <w:rFonts w:ascii="Times New Roman" w:hAnsi="Times New Roman"/>
          <w:b/>
        </w:rPr>
        <w:t xml:space="preserve">Figure </w:t>
      </w:r>
      <w:r>
        <w:rPr>
          <w:rFonts w:ascii="Times New Roman" w:hAnsi="Times New Roman"/>
          <w:b/>
        </w:rPr>
        <w:t>3.3</w:t>
      </w:r>
      <w:r w:rsidRPr="00A0269F">
        <w:rPr>
          <w:rFonts w:ascii="Times New Roman" w:hAnsi="Times New Roman"/>
          <w:b/>
        </w:rPr>
        <w:t>:</w:t>
      </w:r>
      <w:r>
        <w:rPr>
          <w:rFonts w:ascii="Times New Roman" w:hAnsi="Times New Roman"/>
          <w:b/>
        </w:rPr>
        <w:t xml:space="preserve"> </w:t>
      </w:r>
      <w:r w:rsidR="003C3B4E">
        <w:rPr>
          <w:rFonts w:ascii="Times New Roman" w:hAnsi="Times New Roman"/>
          <w:b/>
        </w:rPr>
        <w:t xml:space="preserve">Sample #1 </w:t>
      </w:r>
      <w:r w:rsidR="004621CD">
        <w:rPr>
          <w:rFonts w:ascii="Times New Roman" w:hAnsi="Times New Roman"/>
          <w:b/>
        </w:rPr>
        <w:t>mineral</w:t>
      </w:r>
      <w:r>
        <w:rPr>
          <w:rFonts w:ascii="Times New Roman" w:hAnsi="Times New Roman"/>
          <w:b/>
        </w:rPr>
        <w:t xml:space="preserve">s are segmented through setting </w:t>
      </w:r>
      <w:r w:rsidR="000A112F">
        <w:rPr>
          <w:rFonts w:ascii="Times New Roman" w:hAnsi="Times New Roman"/>
          <w:b/>
        </w:rPr>
        <w:t>gray</w:t>
      </w:r>
      <w:r>
        <w:rPr>
          <w:rFonts w:ascii="Times New Roman" w:hAnsi="Times New Roman"/>
          <w:b/>
        </w:rPr>
        <w:t xml:space="preserve"> scale threshold</w:t>
      </w:r>
      <w:r w:rsidR="000A112F">
        <w:rPr>
          <w:rFonts w:ascii="Times New Roman" w:hAnsi="Times New Roman"/>
          <w:b/>
        </w:rPr>
        <w:t>s</w:t>
      </w:r>
      <w:r>
        <w:rPr>
          <w:rFonts w:ascii="Times New Roman" w:hAnsi="Times New Roman"/>
          <w:b/>
        </w:rPr>
        <w:t xml:space="preserve">. </w:t>
      </w:r>
      <w:bookmarkStart w:id="92" w:name="OLE_LINK142"/>
      <w:bookmarkStart w:id="93" w:name="OLE_LINK143"/>
      <w:r w:rsidR="00931DF6">
        <w:rPr>
          <w:rFonts w:ascii="Times New Roman" w:hAnsi="Times New Roman"/>
          <w:b/>
        </w:rPr>
        <w:t xml:space="preserve">There are 4 major </w:t>
      </w:r>
      <w:r w:rsidR="00951A71">
        <w:rPr>
          <w:rFonts w:ascii="Times New Roman" w:hAnsi="Times New Roman"/>
          <w:b/>
        </w:rPr>
        <w:t>m</w:t>
      </w:r>
      <w:r w:rsidR="00C74138">
        <w:rPr>
          <w:rFonts w:ascii="Times New Roman" w:hAnsi="Times New Roman"/>
          <w:b/>
        </w:rPr>
        <w:t>ineral groups</w:t>
      </w:r>
      <w:r w:rsidR="00F3616C">
        <w:rPr>
          <w:rFonts w:ascii="Times New Roman" w:hAnsi="Times New Roman"/>
          <w:b/>
        </w:rPr>
        <w:t>: g</w:t>
      </w:r>
      <w:r w:rsidR="00931DF6">
        <w:rPr>
          <w:rFonts w:ascii="Times New Roman" w:hAnsi="Times New Roman"/>
          <w:b/>
        </w:rPr>
        <w:t>roup SCL (silica, clays, Mg-dol., feldspar)</w:t>
      </w:r>
      <w:r w:rsidR="00F3616C">
        <w:rPr>
          <w:rFonts w:ascii="Times New Roman" w:hAnsi="Times New Roman"/>
          <w:b/>
        </w:rPr>
        <w:t>, g</w:t>
      </w:r>
      <w:r w:rsidR="00931DF6">
        <w:rPr>
          <w:rFonts w:ascii="Times New Roman" w:hAnsi="Times New Roman"/>
          <w:b/>
        </w:rPr>
        <w:t>roup CCL (calcite, clays, Fe-dol.,</w:t>
      </w:r>
      <w:r w:rsidR="00F3616C">
        <w:rPr>
          <w:rFonts w:ascii="Times New Roman" w:hAnsi="Times New Roman"/>
          <w:b/>
        </w:rPr>
        <w:t xml:space="preserve"> K-feldspar), group RA (rutile, apatite), and g</w:t>
      </w:r>
      <w:r w:rsidR="00931DF6">
        <w:rPr>
          <w:rFonts w:ascii="Times New Roman" w:hAnsi="Times New Roman"/>
          <w:b/>
        </w:rPr>
        <w:t>roup P (pyrite)</w:t>
      </w:r>
      <w:bookmarkEnd w:id="92"/>
      <w:bookmarkEnd w:id="93"/>
      <w:r w:rsidR="00931DF6">
        <w:rPr>
          <w:rFonts w:ascii="Times New Roman" w:hAnsi="Times New Roman"/>
          <w:b/>
        </w:rPr>
        <w:t xml:space="preserve">. These </w:t>
      </w:r>
      <w:r>
        <w:rPr>
          <w:rFonts w:ascii="Times New Roman" w:hAnsi="Times New Roman"/>
          <w:b/>
        </w:rPr>
        <w:t>groups</w:t>
      </w:r>
      <w:r w:rsidR="00931DF6">
        <w:rPr>
          <w:rFonts w:ascii="Times New Roman" w:hAnsi="Times New Roman"/>
          <w:b/>
        </w:rPr>
        <w:t xml:space="preserve"> are</w:t>
      </w:r>
      <w:r>
        <w:rPr>
          <w:rFonts w:ascii="Times New Roman" w:hAnsi="Times New Roman"/>
          <w:b/>
        </w:rPr>
        <w:t xml:space="preserve"> highlighted in different colors with density range increas</w:t>
      </w:r>
      <w:r w:rsidR="00C43660">
        <w:rPr>
          <w:rFonts w:ascii="Times New Roman" w:hAnsi="Times New Roman"/>
          <w:b/>
        </w:rPr>
        <w:t>ing</w:t>
      </w:r>
      <w:r>
        <w:rPr>
          <w:rFonts w:ascii="Times New Roman" w:hAnsi="Times New Roman"/>
          <w:b/>
        </w:rPr>
        <w:t xml:space="preserve"> from the left to the right.</w:t>
      </w:r>
    </w:p>
    <w:p w:rsidR="003C3B4E" w:rsidRDefault="003C3B4E" w:rsidP="00F73AA5">
      <w:pPr>
        <w:jc w:val="both"/>
        <w:rPr>
          <w:rFonts w:ascii="Times New Roman" w:hAnsi="Times New Roman"/>
          <w:b/>
        </w:rPr>
      </w:pPr>
    </w:p>
    <w:p w:rsidR="003C3B4E" w:rsidRDefault="003C3B4E" w:rsidP="00F73AA5">
      <w:pPr>
        <w:jc w:val="both"/>
        <w:rPr>
          <w:rFonts w:ascii="Times New Roman" w:hAnsi="Times New Roman"/>
          <w:b/>
        </w:rPr>
      </w:pPr>
    </w:p>
    <w:p w:rsidR="003C3B4E" w:rsidRDefault="003C3B4E" w:rsidP="00F73AA5">
      <w:pPr>
        <w:jc w:val="both"/>
        <w:rPr>
          <w:rFonts w:ascii="Times New Roman" w:hAnsi="Times New Roman"/>
          <w:b/>
        </w:rPr>
      </w:pPr>
    </w:p>
    <w:p w:rsidR="003C3B4E" w:rsidRDefault="003C3B4E" w:rsidP="00F73AA5">
      <w:pPr>
        <w:jc w:val="both"/>
        <w:rPr>
          <w:rFonts w:ascii="Times New Roman" w:hAnsi="Times New Roman"/>
          <w:b/>
        </w:rPr>
      </w:pPr>
    </w:p>
    <w:p w:rsidR="003C3B4E" w:rsidRDefault="003C3B4E" w:rsidP="00F73AA5">
      <w:pPr>
        <w:jc w:val="both"/>
        <w:rPr>
          <w:rFonts w:ascii="Times New Roman" w:hAnsi="Times New Roman"/>
          <w:b/>
        </w:rPr>
      </w:pPr>
    </w:p>
    <w:p w:rsidR="003C3B4E" w:rsidRDefault="004C59E2" w:rsidP="00931DF6">
      <w:pPr>
        <w:jc w:val="center"/>
        <w:rPr>
          <w:rFonts w:ascii="Times New Roman" w:hAnsi="Times New Roman"/>
          <w:b/>
        </w:rPr>
      </w:pPr>
      <w:r>
        <w:rPr>
          <w:noProof/>
          <w:lang w:bidi="ar-SA"/>
        </w:rPr>
        <w:lastRenderedPageBreak/>
        <w:drawing>
          <wp:inline distT="0" distB="0" distL="0" distR="0" wp14:anchorId="7E28F2F2" wp14:editId="711CD4AF">
            <wp:extent cx="5162595" cy="638556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193442" cy="6423715"/>
                    </a:xfrm>
                    <a:prstGeom prst="rect">
                      <a:avLst/>
                    </a:prstGeom>
                  </pic:spPr>
                </pic:pic>
              </a:graphicData>
            </a:graphic>
          </wp:inline>
        </w:drawing>
      </w:r>
    </w:p>
    <w:p w:rsidR="00A7496E" w:rsidRDefault="003C3B4E" w:rsidP="003C3B4E">
      <w:pPr>
        <w:jc w:val="both"/>
        <w:rPr>
          <w:rFonts w:ascii="Times New Roman" w:hAnsi="Times New Roman"/>
          <w:b/>
        </w:rPr>
      </w:pPr>
      <w:bookmarkStart w:id="94" w:name="OLE_LINK63"/>
      <w:bookmarkStart w:id="95" w:name="OLE_LINK64"/>
      <w:r w:rsidRPr="00A0269F">
        <w:rPr>
          <w:rFonts w:ascii="Times New Roman" w:hAnsi="Times New Roman"/>
          <w:b/>
        </w:rPr>
        <w:t xml:space="preserve">Figure </w:t>
      </w:r>
      <w:r>
        <w:rPr>
          <w:rFonts w:ascii="Times New Roman" w:hAnsi="Times New Roman"/>
          <w:b/>
        </w:rPr>
        <w:t>3.4</w:t>
      </w:r>
      <w:r w:rsidRPr="00A0269F">
        <w:rPr>
          <w:rFonts w:ascii="Times New Roman" w:hAnsi="Times New Roman"/>
          <w:b/>
        </w:rPr>
        <w:t>:</w:t>
      </w:r>
      <w:r>
        <w:rPr>
          <w:rFonts w:ascii="Times New Roman" w:hAnsi="Times New Roman"/>
          <w:b/>
        </w:rPr>
        <w:t xml:space="preserve"> A portion of SEM map (sample #1) before and</w:t>
      </w:r>
      <w:r w:rsidR="00931DF6">
        <w:rPr>
          <w:rFonts w:ascii="Times New Roman" w:hAnsi="Times New Roman"/>
          <w:b/>
        </w:rPr>
        <w:t xml:space="preserve"> after </w:t>
      </w:r>
      <w:r w:rsidR="004621CD">
        <w:rPr>
          <w:rFonts w:ascii="Times New Roman" w:hAnsi="Times New Roman"/>
          <w:b/>
        </w:rPr>
        <w:t>mineral</w:t>
      </w:r>
      <w:r w:rsidR="00931DF6">
        <w:rPr>
          <w:rFonts w:ascii="Times New Roman" w:hAnsi="Times New Roman"/>
          <w:b/>
        </w:rPr>
        <w:t xml:space="preserve">ogy segmentation. There are 4 major </w:t>
      </w:r>
      <w:r w:rsidR="00951A71">
        <w:rPr>
          <w:rFonts w:ascii="Times New Roman" w:hAnsi="Times New Roman"/>
          <w:b/>
        </w:rPr>
        <w:t>m</w:t>
      </w:r>
      <w:r w:rsidR="00C74138">
        <w:rPr>
          <w:rFonts w:ascii="Times New Roman" w:hAnsi="Times New Roman"/>
          <w:b/>
        </w:rPr>
        <w:t>ineral groups</w:t>
      </w:r>
      <w:r w:rsidR="00F3616C">
        <w:rPr>
          <w:rFonts w:ascii="Times New Roman" w:hAnsi="Times New Roman"/>
          <w:b/>
        </w:rPr>
        <w:t>: g</w:t>
      </w:r>
      <w:r w:rsidR="00931DF6">
        <w:rPr>
          <w:rFonts w:ascii="Times New Roman" w:hAnsi="Times New Roman"/>
          <w:b/>
        </w:rPr>
        <w:t>roup SCL (silica, clays, Mg-dol., feldspar)</w:t>
      </w:r>
      <w:r w:rsidR="00F3616C">
        <w:rPr>
          <w:rFonts w:ascii="Times New Roman" w:hAnsi="Times New Roman"/>
          <w:b/>
        </w:rPr>
        <w:t>, g</w:t>
      </w:r>
      <w:r w:rsidR="00931DF6">
        <w:rPr>
          <w:rFonts w:ascii="Times New Roman" w:hAnsi="Times New Roman"/>
          <w:b/>
        </w:rPr>
        <w:t>roup CCL (calcite, clays, Fe-dol.,</w:t>
      </w:r>
      <w:r w:rsidR="00F3616C">
        <w:rPr>
          <w:rFonts w:ascii="Times New Roman" w:hAnsi="Times New Roman"/>
          <w:b/>
        </w:rPr>
        <w:t xml:space="preserve"> K-feldspar), group RA (rutile, apatite), and g</w:t>
      </w:r>
      <w:r w:rsidR="00931DF6">
        <w:rPr>
          <w:rFonts w:ascii="Times New Roman" w:hAnsi="Times New Roman"/>
          <w:b/>
        </w:rPr>
        <w:t xml:space="preserve">roup P (pyrite). </w:t>
      </w:r>
      <w:r>
        <w:rPr>
          <w:rFonts w:ascii="Times New Roman" w:hAnsi="Times New Roman"/>
          <w:b/>
        </w:rPr>
        <w:t xml:space="preserve">Note the </w:t>
      </w:r>
      <w:r w:rsidR="004621CD">
        <w:rPr>
          <w:rFonts w:ascii="Times New Roman" w:hAnsi="Times New Roman"/>
          <w:b/>
        </w:rPr>
        <w:t>mineral</w:t>
      </w:r>
      <w:r>
        <w:rPr>
          <w:rFonts w:ascii="Times New Roman" w:hAnsi="Times New Roman"/>
          <w:b/>
        </w:rPr>
        <w:t xml:space="preserve"> distribution in shale microstructure is much easier to observe with the segmentation</w:t>
      </w:r>
      <w:bookmarkEnd w:id="94"/>
      <w:bookmarkEnd w:id="95"/>
      <w:r>
        <w:rPr>
          <w:rFonts w:ascii="Times New Roman" w:hAnsi="Times New Roman"/>
          <w:b/>
        </w:rPr>
        <w:t>.</w:t>
      </w:r>
      <w:r w:rsidR="004C59E2" w:rsidRPr="004C59E2">
        <w:rPr>
          <w:noProof/>
        </w:rPr>
        <w:t xml:space="preserve"> </w:t>
      </w:r>
    </w:p>
    <w:p w:rsidR="00A7496E" w:rsidRPr="006D7069" w:rsidRDefault="00DF5C72" w:rsidP="003C3B4E">
      <w:pPr>
        <w:jc w:val="both"/>
        <w:rPr>
          <w:rFonts w:ascii="Times New Roman" w:hAnsi="Times New Roman"/>
          <w:b/>
        </w:rPr>
      </w:pPr>
      <w:r>
        <w:rPr>
          <w:rFonts w:ascii="Times New Roman" w:hAnsi="Times New Roman"/>
        </w:rPr>
        <w:lastRenderedPageBreak/>
        <w:t>To improve the grain</w:t>
      </w:r>
      <w:r w:rsidR="00A7496E">
        <w:rPr>
          <w:rFonts w:ascii="Times New Roman" w:hAnsi="Times New Roman"/>
        </w:rPr>
        <w:t xml:space="preserve"> size distribution study, better </w:t>
      </w:r>
      <w:r w:rsidR="004621CD">
        <w:rPr>
          <w:rFonts w:ascii="Times New Roman" w:hAnsi="Times New Roman"/>
        </w:rPr>
        <w:t>mineral</w:t>
      </w:r>
      <w:r w:rsidR="00A7496E">
        <w:rPr>
          <w:rFonts w:ascii="Times New Roman" w:hAnsi="Times New Roman"/>
        </w:rPr>
        <w:t xml:space="preserve">ogy breakdown is required. </w:t>
      </w:r>
      <w:r w:rsidR="00843F73">
        <w:rPr>
          <w:rFonts w:ascii="Times New Roman" w:hAnsi="Times New Roman"/>
        </w:rPr>
        <w:t>Clays were suggested to have a much lower aspect ratio than sand grain</w:t>
      </w:r>
      <w:r w:rsidR="00931DF6">
        <w:rPr>
          <w:rFonts w:ascii="Times New Roman" w:hAnsi="Times New Roman"/>
        </w:rPr>
        <w:t>s</w:t>
      </w:r>
      <w:r w:rsidR="00843F73">
        <w:rPr>
          <w:rFonts w:ascii="Times New Roman" w:hAnsi="Times New Roman"/>
        </w:rPr>
        <w:t xml:space="preserve"> (Xu and White, 1995). </w:t>
      </w:r>
      <w:r w:rsidR="00146E9C">
        <w:rPr>
          <w:rFonts w:ascii="Times New Roman" w:hAnsi="Times New Roman"/>
        </w:rPr>
        <w:t>Thus, it is</w:t>
      </w:r>
      <w:r w:rsidR="00A7496E">
        <w:rPr>
          <w:rFonts w:ascii="Times New Roman" w:hAnsi="Times New Roman"/>
        </w:rPr>
        <w:t xml:space="preserve"> noticed that clay grains which present in </w:t>
      </w:r>
      <w:r w:rsidR="00F3616C">
        <w:rPr>
          <w:rFonts w:ascii="Times New Roman" w:hAnsi="Times New Roman"/>
        </w:rPr>
        <w:t>g</w:t>
      </w:r>
      <w:r w:rsidR="00485EEE">
        <w:rPr>
          <w:rFonts w:ascii="Times New Roman" w:hAnsi="Times New Roman"/>
        </w:rPr>
        <w:t>roup SCl</w:t>
      </w:r>
      <w:r w:rsidR="004621CD">
        <w:rPr>
          <w:rFonts w:ascii="Times New Roman" w:hAnsi="Times New Roman"/>
        </w:rPr>
        <w:t xml:space="preserve"> </w:t>
      </w:r>
      <w:r w:rsidR="004621CD" w:rsidRPr="004621CD">
        <w:rPr>
          <w:rFonts w:ascii="Times New Roman" w:hAnsi="Times New Roman"/>
        </w:rPr>
        <w:t>(silica, clays, Mg-dol., feldspar)</w:t>
      </w:r>
      <w:r w:rsidR="00A7496E">
        <w:rPr>
          <w:rFonts w:ascii="Times New Roman" w:hAnsi="Times New Roman"/>
        </w:rPr>
        <w:t xml:space="preserve"> and </w:t>
      </w:r>
      <w:r w:rsidR="00F3616C">
        <w:rPr>
          <w:rFonts w:ascii="Times New Roman" w:hAnsi="Times New Roman"/>
        </w:rPr>
        <w:t>g</w:t>
      </w:r>
      <w:r w:rsidR="00485EEE">
        <w:rPr>
          <w:rFonts w:ascii="Times New Roman" w:hAnsi="Times New Roman"/>
        </w:rPr>
        <w:t>roup CCl</w:t>
      </w:r>
      <w:r w:rsidR="00951A71">
        <w:rPr>
          <w:rFonts w:ascii="Times New Roman" w:hAnsi="Times New Roman"/>
        </w:rPr>
        <w:t xml:space="preserve"> </w:t>
      </w:r>
      <w:r w:rsidR="00951A71" w:rsidRPr="00951A71">
        <w:rPr>
          <w:rFonts w:ascii="Times New Roman" w:hAnsi="Times New Roman"/>
        </w:rPr>
        <w:t>(calcite, clays, Fe-dol., K-feldspar)</w:t>
      </w:r>
      <w:r w:rsidR="00A7496E">
        <w:rPr>
          <w:rFonts w:ascii="Times New Roman" w:hAnsi="Times New Roman"/>
        </w:rPr>
        <w:t xml:space="preserve"> have remarkably low aspect ratio compared to oth</w:t>
      </w:r>
      <w:r w:rsidR="00843F73">
        <w:rPr>
          <w:rFonts w:ascii="Times New Roman" w:hAnsi="Times New Roman"/>
        </w:rPr>
        <w:t>er grains in these two groups</w:t>
      </w:r>
      <w:r w:rsidR="00B72958">
        <w:rPr>
          <w:rFonts w:ascii="Times New Roman" w:hAnsi="Times New Roman"/>
        </w:rPr>
        <w:t>; i</w:t>
      </w:r>
      <w:r w:rsidR="00A7496E">
        <w:rPr>
          <w:rFonts w:ascii="Times New Roman" w:hAnsi="Times New Roman"/>
        </w:rPr>
        <w:t xml:space="preserve">t is crucial to separate clay from </w:t>
      </w:r>
      <w:r w:rsidR="00F3616C">
        <w:rPr>
          <w:rFonts w:ascii="Times New Roman" w:hAnsi="Times New Roman"/>
        </w:rPr>
        <w:t>g</w:t>
      </w:r>
      <w:r w:rsidR="00485EEE">
        <w:rPr>
          <w:rFonts w:ascii="Times New Roman" w:hAnsi="Times New Roman"/>
        </w:rPr>
        <w:t>roup SCl</w:t>
      </w:r>
      <w:r w:rsidR="00B72958">
        <w:rPr>
          <w:rFonts w:ascii="Times New Roman" w:hAnsi="Times New Roman"/>
        </w:rPr>
        <w:t xml:space="preserve"> and CCl</w:t>
      </w:r>
      <w:r w:rsidR="00A7496E">
        <w:rPr>
          <w:rFonts w:ascii="Times New Roman" w:hAnsi="Times New Roman"/>
        </w:rPr>
        <w:t xml:space="preserve"> based on grain shape, i.e. aspect ratio. </w:t>
      </w:r>
      <w:r w:rsidR="00A7496E">
        <w:rPr>
          <w:rFonts w:ascii="Times New Roman" w:hAnsi="Times New Roman"/>
          <w:b/>
        </w:rPr>
        <w:t xml:space="preserve">Fig 3.5 </w:t>
      </w:r>
      <w:r w:rsidR="00A7496E">
        <w:rPr>
          <w:rFonts w:ascii="Times New Roman" w:hAnsi="Times New Roman"/>
        </w:rPr>
        <w:t>illustrate</w:t>
      </w:r>
      <w:r w:rsidR="00931DF6">
        <w:rPr>
          <w:rFonts w:ascii="Times New Roman" w:hAnsi="Times New Roman"/>
        </w:rPr>
        <w:t>s</w:t>
      </w:r>
      <w:r w:rsidR="00A7496E">
        <w:rPr>
          <w:rFonts w:ascii="Times New Roman" w:hAnsi="Times New Roman"/>
        </w:rPr>
        <w:t xml:space="preserve"> how aspect ratio of a particle is defined. Aspect ratio is the ratio of smallest diameter of a particle to the largest dimeter orthogonal to it; it ranges from 0 to 1. A particle with aspect ratio of 1 is perfectly rounded and become more elongated when aspect ratio approaches 0. For </w:t>
      </w:r>
      <w:r w:rsidR="00F3616C">
        <w:rPr>
          <w:rFonts w:ascii="Times New Roman" w:hAnsi="Times New Roman"/>
        </w:rPr>
        <w:t>g</w:t>
      </w:r>
      <w:r w:rsidR="00485EEE">
        <w:rPr>
          <w:rFonts w:ascii="Times New Roman" w:hAnsi="Times New Roman"/>
        </w:rPr>
        <w:t>roup SCl</w:t>
      </w:r>
      <w:r w:rsidR="00B72958">
        <w:rPr>
          <w:rFonts w:ascii="Times New Roman" w:hAnsi="Times New Roman"/>
        </w:rPr>
        <w:t xml:space="preserve"> and CCl</w:t>
      </w:r>
      <w:r w:rsidR="00A7496E">
        <w:rPr>
          <w:rFonts w:ascii="Times New Roman" w:hAnsi="Times New Roman"/>
        </w:rPr>
        <w:t xml:space="preserve">, clay grains are highly elongated and thus have small aspect ratio compared to other grains in the same group. </w:t>
      </w:r>
      <w:r w:rsidR="00DC1817" w:rsidRPr="00DC1817">
        <w:rPr>
          <w:rFonts w:ascii="Times New Roman" w:hAnsi="Times New Roman"/>
          <w:b/>
        </w:rPr>
        <w:t xml:space="preserve">Fig </w:t>
      </w:r>
      <w:r w:rsidR="00A7496E" w:rsidRPr="00DC1817">
        <w:rPr>
          <w:rFonts w:ascii="Times New Roman" w:hAnsi="Times New Roman"/>
          <w:b/>
        </w:rPr>
        <w:t>3.5</w:t>
      </w:r>
      <w:r w:rsidR="00A7496E">
        <w:rPr>
          <w:rFonts w:ascii="Times New Roman" w:hAnsi="Times New Roman"/>
        </w:rPr>
        <w:t xml:space="preserve"> shows aspect ratio histogram profile from </w:t>
      </w:r>
      <w:r w:rsidR="00F3616C">
        <w:rPr>
          <w:rFonts w:ascii="Times New Roman" w:hAnsi="Times New Roman"/>
        </w:rPr>
        <w:t>g</w:t>
      </w:r>
      <w:r w:rsidR="00485EEE">
        <w:rPr>
          <w:rFonts w:ascii="Times New Roman" w:hAnsi="Times New Roman"/>
        </w:rPr>
        <w:t>roup SCl</w:t>
      </w:r>
      <w:r w:rsidR="00A7496E">
        <w:rPr>
          <w:rFonts w:ascii="Times New Roman" w:hAnsi="Times New Roman"/>
        </w:rPr>
        <w:t xml:space="preserve"> of sample #1.</w:t>
      </w:r>
      <w:r w:rsidR="00B72958">
        <w:rPr>
          <w:rFonts w:ascii="Times New Roman" w:hAnsi="Times New Roman"/>
        </w:rPr>
        <w:t xml:space="preserve"> Different cut-off aspect ratio</w:t>
      </w:r>
      <w:r w:rsidR="00A7496E">
        <w:rPr>
          <w:rFonts w:ascii="Times New Roman" w:hAnsi="Times New Roman"/>
        </w:rPr>
        <w:t xml:space="preserve"> </w:t>
      </w:r>
      <w:r w:rsidR="00B72958">
        <w:rPr>
          <w:rFonts w:ascii="Times New Roman" w:hAnsi="Times New Roman"/>
        </w:rPr>
        <w:t>values for clay – other grain separation are chosen from large to small</w:t>
      </w:r>
      <w:r w:rsidR="00A7496E">
        <w:rPr>
          <w:rFonts w:ascii="Times New Roman" w:hAnsi="Times New Roman"/>
        </w:rPr>
        <w:t xml:space="preserve">. All particles with aspect ratio smaller than the assumed cut-off value are selected; grain size distribution for those particles are plotted. </w:t>
      </w:r>
      <w:r w:rsidR="00A7496E">
        <w:rPr>
          <w:rFonts w:ascii="Times New Roman" w:hAnsi="Times New Roman"/>
          <w:b/>
        </w:rPr>
        <w:t>Fig 3.6 – 3.8</w:t>
      </w:r>
      <w:r w:rsidR="00A7496E">
        <w:rPr>
          <w:rFonts w:ascii="Times New Roman" w:hAnsi="Times New Roman"/>
        </w:rPr>
        <w:t xml:space="preserve"> shows the grain size distribution for grains from </w:t>
      </w:r>
      <w:r w:rsidR="00F3616C">
        <w:rPr>
          <w:rFonts w:ascii="Times New Roman" w:hAnsi="Times New Roman"/>
        </w:rPr>
        <w:t>g</w:t>
      </w:r>
      <w:r w:rsidR="00485EEE">
        <w:rPr>
          <w:rFonts w:ascii="Times New Roman" w:hAnsi="Times New Roman"/>
        </w:rPr>
        <w:t>roup SCl</w:t>
      </w:r>
      <w:r w:rsidR="00A7496E">
        <w:rPr>
          <w:rFonts w:ascii="Times New Roman" w:hAnsi="Times New Roman"/>
        </w:rPr>
        <w:t xml:space="preserve"> of sample #1 with aspect ratio less than 0.4, 0.35, and 0.3, respectively. When the cut-off aspect ratio is value is assumed to be 0.4, no clear trend line is observed (</w:t>
      </w:r>
      <w:r w:rsidR="00A7496E">
        <w:rPr>
          <w:rFonts w:ascii="Times New Roman" w:hAnsi="Times New Roman"/>
          <w:b/>
        </w:rPr>
        <w:t>Fig 3.6)</w:t>
      </w:r>
      <w:r w:rsidR="00A7496E">
        <w:rPr>
          <w:rFonts w:ascii="Times New Roman" w:hAnsi="Times New Roman"/>
        </w:rPr>
        <w:t>. No clear trend line is observed when the assumed aspect ratio cut-off value decreases to 0.35 (</w:t>
      </w:r>
      <w:r w:rsidR="00A7496E">
        <w:rPr>
          <w:rFonts w:ascii="Times New Roman" w:hAnsi="Times New Roman"/>
          <w:b/>
        </w:rPr>
        <w:t>Fig 3.7)</w:t>
      </w:r>
      <w:r w:rsidR="00A7496E">
        <w:rPr>
          <w:rFonts w:ascii="Times New Roman" w:hAnsi="Times New Roman"/>
        </w:rPr>
        <w:t>. When the value is 0.3, a trend between number of grain and grain equivalent radius is recognized (</w:t>
      </w:r>
      <w:r w:rsidR="00A7496E">
        <w:rPr>
          <w:rFonts w:ascii="Times New Roman" w:hAnsi="Times New Roman"/>
          <w:b/>
        </w:rPr>
        <w:t>Fig 3.8)</w:t>
      </w:r>
      <w:r w:rsidR="00A7496E">
        <w:rPr>
          <w:rFonts w:ascii="Times New Roman" w:hAnsi="Times New Roman"/>
        </w:rPr>
        <w:t>. This indicates that at this cut-off value or below, ma</w:t>
      </w:r>
      <w:r w:rsidR="00B72958">
        <w:rPr>
          <w:rFonts w:ascii="Times New Roman" w:hAnsi="Times New Roman"/>
        </w:rPr>
        <w:t>jority of grains start to follow</w:t>
      </w:r>
      <w:r w:rsidR="00A7496E">
        <w:rPr>
          <w:rFonts w:ascii="Times New Roman" w:hAnsi="Times New Roman"/>
        </w:rPr>
        <w:t xml:space="preserve"> </w:t>
      </w:r>
      <w:r w:rsidR="00B72958">
        <w:rPr>
          <w:rFonts w:ascii="Times New Roman" w:hAnsi="Times New Roman"/>
        </w:rPr>
        <w:t>a straight trend line</w:t>
      </w:r>
      <w:r w:rsidR="00A7496E">
        <w:rPr>
          <w:rFonts w:ascii="Times New Roman" w:hAnsi="Times New Roman"/>
        </w:rPr>
        <w:t>. Aspect ratio of 0.3 is then defined as the cut-off where majority of grains are clays (</w:t>
      </w:r>
      <w:r w:rsidR="00A7496E">
        <w:rPr>
          <w:rFonts w:ascii="Times New Roman" w:hAnsi="Times New Roman"/>
          <w:b/>
        </w:rPr>
        <w:t>Fig 3.9)</w:t>
      </w:r>
      <w:r w:rsidR="00A7496E">
        <w:rPr>
          <w:rFonts w:ascii="Times New Roman" w:hAnsi="Times New Roman"/>
        </w:rPr>
        <w:t xml:space="preserve">. </w:t>
      </w:r>
      <w:r w:rsidR="00A7496E">
        <w:rPr>
          <w:rFonts w:ascii="Times New Roman" w:hAnsi="Times New Roman"/>
        </w:rPr>
        <w:lastRenderedPageBreak/>
        <w:t>Other grains with aspect ratio higher than 0.3 are grouped togethe</w:t>
      </w:r>
      <w:r w:rsidR="00A7496E" w:rsidRPr="009B1098">
        <w:rPr>
          <w:rFonts w:ascii="Times New Roman" w:hAnsi="Times New Roman"/>
        </w:rPr>
        <w:t xml:space="preserve">r. </w:t>
      </w:r>
      <w:r w:rsidR="00A7496E">
        <w:rPr>
          <w:rFonts w:ascii="Times New Roman" w:hAnsi="Times New Roman"/>
        </w:rPr>
        <w:t xml:space="preserve"> The complete </w:t>
      </w:r>
      <w:r w:rsidR="004621CD">
        <w:rPr>
          <w:rFonts w:ascii="Times New Roman" w:hAnsi="Times New Roman"/>
        </w:rPr>
        <w:t>mineral</w:t>
      </w:r>
      <w:r w:rsidR="00A7496E">
        <w:rPr>
          <w:rFonts w:ascii="Times New Roman" w:hAnsi="Times New Roman"/>
        </w:rPr>
        <w:t xml:space="preserve">ogy breakdown is shown at </w:t>
      </w:r>
      <w:r w:rsidR="00A7496E" w:rsidRPr="006D7069">
        <w:rPr>
          <w:rFonts w:ascii="Times New Roman" w:hAnsi="Times New Roman"/>
          <w:b/>
        </w:rPr>
        <w:t xml:space="preserve">Fig 3.10 </w:t>
      </w:r>
    </w:p>
    <w:p w:rsidR="00A7496E" w:rsidRDefault="00A7496E" w:rsidP="003C3B4E">
      <w:pPr>
        <w:jc w:val="both"/>
        <w:rPr>
          <w:rFonts w:ascii="Times New Roman" w:hAnsi="Times New Roman"/>
          <w:b/>
        </w:rPr>
      </w:pPr>
    </w:p>
    <w:p w:rsidR="003C3B4E" w:rsidRDefault="000A112F" w:rsidP="003C3B4E">
      <w:pPr>
        <w:jc w:val="both"/>
        <w:rPr>
          <w:rFonts w:ascii="Times New Roman" w:hAnsi="Times New Roman"/>
          <w:b/>
        </w:rPr>
      </w:pPr>
      <w:r>
        <w:rPr>
          <w:rFonts w:ascii="Times New Roman" w:hAnsi="Times New Roman"/>
          <w:b/>
          <w:noProof/>
          <w:lang w:bidi="ar-SA"/>
        </w:rPr>
        <mc:AlternateContent>
          <mc:Choice Requires="wpg">
            <w:drawing>
              <wp:inline distT="0" distB="0" distL="0" distR="0">
                <wp:extent cx="4929594" cy="1590957"/>
                <wp:effectExtent l="0" t="0" r="0" b="0"/>
                <wp:docPr id="309" name="Group 309"/>
                <wp:cNvGraphicFramePr/>
                <a:graphic xmlns:a="http://schemas.openxmlformats.org/drawingml/2006/main">
                  <a:graphicData uri="http://schemas.microsoft.com/office/word/2010/wordprocessingGroup">
                    <wpg:wgp>
                      <wpg:cNvGrpSpPr/>
                      <wpg:grpSpPr>
                        <a:xfrm>
                          <a:off x="0" y="0"/>
                          <a:ext cx="4929594" cy="1590957"/>
                          <a:chOff x="0" y="0"/>
                          <a:chExt cx="4929594" cy="1590957"/>
                        </a:xfrm>
                      </wpg:grpSpPr>
                      <wpg:grpSp>
                        <wpg:cNvPr id="292" name="Group 19"/>
                        <wpg:cNvGrpSpPr/>
                        <wpg:grpSpPr>
                          <a:xfrm>
                            <a:off x="372534" y="0"/>
                            <a:ext cx="1225827" cy="1234272"/>
                            <a:chOff x="371179" y="0"/>
                            <a:chExt cx="1524591" cy="1535094"/>
                          </a:xfrm>
                        </wpg:grpSpPr>
                        <wpg:grpSp>
                          <wpg:cNvPr id="293" name="Group 293"/>
                          <wpg:cNvGrpSpPr/>
                          <wpg:grpSpPr>
                            <a:xfrm>
                              <a:off x="371179" y="0"/>
                              <a:ext cx="1524591" cy="1535094"/>
                              <a:chOff x="371179" y="0"/>
                              <a:chExt cx="1524591" cy="1535094"/>
                            </a:xfrm>
                          </wpg:grpSpPr>
                          <wps:wsp>
                            <wps:cNvPr id="294" name="Straight Connector 294"/>
                            <wps:cNvCnPr/>
                            <wps:spPr>
                              <a:xfrm>
                                <a:off x="1130963" y="0"/>
                                <a:ext cx="0" cy="1529443"/>
                              </a:xfrm>
                              <a:prstGeom prst="line">
                                <a:avLst/>
                              </a:prstGeom>
                              <a:ln w="25400">
                                <a:prstDash val="dash"/>
                              </a:ln>
                            </wps:spPr>
                            <wps:style>
                              <a:lnRef idx="1">
                                <a:schemeClr val="accent1"/>
                              </a:lnRef>
                              <a:fillRef idx="0">
                                <a:schemeClr val="accent1"/>
                              </a:fillRef>
                              <a:effectRef idx="0">
                                <a:schemeClr val="accent1"/>
                              </a:effectRef>
                              <a:fontRef idx="minor">
                                <a:schemeClr val="tx1"/>
                              </a:fontRef>
                            </wps:style>
                            <wps:bodyPr/>
                          </wps:wsp>
                          <wps:wsp>
                            <wps:cNvPr id="295" name="Oval 295"/>
                            <wps:cNvSpPr/>
                            <wps:spPr>
                              <a:xfrm>
                                <a:off x="371179" y="16537"/>
                                <a:ext cx="1524591" cy="1518557"/>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t"/>
                          </wps:wsp>
                        </wpg:grpSp>
                        <wps:wsp>
                          <wps:cNvPr id="296" name="Straight Connector 296"/>
                          <wps:cNvCnPr/>
                          <wps:spPr>
                            <a:xfrm flipV="1">
                              <a:off x="385834" y="775816"/>
                              <a:ext cx="1509936" cy="2721"/>
                            </a:xfrm>
                            <a:prstGeom prst="line">
                              <a:avLst/>
                            </a:prstGeom>
                            <a:ln w="25400">
                              <a:prstDash val="dash"/>
                            </a:ln>
                          </wps:spPr>
                          <wps:style>
                            <a:lnRef idx="1">
                              <a:schemeClr val="accent1"/>
                            </a:lnRef>
                            <a:fillRef idx="0">
                              <a:schemeClr val="accent1"/>
                            </a:fillRef>
                            <a:effectRef idx="0">
                              <a:schemeClr val="accent1"/>
                            </a:effectRef>
                            <a:fontRef idx="minor">
                              <a:schemeClr val="tx1"/>
                            </a:fontRef>
                          </wps:style>
                          <wps:bodyPr/>
                        </wps:wsp>
                      </wpg:grpSp>
                      <wpg:grpSp>
                        <wpg:cNvPr id="297" name="Group 26"/>
                        <wpg:cNvGrpSpPr/>
                        <wpg:grpSpPr>
                          <a:xfrm>
                            <a:off x="2269067" y="0"/>
                            <a:ext cx="596468" cy="1228726"/>
                            <a:chOff x="2266950" y="0"/>
                            <a:chExt cx="732692" cy="1509348"/>
                          </a:xfrm>
                        </wpg:grpSpPr>
                        <wps:wsp>
                          <wps:cNvPr id="298" name="Oval 298"/>
                          <wps:cNvSpPr/>
                          <wps:spPr>
                            <a:xfrm rot="16200000">
                              <a:off x="1878622" y="388328"/>
                              <a:ext cx="1509347" cy="73269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t"/>
                        </wps:wsp>
                        <wps:wsp>
                          <wps:cNvPr id="299" name="Straight Connector 299"/>
                          <wps:cNvCnPr/>
                          <wps:spPr>
                            <a:xfrm>
                              <a:off x="2633296" y="1"/>
                              <a:ext cx="0" cy="1509347"/>
                            </a:xfrm>
                            <a:prstGeom prst="line">
                              <a:avLst/>
                            </a:prstGeom>
                            <a:ln w="25400">
                              <a:prstDash val="dash"/>
                            </a:ln>
                          </wps:spPr>
                          <wps:style>
                            <a:lnRef idx="1">
                              <a:schemeClr val="accent1"/>
                            </a:lnRef>
                            <a:fillRef idx="0">
                              <a:schemeClr val="accent1"/>
                            </a:fillRef>
                            <a:effectRef idx="0">
                              <a:schemeClr val="accent1"/>
                            </a:effectRef>
                            <a:fontRef idx="minor">
                              <a:schemeClr val="tx1"/>
                            </a:fontRef>
                          </wps:style>
                          <wps:bodyPr/>
                        </wps:wsp>
                        <wps:wsp>
                          <wps:cNvPr id="300" name="Straight Connector 300"/>
                          <wps:cNvCnPr/>
                          <wps:spPr>
                            <a:xfrm flipV="1">
                              <a:off x="2288930" y="754674"/>
                              <a:ext cx="710712" cy="2722"/>
                            </a:xfrm>
                            <a:prstGeom prst="line">
                              <a:avLst/>
                            </a:prstGeom>
                            <a:ln w="25400">
                              <a:prstDash val="dash"/>
                            </a:ln>
                          </wps:spPr>
                          <wps:style>
                            <a:lnRef idx="1">
                              <a:schemeClr val="accent1"/>
                            </a:lnRef>
                            <a:fillRef idx="0">
                              <a:schemeClr val="accent1"/>
                            </a:fillRef>
                            <a:effectRef idx="0">
                              <a:schemeClr val="accent1"/>
                            </a:effectRef>
                            <a:fontRef idx="minor">
                              <a:schemeClr val="tx1"/>
                            </a:fontRef>
                          </wps:style>
                          <wps:bodyPr/>
                        </wps:wsp>
                      </wpg:grpSp>
                      <wps:wsp>
                        <wps:cNvPr id="301" name="TextBox 33"/>
                        <wps:cNvSpPr txBox="1"/>
                        <wps:spPr>
                          <a:xfrm>
                            <a:off x="0" y="1286751"/>
                            <a:ext cx="2076450" cy="295910"/>
                          </a:xfrm>
                          <a:prstGeom prst="rect">
                            <a:avLst/>
                          </a:prstGeom>
                          <a:noFill/>
                        </wps:spPr>
                        <wps:txbx>
                          <w:txbxContent>
                            <w:p w:rsidR="00304DD5" w:rsidRDefault="00304DD5" w:rsidP="000A112F">
                              <w:pPr>
                                <w:pStyle w:val="NormalWeb"/>
                                <w:spacing w:before="0" w:beforeAutospacing="0" w:after="0" w:afterAutospacing="0"/>
                                <w:jc w:val="center"/>
                              </w:pPr>
                              <w:r>
                                <w:rPr>
                                  <w:rFonts w:asciiTheme="minorHAnsi" w:cstheme="minorBidi"/>
                                  <w:color w:val="000000" w:themeColor="text1"/>
                                  <w:kern w:val="24"/>
                                  <w:sz w:val="28"/>
                                  <w:szCs w:val="28"/>
                                </w:rPr>
                                <w:t>α = 1</w:t>
                              </w:r>
                            </w:p>
                          </w:txbxContent>
                        </wps:txbx>
                        <wps:bodyPr wrap="square" rtlCol="0">
                          <a:spAutoFit/>
                        </wps:bodyPr>
                      </wps:wsp>
                      <wps:wsp>
                        <wps:cNvPr id="302" name="TextBox 34"/>
                        <wps:cNvSpPr txBox="1"/>
                        <wps:spPr>
                          <a:xfrm>
                            <a:off x="1583238" y="1295047"/>
                            <a:ext cx="2076450" cy="295910"/>
                          </a:xfrm>
                          <a:prstGeom prst="rect">
                            <a:avLst/>
                          </a:prstGeom>
                          <a:noFill/>
                        </wps:spPr>
                        <wps:txbx>
                          <w:txbxContent>
                            <w:p w:rsidR="00304DD5" w:rsidRDefault="00304DD5" w:rsidP="000A112F">
                              <w:pPr>
                                <w:pStyle w:val="NormalWeb"/>
                                <w:spacing w:before="0" w:beforeAutospacing="0" w:after="0" w:afterAutospacing="0"/>
                                <w:jc w:val="center"/>
                              </w:pPr>
                              <w:r>
                                <w:rPr>
                                  <w:rFonts w:asciiTheme="minorHAnsi" w:cstheme="minorBidi"/>
                                  <w:color w:val="000000" w:themeColor="text1"/>
                                  <w:kern w:val="24"/>
                                  <w:sz w:val="28"/>
                                  <w:szCs w:val="28"/>
                                </w:rPr>
                                <w:t>α = 0.5</w:t>
                              </w:r>
                            </w:p>
                          </w:txbxContent>
                        </wps:txbx>
                        <wps:bodyPr wrap="square" rtlCol="0">
                          <a:spAutoFit/>
                        </wps:bodyPr>
                      </wps:wsp>
                      <wpg:grpSp>
                        <wpg:cNvPr id="303" name="Group 35"/>
                        <wpg:cNvGrpSpPr/>
                        <wpg:grpSpPr>
                          <a:xfrm>
                            <a:off x="3945467" y="0"/>
                            <a:ext cx="45719" cy="1228726"/>
                            <a:chOff x="3943350" y="0"/>
                            <a:chExt cx="732692" cy="1509348"/>
                          </a:xfrm>
                        </wpg:grpSpPr>
                        <wps:wsp>
                          <wps:cNvPr id="304" name="Oval 304"/>
                          <wps:cNvSpPr/>
                          <wps:spPr>
                            <a:xfrm rot="16200000">
                              <a:off x="3555022" y="388328"/>
                              <a:ext cx="1509347" cy="732692"/>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t"/>
                        </wps:wsp>
                        <wps:wsp>
                          <wps:cNvPr id="305" name="Straight Connector 305"/>
                          <wps:cNvCnPr/>
                          <wps:spPr>
                            <a:xfrm>
                              <a:off x="4309696" y="1"/>
                              <a:ext cx="0" cy="1509347"/>
                            </a:xfrm>
                            <a:prstGeom prst="line">
                              <a:avLst/>
                            </a:prstGeom>
                            <a:ln w="25400">
                              <a:prstDash val="dash"/>
                            </a:ln>
                          </wps:spPr>
                          <wps:style>
                            <a:lnRef idx="1">
                              <a:schemeClr val="accent1"/>
                            </a:lnRef>
                            <a:fillRef idx="0">
                              <a:schemeClr val="accent1"/>
                            </a:fillRef>
                            <a:effectRef idx="0">
                              <a:schemeClr val="accent1"/>
                            </a:effectRef>
                            <a:fontRef idx="minor">
                              <a:schemeClr val="tx1"/>
                            </a:fontRef>
                          </wps:style>
                          <wps:bodyPr/>
                        </wps:wsp>
                        <wps:wsp>
                          <wps:cNvPr id="306" name="Straight Connector 306"/>
                          <wps:cNvCnPr/>
                          <wps:spPr>
                            <a:xfrm flipV="1">
                              <a:off x="3965330" y="754674"/>
                              <a:ext cx="710712" cy="2722"/>
                            </a:xfrm>
                            <a:prstGeom prst="line">
                              <a:avLst/>
                            </a:prstGeom>
                            <a:ln w="25400">
                              <a:prstDash val="dash"/>
                            </a:ln>
                          </wps:spPr>
                          <wps:style>
                            <a:lnRef idx="1">
                              <a:schemeClr val="accent1"/>
                            </a:lnRef>
                            <a:fillRef idx="0">
                              <a:schemeClr val="accent1"/>
                            </a:fillRef>
                            <a:effectRef idx="0">
                              <a:schemeClr val="accent1"/>
                            </a:effectRef>
                            <a:fontRef idx="minor">
                              <a:schemeClr val="tx1"/>
                            </a:fontRef>
                          </wps:style>
                          <wps:bodyPr/>
                        </wps:wsp>
                      </wpg:grpSp>
                      <wps:wsp>
                        <wps:cNvPr id="308" name="TextBox 39"/>
                        <wps:cNvSpPr txBox="1"/>
                        <wps:spPr>
                          <a:xfrm>
                            <a:off x="2853144" y="1295047"/>
                            <a:ext cx="2076450" cy="295910"/>
                          </a:xfrm>
                          <a:prstGeom prst="rect">
                            <a:avLst/>
                          </a:prstGeom>
                          <a:noFill/>
                        </wps:spPr>
                        <wps:txbx>
                          <w:txbxContent>
                            <w:p w:rsidR="00304DD5" w:rsidRDefault="00304DD5" w:rsidP="000A112F">
                              <w:pPr>
                                <w:pStyle w:val="NormalWeb"/>
                                <w:spacing w:before="0" w:beforeAutospacing="0" w:after="0" w:afterAutospacing="0"/>
                                <w:jc w:val="center"/>
                              </w:pPr>
                              <w:r>
                                <w:rPr>
                                  <w:rFonts w:asciiTheme="minorHAnsi" w:cstheme="minorBidi"/>
                                  <w:color w:val="000000" w:themeColor="text1"/>
                                  <w:kern w:val="24"/>
                                  <w:sz w:val="28"/>
                                  <w:szCs w:val="28"/>
                                </w:rPr>
                                <w:t>α = 0.1</w:t>
                              </w:r>
                            </w:p>
                          </w:txbxContent>
                        </wps:txbx>
                        <wps:bodyPr wrap="square" rtlCol="0">
                          <a:spAutoFit/>
                        </wps:bodyPr>
                      </wps:wsp>
                    </wpg:wgp>
                  </a:graphicData>
                </a:graphic>
              </wp:inline>
            </w:drawing>
          </mc:Choice>
          <mc:Fallback>
            <w:pict>
              <v:group id="Group 309" o:spid="_x0000_s1026" style="width:388.15pt;height:125.25pt;mso-position-horizontal-relative:char;mso-position-vertical-relative:line" coordsize="49295,15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">
                <v:group id="Group 19" o:spid="_x0000_s1027" style="position:absolute;left:3725;width:12258;height:12342" coordorigin="3711" coordsize="15245,15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3VVS8UAAADcAAAADwAAAGRycy9kb3ducmV2LnhtbESPT2vCQBTE7wW/w/IE&#10;b3WTSItGVxFR6UEK/gHx9sg+k2D2bciuSfz23UKhx2FmfsMsVr2pREuNKy0riMcRCOLM6pJzBZfz&#10;7n0KwnlkjZVlUvAiB6vl4G2BqbYdH6k9+VwECLsUFRTe16mULivIoBvbmjh4d9sY9EE2udQNdgFu&#10;KplE0ac0WHJYKLCmTUHZ4/Q0CvYddutJvG0Pj/vmdTt/fF8PMSk1GvbrOQhPvf8P/7W/tIJkl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d1VUvFAAAA3AAA&#10;AA8AAAAAAAAAAAAAAAAAqgIAAGRycy9kb3ducmV2LnhtbFBLBQYAAAAABAAEAPoAAACcAwAAAAA=&#10;">
                  <v:group id="Group 293" o:spid="_x0000_s1028" style="position:absolute;left:3711;width:15246;height:15350" coordorigin="3711" coordsize="15245,153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Dnw0MYAAADcAAAADwAAAGRycy9kb3ducmV2LnhtbESPT2vCQBTE7wW/w/IK&#10;vdXNHyw1dQ0itngQoSqU3h7ZZxKSfRuy2yR++25B6HGYmd8wq3wyrRiod7VlBfE8AkFcWF1zqeBy&#10;fn9+BeE8ssbWMim4kYN8PXtYYabtyJ80nHwpAoRdhgoq77tMSldUZNDNbUccvKvtDfog+1LqHscA&#10;N61MouhFGqw5LFTY0baiojn9GAUfI46bNN4Nh+a6vX2fF8evQ0xKPT1OmzcQnib/H76391pBskz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OfDQxgAAANwA&#10;AAAPAAAAAAAAAAAAAAAAAKoCAABkcnMvZG93bnJldi54bWxQSwUGAAAAAAQABAD6AAAAnQMAAAAA&#10;">
                    <v:line id="Straight Connector 294" o:spid="_x0000_s1029" style="position:absolute;visibility:visible;mso-wrap-style:square" from="11309,0" to="11309,15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1TUcUAAADcAAAADwAAAGRycy9kb3ducmV2LnhtbESPQWsCMRSE74L/ITyhl1KzSpV2NYpI&#10;W0QEcSueH5vn7uLmZd2kGv+9EQoeh5n5hpnOg6nFhVpXWVYw6CcgiHOrKy4U7H+/3z5AOI+ssbZM&#10;Cm7kYD7rdqaYanvlHV0yX4gIYZeigtL7JpXS5SUZdH3bEEfvaFuDPsq2kLrFa4SbWg6TZCwNVhwX&#10;SmxoWVJ+yv6MgqVdJD9htf+Sm+1Bv4b1qNbnkVIvvbCYgPAU/DP8315pBcPPd3iciUd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Z1TUcUAAADcAAAADwAAAAAAAAAA&#10;AAAAAAChAgAAZHJzL2Rvd25yZXYueG1sUEsFBgAAAAAEAAQA+QAAAJMDAAAAAA==&#10;" strokecolor="#4579b8 [3044]" strokeweight="2pt">
                      <v:stroke dashstyle="dash"/>
                    </v:line>
                    <v:oval id="Oval 295" o:spid="_x0000_s1030" style="position:absolute;left:3711;top:165;width:15246;height:15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fS9MUA&#10;AADcAAAADwAAAGRycy9kb3ducmV2LnhtbESPT2vCQBTE7wW/w/IEL6VuFJWauoqKQq7+OejtkX1N&#10;0mbfxuyapN++Kwgeh5n5DbNYdaYUDdWusKxgNIxAEKdWF5wpOJ/2H58gnEfWWFomBX/kYLXsvS0w&#10;1rblAzVHn4kAYRejgtz7KpbSpTkZdENbEQfv29YGfZB1JnWNbYCbUo6jaCYNFhwWcqxom1P6e7wb&#10;BddNO7nsts1N4w+/bxKdTM73RKlBv1t/gfDU+Vf42U60gvF8Co8z4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p9L0xQAAANwAAAAPAAAAAAAAAAAAAAAAAJgCAABkcnMv&#10;ZG93bnJldi54bWxQSwUGAAAAAAQABAD1AAAAigMAAAAA&#10;" filled="f" strokecolor="#243f60 [1604]" strokeweight="2pt"/>
                  </v:group>
                  <v:line id="Straight Connector 296" o:spid="_x0000_s1031" style="position:absolute;flip:y;visibility:visible;mso-wrap-style:square" from="3858,7758" to="18957,7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h3V8YAAADcAAAADwAAAGRycy9kb3ducmV2LnhtbESPT2vCQBTE7wW/w/IEL6XZqNTW1FVK&#10;tTS3YiL0+si+/MHs25BdY/z23ULB4zAzv2E2u9G0YqDeNZYVzKMYBHFhdcOVglP++fQKwnlkja1l&#10;UnAjB7vt5GGDibZXPtKQ+UoECLsEFdTed4mUrqjJoItsRxy80vYGfZB9JXWP1wA3rVzE8UoabDgs&#10;1NjRR03FObsYBY8v+/TWHcx36pf58TQ8/3yV66VSs+n4/gbC0+jv4f92qhUs1iv4OxOOgN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Yd1fGAAAA3AAAAA8AAAAAAAAA&#10;AAAAAAAAoQIAAGRycy9kb3ducmV2LnhtbFBLBQYAAAAABAAEAPkAAACUAwAAAAA=&#10;" strokecolor="#4579b8 [3044]" strokeweight="2pt">
                    <v:stroke dashstyle="dash"/>
                  </v:line>
                </v:group>
                <v:group id="Group 26" o:spid="_x0000_s1032" style="position:absolute;left:22690;width:5965;height:12287" coordorigin="22669" coordsize="7326,150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wL208YAAADcAAAADwAAAGRycy9kb3ducmV2LnhtbESPT2vCQBTE74LfYXmC&#10;t7qJ4p9GVxFR6UEK1ULp7ZF9JsHs25Bdk/jtu0LB4zAzv2FWm86UoqHaFZYVxKMIBHFqdcGZgu/L&#10;4W0BwnlkjaVlUvAgB5t1v7fCRNuWv6g5+0wECLsEFeTeV4mULs3JoBvZijh4V1sb9EHWmdQ1tgFu&#10;SjmOopk0WHBYyLGiXU7p7Xw3Co4ttttJvG9Ot+vu8XuZfv6cYlJqOOi2SxCeOv8K/7c/tILx+xy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3AvbTxgAAANwA&#10;AAAPAAAAAAAAAAAAAAAAAKoCAABkcnMvZG93bnJldi54bWxQSwUGAAAAAAQABAD6AAAAnQMAAAAA&#10;">
                  <v:oval id="Oval 298" o:spid="_x0000_s1033" style="position:absolute;left:18786;top:3883;width:15093;height:732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j7L8AA&#10;AADcAAAADwAAAGRycy9kb3ducmV2LnhtbERPTWvCQBC9F/wPyxR6KXWjB9HUVYpQaI61itchO26C&#10;2dmY3WbTf985FHp8vO/tfvKdGmmIbWADi3kBirgOtmVn4PT1/rIGFROyxS4wGfihCPvd7GGLpQ2Z&#10;P2k8JqckhGOJBpqU+lLrWDfkMc5DTyzcNQwek8DBaTtglnDf6WVRrLTHlqWhwZ4ODdW347c3sFzd&#10;16dcXVIYq3PliuecF3dnzNPj9PYKKtGU/sV/7g8rvo2slTNyBPTu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Mj7L8AAAADcAAAADwAAAAAAAAAAAAAAAACYAgAAZHJzL2Rvd25y&#10;ZXYueG1sUEsFBgAAAAAEAAQA9QAAAIUDAAAAAA==&#10;" filled="f" strokecolor="#243f60 [1604]" strokeweight="2pt"/>
                  <v:line id="Straight Connector 299" o:spid="_x0000_s1034" style="position:absolute;visibility:visible;mso-wrap-style:square" from="26332,0" to="26332,15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z8z8UAAADcAAAADwAAAGRycy9kb3ducmV2LnhtbESPQWvCQBSE74L/YXmFXkrdKESa1FVE&#10;bJEiiKn0/Mi+JqHZtzG7jeu/dwsFj8PMfMMsVsG0YqDeNZYVTCcJCOLS6oYrBafPt+cXEM4ja2wt&#10;k4IrOVgtx6MF5tpe+EhD4SsRIexyVFB73+VSurImg25iO+LofdveoI+yr6Tu8RLhppWzJJlLgw3H&#10;hRo72tRU/hS/RsHGrpP3sDtt5f7wpZ/CR9rqc6rU40NYv4LwFPw9/N/eaQWzLIO/M/EIyO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5z8z8UAAADcAAAADwAAAAAAAAAA&#10;AAAAAAChAgAAZHJzL2Rvd25yZXYueG1sUEsFBgAAAAAEAAQA+QAAAJMDAAAAAA==&#10;" strokecolor="#4579b8 [3044]" strokeweight="2pt">
                    <v:stroke dashstyle="dash"/>
                  </v:line>
                  <v:line id="Straight Connector 300" o:spid="_x0000_s1035" style="position:absolute;flip:y;visibility:visible;mso-wrap-style:square" from="22889,7546" to="29996,7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bQosIAAADcAAAADwAAAGRycy9kb3ducmV2LnhtbERPy4rCMBTdC/MP4Q64kTEdi47TMYr4&#10;wO7EB7i9NNe2THNTmljr35uF4PJw3rNFZyrRUuNKywq+hxEI4szqknMF59P2awrCeWSNlWVS8CAH&#10;i/lHb4aJtnc+UHv0uQgh7BJUUHhfJ1K6rCCDbmhr4sBdbWPQB9jkUjd4D+GmkqMomkiDJYeGAmta&#10;FZT9H29GweBnnT7qjdmnPj4dzu34srv+xkr1P7vlHwhPnX+LX+5UK4ijMD+cCUdAz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BbQosIAAADcAAAADwAAAAAAAAAAAAAA&#10;AAChAgAAZHJzL2Rvd25yZXYueG1sUEsFBgAAAAAEAAQA+QAAAJADAAAAAA==&#10;" strokecolor="#4579b8 [3044]" strokeweight="2pt">
                    <v:stroke dashstyle="dash"/>
                  </v:line>
                </v:group>
                <v:shapetype id="_x0000_t202" coordsize="21600,21600" o:spt="202" path="m,l,21600r21600,l21600,xe">
                  <v:stroke joinstyle="miter"/>
                  <v:path gradientshapeok="t" o:connecttype="rect"/>
                </v:shapetype>
                <v:shape id="TextBox 33" o:spid="_x0000_s1036" type="#_x0000_t202" style="position:absolute;top:12867;width:20764;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x5g8MA&#10;AADcAAAADwAAAGRycy9kb3ducmV2LnhtbESPzWrDMBCE74W8g9hAb43klIbiRgmhP5BDL0nd+2Jt&#10;LBNrZaxN7Lx9VSj0OMzMN8x6O4VOXWlIbWQLxcKAIq6ja7mxUH19PDyDSoLssItMFm6UYLuZ3a2x&#10;dHHkA12P0qgM4VSiBS/Sl1qn2lPAtIg9cfZOcQgoWQ6NdgOOGR46vTRmpQO2nBc89vTqqT4fL8GC&#10;iNsVt+o9pP339Pk2elM/YWXt/XzavYASmuQ//NfeOwuPpoD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x5g8MAAADcAAAADwAAAAAAAAAAAAAAAACYAgAAZHJzL2Rv&#10;d25yZXYueG1sUEsFBgAAAAAEAAQA9QAAAIgDAAAAAA==&#10;" filled="f" stroked="f">
                  <v:textbox style="mso-fit-shape-to-text:t">
                    <w:txbxContent>
                      <w:p w:rsidR="00304DD5" w:rsidRDefault="00304DD5" w:rsidP="000A112F">
                        <w:pPr>
                          <w:pStyle w:val="NormalWeb"/>
                          <w:spacing w:before="0" w:beforeAutospacing="0" w:after="0" w:afterAutospacing="0"/>
                          <w:jc w:val="center"/>
                        </w:pPr>
                        <w:r>
                          <w:rPr>
                            <w:rFonts w:asciiTheme="minorHAnsi" w:cstheme="minorBidi"/>
                            <w:color w:val="000000" w:themeColor="text1"/>
                            <w:kern w:val="24"/>
                            <w:sz w:val="28"/>
                            <w:szCs w:val="28"/>
                          </w:rPr>
                          <w:t>α = 1</w:t>
                        </w:r>
                      </w:p>
                    </w:txbxContent>
                  </v:textbox>
                </v:shape>
                <v:shape id="TextBox 34" o:spid="_x0000_s1037" type="#_x0000_t202" style="position:absolute;left:15832;top:12950;width:20764;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7n9MIA&#10;AADcAAAADwAAAGRycy9kb3ducmV2LnhtbESPQWsCMRSE74X+h/AK3mqiUilbo0htwUMv6vb+2Lxu&#10;lm5els3TXf99UxA8DjPzDbPajKFVF+pTE9nCbGpAEVfRNVxbKE+fz6+gkiA7bCOThSsl2KwfH1ZY&#10;uDjwgS5HqVWGcCrQghfpCq1T5SlgmsaOOHs/sQ8oWfa1dj0OGR5aPTdmqQM2nBc8dvTuqfo9noMF&#10;EbedXcuPkPbf49du8KZ6wdLaydO4fQMlNMo9fGvvnYWFmcP/mXwE9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juf0wgAAANwAAAAPAAAAAAAAAAAAAAAAAJgCAABkcnMvZG93&#10;bnJldi54bWxQSwUGAAAAAAQABAD1AAAAhwMAAAAA&#10;" filled="f" stroked="f">
                  <v:textbox style="mso-fit-shape-to-text:t">
                    <w:txbxContent>
                      <w:p w:rsidR="00304DD5" w:rsidRDefault="00304DD5" w:rsidP="000A112F">
                        <w:pPr>
                          <w:pStyle w:val="NormalWeb"/>
                          <w:spacing w:before="0" w:beforeAutospacing="0" w:after="0" w:afterAutospacing="0"/>
                          <w:jc w:val="center"/>
                        </w:pPr>
                        <w:r>
                          <w:rPr>
                            <w:rFonts w:asciiTheme="minorHAnsi" w:cstheme="minorBidi"/>
                            <w:color w:val="000000" w:themeColor="text1"/>
                            <w:kern w:val="24"/>
                            <w:sz w:val="28"/>
                            <w:szCs w:val="28"/>
                          </w:rPr>
                          <w:t>α = 0.5</w:t>
                        </w:r>
                      </w:p>
                    </w:txbxContent>
                  </v:textbox>
                </v:shape>
                <v:group id="Group 35" o:spid="_x0000_s1038" style="position:absolute;left:39454;width:457;height:12287" coordorigin="39433" coordsize="7326,150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oval id="Oval 304" o:spid="_x0000_s1039" style="position:absolute;left:35550;top:3883;width:15093;height:732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5rMMQA&#10;AADcAAAADwAAAGRycy9kb3ducmV2LnhtbESPQWsCMRSE74X+h/AEL6Um2iKyGqUUCt1jrdLrY/PM&#10;Lm5e1k26Wf99UxA8DjPzDbPZja4VA/Wh8axhPlMgiCtvGrYaDt8fzysQISIbbD2ThisF2G0fHzZY&#10;GJ/4i4Z9tCJDOBSooY6xK6QMVU0Ow8x3xNk7+d5hzLK30vSYMty1cqHUUjpsOC/U2NF7TdV5/+s0&#10;LJaX1SGVP9EP5bG06iml+cVqPZ2Mb2sQkcZ4D9/an0bDi3qF/zP5CMjt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uazDEAAAA3AAAAA8AAAAAAAAAAAAAAAAAmAIAAGRycy9k&#10;b3ducmV2LnhtbFBLBQYAAAAABAAEAPUAAACJAwAAAAA=&#10;" filled="f" strokecolor="#243f60 [1604]" strokeweight="2pt"/>
                  <v:line id="Straight Connector 305" o:spid="_x0000_s1040" style="position:absolute;visibility:visible;mso-wrap-style:square" from="43096,0" to="43096,150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s0MUAAADcAAAADwAAAGRycy9kb3ducmV2LnhtbESPQWsCMRSE70L/Q3gFL1KTWraUrVFE&#10;VKQI4lZ6fmxed5duXrabqOm/bwTB4zAz3zDTebStOFPvG8canscKBHHpTMOVhuPn+ukNhA/IBlvH&#10;pOGPPMxnD4Mp5sZd+EDnIlQiQdjnqKEOocul9GVNFv3YdcTJ+3a9xZBkX0nT4yXBbSsnSr1Kiw2n&#10;hRo7WtZU/hQnq2HpFmoTt8eV3O2/zCh+ZK35zbQePsbFO4hAMdzDt/bWaHhRGVzPpCMg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ps0MUAAADcAAAADwAAAAAAAAAA&#10;AAAAAAChAgAAZHJzL2Rvd25yZXYueG1sUEsFBgAAAAAEAAQA+QAAAJMDAAAAAA==&#10;" strokecolor="#4579b8 [3044]" strokeweight="2pt">
                    <v:stroke dashstyle="dash"/>
                  </v:line>
                  <v:line id="Straight Connector 306" o:spid="_x0000_s1041" style="position:absolute;flip:y;visibility:visible;mso-wrap-style:square" from="39653,7546" to="46760,7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PtTcUAAADcAAAADwAAAGRycy9kb3ducmV2LnhtbESPT2vCQBTE74LfYXlCL1I3Ghrb6Cqi&#10;luYm/oFeH9lnEsy+DdltjN++Wyh4HGbmN8xy3ZtadNS6yrKC6SQCQZxbXXGh4HL+fH0H4Tyyxtoy&#10;KXiQg/VqOFhiqu2dj9SdfCEChF2KCkrvm1RKl5dk0E1sQxy8q20N+iDbQuoW7wFuajmLokQarDgs&#10;lNjQtqT8dvoxCsbzXfZo9uaQ+fh8vHRv31/Xj1ipl1G/WYDw1Ptn+L+daQVxlMDfmXA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PtTcUAAADcAAAADwAAAAAAAAAA&#10;AAAAAAChAgAAZHJzL2Rvd25yZXYueG1sUEsFBgAAAAAEAAQA+QAAAJMDAAAAAA==&#10;" strokecolor="#4579b8 [3044]" strokeweight="2pt">
                    <v:stroke dashstyle="dash"/>
                  </v:line>
                </v:group>
                <v:shape id="TextBox 39" o:spid="_x0000_s1042" type="#_x0000_t202" style="position:absolute;left:28531;top:12950;width:20764;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bQHr8A&#10;AADcAAAADwAAAGRycy9kb3ducmV2LnhtbERPTWsCMRC9F/ofwgi91USlUrZGkargoZfq9j5sppvF&#10;zWTZjO7675uD0OPjfa82Y2jVjfrURLYwmxpQxFV0DdcWyvPh9R1UEmSHbWSycKcEm/Xz0woLFwf+&#10;pttJapVDOBVowYt0hdap8hQwTWNHnLnf2AeUDPtaux6HHB5aPTdmqQM2nBs8dvTpqbqcrsGCiNvO&#10;7uU+pOPP+LUbvKnesLT2ZTJuP0AJjfIvfriPzsLC5LX5TD4Cev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ZtAevwAAANwAAAAPAAAAAAAAAAAAAAAAAJgCAABkcnMvZG93bnJl&#10;di54bWxQSwUGAAAAAAQABAD1AAAAhAMAAAAA&#10;" filled="f" stroked="f">
                  <v:textbox style="mso-fit-shape-to-text:t">
                    <w:txbxContent>
                      <w:p w:rsidR="00304DD5" w:rsidRDefault="00304DD5" w:rsidP="000A112F">
                        <w:pPr>
                          <w:pStyle w:val="NormalWeb"/>
                          <w:spacing w:before="0" w:beforeAutospacing="0" w:after="0" w:afterAutospacing="0"/>
                          <w:jc w:val="center"/>
                        </w:pPr>
                        <w:r>
                          <w:rPr>
                            <w:rFonts w:asciiTheme="minorHAnsi" w:cstheme="minorBidi"/>
                            <w:color w:val="000000" w:themeColor="text1"/>
                            <w:kern w:val="24"/>
                            <w:sz w:val="28"/>
                            <w:szCs w:val="28"/>
                          </w:rPr>
                          <w:t>α = 0.1</w:t>
                        </w:r>
                      </w:p>
                    </w:txbxContent>
                  </v:textbox>
                </v:shape>
                <w10:anchorlock/>
              </v:group>
            </w:pict>
          </mc:Fallback>
        </mc:AlternateContent>
      </w:r>
    </w:p>
    <w:p w:rsidR="000A112F" w:rsidRDefault="000A112F" w:rsidP="003C3B4E">
      <w:pPr>
        <w:jc w:val="both"/>
        <w:rPr>
          <w:rFonts w:ascii="Times New Roman" w:hAnsi="Times New Roman"/>
          <w:b/>
        </w:rPr>
      </w:pPr>
      <w:r w:rsidRPr="00A0269F">
        <w:rPr>
          <w:rFonts w:ascii="Times New Roman" w:hAnsi="Times New Roman"/>
          <w:b/>
        </w:rPr>
        <w:t xml:space="preserve">Figure </w:t>
      </w:r>
      <w:r w:rsidR="007B0767">
        <w:rPr>
          <w:rFonts w:ascii="Times New Roman" w:hAnsi="Times New Roman"/>
          <w:b/>
        </w:rPr>
        <w:t>3.5</w:t>
      </w:r>
      <w:r w:rsidRPr="00A0269F">
        <w:rPr>
          <w:rFonts w:ascii="Times New Roman" w:hAnsi="Times New Roman"/>
          <w:b/>
        </w:rPr>
        <w:t>:</w:t>
      </w:r>
      <w:r>
        <w:rPr>
          <w:rFonts w:ascii="Times New Roman" w:hAnsi="Times New Roman"/>
          <w:b/>
        </w:rPr>
        <w:t xml:space="preserve"> Aspect ratio is defined. Particle with aspect ratio of 1 is perfectly rounded. As the aspect ratio decreases, the particle is more elongated. </w:t>
      </w:r>
    </w:p>
    <w:p w:rsidR="00FD2633" w:rsidRDefault="00FD2633" w:rsidP="003C3B4E">
      <w:pPr>
        <w:jc w:val="both"/>
        <w:rPr>
          <w:rFonts w:ascii="Times New Roman" w:hAnsi="Times New Roman"/>
          <w:b/>
        </w:rPr>
      </w:pPr>
    </w:p>
    <w:p w:rsidR="00FD2633" w:rsidRDefault="00FD2633" w:rsidP="003C3B4E">
      <w:pPr>
        <w:jc w:val="both"/>
        <w:rPr>
          <w:rFonts w:ascii="Times New Roman" w:hAnsi="Times New Roman"/>
          <w:b/>
        </w:rPr>
      </w:pPr>
    </w:p>
    <w:p w:rsidR="00A7496E" w:rsidRDefault="00A7496E" w:rsidP="003C3B4E">
      <w:pPr>
        <w:jc w:val="both"/>
        <w:rPr>
          <w:rFonts w:ascii="Times New Roman" w:hAnsi="Times New Roman"/>
          <w:b/>
        </w:rPr>
      </w:pPr>
    </w:p>
    <w:p w:rsidR="007B0767" w:rsidRDefault="007B0767" w:rsidP="007B0767">
      <w:pPr>
        <w:jc w:val="center"/>
        <w:rPr>
          <w:rFonts w:ascii="Times New Roman" w:hAnsi="Times New Roman"/>
          <w:b/>
        </w:rPr>
      </w:pPr>
      <w:r>
        <w:rPr>
          <w:noProof/>
          <w:lang w:bidi="ar-SA"/>
        </w:rPr>
        <w:drawing>
          <wp:inline distT="0" distB="0" distL="0" distR="0" wp14:anchorId="692A8270" wp14:editId="1EDAEDB0">
            <wp:extent cx="3725333" cy="2743200"/>
            <wp:effectExtent l="0" t="0" r="8890" b="0"/>
            <wp:docPr id="255" name="Chart 25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9929B29-70DC-491F-9C73-EADA7A8306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7B0767" w:rsidRDefault="007B0767" w:rsidP="007B0767">
      <w:pPr>
        <w:jc w:val="both"/>
        <w:rPr>
          <w:rFonts w:ascii="Times New Roman" w:hAnsi="Times New Roman"/>
          <w:b/>
        </w:rPr>
      </w:pPr>
      <w:r>
        <w:rPr>
          <w:rFonts w:ascii="Times New Roman" w:hAnsi="Times New Roman"/>
          <w:b/>
        </w:rPr>
        <w:t xml:space="preserve">Figure 3.6: </w:t>
      </w:r>
      <w:bookmarkStart w:id="96" w:name="OLE_LINK79"/>
      <w:bookmarkStart w:id="97" w:name="OLE_LINK80"/>
      <w:r>
        <w:rPr>
          <w:rFonts w:ascii="Times New Roman" w:hAnsi="Times New Roman"/>
          <w:b/>
        </w:rPr>
        <w:t>Grain size distribution of all particles with aspect ratio less than 0.4. Note no clear trend line is observed.</w:t>
      </w:r>
      <w:bookmarkEnd w:id="96"/>
      <w:bookmarkEnd w:id="97"/>
    </w:p>
    <w:p w:rsidR="007B0767" w:rsidRDefault="007B0767" w:rsidP="007B0767">
      <w:pPr>
        <w:jc w:val="center"/>
        <w:rPr>
          <w:rFonts w:ascii="Times New Roman" w:hAnsi="Times New Roman"/>
          <w:b/>
        </w:rPr>
      </w:pPr>
      <w:r>
        <w:rPr>
          <w:noProof/>
          <w:lang w:bidi="ar-SA"/>
        </w:rPr>
        <w:lastRenderedPageBreak/>
        <w:drawing>
          <wp:inline distT="0" distB="0" distL="0" distR="0" wp14:anchorId="1D8C2D6C" wp14:editId="25B75B1B">
            <wp:extent cx="3699933" cy="2743200"/>
            <wp:effectExtent l="0" t="0" r="0" b="0"/>
            <wp:docPr id="288" name="Chart 28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E99EF3-E5C7-4A75-A7F9-EB3E6929D1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7B0767" w:rsidRDefault="007B0767" w:rsidP="007B0767">
      <w:pPr>
        <w:jc w:val="both"/>
        <w:rPr>
          <w:rFonts w:ascii="Times New Roman" w:hAnsi="Times New Roman"/>
          <w:b/>
        </w:rPr>
      </w:pPr>
      <w:bookmarkStart w:id="98" w:name="OLE_LINK81"/>
      <w:r>
        <w:rPr>
          <w:rFonts w:ascii="Times New Roman" w:hAnsi="Times New Roman"/>
          <w:b/>
        </w:rPr>
        <w:t>Figure 3.7:</w:t>
      </w:r>
      <w:r w:rsidRPr="007B0767">
        <w:rPr>
          <w:rFonts w:ascii="Times New Roman" w:hAnsi="Times New Roman"/>
          <w:b/>
        </w:rPr>
        <w:t xml:space="preserve"> </w:t>
      </w:r>
      <w:r>
        <w:rPr>
          <w:rFonts w:ascii="Times New Roman" w:hAnsi="Times New Roman"/>
          <w:b/>
        </w:rPr>
        <w:t>Grain size distribution of all particles with aspect ratio less than 0.35. Note no clear trend line is observed.</w:t>
      </w:r>
    </w:p>
    <w:bookmarkEnd w:id="98"/>
    <w:p w:rsidR="007B0767" w:rsidRDefault="007B0767" w:rsidP="007B0767">
      <w:pPr>
        <w:jc w:val="center"/>
        <w:rPr>
          <w:rFonts w:ascii="Times New Roman" w:hAnsi="Times New Roman"/>
          <w:b/>
        </w:rPr>
      </w:pPr>
      <w:r>
        <w:rPr>
          <w:noProof/>
          <w:lang w:bidi="ar-SA"/>
        </w:rPr>
        <mc:AlternateContent>
          <mc:Choice Requires="wps">
            <w:drawing>
              <wp:anchor distT="0" distB="0" distL="114300" distR="114300" simplePos="0" relativeHeight="251698176" behindDoc="0" locked="0" layoutInCell="1" allowOverlap="1" wp14:anchorId="073D43BD" wp14:editId="545C64C7">
                <wp:simplePos x="0" y="0"/>
                <wp:positionH relativeFrom="column">
                  <wp:posOffset>2257002</wp:posOffset>
                </wp:positionH>
                <wp:positionV relativeFrom="paragraph">
                  <wp:posOffset>422910</wp:posOffset>
                </wp:positionV>
                <wp:extent cx="1227667" cy="2142067"/>
                <wp:effectExtent l="0" t="0" r="29845" b="29845"/>
                <wp:wrapNone/>
                <wp:docPr id="254" name="Straight Connector 254"/>
                <wp:cNvGraphicFramePr/>
                <a:graphic xmlns:a="http://schemas.openxmlformats.org/drawingml/2006/main">
                  <a:graphicData uri="http://schemas.microsoft.com/office/word/2010/wordprocessingShape">
                    <wps:wsp>
                      <wps:cNvCnPr/>
                      <wps:spPr>
                        <a:xfrm>
                          <a:off x="0" y="0"/>
                          <a:ext cx="1227667" cy="2142067"/>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4B6303" id="Straight Connector 254"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7pt,33.3pt" to="274.35pt,20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" strokecolor="black [3213]"/>
            </w:pict>
          </mc:Fallback>
        </mc:AlternateContent>
      </w:r>
      <w:r>
        <w:rPr>
          <w:noProof/>
          <w:lang w:bidi="ar-SA"/>
        </w:rPr>
        <w:drawing>
          <wp:inline distT="0" distB="0" distL="0" distR="0" wp14:anchorId="10EECD2E" wp14:editId="344204F7">
            <wp:extent cx="3420534" cy="3180536"/>
            <wp:effectExtent l="0" t="0" r="8890" b="127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1"/>
                    <a:srcRect r="50050"/>
                    <a:stretch/>
                  </pic:blipFill>
                  <pic:spPr bwMode="auto">
                    <a:xfrm>
                      <a:off x="0" y="0"/>
                      <a:ext cx="3434018" cy="3193074"/>
                    </a:xfrm>
                    <a:prstGeom prst="rect">
                      <a:avLst/>
                    </a:prstGeom>
                    <a:ln>
                      <a:noFill/>
                    </a:ln>
                    <a:extLst>
                      <a:ext uri="{53640926-AAD7-44D8-BBD7-CCE9431645EC}">
                        <a14:shadowObscured xmlns:a14="http://schemas.microsoft.com/office/drawing/2010/main"/>
                      </a:ext>
                    </a:extLst>
                  </pic:spPr>
                </pic:pic>
              </a:graphicData>
            </a:graphic>
          </wp:inline>
        </w:drawing>
      </w:r>
    </w:p>
    <w:p w:rsidR="007B0767" w:rsidRDefault="007B0767" w:rsidP="007B0767">
      <w:pPr>
        <w:jc w:val="both"/>
        <w:rPr>
          <w:rFonts w:ascii="Times New Roman" w:hAnsi="Times New Roman"/>
          <w:b/>
        </w:rPr>
      </w:pPr>
      <w:r>
        <w:rPr>
          <w:rFonts w:ascii="Times New Roman" w:hAnsi="Times New Roman"/>
          <w:b/>
        </w:rPr>
        <w:t>Fi</w:t>
      </w:r>
      <w:r w:rsidR="00A7496E">
        <w:rPr>
          <w:rFonts w:ascii="Times New Roman" w:hAnsi="Times New Roman"/>
          <w:b/>
        </w:rPr>
        <w:t>gure 3.8</w:t>
      </w:r>
      <w:r>
        <w:rPr>
          <w:rFonts w:ascii="Times New Roman" w:hAnsi="Times New Roman"/>
          <w:b/>
        </w:rPr>
        <w:t>:</w:t>
      </w:r>
      <w:r w:rsidRPr="007B0767">
        <w:rPr>
          <w:rFonts w:ascii="Times New Roman" w:hAnsi="Times New Roman"/>
          <w:b/>
        </w:rPr>
        <w:t xml:space="preserve"> </w:t>
      </w:r>
      <w:r>
        <w:rPr>
          <w:rFonts w:ascii="Times New Roman" w:hAnsi="Times New Roman"/>
          <w:b/>
        </w:rPr>
        <w:t>Grain size distribution of all particles with aspect ratio less than 0.3. Note a trend line is observed</w:t>
      </w:r>
      <w:r w:rsidR="00CC553A">
        <w:rPr>
          <w:rFonts w:ascii="Times New Roman" w:hAnsi="Times New Roman"/>
          <w:b/>
        </w:rPr>
        <w:t xml:space="preserve"> (black line)</w:t>
      </w:r>
      <w:r>
        <w:rPr>
          <w:rFonts w:ascii="Times New Roman" w:hAnsi="Times New Roman"/>
          <w:b/>
        </w:rPr>
        <w:t xml:space="preserve">. More fluctuation </w:t>
      </w:r>
      <w:r w:rsidR="00CC553A">
        <w:rPr>
          <w:rFonts w:ascii="Times New Roman" w:hAnsi="Times New Roman"/>
          <w:b/>
        </w:rPr>
        <w:t>is observed due to less number of grains.</w:t>
      </w:r>
    </w:p>
    <w:p w:rsidR="00A7496E" w:rsidRDefault="00A7496E" w:rsidP="007B0767">
      <w:pPr>
        <w:jc w:val="both"/>
        <w:rPr>
          <w:rFonts w:ascii="Times New Roman" w:hAnsi="Times New Roman"/>
          <w:b/>
        </w:rPr>
      </w:pPr>
    </w:p>
    <w:p w:rsidR="00A7496E" w:rsidRDefault="00A7496E" w:rsidP="007B0767">
      <w:pPr>
        <w:jc w:val="both"/>
        <w:rPr>
          <w:rFonts w:ascii="Times New Roman" w:hAnsi="Times New Roman"/>
          <w:b/>
        </w:rPr>
      </w:pPr>
    </w:p>
    <w:p w:rsidR="00A7496E" w:rsidRDefault="00A7496E" w:rsidP="007B0767">
      <w:pPr>
        <w:jc w:val="both"/>
        <w:rPr>
          <w:rFonts w:ascii="Times New Roman" w:hAnsi="Times New Roman"/>
          <w:b/>
        </w:rPr>
      </w:pPr>
    </w:p>
    <w:p w:rsidR="007B0767" w:rsidRPr="007B0767" w:rsidRDefault="007B0767" w:rsidP="007B0767">
      <w:pPr>
        <w:rPr>
          <w:rFonts w:ascii="Times New Roman" w:hAnsi="Times New Roman"/>
          <w:b/>
        </w:rPr>
      </w:pPr>
    </w:p>
    <w:p w:rsidR="003C3B4E" w:rsidRDefault="003C3B4E" w:rsidP="003C3B4E">
      <w:pPr>
        <w:jc w:val="center"/>
        <w:rPr>
          <w:rFonts w:ascii="Times New Roman" w:hAnsi="Times New Roman"/>
          <w:b/>
        </w:rPr>
      </w:pPr>
      <w:r>
        <w:rPr>
          <w:noProof/>
          <w:lang w:bidi="ar-SA"/>
        </w:rPr>
        <w:drawing>
          <wp:inline distT="0" distB="0" distL="0" distR="0" wp14:anchorId="2F12596D" wp14:editId="6DFD6B2F">
            <wp:extent cx="3462201" cy="4496971"/>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3469475" cy="4506419"/>
                    </a:xfrm>
                    <a:prstGeom prst="rect">
                      <a:avLst/>
                    </a:prstGeom>
                  </pic:spPr>
                </pic:pic>
              </a:graphicData>
            </a:graphic>
          </wp:inline>
        </w:drawing>
      </w:r>
    </w:p>
    <w:p w:rsidR="003C3B4E" w:rsidRDefault="003C3B4E" w:rsidP="00B17778">
      <w:pPr>
        <w:jc w:val="both"/>
        <w:rPr>
          <w:rFonts w:ascii="Times New Roman" w:hAnsi="Times New Roman"/>
          <w:b/>
        </w:rPr>
      </w:pPr>
      <w:bookmarkStart w:id="99" w:name="OLE_LINK62"/>
      <w:r w:rsidRPr="00A0269F">
        <w:rPr>
          <w:rFonts w:ascii="Times New Roman" w:hAnsi="Times New Roman"/>
          <w:b/>
        </w:rPr>
        <w:t xml:space="preserve">Figure </w:t>
      </w:r>
      <w:r w:rsidR="006D7069">
        <w:rPr>
          <w:rFonts w:ascii="Times New Roman" w:hAnsi="Times New Roman"/>
          <w:b/>
        </w:rPr>
        <w:t>3.9</w:t>
      </w:r>
      <w:r w:rsidRPr="00A0269F">
        <w:rPr>
          <w:rFonts w:ascii="Times New Roman" w:hAnsi="Times New Roman"/>
          <w:b/>
        </w:rPr>
        <w:t>:</w:t>
      </w:r>
      <w:r>
        <w:rPr>
          <w:rFonts w:ascii="Times New Roman" w:hAnsi="Times New Roman"/>
          <w:b/>
        </w:rPr>
        <w:t xml:space="preserve"> Clays are separated from other grain particles in aspect ratio histogram due to their elongated shape. The cut-off aspect ratio for separation is 0.3 </w:t>
      </w:r>
    </w:p>
    <w:bookmarkEnd w:id="99"/>
    <w:p w:rsidR="009B1098" w:rsidRDefault="009B1098" w:rsidP="00B17778">
      <w:pPr>
        <w:jc w:val="both"/>
        <w:rPr>
          <w:rFonts w:ascii="Times New Roman" w:hAnsi="Times New Roman"/>
          <w:b/>
        </w:rPr>
      </w:pPr>
    </w:p>
    <w:p w:rsidR="009B1098" w:rsidRDefault="009B1098" w:rsidP="00B17778">
      <w:pPr>
        <w:jc w:val="both"/>
        <w:rPr>
          <w:rFonts w:ascii="Times New Roman" w:hAnsi="Times New Roman"/>
          <w:b/>
        </w:rPr>
      </w:pPr>
    </w:p>
    <w:p w:rsidR="009B1098" w:rsidRDefault="009B1098" w:rsidP="00B17778">
      <w:pPr>
        <w:jc w:val="both"/>
        <w:rPr>
          <w:rFonts w:ascii="Times New Roman" w:hAnsi="Times New Roman"/>
          <w:b/>
        </w:rPr>
      </w:pPr>
    </w:p>
    <w:p w:rsidR="009B1098" w:rsidRDefault="009B1098" w:rsidP="00B17778">
      <w:pPr>
        <w:jc w:val="both"/>
        <w:rPr>
          <w:rFonts w:ascii="Times New Roman" w:hAnsi="Times New Roman"/>
          <w:b/>
        </w:rPr>
      </w:pPr>
    </w:p>
    <w:p w:rsidR="009B1098" w:rsidRDefault="009B1098" w:rsidP="00B17778">
      <w:pPr>
        <w:jc w:val="both"/>
        <w:rPr>
          <w:rFonts w:ascii="Times New Roman" w:hAnsi="Times New Roman"/>
          <w:b/>
        </w:rPr>
      </w:pPr>
      <w:r>
        <w:rPr>
          <w:rFonts w:ascii="Times New Roman" w:hAnsi="Times New Roman"/>
          <w:b/>
          <w:noProof/>
          <w:lang w:bidi="ar-SA"/>
        </w:rPr>
        <w:lastRenderedPageBreak/>
        <mc:AlternateContent>
          <mc:Choice Requires="wpg">
            <w:drawing>
              <wp:inline distT="0" distB="0" distL="0" distR="0">
                <wp:extent cx="5636722" cy="3643745"/>
                <wp:effectExtent l="0" t="0" r="21590" b="13970"/>
                <wp:docPr id="241" name="Group 241"/>
                <wp:cNvGraphicFramePr/>
                <a:graphic xmlns:a="http://schemas.openxmlformats.org/drawingml/2006/main">
                  <a:graphicData uri="http://schemas.microsoft.com/office/word/2010/wordprocessingGroup">
                    <wpg:wgp>
                      <wpg:cNvGrpSpPr/>
                      <wpg:grpSpPr>
                        <a:xfrm>
                          <a:off x="0" y="0"/>
                          <a:ext cx="5636722" cy="3643745"/>
                          <a:chOff x="-311332" y="0"/>
                          <a:chExt cx="9274259" cy="4322802"/>
                        </a:xfrm>
                      </wpg:grpSpPr>
                      <wps:wsp>
                        <wps:cNvPr id="11" name="Oval 4"/>
                        <wps:cNvSpPr/>
                        <wps:spPr>
                          <a:xfrm>
                            <a:off x="3559628" y="0"/>
                            <a:ext cx="2116748" cy="832338"/>
                          </a:xfrm>
                          <a:prstGeom prst="ellipse">
                            <a:avLst/>
                          </a:prstGeom>
                        </wps:spPr>
                        <wps:style>
                          <a:lnRef idx="2">
                            <a:schemeClr val="dk1"/>
                          </a:lnRef>
                          <a:fillRef idx="1">
                            <a:schemeClr val="lt1"/>
                          </a:fillRef>
                          <a:effectRef idx="0">
                            <a:schemeClr val="dk1"/>
                          </a:effectRef>
                          <a:fontRef idx="minor">
                            <a:schemeClr val="dk1"/>
                          </a:fontRef>
                        </wps:style>
                        <wps:txbx>
                          <w:txbxContent>
                            <w:p w:rsidR="00304DD5" w:rsidRPr="009B1098" w:rsidRDefault="00304DD5" w:rsidP="009B1098">
                              <w:pPr>
                                <w:pStyle w:val="NormalWeb"/>
                                <w:spacing w:before="0" w:beforeAutospacing="0" w:after="0" w:afterAutospacing="0"/>
                                <w:jc w:val="center"/>
                              </w:pPr>
                              <w:r w:rsidRPr="009B1098">
                                <w:rPr>
                                  <w:rFonts w:asciiTheme="minorHAnsi" w:cstheme="minorBidi"/>
                                  <w:b/>
                                  <w:bCs/>
                                  <w:color w:val="000000" w:themeColor="dark1"/>
                                  <w:kern w:val="24"/>
                                </w:rPr>
                                <w:t xml:space="preserve">SEM Map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Rectangle: Rounded Corners 5"/>
                        <wps:cNvSpPr/>
                        <wps:spPr>
                          <a:xfrm>
                            <a:off x="1058990" y="1432088"/>
                            <a:ext cx="2277209" cy="1503485"/>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620555" w:rsidRDefault="00304DD5" w:rsidP="009B1098">
                              <w:pPr>
                                <w:pStyle w:val="NormalWeb"/>
                                <w:spacing w:before="0" w:beforeAutospacing="0" w:after="0" w:afterAutospacing="0"/>
                                <w:jc w:val="center"/>
                                <w:rPr>
                                  <w:u w:val="single"/>
                                </w:rPr>
                              </w:pPr>
                              <w:r>
                                <w:rPr>
                                  <w:rFonts w:asciiTheme="minorHAnsi" w:cstheme="minorBidi"/>
                                  <w:b/>
                                  <w:bCs/>
                                  <w:color w:val="000000" w:themeColor="dark1"/>
                                  <w:kern w:val="24"/>
                                  <w:u w:val="single"/>
                                </w:rPr>
                                <w:t>Group SCl</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Silica, Clays (Kaolinite and Illite), Mg-Dolomite, Feldspar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5" name="Rectangle: Rounded Corners 9"/>
                        <wps:cNvSpPr/>
                        <wps:spPr>
                          <a:xfrm>
                            <a:off x="3418280" y="1446436"/>
                            <a:ext cx="2258095" cy="1503485"/>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620555" w:rsidRDefault="00304DD5" w:rsidP="009B1098">
                              <w:pPr>
                                <w:pStyle w:val="NormalWeb"/>
                                <w:spacing w:before="0" w:beforeAutospacing="0" w:after="0" w:afterAutospacing="0"/>
                                <w:jc w:val="center"/>
                                <w:rPr>
                                  <w:u w:val="single"/>
                                </w:rPr>
                              </w:pPr>
                              <w:r>
                                <w:rPr>
                                  <w:rFonts w:asciiTheme="minorHAnsi" w:cstheme="minorBidi"/>
                                  <w:b/>
                                  <w:bCs/>
                                  <w:color w:val="000000" w:themeColor="dark1"/>
                                  <w:kern w:val="24"/>
                                  <w:u w:val="single"/>
                                </w:rPr>
                                <w:t>Group CCl</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Calcite, Fe-Dolomite, Clays (Chlorite), K-Feldspar</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6" name="Rectangle: Rounded Corners 10"/>
                        <wps:cNvSpPr/>
                        <wps:spPr>
                          <a:xfrm>
                            <a:off x="5762758" y="1472933"/>
                            <a:ext cx="1687710" cy="1503485"/>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620555" w:rsidRDefault="00304DD5" w:rsidP="009B1098">
                              <w:pPr>
                                <w:pStyle w:val="NormalWeb"/>
                                <w:spacing w:before="0" w:beforeAutospacing="0" w:after="0" w:afterAutospacing="0"/>
                                <w:jc w:val="center"/>
                                <w:rPr>
                                  <w:u w:val="single"/>
                                </w:rPr>
                              </w:pPr>
                              <w:r w:rsidRPr="00620555">
                                <w:rPr>
                                  <w:rFonts w:asciiTheme="minorHAnsi" w:cstheme="minorBidi"/>
                                  <w:b/>
                                  <w:bCs/>
                                  <w:color w:val="000000" w:themeColor="dark1"/>
                                  <w:kern w:val="24"/>
                                  <w:u w:val="single"/>
                                </w:rPr>
                                <w:t>Group RA</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Rutile, Apatite</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7" name="Rectangle: Rounded Corners 11"/>
                        <wps:cNvSpPr/>
                        <wps:spPr>
                          <a:xfrm>
                            <a:off x="7560770" y="1447688"/>
                            <a:ext cx="1402157" cy="1503485"/>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620555" w:rsidRDefault="00304DD5" w:rsidP="00274926">
                              <w:pPr>
                                <w:pStyle w:val="NormalWeb"/>
                                <w:spacing w:before="0" w:beforeAutospacing="0" w:after="0" w:afterAutospacing="0"/>
                                <w:jc w:val="center"/>
                                <w:rPr>
                                  <w:u w:val="single"/>
                                </w:rPr>
                              </w:pPr>
                              <w:r w:rsidRPr="00620555">
                                <w:rPr>
                                  <w:rFonts w:asciiTheme="minorHAnsi" w:cstheme="minorBidi"/>
                                  <w:b/>
                                  <w:bCs/>
                                  <w:color w:val="000000" w:themeColor="dark1"/>
                                  <w:kern w:val="24"/>
                                  <w:u w:val="single"/>
                                </w:rPr>
                                <w:t>Group P</w:t>
                              </w:r>
                            </w:p>
                            <w:p w:rsidR="00304DD5" w:rsidRPr="009B1098" w:rsidRDefault="00304DD5" w:rsidP="00274926">
                              <w:pPr>
                                <w:pStyle w:val="NormalWeb"/>
                                <w:spacing w:before="0" w:beforeAutospacing="0" w:after="0" w:afterAutospacing="0"/>
                                <w:jc w:val="center"/>
                              </w:pPr>
                              <w:r w:rsidRPr="009B1098">
                                <w:rPr>
                                  <w:rFonts w:asciiTheme="minorHAnsi" w:cstheme="minorBidi"/>
                                  <w:color w:val="000000" w:themeColor="dark1"/>
                                  <w:kern w:val="24"/>
                                </w:rPr>
                                <w:t>Pyrite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8" name="Rectangle: Rounded Corners 13"/>
                        <wps:cNvSpPr/>
                        <wps:spPr>
                          <a:xfrm>
                            <a:off x="1378111" y="3462495"/>
                            <a:ext cx="1535723" cy="821272"/>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9B1098" w:rsidRDefault="00304DD5" w:rsidP="00620555">
                              <w:pPr>
                                <w:pStyle w:val="NormalWeb"/>
                                <w:spacing w:before="0" w:beforeAutospacing="0" w:after="0" w:afterAutospacing="0"/>
                                <w:jc w:val="center"/>
                              </w:pPr>
                              <w:r w:rsidRPr="009B1098">
                                <w:rPr>
                                  <w:rFonts w:asciiTheme="minorHAnsi" w:cstheme="minorBidi"/>
                                  <w:color w:val="000000" w:themeColor="dark1"/>
                                  <w:kern w:val="24"/>
                                </w:rPr>
                                <w:t>Clays (Kaolinite and Illite)</w:t>
                              </w:r>
                            </w:p>
                            <w:p w:rsidR="00304DD5" w:rsidRPr="009B1098" w:rsidRDefault="00304DD5" w:rsidP="009B1098">
                              <w:pPr>
                                <w:pStyle w:val="NormalWeb"/>
                                <w:spacing w:before="0" w:beforeAutospacing="0" w:after="0" w:afterAutospacing="0"/>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9" name="Rectangle: Rounded Corners 18"/>
                        <wps:cNvSpPr/>
                        <wps:spPr>
                          <a:xfrm>
                            <a:off x="6555181" y="3444658"/>
                            <a:ext cx="1237206" cy="863111"/>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9B1098" w:rsidRDefault="00304DD5" w:rsidP="009B1098">
                              <w:pPr>
                                <w:pStyle w:val="NormalWeb"/>
                                <w:spacing w:before="0" w:beforeAutospacing="0" w:after="0" w:afterAutospacing="0"/>
                                <w:jc w:val="center"/>
                              </w:pPr>
                              <w:r>
                                <w:t>Other grains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0" name="Rectangle: Rounded Corners 19"/>
                        <wps:cNvSpPr/>
                        <wps:spPr>
                          <a:xfrm>
                            <a:off x="3016777" y="3429282"/>
                            <a:ext cx="1295051" cy="838446"/>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9B1098" w:rsidRDefault="00304DD5" w:rsidP="009B1098">
                              <w:pPr>
                                <w:pStyle w:val="NormalWeb"/>
                                <w:spacing w:before="0" w:beforeAutospacing="0" w:after="0" w:afterAutospacing="0"/>
                                <w:jc w:val="center"/>
                              </w:pPr>
                              <w:r>
                                <w:rPr>
                                  <w:rFonts w:asciiTheme="minorHAnsi" w:cstheme="minorBidi"/>
                                  <w:color w:val="000000" w:themeColor="dark1"/>
                                  <w:kern w:val="24"/>
                                </w:rPr>
                                <w:t>Other grains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1" name="Rectangle: Rounded Corners 20"/>
                        <wps:cNvSpPr/>
                        <wps:spPr>
                          <a:xfrm>
                            <a:off x="4519288" y="3429107"/>
                            <a:ext cx="1942911" cy="863613"/>
                          </a:xfrm>
                          <a:prstGeom prst="roundRect">
                            <a:avLst/>
                          </a:prstGeom>
                        </wps:spPr>
                        <wps:style>
                          <a:lnRef idx="2">
                            <a:schemeClr val="dk1"/>
                          </a:lnRef>
                          <a:fillRef idx="1">
                            <a:schemeClr val="lt1"/>
                          </a:fillRef>
                          <a:effectRef idx="0">
                            <a:schemeClr val="dk1"/>
                          </a:effectRef>
                          <a:fontRef idx="minor">
                            <a:schemeClr val="dk1"/>
                          </a:fontRef>
                        </wps:style>
                        <wps:txbx>
                          <w:txbxContent>
                            <w:p w:rsidR="00304DD5" w:rsidRPr="009B1098" w:rsidRDefault="00304DD5" w:rsidP="00620555">
                              <w:pPr>
                                <w:pStyle w:val="NormalWeb"/>
                                <w:spacing w:before="0" w:beforeAutospacing="0" w:after="0" w:afterAutospacing="0"/>
                                <w:jc w:val="center"/>
                              </w:pPr>
                              <w:r w:rsidRPr="009B1098">
                                <w:rPr>
                                  <w:rFonts w:asciiTheme="minorHAnsi" w:cstheme="minorBidi"/>
                                  <w:color w:val="000000" w:themeColor="dark1"/>
                                  <w:kern w:val="24"/>
                                </w:rPr>
                                <w:t>Clays (Chlorite)</w:t>
                              </w:r>
                            </w:p>
                            <w:p w:rsidR="00304DD5" w:rsidRPr="009B1098" w:rsidRDefault="00304DD5" w:rsidP="009B1098">
                              <w:pPr>
                                <w:pStyle w:val="NormalWeb"/>
                                <w:spacing w:before="0" w:beforeAutospacing="0" w:after="0" w:afterAutospacing="0"/>
                                <w:jc w:val="center"/>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2" name="Straight Arrow Connector 13"/>
                        <wps:cNvCnPr>
                          <a:stCxn id="30" idx="2"/>
                          <a:endCxn id="228" idx="0"/>
                        </wps:cNvCnPr>
                        <wps:spPr>
                          <a:xfrm flipH="1">
                            <a:off x="2145973" y="2935573"/>
                            <a:ext cx="51622" cy="52692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3" name="Straight Arrow Connector 14"/>
                        <wps:cNvCnPr>
                          <a:endCxn id="230" idx="0"/>
                        </wps:cNvCnPr>
                        <wps:spPr>
                          <a:xfrm>
                            <a:off x="2119325" y="2922671"/>
                            <a:ext cx="1544978" cy="50661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4" name="Straight Arrow Connector 15"/>
                        <wps:cNvCnPr>
                          <a:endCxn id="231" idx="0"/>
                        </wps:cNvCnPr>
                        <wps:spPr>
                          <a:xfrm>
                            <a:off x="4639784" y="2950714"/>
                            <a:ext cx="850483" cy="478112"/>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5" name="Straight Arrow Connector 16"/>
                        <wps:cNvCnPr>
                          <a:endCxn id="229" idx="0"/>
                        </wps:cNvCnPr>
                        <wps:spPr>
                          <a:xfrm>
                            <a:off x="4713850" y="2959431"/>
                            <a:ext cx="2459935" cy="485227"/>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6" name="Straight Arrow Connector 17"/>
                        <wps:cNvCnPr>
                          <a:endCxn id="30" idx="0"/>
                        </wps:cNvCnPr>
                        <wps:spPr>
                          <a:xfrm flipH="1">
                            <a:off x="2197389" y="870714"/>
                            <a:ext cx="2422508" cy="56125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7" name="Straight Arrow Connector 18"/>
                        <wps:cNvCnPr>
                          <a:endCxn id="225" idx="0"/>
                        </wps:cNvCnPr>
                        <wps:spPr>
                          <a:xfrm flipH="1">
                            <a:off x="4546930" y="848946"/>
                            <a:ext cx="79060" cy="597371"/>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9" name="Straight Arrow Connector 19"/>
                        <wps:cNvCnPr>
                          <a:endCxn id="226" idx="0"/>
                        </wps:cNvCnPr>
                        <wps:spPr>
                          <a:xfrm>
                            <a:off x="4626024" y="870714"/>
                            <a:ext cx="1980023" cy="602098"/>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40" name="Straight Arrow Connector 20"/>
                        <wps:cNvCnPr>
                          <a:endCxn id="227" idx="0"/>
                        </wps:cNvCnPr>
                        <wps:spPr>
                          <a:xfrm>
                            <a:off x="4626024" y="870714"/>
                            <a:ext cx="3635123" cy="57685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77" name="TextBox 76"/>
                        <wps:cNvSpPr txBox="1"/>
                        <wps:spPr>
                          <a:xfrm>
                            <a:off x="-311332" y="2293446"/>
                            <a:ext cx="1482922" cy="848225"/>
                          </a:xfrm>
                          <a:prstGeom prst="rect">
                            <a:avLst/>
                          </a:prstGeom>
                          <a:noFill/>
                        </wps:spPr>
                        <wps:txbx>
                          <w:txbxContent>
                            <w:p w:rsidR="00304DD5" w:rsidRPr="00274926" w:rsidRDefault="00304DD5" w:rsidP="009B1098">
                              <w:pPr>
                                <w:pStyle w:val="NormalWeb"/>
                                <w:spacing w:before="0" w:beforeAutospacing="0" w:after="0" w:afterAutospacing="0"/>
                                <w:rPr>
                                  <w:b/>
                                </w:rPr>
                              </w:pPr>
                              <w:r w:rsidRPr="00274926">
                                <w:rPr>
                                  <w:rFonts w:asciiTheme="minorHAnsi" w:cstheme="minorBidi"/>
                                  <w:b/>
                                  <w:color w:val="000000" w:themeColor="text1"/>
                                  <w:kern w:val="24"/>
                                </w:rPr>
                                <w:t>Gray Scale</w:t>
                              </w:r>
                            </w:p>
                          </w:txbxContent>
                        </wps:txbx>
                        <wps:bodyPr wrap="square" rtlCol="0">
                          <a:noAutofit/>
                        </wps:bodyPr>
                      </wps:wsp>
                      <wps:wsp>
                        <wps:cNvPr id="78" name="TextBox 77"/>
                        <wps:cNvSpPr txBox="1"/>
                        <wps:spPr>
                          <a:xfrm>
                            <a:off x="-296685" y="3648945"/>
                            <a:ext cx="1696804" cy="673857"/>
                          </a:xfrm>
                          <a:prstGeom prst="rect">
                            <a:avLst/>
                          </a:prstGeom>
                          <a:noFill/>
                        </wps:spPr>
                        <wps:txbx>
                          <w:txbxContent>
                            <w:p w:rsidR="00304DD5" w:rsidRPr="00274926" w:rsidRDefault="00304DD5" w:rsidP="009B1098">
                              <w:pPr>
                                <w:pStyle w:val="NormalWeb"/>
                                <w:spacing w:before="0" w:beforeAutospacing="0" w:after="0" w:afterAutospacing="0"/>
                                <w:rPr>
                                  <w:b/>
                                </w:rPr>
                              </w:pPr>
                              <w:r w:rsidRPr="00274926">
                                <w:rPr>
                                  <w:rFonts w:asciiTheme="minorHAnsi" w:cstheme="minorBidi"/>
                                  <w:b/>
                                  <w:color w:val="000000" w:themeColor="text1"/>
                                  <w:kern w:val="24"/>
                                </w:rPr>
                                <w:t>Aspect Ratio</w:t>
                              </w:r>
                            </w:p>
                          </w:txbxContent>
                        </wps:txbx>
                        <wps:bodyPr wrap="square" rtlCol="0">
                          <a:noAutofit/>
                        </wps:bodyPr>
                      </wps:wsp>
                    </wpg:wgp>
                  </a:graphicData>
                </a:graphic>
              </wp:inline>
            </w:drawing>
          </mc:Choice>
          <mc:Fallback>
            <w:pict>
              <v:group id="Group 241" o:spid="_x0000_s1043" style="width:443.85pt;height:286.9pt;mso-position-horizontal-relative:char;mso-position-vertical-relative:line" coordorigin="-3113" coordsize="92742,432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">
                <v:oval id="Oval 4" o:spid="_x0000_s1044" style="position:absolute;left:35596;width:21167;height:83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3Iq8AA&#10;AADbAAAADwAAAGRycy9kb3ducmV2LnhtbERPTYvCMBC9L/gfwgjetqkeXFuNIoKwyl5sBa9jM7bV&#10;ZlKarNZ/bxYWvM3jfc5i1ZtG3KlztWUF4ygGQVxYXXOp4JhvP2cgnEfW2FgmBU9ysFoOPhaYavvg&#10;A90zX4oQwi5FBZX3bSqlKyoy6CLbEgfuYjuDPsCulLrDRwg3jZzE8VQarDk0VNjSpqLilv0aBeXh&#10;5vYTTIrrOfnKdk2d/ySnXKnRsF/PQXjq/Vv87/7WYf4Y/n4JB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33Iq8AAAADbAAAADwAAAAAAAAAAAAAAAACYAgAAZHJzL2Rvd25y&#10;ZXYueG1sUEsFBgAAAAAEAAQA9QAAAIUDAAAAAA==&#10;" fillcolor="white [3201]" strokecolor="black [3200]" strokeweight="2pt">
                  <v:textbox>
                    <w:txbxContent>
                      <w:p w:rsidR="00304DD5" w:rsidRPr="009B1098" w:rsidRDefault="00304DD5" w:rsidP="009B1098">
                        <w:pPr>
                          <w:pStyle w:val="NormalWeb"/>
                          <w:spacing w:before="0" w:beforeAutospacing="0" w:after="0" w:afterAutospacing="0"/>
                          <w:jc w:val="center"/>
                        </w:pPr>
                        <w:r w:rsidRPr="009B1098">
                          <w:rPr>
                            <w:rFonts w:asciiTheme="minorHAnsi" w:cstheme="minorBidi"/>
                            <w:b/>
                            <w:bCs/>
                            <w:color w:val="000000" w:themeColor="dark1"/>
                            <w:kern w:val="24"/>
                          </w:rPr>
                          <w:t xml:space="preserve">SEM Map </w:t>
                        </w:r>
                      </w:p>
                    </w:txbxContent>
                  </v:textbox>
                </v:oval>
                <v:roundrect id="Rectangle: Rounded Corners 5" o:spid="_x0000_s1045" style="position:absolute;left:10589;top:14320;width:22772;height:1503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1LsEA&#10;AADbAAAADwAAAGRycy9kb3ducmV2LnhtbERPy2qDQBTdF/oPwy1k14w2MSQmo9iElpJdHpDtxblV&#10;qXNHnNHYv88sCl0eznuXT6YVI/WusawgnkcgiEurG64UXC8fr2sQziNrbC2Tgl9ykGfPTztMtb3z&#10;icazr0QIYZeigtr7LpXSlTUZdHPbEQfu2/YGfYB9JXWP9xBuWvkWRStpsOHQUGNH+5rKn/NgFHjG&#10;aDMc48/3pJnscn1LDsUxUWr2MhVbEJ4m/y/+c39pBYuwPnwJP0B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3NS7BAAAA2wAAAA8AAAAAAAAAAAAAAAAAmAIAAGRycy9kb3du&#10;cmV2LnhtbFBLBQYAAAAABAAEAPUAAACGAwAAAAA=&#10;" fillcolor="white [3201]" strokecolor="black [3200]" strokeweight="2pt">
                  <v:textbox>
                    <w:txbxContent>
                      <w:p w:rsidR="00304DD5" w:rsidRPr="00620555" w:rsidRDefault="00304DD5" w:rsidP="009B1098">
                        <w:pPr>
                          <w:pStyle w:val="NormalWeb"/>
                          <w:spacing w:before="0" w:beforeAutospacing="0" w:after="0" w:afterAutospacing="0"/>
                          <w:jc w:val="center"/>
                          <w:rPr>
                            <w:u w:val="single"/>
                          </w:rPr>
                        </w:pPr>
                        <w:r>
                          <w:rPr>
                            <w:rFonts w:asciiTheme="minorHAnsi" w:cstheme="minorBidi"/>
                            <w:b/>
                            <w:bCs/>
                            <w:color w:val="000000" w:themeColor="dark1"/>
                            <w:kern w:val="24"/>
                            <w:u w:val="single"/>
                          </w:rPr>
                          <w:t>Group SCl</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Silica, Clays (Kaolinite and Illite), Mg-Dolomite, Feldspar</w:t>
                        </w:r>
                      </w:p>
                    </w:txbxContent>
                  </v:textbox>
                </v:roundrect>
                <v:roundrect id="Rectangle: Rounded Corners 9" o:spid="_x0000_s1046" style="position:absolute;left:34182;top:14464;width:22581;height:1503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G7UMAA&#10;AADcAAAADwAAAGRycy9kb3ducmV2LnhtbESPzarCMBSE9xd8h3AEd9fUgiLVKCIIgouLf/tDc2yL&#10;zUlIoq1vfyMILoeZ+YZZrnvTiif50FhWMBlnIIhLqxuuFFzOu985iBCRNbaWScGLAqxXg58lFtp2&#10;fKTnKVYiQTgUqKCO0RVShrImg2FsHXHybtYbjEn6SmqPXYKbVuZZNpMGG04LNTra1lTeTw+jgOau&#10;2R2v+3j3M3Z/mB0u3e2g1GjYbxYgIvXxG/6091pBnk/hfSYdAb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0G7UMAAAADcAAAADwAAAAAAAAAAAAAAAACYAgAAZHJzL2Rvd25y&#10;ZXYueG1sUEsFBgAAAAAEAAQA9QAAAIUDAAAAAA==&#10;" fillcolor="white [3201]" strokecolor="black [3200]" strokeweight="2pt">
                  <v:textbox>
                    <w:txbxContent>
                      <w:p w:rsidR="00304DD5" w:rsidRPr="00620555" w:rsidRDefault="00304DD5" w:rsidP="009B1098">
                        <w:pPr>
                          <w:pStyle w:val="NormalWeb"/>
                          <w:spacing w:before="0" w:beforeAutospacing="0" w:after="0" w:afterAutospacing="0"/>
                          <w:jc w:val="center"/>
                          <w:rPr>
                            <w:u w:val="single"/>
                          </w:rPr>
                        </w:pPr>
                        <w:r>
                          <w:rPr>
                            <w:rFonts w:asciiTheme="minorHAnsi" w:cstheme="minorBidi"/>
                            <w:b/>
                            <w:bCs/>
                            <w:color w:val="000000" w:themeColor="dark1"/>
                            <w:kern w:val="24"/>
                            <w:u w:val="single"/>
                          </w:rPr>
                          <w:t>Group CCl</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Calcite, Fe-Dolomite, Clays (Chlorite), K-Feldspar</w:t>
                        </w:r>
                      </w:p>
                    </w:txbxContent>
                  </v:textbox>
                </v:roundrect>
                <v:roundrect id="Rectangle: Rounded Corners 10" o:spid="_x0000_s1047" style="position:absolute;left:57627;top:14729;width:16877;height:1503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MlJ8EA&#10;AADcAAAADwAAAGRycy9kb3ducmV2LnhtbESPQYvCMBSE78L+h/AWvGlqD0WqsYggCB4WXff+aJ5t&#10;afMSkqzt/vuNIHgcZuYbZltNZhAP8qGzrGC1zEAQ11Z33Ci4fR8XaxAhImscLJOCPwpQ7T5mWyy1&#10;HflCj2tsRIJwKFFBG6MrpQx1SwbD0jri5N2tNxiT9I3UHscEN4PMs6yQBjtOCy06OrRU99dfo4DW&#10;rjtefk6x9wW7L8zOt/F+Vmr+Oe03ICJN8R1+tU9aQZ4X8DyTjoD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TJSfBAAAA3AAAAA8AAAAAAAAAAAAAAAAAmAIAAGRycy9kb3du&#10;cmV2LnhtbFBLBQYAAAAABAAEAPUAAACGAwAAAAA=&#10;" fillcolor="white [3201]" strokecolor="black [3200]" strokeweight="2pt">
                  <v:textbox>
                    <w:txbxContent>
                      <w:p w:rsidR="00304DD5" w:rsidRPr="00620555" w:rsidRDefault="00304DD5" w:rsidP="009B1098">
                        <w:pPr>
                          <w:pStyle w:val="NormalWeb"/>
                          <w:spacing w:before="0" w:beforeAutospacing="0" w:after="0" w:afterAutospacing="0"/>
                          <w:jc w:val="center"/>
                          <w:rPr>
                            <w:u w:val="single"/>
                          </w:rPr>
                        </w:pPr>
                        <w:r w:rsidRPr="00620555">
                          <w:rPr>
                            <w:rFonts w:asciiTheme="minorHAnsi" w:cstheme="minorBidi"/>
                            <w:b/>
                            <w:bCs/>
                            <w:color w:val="000000" w:themeColor="dark1"/>
                            <w:kern w:val="24"/>
                            <w:u w:val="single"/>
                          </w:rPr>
                          <w:t>Group RA</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Rutile, Apatite</w:t>
                        </w:r>
                      </w:p>
                      <w:p w:rsidR="00304DD5" w:rsidRPr="009B1098" w:rsidRDefault="00304DD5" w:rsidP="009B1098">
                        <w:pPr>
                          <w:pStyle w:val="NormalWeb"/>
                          <w:spacing w:before="0" w:beforeAutospacing="0" w:after="0" w:afterAutospacing="0"/>
                          <w:jc w:val="center"/>
                        </w:pPr>
                        <w:r w:rsidRPr="009B1098">
                          <w:rPr>
                            <w:rFonts w:asciiTheme="minorHAnsi" w:cstheme="minorBidi"/>
                            <w:color w:val="000000" w:themeColor="dark1"/>
                            <w:kern w:val="24"/>
                          </w:rPr>
                          <w:t xml:space="preserve"> </w:t>
                        </w:r>
                      </w:p>
                    </w:txbxContent>
                  </v:textbox>
                </v:roundrect>
                <v:roundrect id="Rectangle: Rounded Corners 11" o:spid="_x0000_s1048" style="position:absolute;left:75607;top:14476;width:14022;height:1503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AvMAA&#10;AADcAAAADwAAAGRycy9kb3ducmV2LnhtbESPQYvCMBSE74L/ITxhb5ragyvVKCIIggfR1fujebbF&#10;5iUk0dZ/bxYEj8PMfMMs171pxZN8aCwrmE4yEMSl1Q1XCi5/u/EcRIjIGlvLpOBFAdar4WCJhbYd&#10;n+h5jpVIEA4FKqhjdIWUoazJYJhYR5y8m/UGY5K+ktpjl+CmlXmWzaTBhtNCjY62NZX388MooLlr&#10;dqfrPt79jN0Rs8Olux2U+hn1mwWISH38hj/tvVaQ57/wfyYdAbl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AvMAAAADcAAAADwAAAAAAAAAAAAAAAACYAgAAZHJzL2Rvd25y&#10;ZXYueG1sUEsFBgAAAAAEAAQA9QAAAIUDAAAAAA==&#10;" fillcolor="white [3201]" strokecolor="black [3200]" strokeweight="2pt">
                  <v:textbox>
                    <w:txbxContent>
                      <w:p w:rsidR="00304DD5" w:rsidRPr="00620555" w:rsidRDefault="00304DD5" w:rsidP="00274926">
                        <w:pPr>
                          <w:pStyle w:val="NormalWeb"/>
                          <w:spacing w:before="0" w:beforeAutospacing="0" w:after="0" w:afterAutospacing="0"/>
                          <w:jc w:val="center"/>
                          <w:rPr>
                            <w:u w:val="single"/>
                          </w:rPr>
                        </w:pPr>
                        <w:r w:rsidRPr="00620555">
                          <w:rPr>
                            <w:rFonts w:asciiTheme="minorHAnsi" w:cstheme="minorBidi"/>
                            <w:b/>
                            <w:bCs/>
                            <w:color w:val="000000" w:themeColor="dark1"/>
                            <w:kern w:val="24"/>
                            <w:u w:val="single"/>
                          </w:rPr>
                          <w:t>Group P</w:t>
                        </w:r>
                      </w:p>
                      <w:p w:rsidR="00304DD5" w:rsidRPr="009B1098" w:rsidRDefault="00304DD5" w:rsidP="00274926">
                        <w:pPr>
                          <w:pStyle w:val="NormalWeb"/>
                          <w:spacing w:before="0" w:beforeAutospacing="0" w:after="0" w:afterAutospacing="0"/>
                          <w:jc w:val="center"/>
                        </w:pPr>
                        <w:r w:rsidRPr="009B1098">
                          <w:rPr>
                            <w:rFonts w:asciiTheme="minorHAnsi" w:cstheme="minorBidi"/>
                            <w:color w:val="000000" w:themeColor="dark1"/>
                            <w:kern w:val="24"/>
                          </w:rPr>
                          <w:t>Pyrite</w:t>
                        </w:r>
                      </w:p>
                    </w:txbxContent>
                  </v:textbox>
                </v:roundrect>
                <v:roundrect id="Rectangle: Rounded Corners 13" o:spid="_x0000_s1049" style="position:absolute;left:13781;top:34624;width:15357;height:821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AUzrsA&#10;AADcAAAADwAAAGRycy9kb3ducmV2LnhtbERPuwrCMBTdBf8hXMFNUzuIVKOIIAgO4mu/NNe22NyE&#10;JNr692YQHA/nvdr0phVv8qGxrGA2zUAQl1Y3XCm4XfeTBYgQkTW2lknBhwJs1sPBCgttOz7T+xIr&#10;kUI4FKigjtEVUoayJoNhah1x4h7WG4wJ+kpqj10KN63Ms2wuDTacGmp0tKupfF5eRgEtXLM/3w/x&#10;6efsTpgdb93jqNR41G+XICL18S/+uQ9aQZ6ntelMOgJ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PVAFM67AAAA3AAAAA8AAAAAAAAAAAAAAAAAmAIAAGRycy9kb3ducmV2Lnht&#10;bFBLBQYAAAAABAAEAPUAAACAAwAAAAA=&#10;" fillcolor="white [3201]" strokecolor="black [3200]" strokeweight="2pt">
                  <v:textbox>
                    <w:txbxContent>
                      <w:p w:rsidR="00304DD5" w:rsidRPr="009B1098" w:rsidRDefault="00304DD5" w:rsidP="00620555">
                        <w:pPr>
                          <w:pStyle w:val="NormalWeb"/>
                          <w:spacing w:before="0" w:beforeAutospacing="0" w:after="0" w:afterAutospacing="0"/>
                          <w:jc w:val="center"/>
                        </w:pPr>
                        <w:r w:rsidRPr="009B1098">
                          <w:rPr>
                            <w:rFonts w:asciiTheme="minorHAnsi" w:cstheme="minorBidi"/>
                            <w:color w:val="000000" w:themeColor="dark1"/>
                            <w:kern w:val="24"/>
                          </w:rPr>
                          <w:t>Clays (Kaolinite and Illite)</w:t>
                        </w:r>
                      </w:p>
                      <w:p w:rsidR="00304DD5" w:rsidRPr="009B1098" w:rsidRDefault="00304DD5" w:rsidP="009B1098">
                        <w:pPr>
                          <w:pStyle w:val="NormalWeb"/>
                          <w:spacing w:before="0" w:beforeAutospacing="0" w:after="0" w:afterAutospacing="0"/>
                          <w:jc w:val="center"/>
                        </w:pPr>
                      </w:p>
                    </w:txbxContent>
                  </v:textbox>
                </v:roundrect>
                <v:roundrect id="Rectangle: Rounded Corners 18" o:spid="_x0000_s1050" style="position:absolute;left:65551;top:34446;width:12372;height:86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xVcAA&#10;AADcAAAADwAAAGRycy9kb3ducmV2LnhtbESPQYvCMBSE74L/ITxhb5rag7jVKCIIggfR1fujebbF&#10;5iUk0dZ/bxYEj8PMfMMs171pxZN8aCwrmE4yEMSl1Q1XCi5/u/EcRIjIGlvLpOBFAdar4WCJhbYd&#10;n+h5jpVIEA4FKqhjdIWUoazJYJhYR5y8m/UGY5K+ktpjl+CmlXmWzaTBhtNCjY62NZX388MooLlr&#10;dqfrPt79jN0Rs8Olux2U+hn1mwWISH38hj/tvVaQ57/wfyYdAbl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gyxVcAAAADcAAAADwAAAAAAAAAAAAAAAACYAgAAZHJzL2Rvd25y&#10;ZXYueG1sUEsFBgAAAAAEAAQA9QAAAIUDAAAAAA==&#10;" fillcolor="white [3201]" strokecolor="black [3200]" strokeweight="2pt">
                  <v:textbox>
                    <w:txbxContent>
                      <w:p w:rsidR="00304DD5" w:rsidRPr="009B1098" w:rsidRDefault="00304DD5" w:rsidP="009B1098">
                        <w:pPr>
                          <w:pStyle w:val="NormalWeb"/>
                          <w:spacing w:before="0" w:beforeAutospacing="0" w:after="0" w:afterAutospacing="0"/>
                          <w:jc w:val="center"/>
                        </w:pPr>
                        <w:r>
                          <w:t>Other grains</w:t>
                        </w:r>
                      </w:p>
                    </w:txbxContent>
                  </v:textbox>
                </v:roundrect>
                <v:roundrect id="Rectangle: Rounded Corners 19" o:spid="_x0000_s1051" style="position:absolute;left:30167;top:34292;width:12951;height:838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OFbsA&#10;AADcAAAADwAAAGRycy9kb3ducmV2LnhtbERPSwrCMBDdC94hjOBOUxVEqlFEEAQX4m8/NGNbbCYh&#10;ibbe3iwEl4/3X20604g3+VBbVjAZZyCIC6trLhXcrvvRAkSIyBoby6TgQwE2635vhbm2LZ/pfYml&#10;SCEcclRQxehyKUNRkcEwto44cQ/rDcYEfSm1xzaFm0ZOs2wuDdacGip0tKuoeF5eRgEtXL0/3w/x&#10;6efsTpgdb+3jqNRw0G2XICJ18S/+uQ9awXSW5qcz6QjI9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7vjhW7AAAA3AAAAA8AAAAAAAAAAAAAAAAAmAIAAGRycy9kb3ducmV2Lnht&#10;bFBLBQYAAAAABAAEAPUAAACAAwAAAAA=&#10;" fillcolor="white [3201]" strokecolor="black [3200]" strokeweight="2pt">
                  <v:textbox>
                    <w:txbxContent>
                      <w:p w:rsidR="00304DD5" w:rsidRPr="009B1098" w:rsidRDefault="00304DD5" w:rsidP="009B1098">
                        <w:pPr>
                          <w:pStyle w:val="NormalWeb"/>
                          <w:spacing w:before="0" w:beforeAutospacing="0" w:after="0" w:afterAutospacing="0"/>
                          <w:jc w:val="center"/>
                        </w:pPr>
                        <w:r>
                          <w:rPr>
                            <w:rFonts w:asciiTheme="minorHAnsi" w:cstheme="minorBidi"/>
                            <w:color w:val="000000" w:themeColor="dark1"/>
                            <w:kern w:val="24"/>
                          </w:rPr>
                          <w:t>Other grains</w:t>
                        </w:r>
                      </w:p>
                    </w:txbxContent>
                  </v:textbox>
                </v:roundrect>
                <v:roundrect id="Rectangle: Rounded Corners 20" o:spid="_x0000_s1052" style="position:absolute;left:45192;top:34291;width:19429;height:863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MrjsIA&#10;AADcAAAADwAAAGRycy9kb3ducmV2LnhtbESPQWsCMRSE7wX/Q3iCt5pVYVm2RhFBEDwUrb0/Ns/N&#10;4uYlJNFd/31TKPQ4zMw3zHo72l48KcTOsYLFvABB3Djdcavg+nV4r0DEhKyxd0wKXhRhu5m8rbHW&#10;buAzPS+pFRnCsUYFJiVfSxkbQxbj3Hni7N1csJiyDK3UAYcMt71cFkUpLXacFwx62htq7peHVUCV&#10;7w7n72O6h5L9Jxan63A7KTWbjrsPEInG9B/+ax+1guVqAb9n8hG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oyuOwgAAANwAAAAPAAAAAAAAAAAAAAAAAJgCAABkcnMvZG93&#10;bnJldi54bWxQSwUGAAAAAAQABAD1AAAAhwMAAAAA&#10;" fillcolor="white [3201]" strokecolor="black [3200]" strokeweight="2pt">
                  <v:textbox>
                    <w:txbxContent>
                      <w:p w:rsidR="00304DD5" w:rsidRPr="009B1098" w:rsidRDefault="00304DD5" w:rsidP="00620555">
                        <w:pPr>
                          <w:pStyle w:val="NormalWeb"/>
                          <w:spacing w:before="0" w:beforeAutospacing="0" w:after="0" w:afterAutospacing="0"/>
                          <w:jc w:val="center"/>
                        </w:pPr>
                        <w:r w:rsidRPr="009B1098">
                          <w:rPr>
                            <w:rFonts w:asciiTheme="minorHAnsi" w:cstheme="minorBidi"/>
                            <w:color w:val="000000" w:themeColor="dark1"/>
                            <w:kern w:val="24"/>
                          </w:rPr>
                          <w:t>Clays (Chlorite)</w:t>
                        </w:r>
                      </w:p>
                      <w:p w:rsidR="00304DD5" w:rsidRPr="009B1098" w:rsidRDefault="00304DD5" w:rsidP="009B1098">
                        <w:pPr>
                          <w:pStyle w:val="NormalWeb"/>
                          <w:spacing w:before="0" w:beforeAutospacing="0" w:after="0" w:afterAutospacing="0"/>
                          <w:jc w:val="center"/>
                        </w:pPr>
                      </w:p>
                    </w:txbxContent>
                  </v:textbox>
                </v:roundrect>
                <v:shapetype id="_x0000_t32" coordsize="21600,21600" o:spt="32" o:oned="t" path="m,l21600,21600e" filled="f">
                  <v:path arrowok="t" fillok="f" o:connecttype="none"/>
                  <o:lock v:ext="edit" shapetype="t"/>
                </v:shapetype>
                <v:shape id="Straight Arrow Connector 13" o:spid="_x0000_s1053" type="#_x0000_t32" style="position:absolute;left:21459;top:29355;width:516;height:52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fGVsQAAADcAAAADwAAAGRycy9kb3ducmV2LnhtbESPzYvCMBTE78L+D+Et7E3TzYIf1SiL&#10;IHhR8ePg8dk822LzUppYu//9RhA8DjPzG2a26GwlWmp86VjD9yABQZw5U3Ku4XRc9ccgfEA2WDkm&#10;DX/kYTH/6M0wNe7Be2oPIRcRwj5FDUUIdSqlzwqy6AeuJo7e1TUWQ5RNLk2Djwi3lVRJMpQWS44L&#10;Bda0LCi7He5WA4d2o3C/HXaToxqfL6PdarmRWn99dr9TEIG68A6/2mujQf0oeJ6JR0DO/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x8ZWxAAAANwAAAAPAAAAAAAAAAAA&#10;AAAAAKECAABkcnMvZG93bnJldi54bWxQSwUGAAAAAAQABAD5AAAAkgMAAAAA&#10;" strokecolor="black [3200]" strokeweight="2pt">
                  <v:stroke endarrow="block"/>
                  <v:shadow on="t" color="black" opacity="24903f" origin=",.5" offset="0,.55556mm"/>
                </v:shape>
                <v:shape id="Straight Arrow Connector 14" o:spid="_x0000_s1054" type="#_x0000_t32" style="position:absolute;left:21193;top:29226;width:15450;height:50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Drl8MAAADcAAAADwAAAGRycy9kb3ducmV2LnhtbESPzWrDMBCE74W+g9hCb43cmBTXiRKS&#10;QqHH5gd63VgbW6m1MtbWcd++CgR6HGbmG2axGn2rBuqjC2zgeZKBIq6CdVwbOOzfnwpQUZAttoHJ&#10;wC9FWC3v7xZY2nDhLQ07qVWCcCzRQCPSlVrHqiGPcRI64uSdQu9RkuxrbXu8JLhv9TTLXrRHx2mh&#10;wY7eGqq+dz/ewKaW3BVDNivOn3v6Ojp5tSjGPD6M6zkooVH+w7f2hzUwzXO4nklHQ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g65fDAAAA3AAAAA8AAAAAAAAAAAAA&#10;AAAAoQIAAGRycy9kb3ducmV2LnhtbFBLBQYAAAAABAAEAPkAAACRAwAAAAA=&#10;" strokecolor="black [3200]" strokeweight="2pt">
                  <v:stroke endarrow="block"/>
                  <v:shadow on="t" color="black" opacity="24903f" origin=",.5" offset="0,.55556mm"/>
                </v:shape>
                <v:shape id="Straight Arrow Connector 15" o:spid="_x0000_s1055" type="#_x0000_t32" style="position:absolute;left:46397;top:29507;width:8505;height:478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lz48MAAADcAAAADwAAAGRycy9kb3ducmV2LnhtbESPQWvCQBSE7wX/w/IKvdVNtS0xdRVb&#10;KPRoVfD6zL4mq9m3Ifsa03/vCkKPw8x8w8yXg29UT110gQ08jTNQxGWwjisDu+3nYw4qCrLFJjAZ&#10;+KMIy8Xobo6FDWf+pn4jlUoQjgUaqEXaQutY1uQxjkNLnLyf0HmUJLtK2w7PCe4bPcmyV+3RcVqo&#10;saWPmsrT5tcbeK9k6vI+e8mP6y3tD05mFsWYh/th9QZKaJD/8K39ZQ1Mps9wPZOOgF5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Jc+PDAAAA3AAAAA8AAAAAAAAAAAAA&#10;AAAAoQIAAGRycy9kb3ducmV2LnhtbFBLBQYAAAAABAAEAPkAAACRAwAAAAA=&#10;" strokecolor="black [3200]" strokeweight="2pt">
                  <v:stroke endarrow="block"/>
                  <v:shadow on="t" color="black" opacity="24903f" origin=",.5" offset="0,.55556mm"/>
                </v:shape>
                <v:shape id="Straight Arrow Connector 16" o:spid="_x0000_s1056" type="#_x0000_t32" style="position:absolute;left:47138;top:29594;width:24599;height:48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XWeMIAAADcAAAADwAAAGRycy9kb3ducmV2LnhtbESPQWvCQBSE7wX/w/KE3upGxZKmrqKC&#10;0KPVQq+v2ddkNfs2ZJ8x/fddodDjMDPfMMv14BvVUxddYAPTSQaKuAzWcWXg47R/ykFFQbbYBCYD&#10;PxRhvRo9LLGw4cbv1B+lUgnCsUADtUhbaB3LmjzGSWiJk/cdOo+SZFdp2+EtwX2jZ1n2rD06Tgs1&#10;trSrqbwcr97AtpK5y/tskZ8PJ/r8cvJiUYx5HA+bV1BCg/yH/9pv1sBsvoD7mXQE9O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EXWeMIAAADcAAAADwAAAAAAAAAAAAAA&#10;AAChAgAAZHJzL2Rvd25yZXYueG1sUEsFBgAAAAAEAAQA+QAAAJADAAAAAA==&#10;" strokecolor="black [3200]" strokeweight="2pt">
                  <v:stroke endarrow="block"/>
                  <v:shadow on="t" color="black" opacity="24903f" origin=",.5" offset="0,.55556mm"/>
                </v:shape>
                <v:shape id="Straight Arrow Connector 17" o:spid="_x0000_s1057" type="#_x0000_t32" style="position:absolute;left:21973;top:8707;width:24225;height:561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zAVcMAAADcAAAADwAAAGRycy9kb3ducmV2LnhtbESPQYvCMBSE78L+h/AWvGm6FarbNcoi&#10;CF5UrB72+LZ5tsXmpTSx1n9vBMHjMDPfMPNlb2rRUesqywq+xhEI4tzqigsFp+N6NAPhPLLG2jIp&#10;uJOD5eJjMMdU2xsfqMt8IQKEXYoKSu+bVEqXl2TQjW1DHLyzbQ36INtC6hZvAW5qGUdRIg1WHBZK&#10;bGhVUn7JrkYB+24b42GX9N/HePb3P92vV1up1PCz//0B4an37/CrvdEK4kkCzzPhCM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8wFXDAAAA3AAAAA8AAAAAAAAAAAAA&#10;AAAAoQIAAGRycy9kb3ducmV2LnhtbFBLBQYAAAAABAAEAPkAAACRAwAAAAA=&#10;" strokecolor="black [3200]" strokeweight="2pt">
                  <v:stroke endarrow="block"/>
                  <v:shadow on="t" color="black" opacity="24903f" origin=",.5" offset="0,.55556mm"/>
                </v:shape>
                <v:shape id="Straight Arrow Connector 18" o:spid="_x0000_s1058" type="#_x0000_t32" style="position:absolute;left:45469;top:8489;width:790;height:597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bBlzsQAAADcAAAADwAAAGRycy9kb3ducmV2LnhtbESPS4vCQBCE7wv+h6GFva0TI/iImYgI&#10;ghd38XHw2GbaJJjpCZkxZv/9zoLgsaiqr6h01ZtadNS6yrKC8SgCQZxbXXGh4Hzafs1BOI+ssbZM&#10;Cn7JwSobfKSYaPvkA3VHX4gAYZeggtL7JpHS5SUZdCPbEAfvZluDPsi2kLrFZ4CbWsZRNJUGKw4L&#10;JTa0KSm/Hx9GAftuH+Phe9ovTvH8cp39bDd7qdTnsF8vQXjq/Tv8au+0gngyg/8z4QjI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sGXOxAAAANwAAAAPAAAAAAAAAAAA&#10;AAAAAKECAABkcnMvZG93bnJldi54bWxQSwUGAAAAAAQABAD5AAAAkgMAAAAA&#10;" strokecolor="black [3200]" strokeweight="2pt">
                  <v:stroke endarrow="block"/>
                  <v:shadow on="t" color="black" opacity="24903f" origin=",.5" offset="0,.55556mm"/>
                </v:shape>
                <v:shape id="Straight Arrow Connector 19" o:spid="_x0000_s1059" type="#_x0000_t32" style="position:absolute;left:46260;top:8707;width:19800;height:60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jcfcIAAADcAAAADwAAAGRycy9kb3ducmV2LnhtbESPQWvCQBSE7wX/w/IEb3WjYompq2hB&#10;6LFqodfX7GuyNfs2ZF9j+u+7gtDjMDPfMOvt4BvVUxddYAOzaQaKuAzWcWXg/Xx4zEFFQbbYBCYD&#10;vxRhuxk9rLGw4cpH6k9SqQThWKCBWqQttI5lTR7jNLTEyfsKnUdJsqu07fCa4L7R8yx70h4dp4Ua&#10;W3qpqbycfryBfSULl/fZMv9+O9PHp5OVRTFmMh52z6CEBvkP39uv1sB8sYLbmXQE9O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QjcfcIAAADcAAAADwAAAAAAAAAAAAAA&#10;AAChAgAAZHJzL2Rvd25yZXYueG1sUEsFBgAAAAAEAAQA+QAAAJADAAAAAA==&#10;" strokecolor="black [3200]" strokeweight="2pt">
                  <v:stroke endarrow="block"/>
                  <v:shadow on="t" color="black" opacity="24903f" origin=",.5" offset="0,.55556mm"/>
                </v:shape>
                <v:shape id="Straight Arrow Connector 20" o:spid="_x0000_s1060" type="#_x0000_t32" style="position:absolute;left:46260;top:8707;width:36351;height:57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QGncAAAADcAAAADwAAAGRycy9kb3ducmV2LnhtbERPS2vCQBC+F/oflil4qxsfLWnqKloo&#10;eLRa8Dpmp8nW7GzITmP6792D4PHjey9Wg29UT110gQ1Mxhko4jJYx5WB78Pncw4qCrLFJjAZ+KcI&#10;q+XjwwILGy78Rf1eKpVCOBZooBZpC61jWZPHOA4tceJ+QudREuwqbTu8pHDf6GmWvWqPjlNDjS19&#10;1FSe93/ewKaSmcv77CX/3R3oeHLyZlGMGT0N63dQQoPcxTf31hqYztP8dCYdAb28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w0Bp3AAAAA3AAAAA8AAAAAAAAAAAAAAAAA&#10;oQIAAGRycy9kb3ducmV2LnhtbFBLBQYAAAAABAAEAPkAAACOAwAAAAA=&#10;" strokecolor="black [3200]" strokeweight="2pt">
                  <v:stroke endarrow="block"/>
                  <v:shadow on="t" color="black" opacity="24903f" origin=",.5" offset="0,.55556mm"/>
                </v:shape>
                <v:shape id="TextBox 76" o:spid="_x0000_s1061" type="#_x0000_t202" style="position:absolute;left:-3113;top:22934;width:14828;height:8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rsidR="00304DD5" w:rsidRPr="00274926" w:rsidRDefault="00304DD5" w:rsidP="009B1098">
                        <w:pPr>
                          <w:pStyle w:val="NormalWeb"/>
                          <w:spacing w:before="0" w:beforeAutospacing="0" w:after="0" w:afterAutospacing="0"/>
                          <w:rPr>
                            <w:b/>
                          </w:rPr>
                        </w:pPr>
                        <w:r w:rsidRPr="00274926">
                          <w:rPr>
                            <w:rFonts w:asciiTheme="minorHAnsi" w:cstheme="minorBidi"/>
                            <w:b/>
                            <w:color w:val="000000" w:themeColor="text1"/>
                            <w:kern w:val="24"/>
                          </w:rPr>
                          <w:t>Gray Scale</w:t>
                        </w:r>
                      </w:p>
                    </w:txbxContent>
                  </v:textbox>
                </v:shape>
                <v:shape id="TextBox 77" o:spid="_x0000_s1062" type="#_x0000_t202" style="position:absolute;left:-2966;top:36489;width:16967;height:6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k8X8EA&#10;AADbAAAADwAAAGRycy9kb3ducmV2LnhtbERPz2vCMBS+D/Y/hCfstiaKbrMzylAGOyl2U/D2aJ5t&#10;WfMSmszW/94chB0/vt+L1WBbcaEuNI41jDMFgrh0puFKw8/35/MbiBCRDbaOScOVAqyWjw8LzI3r&#10;eU+XIlYihXDIUUMdo8+lDGVNFkPmPHHizq6zGBPsKmk67FO4beVEqRdpseHUUKOndU3lb/FnNRy2&#10;59NxqnbVxs587wYl2c6l1k+j4eMdRKQh/ovv7i+j4TWNTV/SD5DL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pPF/BAAAA2wAAAA8AAAAAAAAAAAAAAAAAmAIAAGRycy9kb3du&#10;cmV2LnhtbFBLBQYAAAAABAAEAPUAAACGAwAAAAA=&#10;" filled="f" stroked="f">
                  <v:textbox>
                    <w:txbxContent>
                      <w:p w:rsidR="00304DD5" w:rsidRPr="00274926" w:rsidRDefault="00304DD5" w:rsidP="009B1098">
                        <w:pPr>
                          <w:pStyle w:val="NormalWeb"/>
                          <w:spacing w:before="0" w:beforeAutospacing="0" w:after="0" w:afterAutospacing="0"/>
                          <w:rPr>
                            <w:b/>
                          </w:rPr>
                        </w:pPr>
                        <w:r w:rsidRPr="00274926">
                          <w:rPr>
                            <w:rFonts w:asciiTheme="minorHAnsi" w:cstheme="minorBidi"/>
                            <w:b/>
                            <w:color w:val="000000" w:themeColor="text1"/>
                            <w:kern w:val="24"/>
                          </w:rPr>
                          <w:t>Aspect Ratio</w:t>
                        </w:r>
                      </w:p>
                    </w:txbxContent>
                  </v:textbox>
                </v:shape>
                <w10:anchorlock/>
              </v:group>
            </w:pict>
          </mc:Fallback>
        </mc:AlternateContent>
      </w:r>
    </w:p>
    <w:p w:rsidR="009B1098" w:rsidRDefault="009B1098" w:rsidP="00B17778">
      <w:pPr>
        <w:jc w:val="both"/>
        <w:rPr>
          <w:rFonts w:ascii="Times New Roman" w:hAnsi="Times New Roman"/>
          <w:b/>
        </w:rPr>
      </w:pPr>
      <w:r w:rsidRPr="00A0269F">
        <w:rPr>
          <w:rFonts w:ascii="Times New Roman" w:hAnsi="Times New Roman"/>
          <w:b/>
        </w:rPr>
        <w:t xml:space="preserve">Figure </w:t>
      </w:r>
      <w:r w:rsidR="006D7069">
        <w:rPr>
          <w:rFonts w:ascii="Times New Roman" w:hAnsi="Times New Roman"/>
          <w:b/>
        </w:rPr>
        <w:t>3.10</w:t>
      </w:r>
      <w:r w:rsidRPr="00A0269F">
        <w:rPr>
          <w:rFonts w:ascii="Times New Roman" w:hAnsi="Times New Roman"/>
          <w:b/>
        </w:rPr>
        <w:t>:</w:t>
      </w:r>
      <w:r>
        <w:rPr>
          <w:rFonts w:ascii="Times New Roman" w:hAnsi="Times New Roman"/>
          <w:b/>
        </w:rPr>
        <w:t xml:space="preserve"> </w:t>
      </w:r>
      <w:r w:rsidR="000A112F">
        <w:rPr>
          <w:rFonts w:ascii="Times New Roman" w:hAnsi="Times New Roman"/>
          <w:b/>
        </w:rPr>
        <w:t xml:space="preserve">Four major </w:t>
      </w:r>
      <w:r w:rsidR="00951A71">
        <w:rPr>
          <w:rFonts w:ascii="Times New Roman" w:hAnsi="Times New Roman"/>
          <w:b/>
        </w:rPr>
        <w:t>m</w:t>
      </w:r>
      <w:r w:rsidR="00C74138">
        <w:rPr>
          <w:rFonts w:ascii="Times New Roman" w:hAnsi="Times New Roman"/>
          <w:b/>
        </w:rPr>
        <w:t>ineral groups</w:t>
      </w:r>
      <w:r w:rsidR="000A112F">
        <w:rPr>
          <w:rFonts w:ascii="Times New Roman" w:hAnsi="Times New Roman"/>
          <w:b/>
        </w:rPr>
        <w:t xml:space="preserve"> are separated from an SEM map based on gray-scale values. The </w:t>
      </w:r>
      <w:r w:rsidR="004621CD">
        <w:rPr>
          <w:rFonts w:ascii="Times New Roman" w:hAnsi="Times New Roman"/>
          <w:b/>
        </w:rPr>
        <w:t>mineral</w:t>
      </w:r>
      <w:r w:rsidR="000A112F">
        <w:rPr>
          <w:rFonts w:ascii="Times New Roman" w:hAnsi="Times New Roman"/>
          <w:b/>
        </w:rPr>
        <w:t xml:space="preserve">s in each group have close or overlapping gray values. Clays are separated from other grains in </w:t>
      </w:r>
      <w:r w:rsidR="00F3616C">
        <w:rPr>
          <w:rFonts w:ascii="Times New Roman" w:hAnsi="Times New Roman"/>
          <w:b/>
        </w:rPr>
        <w:t>g</w:t>
      </w:r>
      <w:r w:rsidR="00485EEE">
        <w:rPr>
          <w:rFonts w:ascii="Times New Roman" w:hAnsi="Times New Roman"/>
          <w:b/>
        </w:rPr>
        <w:t xml:space="preserve">roup </w:t>
      </w:r>
      <w:r w:rsidR="00951A71">
        <w:rPr>
          <w:rFonts w:ascii="Times New Roman" w:hAnsi="Times New Roman"/>
          <w:b/>
        </w:rPr>
        <w:t>SCl</w:t>
      </w:r>
      <w:r w:rsidR="000A112F">
        <w:rPr>
          <w:rFonts w:ascii="Times New Roman" w:hAnsi="Times New Roman"/>
          <w:b/>
        </w:rPr>
        <w:t xml:space="preserve"> and </w:t>
      </w:r>
      <w:r w:rsidR="00F3616C">
        <w:rPr>
          <w:rFonts w:ascii="Times New Roman" w:hAnsi="Times New Roman"/>
          <w:b/>
        </w:rPr>
        <w:t>g</w:t>
      </w:r>
      <w:r w:rsidR="00485EEE">
        <w:rPr>
          <w:rFonts w:ascii="Times New Roman" w:hAnsi="Times New Roman"/>
          <w:b/>
        </w:rPr>
        <w:t xml:space="preserve">roup </w:t>
      </w:r>
      <w:r w:rsidR="00951A71">
        <w:rPr>
          <w:rFonts w:ascii="Times New Roman" w:hAnsi="Times New Roman"/>
          <w:b/>
        </w:rPr>
        <w:t>CCl</w:t>
      </w:r>
      <w:r w:rsidR="000A112F">
        <w:rPr>
          <w:rFonts w:ascii="Times New Roman" w:hAnsi="Times New Roman"/>
          <w:b/>
        </w:rPr>
        <w:t xml:space="preserve"> based on aspect ratio.</w:t>
      </w:r>
    </w:p>
    <w:p w:rsidR="009967CA" w:rsidRPr="003C3B4E" w:rsidRDefault="009967CA" w:rsidP="00B17778">
      <w:pPr>
        <w:jc w:val="both"/>
        <w:rPr>
          <w:rFonts w:ascii="Times New Roman" w:hAnsi="Times New Roman"/>
          <w:b/>
        </w:rPr>
      </w:pPr>
    </w:p>
    <w:p w:rsidR="00F73AA5" w:rsidRPr="006204F6" w:rsidRDefault="00F73AA5" w:rsidP="00F73AA5">
      <w:pPr>
        <w:jc w:val="center"/>
        <w:rPr>
          <w:b/>
          <w:i/>
        </w:rPr>
      </w:pPr>
      <w:r w:rsidRPr="006204F6">
        <w:rPr>
          <w:b/>
          <w:i/>
        </w:rPr>
        <w:t>3.2.</w:t>
      </w:r>
      <w:r w:rsidR="004A6535" w:rsidRPr="006204F6">
        <w:rPr>
          <w:b/>
          <w:i/>
        </w:rPr>
        <w:t>4</w:t>
      </w:r>
      <w:r w:rsidRPr="006204F6">
        <w:rPr>
          <w:b/>
          <w:i/>
        </w:rPr>
        <w:t xml:space="preserve"> SEM Segmentation – </w:t>
      </w:r>
      <w:r w:rsidR="00F562AA" w:rsidRPr="006204F6">
        <w:rPr>
          <w:b/>
          <w:i/>
        </w:rPr>
        <w:t>W</w:t>
      </w:r>
      <w:r w:rsidR="003C3B4E" w:rsidRPr="006204F6">
        <w:rPr>
          <w:b/>
          <w:i/>
        </w:rPr>
        <w:t>atershed</w:t>
      </w:r>
    </w:p>
    <w:p w:rsidR="00F73AA5" w:rsidRDefault="00F73AA5" w:rsidP="00B17778">
      <w:pPr>
        <w:jc w:val="both"/>
        <w:rPr>
          <w:rFonts w:ascii="Times New Roman" w:hAnsi="Times New Roman"/>
        </w:rPr>
      </w:pPr>
    </w:p>
    <w:p w:rsidR="003C3B4E" w:rsidRDefault="003C3B4E" w:rsidP="00B17778">
      <w:pPr>
        <w:jc w:val="both"/>
        <w:rPr>
          <w:rFonts w:ascii="Times New Roman" w:hAnsi="Times New Roman"/>
        </w:rPr>
      </w:pPr>
      <w:r>
        <w:rPr>
          <w:rFonts w:ascii="Times New Roman" w:hAnsi="Times New Roman"/>
        </w:rPr>
        <w:t xml:space="preserve">One of the major challenges </w:t>
      </w:r>
      <w:r w:rsidR="00C43660">
        <w:rPr>
          <w:rFonts w:ascii="Times New Roman" w:hAnsi="Times New Roman"/>
        </w:rPr>
        <w:t>in grain size studies</w:t>
      </w:r>
      <w:r>
        <w:rPr>
          <w:rFonts w:ascii="Times New Roman" w:hAnsi="Times New Roman"/>
        </w:rPr>
        <w:t xml:space="preserve"> is </w:t>
      </w:r>
      <w:r w:rsidR="00DF5C72">
        <w:rPr>
          <w:rFonts w:ascii="Times New Roman" w:hAnsi="Times New Roman"/>
        </w:rPr>
        <w:t>grain segmentation</w:t>
      </w:r>
      <w:r>
        <w:rPr>
          <w:rFonts w:ascii="Times New Roman" w:hAnsi="Times New Roman"/>
        </w:rPr>
        <w:t xml:space="preserve">. Watershed segmentation is utilized to </w:t>
      </w:r>
      <w:r w:rsidR="00C43660">
        <w:rPr>
          <w:rFonts w:ascii="Times New Roman" w:hAnsi="Times New Roman"/>
        </w:rPr>
        <w:t>separate grains</w:t>
      </w:r>
      <w:r>
        <w:rPr>
          <w:rFonts w:ascii="Times New Roman" w:hAnsi="Times New Roman"/>
        </w:rPr>
        <w:t xml:space="preserve">. It is applied right after the thresholding segmentation step. </w:t>
      </w:r>
      <w:r w:rsidR="00DC1817" w:rsidRPr="00B72958">
        <w:rPr>
          <w:rFonts w:ascii="Times New Roman" w:hAnsi="Times New Roman"/>
          <w:b/>
        </w:rPr>
        <w:t xml:space="preserve">Fig </w:t>
      </w:r>
      <w:r w:rsidR="00877D4E" w:rsidRPr="00B72958">
        <w:rPr>
          <w:rFonts w:ascii="Times New Roman" w:hAnsi="Times New Roman"/>
          <w:b/>
        </w:rPr>
        <w:t>3.6</w:t>
      </w:r>
      <w:r>
        <w:rPr>
          <w:rFonts w:ascii="Times New Roman" w:hAnsi="Times New Roman"/>
        </w:rPr>
        <w:t xml:space="preserve"> illustrates how watershed can effectively define the boundary and thus distinguish two overlapping objects. From a binary image of two overlapping objects as a result of thresholding segmentation (</w:t>
      </w:r>
      <w:r w:rsidRPr="00C43660">
        <w:rPr>
          <w:rFonts w:ascii="Times New Roman" w:hAnsi="Times New Roman"/>
          <w:b/>
        </w:rPr>
        <w:t>Fig</w:t>
      </w:r>
      <w:r w:rsidR="00C43660" w:rsidRPr="00C43660">
        <w:rPr>
          <w:rFonts w:ascii="Times New Roman" w:hAnsi="Times New Roman"/>
          <w:b/>
        </w:rPr>
        <w:t xml:space="preserve"> </w:t>
      </w:r>
      <w:r w:rsidR="006D7069">
        <w:rPr>
          <w:rFonts w:ascii="Times New Roman" w:hAnsi="Times New Roman"/>
          <w:b/>
        </w:rPr>
        <w:t>3.11</w:t>
      </w:r>
      <w:r w:rsidR="00877D4E" w:rsidRPr="00C43660">
        <w:rPr>
          <w:rFonts w:ascii="Times New Roman" w:hAnsi="Times New Roman"/>
          <w:b/>
        </w:rPr>
        <w:t>A</w:t>
      </w:r>
      <w:r>
        <w:rPr>
          <w:rFonts w:ascii="Times New Roman" w:hAnsi="Times New Roman"/>
          <w:b/>
        </w:rPr>
        <w:t>)</w:t>
      </w:r>
      <w:r>
        <w:rPr>
          <w:rFonts w:ascii="Times New Roman" w:hAnsi="Times New Roman"/>
        </w:rPr>
        <w:t xml:space="preserve">, at every pixel within the objects (white area), a distance from that point to its closest edge of the </w:t>
      </w:r>
      <w:r>
        <w:rPr>
          <w:rFonts w:ascii="Times New Roman" w:hAnsi="Times New Roman"/>
        </w:rPr>
        <w:lastRenderedPageBreak/>
        <w:t>objects is calculated. A gray scale distance image is then created (</w:t>
      </w:r>
      <w:r w:rsidR="00877D4E" w:rsidRPr="00C43660">
        <w:rPr>
          <w:rFonts w:ascii="Times New Roman" w:hAnsi="Times New Roman"/>
          <w:b/>
        </w:rPr>
        <w:t>Fig</w:t>
      </w:r>
      <w:r w:rsidR="00C43660">
        <w:rPr>
          <w:rFonts w:ascii="Times New Roman" w:hAnsi="Times New Roman"/>
          <w:b/>
        </w:rPr>
        <w:t xml:space="preserve"> </w:t>
      </w:r>
      <w:r w:rsidR="006D7069">
        <w:rPr>
          <w:rFonts w:ascii="Times New Roman" w:hAnsi="Times New Roman"/>
          <w:b/>
        </w:rPr>
        <w:t>3.11</w:t>
      </w:r>
      <w:r w:rsidR="00877D4E" w:rsidRPr="00C43660">
        <w:rPr>
          <w:rFonts w:ascii="Times New Roman" w:hAnsi="Times New Roman"/>
          <w:b/>
        </w:rPr>
        <w:t>B</w:t>
      </w:r>
      <w:r>
        <w:rPr>
          <w:rFonts w:ascii="Times New Roman" w:hAnsi="Times New Roman"/>
          <w:b/>
        </w:rPr>
        <w:t>)</w:t>
      </w:r>
      <w:r>
        <w:rPr>
          <w:rFonts w:ascii="Times New Roman" w:hAnsi="Times New Roman"/>
        </w:rPr>
        <w:t>; the regions at the center are darker compared to the regions near the edges as they have further distance to the edge of the objects. The distance map is treated as a topographic map. The darkness of the pixels is directly proportional to their topographic depth.  The dark regions at the center are thus considered deeper compared to the brighter regions near the edges. “Water” is then progressively filled within those regions; the boundary between the two objects is decided when the water from the two regions meets (</w:t>
      </w:r>
      <w:r w:rsidR="00877D4E" w:rsidRPr="00C43660">
        <w:rPr>
          <w:rFonts w:ascii="Times New Roman" w:hAnsi="Times New Roman"/>
          <w:b/>
        </w:rPr>
        <w:t>Fig</w:t>
      </w:r>
      <w:r w:rsidR="00C43660">
        <w:rPr>
          <w:rFonts w:ascii="Times New Roman" w:hAnsi="Times New Roman"/>
          <w:b/>
        </w:rPr>
        <w:t xml:space="preserve"> </w:t>
      </w:r>
      <w:r w:rsidR="006D7069">
        <w:rPr>
          <w:rFonts w:ascii="Times New Roman" w:hAnsi="Times New Roman"/>
          <w:b/>
        </w:rPr>
        <w:t>3.11</w:t>
      </w:r>
      <w:r w:rsidR="00877D4E" w:rsidRPr="00C43660">
        <w:rPr>
          <w:rFonts w:ascii="Times New Roman" w:hAnsi="Times New Roman"/>
          <w:b/>
        </w:rPr>
        <w:t>C</w:t>
      </w:r>
      <w:r>
        <w:rPr>
          <w:rFonts w:ascii="Times New Roman" w:hAnsi="Times New Roman"/>
        </w:rPr>
        <w:t xml:space="preserve">). </w:t>
      </w:r>
      <w:r w:rsidRPr="00C43660">
        <w:rPr>
          <w:rFonts w:ascii="Times New Roman" w:hAnsi="Times New Roman"/>
          <w:b/>
        </w:rPr>
        <w:t>Fig</w:t>
      </w:r>
      <w:r w:rsidR="006D7069">
        <w:rPr>
          <w:rFonts w:ascii="Times New Roman" w:hAnsi="Times New Roman"/>
          <w:b/>
        </w:rPr>
        <w:t xml:space="preserve"> 3.12</w:t>
      </w:r>
      <w:r w:rsidRPr="00877D4E">
        <w:rPr>
          <w:rFonts w:ascii="Times New Roman" w:hAnsi="Times New Roman"/>
        </w:rPr>
        <w:t xml:space="preserve"> shows</w:t>
      </w:r>
      <w:r>
        <w:rPr>
          <w:rFonts w:ascii="Times New Roman" w:hAnsi="Times New Roman"/>
        </w:rPr>
        <w:t xml:space="preserve"> an example of how </w:t>
      </w:r>
      <w:r w:rsidR="00951A71">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Pr>
          <w:rFonts w:ascii="Times New Roman" w:hAnsi="Times New Roman"/>
        </w:rPr>
        <w:t xml:space="preserve"> CCl</w:t>
      </w:r>
      <w:r w:rsidR="00951A71">
        <w:rPr>
          <w:rFonts w:ascii="Times New Roman" w:hAnsi="Times New Roman"/>
        </w:rPr>
        <w:t xml:space="preserve"> </w:t>
      </w:r>
      <w:r w:rsidR="00951A71" w:rsidRPr="00951A71">
        <w:rPr>
          <w:rFonts w:ascii="Times New Roman" w:hAnsi="Times New Roman"/>
        </w:rPr>
        <w:t>(calcite, clays, Fe-dol., K-feldspar)</w:t>
      </w:r>
      <w:r>
        <w:rPr>
          <w:rFonts w:ascii="Times New Roman" w:hAnsi="Times New Roman"/>
        </w:rPr>
        <w:t xml:space="preserve"> is segmented from an SEM image using </w:t>
      </w:r>
      <w:r w:rsidR="00C43660">
        <w:rPr>
          <w:rFonts w:ascii="Times New Roman" w:hAnsi="Times New Roman"/>
        </w:rPr>
        <w:t xml:space="preserve">the </w:t>
      </w:r>
      <w:r>
        <w:rPr>
          <w:rFonts w:ascii="Times New Roman" w:hAnsi="Times New Roman"/>
        </w:rPr>
        <w:t xml:space="preserve">watershed method. After watershed segmenting, boundaries between grain particles are successfully recognized, resulting in </w:t>
      </w:r>
      <w:r w:rsidR="00C43660">
        <w:rPr>
          <w:rFonts w:ascii="Times New Roman" w:hAnsi="Times New Roman"/>
        </w:rPr>
        <w:t>improved</w:t>
      </w:r>
      <w:r>
        <w:rPr>
          <w:rFonts w:ascii="Times New Roman" w:hAnsi="Times New Roman"/>
        </w:rPr>
        <w:t xml:space="preserve"> grain size analysis</w:t>
      </w:r>
      <w:r w:rsidR="00C43660">
        <w:rPr>
          <w:rFonts w:ascii="Times New Roman" w:hAnsi="Times New Roman"/>
        </w:rPr>
        <w:t>.</w:t>
      </w:r>
    </w:p>
    <w:p w:rsidR="003C3B4E" w:rsidRDefault="003C3B4E" w:rsidP="00B17778">
      <w:pPr>
        <w:jc w:val="both"/>
        <w:rPr>
          <w:rFonts w:ascii="Times New Roman" w:hAnsi="Times New Roman"/>
        </w:rPr>
      </w:pPr>
    </w:p>
    <w:p w:rsidR="003C3B4E" w:rsidRDefault="003C3B4E" w:rsidP="00B17778">
      <w:pPr>
        <w:jc w:val="both"/>
        <w:rPr>
          <w:rFonts w:ascii="Times New Roman" w:hAnsi="Times New Roman"/>
        </w:rPr>
      </w:pPr>
      <w:r w:rsidRPr="003C3B4E">
        <w:rPr>
          <w:rFonts w:ascii="Times New Roman" w:hAnsi="Times New Roman"/>
          <w:noProof/>
          <w:lang w:bidi="ar-SA"/>
        </w:rPr>
        <w:drawing>
          <wp:inline distT="0" distB="0" distL="0" distR="0" wp14:anchorId="2E05D9F2" wp14:editId="3186D3BC">
            <wp:extent cx="5394960" cy="1820799"/>
            <wp:effectExtent l="0" t="0" r="0" b="8255"/>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93"/>
                    <a:stretch>
                      <a:fillRect/>
                    </a:stretch>
                  </pic:blipFill>
                  <pic:spPr>
                    <a:xfrm>
                      <a:off x="0" y="0"/>
                      <a:ext cx="5394960" cy="1820799"/>
                    </a:xfrm>
                    <a:prstGeom prst="rect">
                      <a:avLst/>
                    </a:prstGeom>
                  </pic:spPr>
                </pic:pic>
              </a:graphicData>
            </a:graphic>
          </wp:inline>
        </w:drawing>
      </w:r>
    </w:p>
    <w:p w:rsidR="00EB1AE0" w:rsidRPr="00EB1AE0" w:rsidRDefault="00EB1AE0" w:rsidP="00EB1AE0">
      <w:pPr>
        <w:pStyle w:val="ListParagraph"/>
        <w:numPr>
          <w:ilvl w:val="0"/>
          <w:numId w:val="12"/>
        </w:numPr>
        <w:jc w:val="both"/>
        <w:rPr>
          <w:rFonts w:ascii="Times New Roman" w:hAnsi="Times New Roman"/>
          <w:b/>
        </w:rPr>
      </w:pPr>
      <w:r>
        <w:rPr>
          <w:rFonts w:ascii="Times New Roman" w:hAnsi="Times New Roman"/>
          <w:b/>
        </w:rPr>
        <w:t xml:space="preserve">                                          (B)                                       (C)</w:t>
      </w:r>
    </w:p>
    <w:p w:rsidR="003C3B4E" w:rsidRDefault="003C3B4E" w:rsidP="003C3B4E">
      <w:pPr>
        <w:jc w:val="both"/>
        <w:rPr>
          <w:rFonts w:ascii="Times New Roman" w:hAnsi="Times New Roman"/>
          <w:b/>
        </w:rPr>
      </w:pPr>
      <w:r w:rsidRPr="00A0269F">
        <w:rPr>
          <w:rFonts w:ascii="Times New Roman" w:hAnsi="Times New Roman"/>
          <w:b/>
        </w:rPr>
        <w:t xml:space="preserve">Figure </w:t>
      </w:r>
      <w:r>
        <w:rPr>
          <w:rFonts w:ascii="Times New Roman" w:hAnsi="Times New Roman"/>
          <w:b/>
        </w:rPr>
        <w:t>3.</w:t>
      </w:r>
      <w:r w:rsidR="006D7069">
        <w:rPr>
          <w:rFonts w:ascii="Times New Roman" w:hAnsi="Times New Roman"/>
          <w:b/>
        </w:rPr>
        <w:t>11</w:t>
      </w:r>
      <w:r w:rsidRPr="00A0269F">
        <w:rPr>
          <w:rFonts w:ascii="Times New Roman" w:hAnsi="Times New Roman"/>
          <w:b/>
        </w:rPr>
        <w:t>:</w:t>
      </w:r>
      <w:r w:rsidR="00EB1AE0">
        <w:rPr>
          <w:rFonts w:ascii="Times New Roman" w:hAnsi="Times New Roman"/>
          <w:b/>
        </w:rPr>
        <w:t xml:space="preserve"> Illustration of</w:t>
      </w:r>
      <w:r>
        <w:rPr>
          <w:rFonts w:ascii="Times New Roman" w:hAnsi="Times New Roman"/>
          <w:b/>
        </w:rPr>
        <w:t xml:space="preserve"> watershed segmentation process</w:t>
      </w:r>
      <w:r w:rsidR="00EB1AE0">
        <w:rPr>
          <w:rFonts w:ascii="Times New Roman" w:hAnsi="Times New Roman"/>
          <w:b/>
        </w:rPr>
        <w:t xml:space="preserve"> – convert an image of overlapping objects (A) into a distance image (B) and finally into image with completed separated objects by progressively filling “water” </w:t>
      </w:r>
    </w:p>
    <w:p w:rsidR="00EB1AE0" w:rsidRDefault="00EB1AE0" w:rsidP="003C3B4E">
      <w:pPr>
        <w:jc w:val="both"/>
        <w:rPr>
          <w:rFonts w:ascii="Times New Roman" w:hAnsi="Times New Roman"/>
          <w:b/>
        </w:rPr>
      </w:pPr>
    </w:p>
    <w:p w:rsidR="003C3B4E" w:rsidRDefault="00EB1AE0" w:rsidP="00EB1AE0">
      <w:pPr>
        <w:jc w:val="center"/>
        <w:rPr>
          <w:rFonts w:ascii="Times New Roman" w:hAnsi="Times New Roman"/>
        </w:rPr>
      </w:pPr>
      <w:r>
        <w:rPr>
          <w:noProof/>
          <w:lang w:bidi="ar-SA"/>
        </w:rPr>
        <w:lastRenderedPageBreak/>
        <w:drawing>
          <wp:inline distT="0" distB="0" distL="0" distR="0" wp14:anchorId="1C759D54" wp14:editId="672164AC">
            <wp:extent cx="5669280" cy="2066544"/>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5669280" cy="2066544"/>
                    </a:xfrm>
                    <a:prstGeom prst="rect">
                      <a:avLst/>
                    </a:prstGeom>
                  </pic:spPr>
                </pic:pic>
              </a:graphicData>
            </a:graphic>
          </wp:inline>
        </w:drawing>
      </w:r>
    </w:p>
    <w:p w:rsidR="003C3B4E" w:rsidRPr="00EB1AE0" w:rsidRDefault="00EB1AE0" w:rsidP="00EB1AE0">
      <w:pPr>
        <w:pStyle w:val="ListParagraph"/>
        <w:numPr>
          <w:ilvl w:val="0"/>
          <w:numId w:val="13"/>
        </w:numPr>
        <w:jc w:val="both"/>
        <w:rPr>
          <w:rFonts w:ascii="Times New Roman" w:hAnsi="Times New Roman"/>
          <w:b/>
        </w:rPr>
      </w:pPr>
      <w:r w:rsidRPr="00EB1AE0">
        <w:rPr>
          <w:rFonts w:ascii="Times New Roman" w:hAnsi="Times New Roman"/>
          <w:b/>
        </w:rPr>
        <w:t>(B)</w:t>
      </w:r>
    </w:p>
    <w:p w:rsidR="009967CA" w:rsidRDefault="00EB1AE0" w:rsidP="00EB1AE0">
      <w:pPr>
        <w:jc w:val="both"/>
        <w:rPr>
          <w:rFonts w:ascii="Times New Roman" w:hAnsi="Times New Roman"/>
          <w:b/>
        </w:rPr>
      </w:pPr>
      <w:r w:rsidRPr="00EB1AE0">
        <w:rPr>
          <w:rFonts w:ascii="Times New Roman" w:hAnsi="Times New Roman"/>
          <w:b/>
        </w:rPr>
        <w:t>Figure 3.</w:t>
      </w:r>
      <w:r w:rsidR="006D7069">
        <w:rPr>
          <w:rFonts w:ascii="Times New Roman" w:hAnsi="Times New Roman"/>
          <w:b/>
        </w:rPr>
        <w:t>12</w:t>
      </w:r>
      <w:r>
        <w:rPr>
          <w:rFonts w:ascii="Times New Roman" w:hAnsi="Times New Roman"/>
          <w:b/>
        </w:rPr>
        <w:t>:</w:t>
      </w:r>
      <w:r w:rsidRPr="00EB1AE0">
        <w:rPr>
          <w:rFonts w:ascii="Times New Roman" w:hAnsi="Times New Roman"/>
          <w:b/>
        </w:rPr>
        <w:t xml:space="preserve"> </w:t>
      </w:r>
      <w:r>
        <w:rPr>
          <w:rFonts w:ascii="Times New Roman" w:hAnsi="Times New Roman"/>
          <w:b/>
        </w:rPr>
        <w:t xml:space="preserve">Watershed segmentation applied </w:t>
      </w:r>
      <w:r w:rsidR="00C43660">
        <w:rPr>
          <w:rFonts w:ascii="Times New Roman" w:hAnsi="Times New Roman"/>
          <w:b/>
        </w:rPr>
        <w:t>to an</w:t>
      </w:r>
      <w:r>
        <w:rPr>
          <w:rFonts w:ascii="Times New Roman" w:hAnsi="Times New Roman"/>
          <w:b/>
        </w:rPr>
        <w:t xml:space="preserve"> SEM images. Mixing grains are successfully separated (</w:t>
      </w:r>
      <w:r w:rsidR="00F3616C">
        <w:rPr>
          <w:rFonts w:ascii="Times New Roman" w:hAnsi="Times New Roman"/>
          <w:b/>
        </w:rPr>
        <w:t>g</w:t>
      </w:r>
      <w:r w:rsidR="00485EEE">
        <w:rPr>
          <w:rFonts w:ascii="Times New Roman" w:hAnsi="Times New Roman"/>
          <w:b/>
        </w:rPr>
        <w:t>roup CCl</w:t>
      </w:r>
      <w:r w:rsidR="00951A71">
        <w:rPr>
          <w:rFonts w:ascii="Times New Roman" w:hAnsi="Times New Roman"/>
          <w:b/>
        </w:rPr>
        <w:t xml:space="preserve"> </w:t>
      </w:r>
      <w:r w:rsidR="00951A71" w:rsidRPr="00951A71">
        <w:rPr>
          <w:rFonts w:ascii="Times New Roman" w:hAnsi="Times New Roman"/>
          <w:b/>
        </w:rPr>
        <w:t>(calcite, clays, Fe-dol., K-feldspar)</w:t>
      </w:r>
      <w:r>
        <w:rPr>
          <w:rFonts w:ascii="Times New Roman" w:hAnsi="Times New Roman"/>
          <w:b/>
        </w:rPr>
        <w:t xml:space="preserve"> – sample #1).</w:t>
      </w:r>
    </w:p>
    <w:p w:rsidR="00A7496E" w:rsidRDefault="00A7496E" w:rsidP="00EB1AE0">
      <w:pPr>
        <w:jc w:val="both"/>
        <w:rPr>
          <w:rFonts w:ascii="Times New Roman" w:hAnsi="Times New Roman"/>
          <w:b/>
        </w:rPr>
      </w:pPr>
    </w:p>
    <w:p w:rsidR="0043594E" w:rsidRDefault="0043594E" w:rsidP="0080054D">
      <w:pPr>
        <w:pStyle w:val="Heading2"/>
      </w:pPr>
      <w:bookmarkStart w:id="100" w:name="OLE_LINK17"/>
      <w:r>
        <w:t>3.</w:t>
      </w:r>
      <w:r w:rsidR="00B43928">
        <w:t>3</w:t>
      </w:r>
      <w:r>
        <w:t xml:space="preserve"> Petrophysical Measurements</w:t>
      </w:r>
    </w:p>
    <w:p w:rsidR="0043594E" w:rsidRPr="006204F6" w:rsidRDefault="00B43928" w:rsidP="0043594E">
      <w:pPr>
        <w:jc w:val="center"/>
        <w:rPr>
          <w:b/>
        </w:rPr>
      </w:pPr>
      <w:bookmarkStart w:id="101" w:name="OLE_LINK10"/>
      <w:bookmarkStart w:id="102" w:name="OLE_LINK11"/>
      <w:bookmarkStart w:id="103" w:name="OLE_LINK18"/>
      <w:bookmarkEnd w:id="100"/>
      <w:r w:rsidRPr="006204F6">
        <w:rPr>
          <w:b/>
          <w:i/>
        </w:rPr>
        <w:t>3.3.</w:t>
      </w:r>
      <w:r w:rsidR="00AE3C91" w:rsidRPr="006204F6">
        <w:rPr>
          <w:b/>
          <w:i/>
        </w:rPr>
        <w:t xml:space="preserve">1 </w:t>
      </w:r>
      <w:r w:rsidR="00A76121" w:rsidRPr="006204F6">
        <w:rPr>
          <w:b/>
          <w:i/>
        </w:rPr>
        <w:t>Crushed helium</w:t>
      </w:r>
      <w:r w:rsidR="00AE3C91" w:rsidRPr="006204F6">
        <w:rPr>
          <w:b/>
          <w:i/>
        </w:rPr>
        <w:t xml:space="preserve"> P</w:t>
      </w:r>
      <w:r w:rsidR="0043594E" w:rsidRPr="006204F6">
        <w:rPr>
          <w:b/>
          <w:i/>
        </w:rPr>
        <w:t>orosity</w:t>
      </w:r>
      <w:r w:rsidR="00AE3C91" w:rsidRPr="006204F6">
        <w:rPr>
          <w:b/>
          <w:i/>
        </w:rPr>
        <w:t xml:space="preserve"> Measurements</w:t>
      </w:r>
    </w:p>
    <w:bookmarkEnd w:id="101"/>
    <w:bookmarkEnd w:id="102"/>
    <w:bookmarkEnd w:id="103"/>
    <w:p w:rsidR="00AE3C91" w:rsidRDefault="0043594E" w:rsidP="00DF5C72">
      <w:pPr>
        <w:jc w:val="both"/>
      </w:pPr>
      <w:r>
        <w:t>Porosity measurements were performed using the Micrometrics</w:t>
      </w:r>
      <w:r>
        <w:rPr>
          <w:rFonts w:cstheme="minorHAnsi"/>
        </w:rPr>
        <w:t>™</w:t>
      </w:r>
      <w:r>
        <w:t xml:space="preserve"> 1340 low pressure </w:t>
      </w:r>
      <w:r w:rsidR="002F1C3E">
        <w:t xml:space="preserve">helium </w:t>
      </w:r>
      <w:r>
        <w:t xml:space="preserve">pycnometer (LPP). </w:t>
      </w:r>
      <w:r w:rsidR="00155676">
        <w:t>At each</w:t>
      </w:r>
      <w:r w:rsidR="002F1C3E">
        <w:t xml:space="preserve"> depth</w:t>
      </w:r>
      <w:r w:rsidR="00155676">
        <w:t xml:space="preserve"> interval, four to eight gra</w:t>
      </w:r>
      <w:r w:rsidR="002F1C3E">
        <w:t>ms of sample were taken and dried</w:t>
      </w:r>
      <w:r w:rsidR="00155676">
        <w:t xml:space="preserve"> in the oven at 100</w:t>
      </w:r>
      <w:r w:rsidR="00155676">
        <w:rPr>
          <w:vertAlign w:val="superscript"/>
        </w:rPr>
        <w:t>o</w:t>
      </w:r>
      <w:r w:rsidR="00155676">
        <w:t xml:space="preserve"> for 12 hours for free water removal. The samples were </w:t>
      </w:r>
      <w:r w:rsidR="002F1C3E">
        <w:t>cooled in a</w:t>
      </w:r>
      <w:r w:rsidR="00155676">
        <w:t xml:space="preserve"> desiccator. The weight and</w:t>
      </w:r>
      <w:r w:rsidR="002F1C3E">
        <w:t xml:space="preserve"> volume of the samples were</w:t>
      </w:r>
      <w:r w:rsidR="00155676">
        <w:t xml:space="preserve"> carefully</w:t>
      </w:r>
      <w:r w:rsidR="002F1C3E">
        <w:t xml:space="preserve"> measured. The samples were</w:t>
      </w:r>
      <w:r w:rsidR="00155676">
        <w:t xml:space="preserve"> </w:t>
      </w:r>
      <w:r w:rsidR="00AE3C91">
        <w:t xml:space="preserve">finely </w:t>
      </w:r>
      <w:r w:rsidR="00155676">
        <w:t xml:space="preserve">crushed and </w:t>
      </w:r>
      <w:r w:rsidR="00AE3C91">
        <w:t xml:space="preserve">put into a pycnometer cell; the weight loss is allowed to be no more than 0.05%. </w:t>
      </w:r>
      <w:r w:rsidR="00155835">
        <w:t>The</w:t>
      </w:r>
      <w:r w:rsidR="00AE3C91">
        <w:t xml:space="preserve"> crushed </w:t>
      </w:r>
      <w:r w:rsidR="002F1C3E">
        <w:t xml:space="preserve">samples </w:t>
      </w:r>
      <w:r w:rsidR="00AE3C91">
        <w:t xml:space="preserve">were put in the oven at </w:t>
      </w:r>
      <w:r w:rsidR="00DF5C72">
        <w:t>100</w:t>
      </w:r>
      <w:r w:rsidR="00DF5C72">
        <w:rPr>
          <w:vertAlign w:val="superscript"/>
        </w:rPr>
        <w:t>0</w:t>
      </w:r>
      <w:r w:rsidR="000016C7">
        <w:t>C</w:t>
      </w:r>
      <w:r w:rsidR="00DF5C72">
        <w:t xml:space="preserve"> for</w:t>
      </w:r>
      <w:r w:rsidR="00AE3C91">
        <w:t xml:space="preserve"> another 12 hours before being run in the LPP machine. </w:t>
      </w:r>
      <w:r w:rsidR="005E7BAD">
        <w:t xml:space="preserve">During LPP run, </w:t>
      </w:r>
      <w:r w:rsidR="0006020F">
        <w:t>helium</w:t>
      </w:r>
      <w:r w:rsidR="005E7BAD">
        <w:t xml:space="preserve"> </w:t>
      </w:r>
      <w:r w:rsidR="000016C7">
        <w:t>is</w:t>
      </w:r>
      <w:r w:rsidR="005E7BAD">
        <w:t xml:space="preserve"> injected </w:t>
      </w:r>
      <w:r w:rsidR="002F1C3E">
        <w:t>in</w:t>
      </w:r>
      <w:r w:rsidR="005E7BAD">
        <w:t>to the crushed sample at low pressure (approximately 20 psi). The grain volume</w:t>
      </w:r>
      <w:r w:rsidR="00AE3C91">
        <w:t xml:space="preserve"> </w:t>
      </w:r>
      <w:r w:rsidR="00680490">
        <w:t>wa</w:t>
      </w:r>
      <w:r w:rsidR="002F1C3E">
        <w:t>s measured</w:t>
      </w:r>
      <w:r w:rsidR="00AE3C91">
        <w:t xml:space="preserve"> </w:t>
      </w:r>
      <w:r w:rsidR="002F1C3E">
        <w:t>by the machine using Boyle’s L</w:t>
      </w:r>
      <w:r w:rsidR="00AE3C91">
        <w:t>aw.</w:t>
      </w:r>
      <w:r w:rsidR="00B824B2">
        <w:t xml:space="preserve"> The grain volume </w:t>
      </w:r>
      <w:r w:rsidR="00680490">
        <w:t>was</w:t>
      </w:r>
      <w:r w:rsidR="00B824B2">
        <w:t xml:space="preserve"> corrected to account for the weight lost during the crushing procedure</w:t>
      </w:r>
      <w:r w:rsidR="00DF5C72">
        <w:t xml:space="preserve"> using:</w:t>
      </w:r>
    </w:p>
    <w:p w:rsidR="00B824B2" w:rsidRPr="00052D47" w:rsidRDefault="001E1AF0" w:rsidP="0043594E">
      <m:oMathPara>
        <m:oMath>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G</m:t>
                  </m:r>
                </m:sub>
              </m:sSub>
            </m:e>
            <m:sub>
              <m:r>
                <w:rPr>
                  <w:rFonts w:ascii="Cambria Math" w:hAnsi="Cambria Math"/>
                </w:rPr>
                <m:t>corrected</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G</m:t>
              </m:r>
            </m:sub>
          </m:sSub>
          <m:r>
            <w:rPr>
              <w:rFonts w:ascii="Cambria Math" w:hAnsi="Cambria Math"/>
            </w:rPr>
            <m:t>+</m:t>
          </m:r>
          <m:f>
            <m:fPr>
              <m:ctrlPr>
                <w:rPr>
                  <w:rFonts w:ascii="Cambria Math" w:hAnsi="Cambria Math"/>
                  <w:i/>
                </w:rPr>
              </m:ctrlPr>
            </m:fPr>
            <m:num>
              <m:r>
                <w:rPr>
                  <w:rFonts w:ascii="Cambria Math" w:hAnsi="Cambria Math"/>
                </w:rPr>
                <m:t>∆m</m:t>
              </m:r>
            </m:num>
            <m:den>
              <m:sSub>
                <m:sSubPr>
                  <m:ctrlPr>
                    <w:rPr>
                      <w:rFonts w:ascii="Cambria Math" w:hAnsi="Cambria Math"/>
                      <w:i/>
                    </w:rPr>
                  </m:ctrlPr>
                </m:sSubPr>
                <m:e>
                  <m:r>
                    <w:rPr>
                      <w:rFonts w:ascii="Cambria Math" w:hAnsi="Cambria Math"/>
                    </w:rPr>
                    <m:t>ρ</m:t>
                  </m:r>
                </m:e>
                <m:sub>
                  <m:r>
                    <w:rPr>
                      <w:rFonts w:ascii="Cambria Math" w:hAnsi="Cambria Math"/>
                    </w:rPr>
                    <m:t>G</m:t>
                  </m:r>
                </m:sub>
              </m:sSub>
            </m:den>
          </m:f>
        </m:oMath>
      </m:oMathPara>
    </w:p>
    <w:p w:rsidR="00052D47" w:rsidRDefault="00680490" w:rsidP="0043594E">
      <w:r>
        <w:t xml:space="preserve">The </w:t>
      </w:r>
      <w:r w:rsidR="00A76121">
        <w:t>crushed helium</w:t>
      </w:r>
      <w:r>
        <w:t xml:space="preserve"> porosity wa</w:t>
      </w:r>
      <w:r w:rsidR="002F1C3E">
        <w:t>s</w:t>
      </w:r>
      <w:r w:rsidR="00052D47">
        <w:t xml:space="preserve"> calculated from the bulk volume and corrected grain volume of the sample:</w:t>
      </w:r>
    </w:p>
    <w:p w:rsidR="00052D47" w:rsidRDefault="00052D47" w:rsidP="0043594E">
      <m:oMathPara>
        <m:oMath>
          <m:r>
            <w:rPr>
              <w:rFonts w:ascii="Cambria Math" w:hAnsi="Cambria Math"/>
            </w:rPr>
            <m:t>Ø=</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B</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G</m:t>
                      </m:r>
                    </m:sub>
                  </m:sSub>
                </m:e>
                <m:sub>
                  <m:r>
                    <w:rPr>
                      <w:rFonts w:ascii="Cambria Math" w:hAnsi="Cambria Math"/>
                    </w:rPr>
                    <m:t>corrected</m:t>
                  </m:r>
                </m:sub>
              </m:sSub>
            </m:num>
            <m:den>
              <m:sSub>
                <m:sSubPr>
                  <m:ctrlPr>
                    <w:rPr>
                      <w:rFonts w:ascii="Cambria Math" w:hAnsi="Cambria Math"/>
                      <w:i/>
                    </w:rPr>
                  </m:ctrlPr>
                </m:sSubPr>
                <m:e>
                  <m:r>
                    <w:rPr>
                      <w:rFonts w:ascii="Cambria Math" w:hAnsi="Cambria Math"/>
                    </w:rPr>
                    <m:t>V</m:t>
                  </m:r>
                </m:e>
                <m:sub>
                  <m:r>
                    <w:rPr>
                      <w:rFonts w:ascii="Cambria Math" w:hAnsi="Cambria Math"/>
                    </w:rPr>
                    <m:t>B</m:t>
                  </m:r>
                </m:sub>
              </m:sSub>
            </m:den>
          </m:f>
          <m:r>
            <w:rPr>
              <w:rFonts w:ascii="Cambria Math" w:hAnsi="Cambria Math"/>
            </w:rPr>
            <m:t xml:space="preserve"> x 100%</m:t>
          </m:r>
        </m:oMath>
      </m:oMathPara>
    </w:p>
    <w:p w:rsidR="00AE3C91" w:rsidRDefault="00AE3C91" w:rsidP="0043594E"/>
    <w:p w:rsidR="00AE3C91" w:rsidRPr="006204F6" w:rsidRDefault="00AE3C91" w:rsidP="00AE3C91">
      <w:pPr>
        <w:jc w:val="center"/>
        <w:rPr>
          <w:b/>
          <w:i/>
        </w:rPr>
      </w:pPr>
      <w:r>
        <w:t xml:space="preserve"> </w:t>
      </w:r>
      <w:r w:rsidRPr="006204F6">
        <w:rPr>
          <w:b/>
        </w:rPr>
        <w:t xml:space="preserve"> </w:t>
      </w:r>
      <w:bookmarkStart w:id="104" w:name="OLE_LINK12"/>
      <w:r w:rsidR="00B43928" w:rsidRPr="006204F6">
        <w:rPr>
          <w:b/>
          <w:i/>
        </w:rPr>
        <w:t>3.3.</w:t>
      </w:r>
      <w:r w:rsidRPr="006204F6">
        <w:rPr>
          <w:b/>
          <w:i/>
        </w:rPr>
        <w:t>2 Total Organic Carbon (TOC) Measurements</w:t>
      </w:r>
    </w:p>
    <w:bookmarkEnd w:id="104"/>
    <w:p w:rsidR="00680490" w:rsidRDefault="00680490" w:rsidP="00AE3C91">
      <w:pPr>
        <w:jc w:val="center"/>
        <w:rPr>
          <w:i/>
        </w:rPr>
      </w:pPr>
    </w:p>
    <w:p w:rsidR="00AE3C91" w:rsidRDefault="00680490" w:rsidP="00052D47">
      <w:pPr>
        <w:jc w:val="both"/>
      </w:pPr>
      <w:r>
        <w:t xml:space="preserve">TOC measurements were performed using </w:t>
      </w:r>
      <w:r w:rsidR="00A76121">
        <w:t>LECO™</w:t>
      </w:r>
      <w:r w:rsidR="00AA1BF1">
        <w:t xml:space="preserve"> C844 TOC</w:t>
      </w:r>
      <w:r w:rsidR="002F1C3E">
        <w:t xml:space="preserve"> instrument</w:t>
      </w:r>
      <w:r>
        <w:t xml:space="preserve">. </w:t>
      </w:r>
      <w:r w:rsidR="00DF5C72">
        <w:t>A</w:t>
      </w:r>
      <w:r>
        <w:t xml:space="preserve">pproximately 10g of sample at each interval </w:t>
      </w:r>
      <w:r w:rsidR="00DF5C72">
        <w:t xml:space="preserve">are </w:t>
      </w:r>
      <w:r w:rsidR="002F1C3E">
        <w:t>used</w:t>
      </w:r>
      <w:r>
        <w:t xml:space="preserve">. The crushed particles </w:t>
      </w:r>
      <w:r w:rsidR="002F1C3E">
        <w:t>were sieved with</w:t>
      </w:r>
      <w:r>
        <w:t xml:space="preserve"> a 40 mesh sieve. </w:t>
      </w:r>
      <w:r w:rsidR="00DF5C72">
        <w:t>The w</w:t>
      </w:r>
      <w:r>
        <w:t xml:space="preserve">eight of each crushed sample was carefully measured. The crushed samples were washed with diluted acid (50% </w:t>
      </w:r>
      <w:r w:rsidR="00AA1BF1">
        <w:t>HCl:</w:t>
      </w:r>
      <w:r>
        <w:t xml:space="preserve"> 50% H</w:t>
      </w:r>
      <w:r>
        <w:rPr>
          <w:vertAlign w:val="subscript"/>
        </w:rPr>
        <w:t>2</w:t>
      </w:r>
      <w:r w:rsidR="002F1C3E">
        <w:t xml:space="preserve">O) to remove </w:t>
      </w:r>
      <w:r>
        <w:t xml:space="preserve">inorganic carbon. The crushed samples were washed with deionized water to </w:t>
      </w:r>
      <w:r w:rsidR="00DF5C72">
        <w:t xml:space="preserve">remove </w:t>
      </w:r>
      <w:r>
        <w:t xml:space="preserve">remaining acid. </w:t>
      </w:r>
      <w:r w:rsidR="002F1C3E">
        <w:t>Samples</w:t>
      </w:r>
      <w:r>
        <w:t xml:space="preserve"> were mixed with cooper and iron accelerators before being placed in the </w:t>
      </w:r>
      <w:r w:rsidR="00A76121">
        <w:t>LECO™</w:t>
      </w:r>
      <w:r>
        <w:t xml:space="preserve"> machine. </w:t>
      </w:r>
      <w:r w:rsidR="00AA1BF1">
        <w:t>During the ex</w:t>
      </w:r>
      <w:r w:rsidR="002F1C3E">
        <w:t>periment, the samples were burned in</w:t>
      </w:r>
      <w:r w:rsidR="00AA1BF1">
        <w:t xml:space="preserve"> a high frequency induction furnace; the remaining carbon (organic carbon) was oxidized to produce CO</w:t>
      </w:r>
      <w:r w:rsidR="00AA1BF1">
        <w:rPr>
          <w:vertAlign w:val="subscript"/>
        </w:rPr>
        <w:t>2</w:t>
      </w:r>
      <w:r w:rsidR="00AA1BF1">
        <w:t>. The amount of CO</w:t>
      </w:r>
      <w:r w:rsidR="00AA1BF1">
        <w:rPr>
          <w:vertAlign w:val="subscript"/>
        </w:rPr>
        <w:t>2</w:t>
      </w:r>
      <w:r w:rsidR="00AA1BF1">
        <w:t xml:space="preserve"> produced during the procedure </w:t>
      </w:r>
      <w:r w:rsidR="00DF5C72">
        <w:t>is</w:t>
      </w:r>
      <w:r w:rsidR="00AA1BF1">
        <w:t xml:space="preserve"> measured by infrare</w:t>
      </w:r>
      <w:r w:rsidR="003A4A70">
        <w:t>d detectors and corresponds</w:t>
      </w:r>
      <w:r w:rsidR="00AA1BF1">
        <w:t xml:space="preserve"> to the TOC</w:t>
      </w:r>
      <w:r w:rsidR="008C1BA9">
        <w:t xml:space="preserve"> in weight percentage</w:t>
      </w:r>
      <w:r w:rsidR="00AA1BF1">
        <w:t>.</w:t>
      </w:r>
    </w:p>
    <w:p w:rsidR="00AA1BF1" w:rsidRDefault="00AA1BF1" w:rsidP="00052D47">
      <w:pPr>
        <w:jc w:val="both"/>
      </w:pPr>
    </w:p>
    <w:p w:rsidR="00AA1BF1" w:rsidRPr="006204F6" w:rsidRDefault="00B43928" w:rsidP="00AA1BF1">
      <w:pPr>
        <w:jc w:val="center"/>
        <w:rPr>
          <w:b/>
          <w:i/>
        </w:rPr>
      </w:pPr>
      <w:bookmarkStart w:id="105" w:name="OLE_LINK13"/>
      <w:r w:rsidRPr="006204F6">
        <w:rPr>
          <w:b/>
          <w:i/>
        </w:rPr>
        <w:t>3.3.</w:t>
      </w:r>
      <w:r w:rsidR="00AA1BF1" w:rsidRPr="006204F6">
        <w:rPr>
          <w:b/>
          <w:i/>
        </w:rPr>
        <w:t xml:space="preserve">3 FTIR </w:t>
      </w:r>
      <w:r w:rsidR="004621CD">
        <w:rPr>
          <w:b/>
          <w:i/>
        </w:rPr>
        <w:t>Mineral</w:t>
      </w:r>
      <w:r w:rsidR="00AA1BF1" w:rsidRPr="006204F6">
        <w:rPr>
          <w:b/>
          <w:i/>
        </w:rPr>
        <w:t>ogy Measurements</w:t>
      </w:r>
    </w:p>
    <w:bookmarkEnd w:id="105"/>
    <w:p w:rsidR="008C1BA9" w:rsidRDefault="00AA1BF1" w:rsidP="00AA1BF1">
      <w:pPr>
        <w:jc w:val="both"/>
      </w:pPr>
      <w:r>
        <w:t xml:space="preserve">The </w:t>
      </w:r>
      <w:r w:rsidR="004621CD">
        <w:t>mineral</w:t>
      </w:r>
      <w:r>
        <w:t>ogy measurements were performed using the Thermo Scientific</w:t>
      </w:r>
      <w:r>
        <w:rPr>
          <w:rFonts w:cstheme="minorHAnsi"/>
        </w:rPr>
        <w:t>™</w:t>
      </w:r>
      <w:r>
        <w:t xml:space="preserve"> Fourier Transform Infrared Spectroscope (FTIR)</w:t>
      </w:r>
      <w:r w:rsidR="00DF5C72">
        <w:t xml:space="preserve"> in the transmission mode</w:t>
      </w:r>
      <w:r>
        <w:t>.</w:t>
      </w:r>
      <w:r w:rsidR="00A75A9C">
        <w:t xml:space="preserve"> The s</w:t>
      </w:r>
      <w:r w:rsidR="002F1C3E">
        <w:t xml:space="preserve">amples were finely crushed to a </w:t>
      </w:r>
      <w:r w:rsidR="00A75A9C">
        <w:t xml:space="preserve">particles diameter </w:t>
      </w:r>
      <w:r w:rsidR="002F1C3E">
        <w:t>less than</w:t>
      </w:r>
      <w:r w:rsidR="00A75A9C">
        <w:t xml:space="preserve"> 30 </w:t>
      </w:r>
      <w:r w:rsidR="00A75A9C">
        <w:rPr>
          <w:rFonts w:ascii="Calibri" w:hAnsi="Calibri"/>
        </w:rPr>
        <w:t>µ</w:t>
      </w:r>
      <w:r w:rsidR="00A75A9C">
        <w:t xml:space="preserve">m. The crushed samples </w:t>
      </w:r>
      <w:r w:rsidR="00DF5C72">
        <w:t>were heated</w:t>
      </w:r>
      <w:r w:rsidR="00D13B01">
        <w:t xml:space="preserve"> </w:t>
      </w:r>
      <w:r w:rsidR="00D13B01">
        <w:lastRenderedPageBreak/>
        <w:t>at 100</w:t>
      </w:r>
      <w:r w:rsidR="00D13B01">
        <w:rPr>
          <w:vertAlign w:val="superscript"/>
        </w:rPr>
        <w:t>o</w:t>
      </w:r>
      <w:r w:rsidR="00D13B01">
        <w:t>C for 12 hours to re</w:t>
      </w:r>
      <w:r w:rsidR="002F1C3E">
        <w:t>move moisture. They were to plasma ashing</w:t>
      </w:r>
      <w:r w:rsidR="00D13B01">
        <w:t xml:space="preserve"> for 12 hours for organic carbon removal using the Anatech</w:t>
      </w:r>
      <w:r w:rsidR="00D13B01">
        <w:rPr>
          <w:rFonts w:cstheme="minorHAnsi"/>
        </w:rPr>
        <w:t>™</w:t>
      </w:r>
      <w:r w:rsidR="00930862">
        <w:t xml:space="preserve"> asher</w:t>
      </w:r>
      <w:r w:rsidR="00D13B01">
        <w:t xml:space="preserve">. </w:t>
      </w:r>
      <w:r w:rsidR="009967CA">
        <w:t>An exact amount of 0.005 g of ashed sample was</w:t>
      </w:r>
      <w:r w:rsidR="00D13B01">
        <w:t xml:space="preserve"> mixed with 0.3g of KBr. The mixture was run </w:t>
      </w:r>
      <w:r w:rsidR="008C1BA9">
        <w:t>in</w:t>
      </w:r>
      <w:r w:rsidR="00D13B01">
        <w:t xml:space="preserve"> the FTIR </w:t>
      </w:r>
      <w:r w:rsidR="00016107">
        <w:t xml:space="preserve">spectrometer </w:t>
      </w:r>
      <w:r w:rsidR="008C1BA9">
        <w:t>by making semi-transparent disc</w:t>
      </w:r>
      <w:r w:rsidR="002F1C3E">
        <w:t xml:space="preserve"> using a pellet press</w:t>
      </w:r>
      <w:r w:rsidR="0016123A">
        <w:t xml:space="preserve">. An FTIR </w:t>
      </w:r>
      <w:r w:rsidR="00DF5C72">
        <w:t xml:space="preserve">absorbance </w:t>
      </w:r>
      <w:r w:rsidR="0016123A">
        <w:t xml:space="preserve">spectrum </w:t>
      </w:r>
      <w:r w:rsidR="00813FAF">
        <w:t>was</w:t>
      </w:r>
      <w:r w:rsidR="0016123A">
        <w:t xml:space="preserve"> captured a</w:t>
      </w:r>
      <w:r w:rsidR="008C1BA9">
        <w:t xml:space="preserve">s a function of wavenumber. The spectrum </w:t>
      </w:r>
      <w:r w:rsidR="00813FAF">
        <w:t>is</w:t>
      </w:r>
      <w:r w:rsidR="008C1BA9">
        <w:t xml:space="preserve"> inverted using partial least squares regression method to acquire the quantitative </w:t>
      </w:r>
      <w:r w:rsidR="004621CD">
        <w:t>mineral</w:t>
      </w:r>
      <w:r w:rsidR="008C1BA9">
        <w:t xml:space="preserve">ogy in weight percentage. </w:t>
      </w:r>
    </w:p>
    <w:p w:rsidR="009E3C12" w:rsidRDefault="009E3C12" w:rsidP="00AA1BF1">
      <w:pPr>
        <w:jc w:val="both"/>
      </w:pPr>
    </w:p>
    <w:p w:rsidR="008C1BA9" w:rsidRPr="006204F6" w:rsidRDefault="008C1BA9" w:rsidP="008C1BA9">
      <w:pPr>
        <w:jc w:val="center"/>
        <w:rPr>
          <w:b/>
          <w:i/>
        </w:rPr>
      </w:pPr>
      <w:r w:rsidRPr="006204F6">
        <w:rPr>
          <w:b/>
        </w:rPr>
        <w:t xml:space="preserve"> </w:t>
      </w:r>
      <w:bookmarkStart w:id="106" w:name="OLE_LINK14"/>
      <w:bookmarkStart w:id="107" w:name="OLE_LINK15"/>
      <w:bookmarkStart w:id="108" w:name="OLE_LINK16"/>
      <w:r w:rsidR="00B43928" w:rsidRPr="006204F6">
        <w:rPr>
          <w:b/>
          <w:i/>
        </w:rPr>
        <w:t>3.3.</w:t>
      </w:r>
      <w:r w:rsidRPr="006204F6">
        <w:rPr>
          <w:b/>
          <w:i/>
        </w:rPr>
        <w:t>4 Mercury Injection Capillary Pressure (MICP) Measurements</w:t>
      </w:r>
      <w:bookmarkEnd w:id="106"/>
      <w:bookmarkEnd w:id="107"/>
      <w:bookmarkEnd w:id="108"/>
    </w:p>
    <w:p w:rsidR="009E3C12" w:rsidRDefault="009E3C12" w:rsidP="008C1BA9">
      <w:pPr>
        <w:jc w:val="center"/>
        <w:rPr>
          <w:i/>
        </w:rPr>
      </w:pPr>
    </w:p>
    <w:p w:rsidR="00A7496E" w:rsidRDefault="00206753" w:rsidP="00206753">
      <w:pPr>
        <w:jc w:val="both"/>
      </w:pPr>
      <w:r>
        <w:t>The objective of MICP test is to acquire the pore throat volume distribution</w:t>
      </w:r>
      <w:r w:rsidR="0016123A">
        <w:t xml:space="preserve">. Approximately 10g of </w:t>
      </w:r>
      <w:r>
        <w:t xml:space="preserve">sample </w:t>
      </w:r>
      <w:r w:rsidR="000016C7">
        <w:t>are</w:t>
      </w:r>
      <w:r>
        <w:t xml:space="preserve"> </w:t>
      </w:r>
      <w:r w:rsidR="0016123A">
        <w:t>used for this measurement.</w:t>
      </w:r>
      <w:r>
        <w:t xml:space="preserve"> </w:t>
      </w:r>
      <w:r w:rsidR="0016123A">
        <w:t>The samples were</w:t>
      </w:r>
      <w:r>
        <w:t xml:space="preserve"> placed in penetrometers</w:t>
      </w:r>
      <w:r w:rsidR="007F794E">
        <w:t xml:space="preserve">. </w:t>
      </w:r>
      <w:r>
        <w:t xml:space="preserve">The </w:t>
      </w:r>
      <w:r w:rsidR="007F794E">
        <w:t>experiment consists</w:t>
      </w:r>
      <w:r>
        <w:t xml:space="preserve"> of two stages. </w:t>
      </w:r>
      <w:r w:rsidR="007F794E">
        <w:t xml:space="preserve">First, the penetrometers were inserted into low pressure port </w:t>
      </w:r>
      <w:r w:rsidR="0016123A">
        <w:t>and evacuated. Small pressure (1.5 psi to 5 psi) is applied to the system that</w:t>
      </w:r>
      <w:r w:rsidR="007F794E">
        <w:t xml:space="preserve"> </w:t>
      </w:r>
      <w:r w:rsidR="0016123A">
        <w:t>m</w:t>
      </w:r>
      <w:r w:rsidR="007F794E">
        <w:t>ercury was pushed to fill the stem of the penetrometer; the pressure was gradually in</w:t>
      </w:r>
      <w:r w:rsidR="005D7AC2">
        <w:t>c</w:t>
      </w:r>
      <w:r w:rsidR="00B72958">
        <w:t>reased until it reached 60 psi.</w:t>
      </w:r>
      <w:r w:rsidR="001547D3">
        <w:t xml:space="preserve"> The first stage lasted for one and a half to two hours.</w:t>
      </w:r>
      <w:r w:rsidR="00B72958">
        <w:t xml:space="preserve"> </w:t>
      </w:r>
      <w:r w:rsidR="005D7AC2">
        <w:t xml:space="preserve">The penetrometer was then transfer into the high pressure </w:t>
      </w:r>
      <w:r w:rsidR="0016123A">
        <w:t xml:space="preserve">port and pressurized </w:t>
      </w:r>
      <w:r w:rsidR="005D7AC2">
        <w:t xml:space="preserve">to 60,000 psi. </w:t>
      </w:r>
      <w:r w:rsidR="001547D3">
        <w:t>The equilibrium time between successive pressures is 35 sec for pressure below 27 psi and 60 sec for pressure above 27 psi</w:t>
      </w:r>
      <w:r w:rsidR="000016C7">
        <w:t>; there are approximately 45 pressure steps for low pressure stage and 150 steps for high pressure stage</w:t>
      </w:r>
      <w:r w:rsidR="001547D3">
        <w:t xml:space="preserve">.  </w:t>
      </w:r>
      <w:r w:rsidR="005D7AC2">
        <w:t>Mercury int</w:t>
      </w:r>
      <w:r w:rsidR="0016123A">
        <w:t xml:space="preserve">rusion was measured in both </w:t>
      </w:r>
      <w:r w:rsidR="005D7AC2">
        <w:t>stages as a function of change</w:t>
      </w:r>
      <w:r w:rsidR="0016123A">
        <w:t xml:space="preserve"> in the capacitance of the stem</w:t>
      </w:r>
      <w:r w:rsidR="00547C9C">
        <w:t xml:space="preserve"> (Bocangel 2013)</w:t>
      </w:r>
      <w:r w:rsidR="0016123A">
        <w:t>.</w:t>
      </w:r>
    </w:p>
    <w:p w:rsidR="001547D3" w:rsidRDefault="001547D3" w:rsidP="00206753">
      <w:pPr>
        <w:jc w:val="both"/>
      </w:pPr>
    </w:p>
    <w:p w:rsidR="000016C7" w:rsidRDefault="000016C7" w:rsidP="00206753">
      <w:pPr>
        <w:jc w:val="both"/>
      </w:pPr>
    </w:p>
    <w:p w:rsidR="00A7496E" w:rsidRDefault="00A7496E" w:rsidP="00206753">
      <w:pPr>
        <w:jc w:val="both"/>
      </w:pPr>
    </w:p>
    <w:p w:rsidR="005D7AC2" w:rsidRPr="006204F6" w:rsidRDefault="00B43928" w:rsidP="005D7AC2">
      <w:pPr>
        <w:jc w:val="center"/>
        <w:rPr>
          <w:b/>
          <w:i/>
        </w:rPr>
      </w:pPr>
      <w:r w:rsidRPr="006204F6">
        <w:rPr>
          <w:b/>
          <w:i/>
        </w:rPr>
        <w:t>3.3.</w:t>
      </w:r>
      <w:r w:rsidR="000E6FB9" w:rsidRPr="006204F6">
        <w:rPr>
          <w:b/>
          <w:i/>
        </w:rPr>
        <w:t>5</w:t>
      </w:r>
      <w:r w:rsidR="005D7AC2" w:rsidRPr="006204F6">
        <w:rPr>
          <w:b/>
          <w:i/>
        </w:rPr>
        <w:t xml:space="preserve"> Nuclear Magnetic</w:t>
      </w:r>
      <w:r w:rsidR="00A25E21" w:rsidRPr="006204F6">
        <w:rPr>
          <w:b/>
          <w:i/>
        </w:rPr>
        <w:t xml:space="preserve"> Resonance (NMR) </w:t>
      </w:r>
      <w:r w:rsidR="00EB1AE0" w:rsidRPr="006204F6">
        <w:rPr>
          <w:b/>
          <w:i/>
        </w:rPr>
        <w:t>M</w:t>
      </w:r>
      <w:r w:rsidR="00A25E21" w:rsidRPr="006204F6">
        <w:rPr>
          <w:b/>
          <w:i/>
        </w:rPr>
        <w:t>easurements</w:t>
      </w:r>
    </w:p>
    <w:p w:rsidR="009E3C12" w:rsidRDefault="009E3C12" w:rsidP="005D7AC2">
      <w:pPr>
        <w:jc w:val="center"/>
        <w:rPr>
          <w:i/>
        </w:rPr>
      </w:pPr>
    </w:p>
    <w:p w:rsidR="00AA1BF1" w:rsidRDefault="001A6903" w:rsidP="00AA1BF1">
      <w:pPr>
        <w:jc w:val="both"/>
      </w:pPr>
      <w:r>
        <w:t>NMR experime</w:t>
      </w:r>
      <w:r w:rsidR="0016123A">
        <w:t>nts record</w:t>
      </w:r>
      <w:r>
        <w:t xml:space="preserve"> the interaction of an external magnetic field, the spin angular momentum and magnetic moment of hydrogen atoms. As a magnetic field is applied, the magnetic moments of atoms become aligned</w:t>
      </w:r>
      <w:r w:rsidR="00813FAF">
        <w:t xml:space="preserve"> with the applied field</w:t>
      </w:r>
      <w:r>
        <w:t>. When the applied field is removed, the hydrogen atoms experience relaxation; eventually approach</w:t>
      </w:r>
      <w:r w:rsidR="00813FAF">
        <w:t>ing</w:t>
      </w:r>
      <w:r>
        <w:t xml:space="preserve"> </w:t>
      </w:r>
      <w:r w:rsidR="00813FAF">
        <w:t xml:space="preserve">a </w:t>
      </w:r>
      <w:r>
        <w:t xml:space="preserve">new equilibrium. The ratio between high and low energy atom populations during the transition between equilibrium stages produces a signal that can be used to characterize </w:t>
      </w:r>
      <w:r w:rsidR="009E3C12">
        <w:t>petrophysical properties such as porosity, water saturation, fluid type, and wettability (Odusina, 2011).</w:t>
      </w:r>
      <w:r w:rsidR="00F74601">
        <w:t xml:space="preserve"> </w:t>
      </w:r>
    </w:p>
    <w:p w:rsidR="003A4A70" w:rsidRDefault="003A4A70" w:rsidP="00AA1BF1">
      <w:pPr>
        <w:jc w:val="both"/>
      </w:pPr>
      <w:r>
        <w:t xml:space="preserve">During NMR experiments, net magnetization of hydrogen atoms </w:t>
      </w:r>
      <w:r w:rsidR="00182E7D">
        <w:t>is</w:t>
      </w:r>
      <w:r>
        <w:t xml:space="preserve"> measured with the present of external magnetic field (Kleinberg et al., 1993; Howard, 1994; Dunn et al., 2002). The NMR relaxation time T</w:t>
      </w:r>
      <w:r>
        <w:rPr>
          <w:vertAlign w:val="subscript"/>
        </w:rPr>
        <w:t>2</w:t>
      </w:r>
      <w:r>
        <w:t xml:space="preserve"> is</w:t>
      </w:r>
      <w:r w:rsidR="00F74601">
        <w:t xml:space="preserve"> defined as:</w:t>
      </w:r>
    </w:p>
    <w:p w:rsidR="00F74601" w:rsidRPr="003A4A70" w:rsidRDefault="001E1AF0" w:rsidP="00AA1BF1">
      <w:pPr>
        <w:jc w:val="both"/>
      </w:pPr>
      <m:oMathPara>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 xml:space="preserve">2 bulk </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2 surface</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 xml:space="preserve">2 diffusion </m:t>
                  </m:r>
                </m:sub>
              </m:sSub>
            </m:den>
          </m:f>
        </m:oMath>
      </m:oMathPara>
    </w:p>
    <w:p w:rsidR="00AA1BF1" w:rsidRDefault="00F74601" w:rsidP="00052D47">
      <w:pPr>
        <w:jc w:val="both"/>
      </w:pPr>
      <w:r>
        <w:t>where T</w:t>
      </w:r>
      <w:r>
        <w:rPr>
          <w:vertAlign w:val="subscript"/>
        </w:rPr>
        <w:t>2 bulk</w:t>
      </w:r>
      <w:r>
        <w:t>, T</w:t>
      </w:r>
      <w:r>
        <w:rPr>
          <w:vertAlign w:val="subscript"/>
        </w:rPr>
        <w:t>2</w:t>
      </w:r>
      <w:r>
        <w:t xml:space="preserve"> </w:t>
      </w:r>
      <w:r>
        <w:rPr>
          <w:vertAlign w:val="subscript"/>
        </w:rPr>
        <w:t>surface</w:t>
      </w:r>
      <w:r>
        <w:t>, and T</w:t>
      </w:r>
      <w:r>
        <w:rPr>
          <w:vertAlign w:val="subscript"/>
        </w:rPr>
        <w:t>2 diffusion</w:t>
      </w:r>
      <w:r>
        <w:t xml:space="preserve"> are bulk fluid relaxation, surface relaxation, and diffusion relaxation, respectively. </w:t>
      </w:r>
      <w:r w:rsidR="007F6E9A">
        <w:t>With the use of fast measurement timing and homogeneous magnetic field, surface relaxation dominates in a fast diffusion limit (Dunn et al.,</w:t>
      </w:r>
      <w:r w:rsidR="001B3E8B">
        <w:t xml:space="preserve"> 2002</w:t>
      </w:r>
      <w:r w:rsidR="007F6E9A">
        <w:t>) The equation becomes:</w:t>
      </w:r>
    </w:p>
    <w:p w:rsidR="007F6E9A" w:rsidRPr="001B3E8B" w:rsidRDefault="001E1AF0" w:rsidP="00052D47">
      <w:pPr>
        <w:jc w:val="both"/>
      </w:pPr>
      <m:oMathPara>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 xml:space="preserve">2 surface </m:t>
                  </m:r>
                </m:sub>
              </m:sSub>
            </m:den>
          </m:f>
          <m:r>
            <w:rPr>
              <w:rFonts w:ascii="Cambria Math" w:hAnsi="Cambria Math"/>
            </w:rPr>
            <m:t>=</m:t>
          </m:r>
          <w:bookmarkStart w:id="109" w:name="OLE_LINK82"/>
          <m:r>
            <w:rPr>
              <w:rFonts w:ascii="Cambria Math" w:hAnsi="Cambria Math"/>
            </w:rPr>
            <m:t>ρ</m:t>
          </m:r>
          <w:bookmarkEnd w:id="109"/>
          <m:f>
            <m:fPr>
              <m:ctrlPr>
                <w:rPr>
                  <w:rFonts w:ascii="Cambria Math" w:hAnsi="Cambria Math"/>
                  <w:i/>
                </w:rPr>
              </m:ctrlPr>
            </m:fPr>
            <m:num>
              <m:r>
                <w:rPr>
                  <w:rFonts w:ascii="Cambria Math" w:hAnsi="Cambria Math"/>
                </w:rPr>
                <m:t>S</m:t>
              </m:r>
            </m:num>
            <m:den>
              <m:r>
                <w:rPr>
                  <w:rFonts w:ascii="Cambria Math" w:hAnsi="Cambria Math"/>
                </w:rPr>
                <m:t>V</m:t>
              </m:r>
            </m:den>
          </m:f>
        </m:oMath>
      </m:oMathPara>
    </w:p>
    <w:p w:rsidR="001B3E8B" w:rsidRPr="00F74601" w:rsidRDefault="001B3E8B" w:rsidP="00052D47">
      <w:pPr>
        <w:jc w:val="both"/>
      </w:pPr>
      <w:r>
        <w:t xml:space="preserve">where </w:t>
      </w:r>
      <m:oMath>
        <m:r>
          <w:rPr>
            <w:rFonts w:ascii="Cambria Math" w:hAnsi="Cambria Math"/>
          </w:rPr>
          <m:t>ρ</m:t>
        </m:r>
      </m:oMath>
      <w:r>
        <w:t xml:space="preserve"> is surface relaxivity, S is pore surface area, and V is pore volume.</w:t>
      </w:r>
    </w:p>
    <w:p w:rsidR="00B17778" w:rsidRDefault="001A6903" w:rsidP="00F73AA5">
      <w:pPr>
        <w:jc w:val="both"/>
      </w:pPr>
      <w:r>
        <w:lastRenderedPageBreak/>
        <w:t xml:space="preserve">The objective of NMR experiments is to acquire the pore </w:t>
      </w:r>
      <w:r w:rsidR="00813FAF">
        <w:t xml:space="preserve">body </w:t>
      </w:r>
      <w:r>
        <w:t xml:space="preserve">size distribution. The measurements were made on the one-inch dimeter samples taken at each interval of the core section using a 2 MHz benchtop system. </w:t>
      </w:r>
      <w:r w:rsidR="00615B57">
        <w:t xml:space="preserve">The value for half of the echo spacing </w:t>
      </w:r>
      <w:r w:rsidR="00615B57">
        <w:rPr>
          <w:rFonts w:ascii="Arial" w:hAnsi="Arial" w:cs="Arial"/>
          <w:color w:val="222222"/>
          <w:shd w:val="clear" w:color="auto" w:fill="FFFFFF"/>
        </w:rPr>
        <w:t>τ</w:t>
      </w:r>
      <w:r w:rsidR="00615B57">
        <w:t xml:space="preserve"> is selected as 0.057 ms. </w:t>
      </w:r>
      <w:r>
        <w:t>All of the samples are kept at native sta</w:t>
      </w:r>
      <w:r w:rsidR="000175C4">
        <w:t>te saturations</w:t>
      </w:r>
      <w:r>
        <w:t>.</w:t>
      </w:r>
    </w:p>
    <w:p w:rsidR="00A7496E" w:rsidRDefault="00A7496E" w:rsidP="00F73AA5">
      <w:pPr>
        <w:jc w:val="both"/>
      </w:pPr>
    </w:p>
    <w:p w:rsidR="00EB1AE0" w:rsidRPr="006204F6" w:rsidRDefault="00EB1AE0" w:rsidP="00EB1AE0">
      <w:pPr>
        <w:jc w:val="center"/>
        <w:rPr>
          <w:b/>
          <w:i/>
        </w:rPr>
      </w:pPr>
      <w:r w:rsidRPr="006204F6">
        <w:rPr>
          <w:b/>
          <w:i/>
        </w:rPr>
        <w:t>3.3.</w:t>
      </w:r>
      <w:r w:rsidR="000E6FB9" w:rsidRPr="006204F6">
        <w:rPr>
          <w:b/>
          <w:i/>
        </w:rPr>
        <w:t>6</w:t>
      </w:r>
      <w:r w:rsidRPr="006204F6">
        <w:rPr>
          <w:b/>
          <w:i/>
        </w:rPr>
        <w:t xml:space="preserve"> Overview - Petrophysical Measurements </w:t>
      </w:r>
    </w:p>
    <w:p w:rsidR="00A7496E" w:rsidRPr="00EB1AE0" w:rsidRDefault="00A7496E" w:rsidP="00EB1AE0">
      <w:pPr>
        <w:jc w:val="center"/>
        <w:rPr>
          <w:i/>
        </w:rPr>
      </w:pPr>
    </w:p>
    <w:p w:rsidR="00EB1AE0" w:rsidRPr="00EB1AE0" w:rsidRDefault="00EB1AE0" w:rsidP="00EB1AE0">
      <w:pPr>
        <w:pStyle w:val="AbstractNormalText"/>
        <w:spacing w:line="480" w:lineRule="auto"/>
        <w:rPr>
          <w:sz w:val="24"/>
          <w:szCs w:val="24"/>
        </w:rPr>
      </w:pPr>
      <w:r w:rsidRPr="00EB1AE0">
        <w:rPr>
          <w:sz w:val="24"/>
          <w:szCs w:val="24"/>
        </w:rPr>
        <w:t xml:space="preserve">Measurements of thermal maturity, </w:t>
      </w:r>
      <w:r w:rsidR="00A76121">
        <w:rPr>
          <w:sz w:val="24"/>
          <w:szCs w:val="24"/>
        </w:rPr>
        <w:t>crushed helium</w:t>
      </w:r>
      <w:r w:rsidRPr="00EB1AE0">
        <w:rPr>
          <w:sz w:val="24"/>
          <w:szCs w:val="24"/>
        </w:rPr>
        <w:t xml:space="preserve"> porosity, TOC, and FTIR </w:t>
      </w:r>
      <w:r w:rsidR="004621CD">
        <w:rPr>
          <w:sz w:val="24"/>
          <w:szCs w:val="24"/>
        </w:rPr>
        <w:t>mineral</w:t>
      </w:r>
      <w:r w:rsidRPr="00EB1AE0">
        <w:rPr>
          <w:sz w:val="24"/>
          <w:szCs w:val="24"/>
        </w:rPr>
        <w:t>ogy were performed on all 24 Wolfcamp samples. Thermal maturity from source rock analysis showed an average T</w:t>
      </w:r>
      <w:r w:rsidRPr="00EB1AE0">
        <w:rPr>
          <w:sz w:val="24"/>
          <w:szCs w:val="24"/>
          <w:vertAlign w:val="subscript"/>
        </w:rPr>
        <w:t>max</w:t>
      </w:r>
      <w:r w:rsidRPr="00EB1AE0">
        <w:rPr>
          <w:sz w:val="24"/>
          <w:szCs w:val="24"/>
        </w:rPr>
        <w:t xml:space="preserve"> value of 451</w:t>
      </w:r>
      <w:r w:rsidRPr="00EB1AE0">
        <w:rPr>
          <w:sz w:val="24"/>
          <w:szCs w:val="24"/>
          <w:vertAlign w:val="superscript"/>
        </w:rPr>
        <w:t>o</w:t>
      </w:r>
      <w:r w:rsidRPr="00EB1AE0">
        <w:rPr>
          <w:sz w:val="24"/>
          <w:szCs w:val="24"/>
        </w:rPr>
        <w:t xml:space="preserve">C which indicates that these samples fall into the peak wet gas window (Dow, 1977). </w:t>
      </w:r>
      <w:r w:rsidR="00DC1817">
        <w:rPr>
          <w:b/>
          <w:sz w:val="24"/>
          <w:szCs w:val="24"/>
        </w:rPr>
        <w:t xml:space="preserve">Fig </w:t>
      </w:r>
      <w:r w:rsidRPr="006D7069">
        <w:rPr>
          <w:b/>
          <w:sz w:val="24"/>
          <w:szCs w:val="24"/>
        </w:rPr>
        <w:t>3</w:t>
      </w:r>
      <w:r w:rsidR="006D7069" w:rsidRPr="006D7069">
        <w:rPr>
          <w:b/>
          <w:sz w:val="24"/>
          <w:szCs w:val="24"/>
        </w:rPr>
        <w:t>.13</w:t>
      </w:r>
      <w:r w:rsidRPr="00EB1AE0">
        <w:rPr>
          <w:b/>
          <w:sz w:val="24"/>
          <w:szCs w:val="24"/>
        </w:rPr>
        <w:t xml:space="preserve"> </w:t>
      </w:r>
      <w:r w:rsidRPr="00EB1AE0">
        <w:rPr>
          <w:sz w:val="24"/>
          <w:szCs w:val="24"/>
        </w:rPr>
        <w:t xml:space="preserve">shows the </w:t>
      </w:r>
      <w:r w:rsidR="0006020F">
        <w:rPr>
          <w:sz w:val="24"/>
          <w:szCs w:val="24"/>
        </w:rPr>
        <w:t>helium</w:t>
      </w:r>
      <w:r w:rsidRPr="00EB1AE0">
        <w:rPr>
          <w:sz w:val="24"/>
          <w:szCs w:val="24"/>
        </w:rPr>
        <w:t xml:space="preserve"> porosity, TOC, and FTIR </w:t>
      </w:r>
      <w:r w:rsidR="004621CD">
        <w:rPr>
          <w:sz w:val="24"/>
          <w:szCs w:val="24"/>
        </w:rPr>
        <w:t>mineral</w:t>
      </w:r>
      <w:r w:rsidRPr="00EB1AE0">
        <w:rPr>
          <w:sz w:val="24"/>
          <w:szCs w:val="24"/>
        </w:rPr>
        <w:t xml:space="preserve">ogy results with the increasing depth. Low pressure crushed sample </w:t>
      </w:r>
      <w:r w:rsidR="00813FAF">
        <w:rPr>
          <w:sz w:val="24"/>
          <w:szCs w:val="24"/>
        </w:rPr>
        <w:t xml:space="preserve">helium </w:t>
      </w:r>
      <w:r w:rsidRPr="00EB1AE0">
        <w:rPr>
          <w:sz w:val="24"/>
          <w:szCs w:val="24"/>
        </w:rPr>
        <w:t xml:space="preserve">pycnometer porosity values ranged from 7.8 – 11.0 %. </w:t>
      </w:r>
      <w:r w:rsidR="00A76121">
        <w:rPr>
          <w:sz w:val="24"/>
          <w:szCs w:val="24"/>
        </w:rPr>
        <w:t>LECO™</w:t>
      </w:r>
      <w:r w:rsidRPr="00EB1AE0">
        <w:rPr>
          <w:sz w:val="24"/>
          <w:szCs w:val="24"/>
        </w:rPr>
        <w:t xml:space="preserve">™ TOC values ranged from 2.0 – 6.0% by weight. Transmission FTIR spectroscopy indicated </w:t>
      </w:r>
      <w:r w:rsidR="004621CD">
        <w:rPr>
          <w:sz w:val="24"/>
          <w:szCs w:val="24"/>
        </w:rPr>
        <w:t>mineral</w:t>
      </w:r>
      <w:r w:rsidRPr="00EB1AE0">
        <w:rPr>
          <w:sz w:val="24"/>
          <w:szCs w:val="24"/>
        </w:rPr>
        <w:t xml:space="preserve">ogy is dominated by clay (55-75 wt%), which is mostly illite, following by quartz (8-25 wt%), feldspar (approximately 10 wt%), and carbonate (approximately 5 wt%). Overall, the </w:t>
      </w:r>
      <w:r w:rsidR="004621CD">
        <w:rPr>
          <w:sz w:val="24"/>
          <w:szCs w:val="24"/>
        </w:rPr>
        <w:t>mineral</w:t>
      </w:r>
      <w:r w:rsidRPr="00EB1AE0">
        <w:rPr>
          <w:sz w:val="24"/>
          <w:szCs w:val="24"/>
        </w:rPr>
        <w:t>ogy is fairly homogeneous over th</w:t>
      </w:r>
      <w:r w:rsidR="00BC049C">
        <w:rPr>
          <w:sz w:val="24"/>
          <w:szCs w:val="24"/>
        </w:rPr>
        <w:t xml:space="preserve">e 1 ft interval, especially </w:t>
      </w:r>
      <w:r w:rsidRPr="00EB1AE0">
        <w:rPr>
          <w:sz w:val="24"/>
          <w:szCs w:val="24"/>
        </w:rPr>
        <w:t>the clay content.</w:t>
      </w:r>
      <w:r w:rsidR="00BC049C">
        <w:rPr>
          <w:sz w:val="24"/>
          <w:szCs w:val="24"/>
        </w:rPr>
        <w:t xml:space="preserve"> Porosity distribution with T</w:t>
      </w:r>
      <w:r w:rsidR="00BC049C">
        <w:rPr>
          <w:sz w:val="24"/>
          <w:szCs w:val="24"/>
          <w:vertAlign w:val="subscript"/>
        </w:rPr>
        <w:t>2</w:t>
      </w:r>
      <w:r w:rsidR="00BC049C">
        <w:rPr>
          <w:sz w:val="24"/>
          <w:szCs w:val="24"/>
        </w:rPr>
        <w:t xml:space="preserve"> relaxation from NMR data is consistent throughout the 1 ft section</w:t>
      </w:r>
      <w:r w:rsidR="006D277F">
        <w:rPr>
          <w:sz w:val="24"/>
          <w:szCs w:val="24"/>
        </w:rPr>
        <w:t xml:space="preserve"> (see </w:t>
      </w:r>
      <w:r w:rsidR="006D277F">
        <w:rPr>
          <w:b/>
          <w:sz w:val="24"/>
          <w:szCs w:val="24"/>
        </w:rPr>
        <w:t>Fig 3.13</w:t>
      </w:r>
      <w:r w:rsidR="006D277F">
        <w:rPr>
          <w:sz w:val="24"/>
          <w:szCs w:val="24"/>
        </w:rPr>
        <w:t>)</w:t>
      </w:r>
      <w:r w:rsidR="00BC049C">
        <w:rPr>
          <w:sz w:val="24"/>
          <w:szCs w:val="24"/>
        </w:rPr>
        <w:t xml:space="preserve">. </w:t>
      </w:r>
      <w:r w:rsidR="00756FFB">
        <w:rPr>
          <w:sz w:val="24"/>
          <w:szCs w:val="24"/>
        </w:rPr>
        <w:t>For the plot of each sample, a</w:t>
      </w:r>
      <w:r w:rsidR="00BC049C">
        <w:rPr>
          <w:sz w:val="24"/>
          <w:szCs w:val="24"/>
        </w:rPr>
        <w:t xml:space="preserve"> dominant signal of clay-bound water </w:t>
      </w:r>
      <w:r w:rsidR="00756FFB">
        <w:rPr>
          <w:sz w:val="24"/>
          <w:szCs w:val="24"/>
        </w:rPr>
        <w:t xml:space="preserve">at extremely fast relaxation time </w:t>
      </w:r>
      <w:r w:rsidR="000175C4">
        <w:rPr>
          <w:sz w:val="24"/>
          <w:szCs w:val="24"/>
        </w:rPr>
        <w:t xml:space="preserve">(0.7 – 1 ms) </w:t>
      </w:r>
      <w:r w:rsidR="00BC049C">
        <w:rPr>
          <w:sz w:val="24"/>
          <w:szCs w:val="24"/>
        </w:rPr>
        <w:t xml:space="preserve">following by a smaller broad peak </w:t>
      </w:r>
      <w:r w:rsidR="00756FFB">
        <w:rPr>
          <w:sz w:val="24"/>
          <w:szCs w:val="24"/>
        </w:rPr>
        <w:t xml:space="preserve">of adsorbed fluid at 50-60 ms indicates the dominance of clay porosity (Goergen et al., 2014).  Available MICP data of 21 samples </w:t>
      </w:r>
      <w:r w:rsidR="00756FFB">
        <w:rPr>
          <w:sz w:val="24"/>
          <w:szCs w:val="24"/>
        </w:rPr>
        <w:lastRenderedPageBreak/>
        <w:t>also shows a strong consistency within this section</w:t>
      </w:r>
      <w:r w:rsidR="006D277F">
        <w:rPr>
          <w:sz w:val="24"/>
          <w:szCs w:val="24"/>
        </w:rPr>
        <w:t xml:space="preserve"> (see </w:t>
      </w:r>
      <w:r w:rsidR="006D277F">
        <w:rPr>
          <w:b/>
          <w:sz w:val="24"/>
          <w:szCs w:val="24"/>
        </w:rPr>
        <w:t>Fig 3.13</w:t>
      </w:r>
      <w:r w:rsidR="006D277F">
        <w:rPr>
          <w:sz w:val="24"/>
          <w:szCs w:val="24"/>
        </w:rPr>
        <w:t>);</w:t>
      </w:r>
      <w:r w:rsidR="00756FFB">
        <w:rPr>
          <w:sz w:val="24"/>
          <w:szCs w:val="24"/>
        </w:rPr>
        <w:t xml:space="preserve"> </w:t>
      </w:r>
      <w:r w:rsidR="006D277F">
        <w:rPr>
          <w:sz w:val="24"/>
          <w:szCs w:val="24"/>
        </w:rPr>
        <w:t>the diameter of most of the pores ranges from 4 to 8 nm.</w:t>
      </w:r>
    </w:p>
    <w:p w:rsidR="00A7496E" w:rsidRDefault="00A7496E" w:rsidP="00877D4E">
      <w:pPr>
        <w:rPr>
          <w:i/>
        </w:rPr>
      </w:pPr>
    </w:p>
    <w:p w:rsidR="00F73AA5" w:rsidRDefault="00EB1AE0" w:rsidP="00F73AA5">
      <w:pPr>
        <w:jc w:val="both"/>
      </w:pPr>
      <w:r>
        <w:rPr>
          <w:noProof/>
          <w:lang w:bidi="ar-SA"/>
        </w:rPr>
        <w:drawing>
          <wp:inline distT="0" distB="0" distL="0" distR="0" wp14:anchorId="07200D6E" wp14:editId="73AFDA7F">
            <wp:extent cx="5577840" cy="3886200"/>
            <wp:effectExtent l="0" t="0" r="381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5577840" cy="3886200"/>
                    </a:xfrm>
                    <a:prstGeom prst="rect">
                      <a:avLst/>
                    </a:prstGeom>
                  </pic:spPr>
                </pic:pic>
              </a:graphicData>
            </a:graphic>
          </wp:inline>
        </w:drawing>
      </w:r>
    </w:p>
    <w:p w:rsidR="00877D4E" w:rsidRDefault="00877D4E" w:rsidP="00877D4E">
      <w:pPr>
        <w:jc w:val="both"/>
        <w:rPr>
          <w:rFonts w:ascii="Times New Roman" w:hAnsi="Times New Roman"/>
          <w:b/>
        </w:rPr>
      </w:pPr>
      <w:r w:rsidRPr="00877D4E">
        <w:rPr>
          <w:rFonts w:ascii="Times New Roman" w:hAnsi="Times New Roman"/>
          <w:b/>
        </w:rPr>
        <w:t>Figure 3</w:t>
      </w:r>
      <w:r w:rsidR="006D7069">
        <w:rPr>
          <w:rFonts w:ascii="Times New Roman" w:hAnsi="Times New Roman"/>
          <w:b/>
        </w:rPr>
        <w:t>.13</w:t>
      </w:r>
      <w:r w:rsidRPr="00877D4E">
        <w:rPr>
          <w:rFonts w:ascii="Times New Roman" w:hAnsi="Times New Roman"/>
          <w:b/>
        </w:rPr>
        <w:t xml:space="preserve">: Measured TOC, </w:t>
      </w:r>
      <w:r w:rsidR="00A76121">
        <w:rPr>
          <w:rFonts w:ascii="Times New Roman" w:hAnsi="Times New Roman"/>
          <w:b/>
        </w:rPr>
        <w:t>crushed helium</w:t>
      </w:r>
      <w:r w:rsidRPr="00877D4E">
        <w:rPr>
          <w:rFonts w:ascii="Times New Roman" w:hAnsi="Times New Roman"/>
          <w:b/>
        </w:rPr>
        <w:t xml:space="preserve"> </w:t>
      </w:r>
      <w:r>
        <w:rPr>
          <w:rFonts w:ascii="Times New Roman" w:hAnsi="Times New Roman"/>
          <w:b/>
        </w:rPr>
        <w:t>porosity,</w:t>
      </w:r>
      <w:r w:rsidRPr="00877D4E">
        <w:rPr>
          <w:rFonts w:ascii="Times New Roman" w:hAnsi="Times New Roman"/>
          <w:b/>
        </w:rPr>
        <w:t xml:space="preserve"> FTIR </w:t>
      </w:r>
      <w:r w:rsidR="004621CD">
        <w:rPr>
          <w:rFonts w:ascii="Times New Roman" w:hAnsi="Times New Roman"/>
          <w:b/>
        </w:rPr>
        <w:t>mineral</w:t>
      </w:r>
      <w:r w:rsidRPr="00877D4E">
        <w:rPr>
          <w:rFonts w:ascii="Times New Roman" w:hAnsi="Times New Roman"/>
          <w:b/>
        </w:rPr>
        <w:t>ogy</w:t>
      </w:r>
      <w:r>
        <w:rPr>
          <w:rFonts w:ascii="Times New Roman" w:hAnsi="Times New Roman"/>
          <w:b/>
        </w:rPr>
        <w:t>, NMR</w:t>
      </w:r>
      <w:r w:rsidR="00813FAF">
        <w:rPr>
          <w:rFonts w:ascii="Times New Roman" w:hAnsi="Times New Roman"/>
          <w:b/>
        </w:rPr>
        <w:t xml:space="preserve"> T2 distributions</w:t>
      </w:r>
      <w:r>
        <w:rPr>
          <w:rFonts w:ascii="Times New Roman" w:hAnsi="Times New Roman"/>
          <w:b/>
        </w:rPr>
        <w:t>, and MICP</w:t>
      </w:r>
      <w:r w:rsidRPr="00877D4E">
        <w:rPr>
          <w:rFonts w:ascii="Times New Roman" w:hAnsi="Times New Roman"/>
          <w:b/>
        </w:rPr>
        <w:t xml:space="preserve"> for the 24 samples plotted against increasing depth over the </w:t>
      </w:r>
      <w:r w:rsidR="00EB7843" w:rsidRPr="00877D4E">
        <w:rPr>
          <w:rFonts w:ascii="Times New Roman" w:hAnsi="Times New Roman"/>
          <w:b/>
        </w:rPr>
        <w:t>one-foot</w:t>
      </w:r>
      <w:r w:rsidRPr="00877D4E">
        <w:rPr>
          <w:rFonts w:ascii="Times New Roman" w:hAnsi="Times New Roman"/>
          <w:b/>
        </w:rPr>
        <w:t xml:space="preserve"> depth interval. Note that the </w:t>
      </w:r>
      <w:r w:rsidR="004621CD">
        <w:rPr>
          <w:rFonts w:ascii="Times New Roman" w:hAnsi="Times New Roman"/>
          <w:b/>
        </w:rPr>
        <w:t>mineral</w:t>
      </w:r>
      <w:r w:rsidRPr="00877D4E">
        <w:rPr>
          <w:rFonts w:ascii="Times New Roman" w:hAnsi="Times New Roman"/>
          <w:b/>
        </w:rPr>
        <w:t>ogy is dominated by clay, predominately illite</w:t>
      </w:r>
    </w:p>
    <w:p w:rsidR="00A66AF6" w:rsidRDefault="00A66AF6" w:rsidP="00877D4E">
      <w:pPr>
        <w:jc w:val="both"/>
        <w:rPr>
          <w:rFonts w:ascii="Times New Roman" w:hAnsi="Times New Roman"/>
          <w:b/>
        </w:rPr>
      </w:pPr>
    </w:p>
    <w:p w:rsidR="00A66AF6" w:rsidRDefault="00A66AF6" w:rsidP="00877D4E">
      <w:pPr>
        <w:jc w:val="both"/>
        <w:rPr>
          <w:rFonts w:ascii="Times New Roman" w:hAnsi="Times New Roman"/>
          <w:b/>
        </w:rPr>
      </w:pPr>
    </w:p>
    <w:p w:rsidR="00620F0E" w:rsidRDefault="00620F0E" w:rsidP="00877D4E">
      <w:pPr>
        <w:jc w:val="both"/>
        <w:rPr>
          <w:rFonts w:ascii="Times New Roman" w:hAnsi="Times New Roman"/>
          <w:b/>
        </w:rPr>
      </w:pPr>
    </w:p>
    <w:p w:rsidR="00620F0E" w:rsidRDefault="00620F0E" w:rsidP="00877D4E">
      <w:pPr>
        <w:jc w:val="both"/>
        <w:rPr>
          <w:rFonts w:ascii="Times New Roman" w:hAnsi="Times New Roman"/>
          <w:b/>
        </w:rPr>
      </w:pPr>
    </w:p>
    <w:p w:rsidR="00A66AF6" w:rsidRPr="00877D4E" w:rsidRDefault="00A66AF6" w:rsidP="00877D4E">
      <w:pPr>
        <w:jc w:val="both"/>
        <w:rPr>
          <w:rFonts w:ascii="Times New Roman" w:hAnsi="Times New Roman"/>
          <w:b/>
        </w:rPr>
      </w:pPr>
    </w:p>
    <w:p w:rsidR="004D58D4" w:rsidRPr="000F56FF" w:rsidRDefault="004D58D4" w:rsidP="00F63BF0">
      <w:pPr>
        <w:pStyle w:val="Heading1"/>
      </w:pPr>
      <w:r w:rsidRPr="000F56FF">
        <w:lastRenderedPageBreak/>
        <w:t xml:space="preserve">Chapter </w:t>
      </w:r>
      <w:r>
        <w:t>4</w:t>
      </w:r>
      <w:r w:rsidRPr="000F56FF">
        <w:t xml:space="preserve">: </w:t>
      </w:r>
      <w:r>
        <w:t>Results and Discussion</w:t>
      </w:r>
    </w:p>
    <w:p w:rsidR="004D58D4" w:rsidRDefault="004D58D4" w:rsidP="000175C4">
      <w:pPr>
        <w:jc w:val="both"/>
      </w:pPr>
      <w:r>
        <w:t>This chapter presents the results of three st</w:t>
      </w:r>
      <w:r w:rsidR="00756FFB">
        <w:t>udies from SEM imaging analyses</w:t>
      </w:r>
      <w:r>
        <w:t>. The first study investigates the appropriate representative elementary areas (REA) required</w:t>
      </w:r>
      <w:r w:rsidR="00756FFB">
        <w:t xml:space="preserve"> for imaging</w:t>
      </w:r>
      <w:r w:rsidR="002F044A">
        <w:t xml:space="preserve"> various microstructural components including porosity, organic matter, and </w:t>
      </w:r>
      <w:r w:rsidR="004621CD">
        <w:t>mineral</w:t>
      </w:r>
      <w:r w:rsidR="002F044A">
        <w:t xml:space="preserve"> grain</w:t>
      </w:r>
      <w:r w:rsidR="00756FFB">
        <w:t>s</w:t>
      </w:r>
      <w:r w:rsidR="002F044A">
        <w:t>. The second</w:t>
      </w:r>
      <w:r>
        <w:t xml:space="preserve"> </w:t>
      </w:r>
      <w:r w:rsidR="002F044A">
        <w:t xml:space="preserve">focuses on the size distribution for each of these components. Finally, the third study involves the correlation between the imaging data and other petrophysical data including </w:t>
      </w:r>
      <w:r w:rsidR="00A76121">
        <w:t>crushed helium</w:t>
      </w:r>
      <w:r w:rsidR="002F044A">
        <w:t xml:space="preserve"> porosity, TOC, MICP, and NMR.</w:t>
      </w:r>
    </w:p>
    <w:p w:rsidR="00501C40" w:rsidRPr="00501C40" w:rsidRDefault="002F044A" w:rsidP="00620F0E">
      <w:pPr>
        <w:pStyle w:val="Heading2"/>
      </w:pPr>
      <w:r>
        <w:t>4.1 Por</w:t>
      </w:r>
      <w:r w:rsidR="00CC76A4">
        <w:t>e</w:t>
      </w:r>
      <w:r>
        <w:t xml:space="preserve"> and Organic </w:t>
      </w:r>
      <w:r w:rsidR="00B35B16">
        <w:t>M</w:t>
      </w:r>
      <w:r>
        <w:t>atter</w:t>
      </w:r>
    </w:p>
    <w:p w:rsidR="004D58D4" w:rsidRPr="006204F6" w:rsidRDefault="00501C40" w:rsidP="006204F6">
      <w:pPr>
        <w:pStyle w:val="Heading3"/>
      </w:pPr>
      <w:r w:rsidRPr="006204F6">
        <w:t>4.1.1</w:t>
      </w:r>
      <w:r w:rsidR="004D58D4" w:rsidRPr="006204F6">
        <w:t xml:space="preserve"> </w:t>
      </w:r>
      <w:r w:rsidR="00CC76A4" w:rsidRPr="006204F6">
        <w:t>Representative Elementary Area</w:t>
      </w:r>
    </w:p>
    <w:p w:rsidR="00501C40" w:rsidRPr="00501C40" w:rsidRDefault="00501C40" w:rsidP="00501C40"/>
    <w:p w:rsidR="00CC76A4" w:rsidRPr="00CC76A4" w:rsidRDefault="00CC76A4" w:rsidP="00CC76A4">
      <w:pPr>
        <w:jc w:val="both"/>
        <w:rPr>
          <w:rFonts w:ascii="Times New Roman" w:hAnsi="Times New Roman"/>
        </w:rPr>
      </w:pPr>
      <w:r w:rsidRPr="00CC76A4">
        <w:rPr>
          <w:rFonts w:ascii="Times New Roman" w:hAnsi="Times New Roman"/>
        </w:rPr>
        <w:t>From one map, which ha</w:t>
      </w:r>
      <w:r w:rsidR="005267CF">
        <w:rPr>
          <w:rFonts w:ascii="Times New Roman" w:hAnsi="Times New Roman"/>
        </w:rPr>
        <w:t>s the standard dimensions of 273</w:t>
      </w:r>
      <w:r w:rsidRPr="00CC76A4">
        <w:rPr>
          <w:rFonts w:ascii="Times New Roman" w:hAnsi="Times New Roman"/>
        </w:rPr>
        <w:t xml:space="preserve"> </w:t>
      </w:r>
      <w:bookmarkStart w:id="110" w:name="OLE_LINK25"/>
      <w:bookmarkStart w:id="111" w:name="OLE_LINK26"/>
      <w:r w:rsidRPr="00CC76A4">
        <w:rPr>
          <w:rFonts w:ascii="Times New Roman" w:hAnsi="Times New Roman"/>
        </w:rPr>
        <w:t>µm</w:t>
      </w:r>
      <w:bookmarkEnd w:id="110"/>
      <w:bookmarkEnd w:id="111"/>
      <w:r w:rsidRPr="00CC76A4">
        <w:rPr>
          <w:rFonts w:ascii="Times New Roman" w:hAnsi="Times New Roman"/>
        </w:rPr>
        <w:t xml:space="preserve"> width and</w:t>
      </w:r>
      <w:r w:rsidR="00756FFB">
        <w:rPr>
          <w:rFonts w:ascii="Times New Roman" w:hAnsi="Times New Roman"/>
        </w:rPr>
        <w:t xml:space="preserve"> 6,000 µm</w:t>
      </w:r>
      <w:r w:rsidRPr="00CC76A4">
        <w:rPr>
          <w:rFonts w:ascii="Times New Roman" w:hAnsi="Times New Roman"/>
        </w:rPr>
        <w:t xml:space="preserve"> length (1.56 mm</w:t>
      </w:r>
      <w:r w:rsidRPr="00CC76A4">
        <w:rPr>
          <w:rFonts w:ascii="Times New Roman" w:hAnsi="Times New Roman"/>
          <w:vertAlign w:val="superscript"/>
        </w:rPr>
        <w:t xml:space="preserve">2 </w:t>
      </w:r>
      <w:r w:rsidRPr="00CC76A4">
        <w:rPr>
          <w:rFonts w:ascii="Times New Roman" w:hAnsi="Times New Roman"/>
        </w:rPr>
        <w:t>area) stitched from approximately 3</w:t>
      </w:r>
      <w:r w:rsidR="00517567">
        <w:rPr>
          <w:rFonts w:ascii="Times New Roman" w:hAnsi="Times New Roman"/>
        </w:rPr>
        <w:t>,</w:t>
      </w:r>
      <w:r w:rsidRPr="00CC76A4">
        <w:rPr>
          <w:rFonts w:ascii="Times New Roman" w:hAnsi="Times New Roman"/>
        </w:rPr>
        <w:t>000</w:t>
      </w:r>
      <w:r w:rsidRPr="00CC76A4">
        <w:rPr>
          <w:rFonts w:ascii="Times New Roman" w:hAnsi="Times New Roman"/>
          <w:color w:val="FF0000"/>
        </w:rPr>
        <w:t xml:space="preserve"> </w:t>
      </w:r>
      <w:r w:rsidRPr="00CC76A4">
        <w:rPr>
          <w:rFonts w:ascii="Times New Roman" w:hAnsi="Times New Roman"/>
        </w:rPr>
        <w:t>SEM i</w:t>
      </w:r>
      <w:r w:rsidR="000D17E1">
        <w:rPr>
          <w:rFonts w:ascii="Times New Roman" w:hAnsi="Times New Roman"/>
        </w:rPr>
        <w:t>mages taken at 10 nm resolution;</w:t>
      </w:r>
      <w:r w:rsidRPr="00CC76A4">
        <w:rPr>
          <w:rFonts w:ascii="Times New Roman" w:hAnsi="Times New Roman"/>
        </w:rPr>
        <w:t xml:space="preserve"> multip</w:t>
      </w:r>
      <w:r w:rsidR="004C44D8">
        <w:rPr>
          <w:rFonts w:ascii="Times New Roman" w:hAnsi="Times New Roman"/>
        </w:rPr>
        <w:t>le sub-maps of different sizes selected at</w:t>
      </w:r>
      <w:r w:rsidRPr="00CC76A4">
        <w:rPr>
          <w:rFonts w:ascii="Times New Roman" w:hAnsi="Times New Roman"/>
        </w:rPr>
        <w:t xml:space="preserve"> </w:t>
      </w:r>
      <w:r w:rsidR="000D17E1">
        <w:rPr>
          <w:rFonts w:ascii="Times New Roman" w:hAnsi="Times New Roman"/>
        </w:rPr>
        <w:t>random locations were extracted for comparative analyses.</w:t>
      </w:r>
      <w:r w:rsidRPr="00CC76A4">
        <w:rPr>
          <w:rFonts w:ascii="Times New Roman" w:hAnsi="Times New Roman"/>
        </w:rPr>
        <w:t xml:space="preserve"> The 2D SEM porosities of these sub-maps were calculated using the segmentation method described previous</w:t>
      </w:r>
      <w:r w:rsidR="000D17E1">
        <w:rPr>
          <w:rFonts w:ascii="Times New Roman" w:hAnsi="Times New Roman"/>
        </w:rPr>
        <w:t xml:space="preserve">ly and were compared </w:t>
      </w:r>
      <w:r w:rsidRPr="00CC76A4">
        <w:rPr>
          <w:rFonts w:ascii="Times New Roman" w:hAnsi="Times New Roman"/>
        </w:rPr>
        <w:t xml:space="preserve">with the segmented porosity value of the entire original map. </w:t>
      </w:r>
      <w:r w:rsidR="00DC1817" w:rsidRPr="00DC1817">
        <w:rPr>
          <w:rFonts w:ascii="Times New Roman" w:hAnsi="Times New Roman"/>
          <w:b/>
        </w:rPr>
        <w:t xml:space="preserve">Fig </w:t>
      </w:r>
      <w:r w:rsidRPr="00DC1817">
        <w:rPr>
          <w:rFonts w:ascii="Times New Roman" w:hAnsi="Times New Roman"/>
          <w:b/>
        </w:rPr>
        <w:t>4</w:t>
      </w:r>
      <w:r w:rsidR="00B27FEB" w:rsidRPr="00DC1817">
        <w:rPr>
          <w:rFonts w:ascii="Times New Roman" w:hAnsi="Times New Roman"/>
          <w:b/>
        </w:rPr>
        <w:t>.1</w:t>
      </w:r>
      <w:r w:rsidRPr="00DC1817">
        <w:rPr>
          <w:rFonts w:ascii="Times New Roman" w:hAnsi="Times New Roman"/>
          <w:b/>
        </w:rPr>
        <w:t>A</w:t>
      </w:r>
      <w:r w:rsidRPr="00CC76A4">
        <w:rPr>
          <w:rFonts w:ascii="Times New Roman" w:hAnsi="Times New Roman"/>
        </w:rPr>
        <w:t xml:space="preserve"> shows an example result from sample #5. The area of original map of this sample is 1.56 mm</w:t>
      </w:r>
      <w:r w:rsidRPr="00CC76A4">
        <w:rPr>
          <w:rFonts w:ascii="Times New Roman" w:hAnsi="Times New Roman"/>
          <w:vertAlign w:val="superscript"/>
        </w:rPr>
        <w:t>2</w:t>
      </w:r>
      <w:r w:rsidRPr="00CC76A4">
        <w:rPr>
          <w:rFonts w:ascii="Times New Roman" w:hAnsi="Times New Roman"/>
        </w:rPr>
        <w:t xml:space="preserve">. </w:t>
      </w:r>
      <w:r w:rsidR="000D17E1">
        <w:rPr>
          <w:rFonts w:ascii="Times New Roman" w:hAnsi="Times New Roman"/>
        </w:rPr>
        <w:t>A</w:t>
      </w:r>
      <w:r w:rsidRPr="00CC76A4">
        <w:rPr>
          <w:rFonts w:ascii="Times New Roman" w:hAnsi="Times New Roman"/>
        </w:rPr>
        <w:t xml:space="preserve"> </w:t>
      </w:r>
      <w:r w:rsidR="000D17E1">
        <w:rPr>
          <w:rFonts w:ascii="Times New Roman" w:hAnsi="Times New Roman"/>
        </w:rPr>
        <w:t>large</w:t>
      </w:r>
      <w:r w:rsidRPr="00CC76A4">
        <w:rPr>
          <w:rFonts w:ascii="Times New Roman" w:hAnsi="Times New Roman"/>
        </w:rPr>
        <w:t xml:space="preserve"> fluctuation of the porosity is observed</w:t>
      </w:r>
      <w:r w:rsidR="000D17E1">
        <w:rPr>
          <w:rFonts w:ascii="Times New Roman" w:hAnsi="Times New Roman"/>
        </w:rPr>
        <w:t xml:space="preserve"> for small sub-maps</w:t>
      </w:r>
      <w:r w:rsidR="004C44D8">
        <w:rPr>
          <w:rFonts w:ascii="Times New Roman" w:hAnsi="Times New Roman"/>
        </w:rPr>
        <w:t xml:space="preserve"> (especially below 10% of the original map)</w:t>
      </w:r>
      <w:r w:rsidRPr="00CC76A4">
        <w:rPr>
          <w:rFonts w:ascii="Times New Roman" w:hAnsi="Times New Roman"/>
        </w:rPr>
        <w:t xml:space="preserve">. As the size of the sub-maps increases, the porosity values converge to the porosity of the whole map for sample #5. </w:t>
      </w:r>
      <w:r w:rsidR="00DC1817" w:rsidRPr="00DC1817">
        <w:rPr>
          <w:rFonts w:ascii="Times New Roman" w:hAnsi="Times New Roman"/>
          <w:b/>
        </w:rPr>
        <w:t xml:space="preserve">Fig </w:t>
      </w:r>
      <w:r w:rsidRPr="00DC1817">
        <w:rPr>
          <w:rFonts w:ascii="Times New Roman" w:hAnsi="Times New Roman"/>
          <w:b/>
        </w:rPr>
        <w:t>4</w:t>
      </w:r>
      <w:r w:rsidR="00B27FEB" w:rsidRPr="00DC1817">
        <w:rPr>
          <w:rFonts w:ascii="Times New Roman" w:hAnsi="Times New Roman"/>
          <w:b/>
        </w:rPr>
        <w:t>.1</w:t>
      </w:r>
      <w:r w:rsidRPr="00DC1817">
        <w:rPr>
          <w:rFonts w:ascii="Times New Roman" w:hAnsi="Times New Roman"/>
          <w:b/>
        </w:rPr>
        <w:t>B</w:t>
      </w:r>
      <w:r w:rsidRPr="00CC76A4">
        <w:rPr>
          <w:rFonts w:ascii="Times New Roman" w:hAnsi="Times New Roman"/>
        </w:rPr>
        <w:t xml:space="preserve"> shows the truncation error of the porosity of each sub-map compared to the porosity of the whole map. Truncation error of sub map at scale i, E</w:t>
      </w:r>
      <w:r w:rsidRPr="00CC76A4">
        <w:rPr>
          <w:rFonts w:ascii="Times New Roman" w:hAnsi="Times New Roman"/>
          <w:vertAlign w:val="subscript"/>
        </w:rPr>
        <w:t>i</w:t>
      </w:r>
      <w:r w:rsidRPr="00CC76A4">
        <w:rPr>
          <w:rFonts w:ascii="Times New Roman" w:hAnsi="Times New Roman"/>
        </w:rPr>
        <w:t xml:space="preserve"> is defined as:</w:t>
      </w:r>
    </w:p>
    <w:p w:rsidR="00CC76A4" w:rsidRPr="00CC76A4" w:rsidRDefault="001E1AF0" w:rsidP="00CC76A4">
      <w:pPr>
        <w:jc w:val="center"/>
        <w:rPr>
          <w:rFonts w:ascii="Times New Roman" w:hAnsi="Times New Roman"/>
        </w:rPr>
      </w:pPr>
      <m:oMathPara>
        <m:oMath>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w:bookmarkStart w:id="112" w:name="OLE_LINK67"/>
                      <w:bookmarkStart w:id="113" w:name="OLE_LINK68"/>
                      <m:r>
                        <w:rPr>
                          <w:rFonts w:ascii="Cambria Math" w:hAnsi="Cambria Math"/>
                        </w:rPr>
                        <m:t>Φ</m:t>
                      </m:r>
                      <w:bookmarkEnd w:id="112"/>
                      <w:bookmarkEnd w:id="113"/>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Φ</m:t>
                      </m:r>
                    </m:e>
                    <m:sub>
                      <m:r>
                        <w:rPr>
                          <w:rFonts w:ascii="Cambria Math" w:hAnsi="Cambria Math"/>
                        </w:rPr>
                        <m:t>map</m:t>
                      </m:r>
                    </m:sub>
                  </m:sSub>
                </m:num>
                <m:den>
                  <m:sSub>
                    <m:sSubPr>
                      <m:ctrlPr>
                        <w:rPr>
                          <w:rFonts w:ascii="Cambria Math" w:hAnsi="Cambria Math"/>
                          <w:i/>
                        </w:rPr>
                      </m:ctrlPr>
                    </m:sSubPr>
                    <m:e>
                      <m:r>
                        <w:rPr>
                          <w:rFonts w:ascii="Cambria Math" w:hAnsi="Cambria Math"/>
                        </w:rPr>
                        <m:t>Φ</m:t>
                      </m:r>
                    </m:e>
                    <m:sub>
                      <m:r>
                        <w:rPr>
                          <w:rFonts w:ascii="Cambria Math" w:hAnsi="Cambria Math"/>
                        </w:rPr>
                        <m:t>map</m:t>
                      </m:r>
                    </m:sub>
                  </m:sSub>
                </m:den>
              </m:f>
            </m:e>
          </m:d>
          <m:r>
            <w:rPr>
              <w:rFonts w:ascii="Cambria Math" w:hAnsi="Cambria Math"/>
            </w:rPr>
            <m:t>*100</m:t>
          </m:r>
        </m:oMath>
      </m:oMathPara>
    </w:p>
    <w:p w:rsidR="00085615" w:rsidRPr="00085615" w:rsidRDefault="00CC76A4" w:rsidP="00085615">
      <w:pPr>
        <w:jc w:val="both"/>
        <w:rPr>
          <w:rFonts w:ascii="Times New Roman" w:hAnsi="Times New Roman"/>
          <w:noProof/>
          <w:sz w:val="20"/>
          <w:szCs w:val="20"/>
        </w:rPr>
      </w:pPr>
      <w:r w:rsidRPr="00CC76A4">
        <w:rPr>
          <w:rFonts w:ascii="Times New Roman" w:hAnsi="Times New Roman"/>
        </w:rPr>
        <w:t xml:space="preserve"> where </w:t>
      </w:r>
      <w:bookmarkStart w:id="114" w:name="OLE_LINK66"/>
      <w:r w:rsidRPr="00CC76A4">
        <w:rPr>
          <w:rFonts w:ascii="Symbol" w:hAnsi="Symbol"/>
        </w:rPr>
        <w:t></w:t>
      </w:r>
      <w:bookmarkEnd w:id="114"/>
      <w:r w:rsidRPr="00CC76A4">
        <w:rPr>
          <w:rFonts w:ascii="Times New Roman" w:hAnsi="Times New Roman"/>
          <w:vertAlign w:val="subscript"/>
        </w:rPr>
        <w:t>i</w:t>
      </w:r>
      <w:r w:rsidRPr="00CC76A4">
        <w:rPr>
          <w:rFonts w:ascii="Times New Roman" w:hAnsi="Times New Roman"/>
        </w:rPr>
        <w:t xml:space="preserve"> is the porosity at scale i and </w:t>
      </w:r>
      <w:r w:rsidRPr="00CC76A4">
        <w:rPr>
          <w:rFonts w:ascii="Symbol" w:hAnsi="Symbol"/>
        </w:rPr>
        <w:t></w:t>
      </w:r>
      <w:r w:rsidRPr="00CC76A4">
        <w:rPr>
          <w:rFonts w:ascii="Times New Roman" w:hAnsi="Times New Roman"/>
          <w:vertAlign w:val="subscript"/>
        </w:rPr>
        <w:t>map</w:t>
      </w:r>
      <w:r w:rsidRPr="00CC76A4">
        <w:rPr>
          <w:rFonts w:ascii="Times New Roman" w:hAnsi="Times New Roman"/>
        </w:rPr>
        <w:t xml:space="preserve"> is the porosity of the entire map image. At the scale of 22% of whole map which is equivalent to an area of 0.32 mm</w:t>
      </w:r>
      <w:r w:rsidRPr="00CC76A4">
        <w:rPr>
          <w:rFonts w:ascii="Times New Roman" w:hAnsi="Times New Roman"/>
          <w:vertAlign w:val="superscript"/>
        </w:rPr>
        <w:t>2</w:t>
      </w:r>
      <w:r w:rsidRPr="00CC76A4">
        <w:rPr>
          <w:rFonts w:ascii="Times New Roman" w:hAnsi="Times New Roman"/>
        </w:rPr>
        <w:t>, all porosity values are almost the same and close to the porosity of the whole map.</w:t>
      </w:r>
      <w:r w:rsidR="000E5C7C">
        <w:rPr>
          <w:rFonts w:ascii="Times New Roman" w:hAnsi="Times New Roman"/>
        </w:rPr>
        <w:t xml:space="preserve"> This area is roughly equivalent to a 550 µm x 550 µm image.</w:t>
      </w:r>
      <w:r w:rsidRPr="00CC76A4">
        <w:rPr>
          <w:rFonts w:ascii="Times New Roman" w:hAnsi="Times New Roman"/>
        </w:rPr>
        <w:t xml:space="preserve"> At this size of sub-map or larger</w:t>
      </w:r>
      <w:r w:rsidR="000D17E1">
        <w:rPr>
          <w:rFonts w:ascii="Times New Roman" w:hAnsi="Times New Roman"/>
        </w:rPr>
        <w:t>,</w:t>
      </w:r>
      <w:r w:rsidRPr="00CC76A4">
        <w:rPr>
          <w:rFonts w:ascii="Times New Roman" w:hAnsi="Times New Roman"/>
        </w:rPr>
        <w:t xml:space="preserve"> the truncation errors are 10% or less. Note that the acquisition time for the whole map of 1.56 mm</w:t>
      </w:r>
      <w:r w:rsidRPr="00CC76A4">
        <w:rPr>
          <w:rFonts w:ascii="Times New Roman" w:hAnsi="Times New Roman"/>
          <w:vertAlign w:val="superscript"/>
        </w:rPr>
        <w:t>2</w:t>
      </w:r>
      <w:r w:rsidRPr="00CC76A4">
        <w:rPr>
          <w:rFonts w:ascii="Times New Roman" w:hAnsi="Times New Roman"/>
        </w:rPr>
        <w:t xml:space="preserve"> is approximately 66 hours for the acquisition parameters </w:t>
      </w:r>
      <w:r w:rsidR="000E5C7C" w:rsidRPr="00CC76A4">
        <w:rPr>
          <w:rFonts w:ascii="Times New Roman" w:hAnsi="Times New Roman"/>
        </w:rPr>
        <w:t xml:space="preserve">used, e.g., dwell </w:t>
      </w:r>
    </w:p>
    <w:p w:rsidR="00085615" w:rsidRDefault="00CC2D8E" w:rsidP="00CC76A4">
      <w:pPr>
        <w:spacing w:line="360" w:lineRule="auto"/>
        <w:jc w:val="both"/>
      </w:pPr>
      <w:r>
        <w:rPr>
          <w:noProof/>
          <w:lang w:bidi="ar-SA"/>
        </w:rPr>
        <w:drawing>
          <wp:inline distT="0" distB="0" distL="0" distR="0" wp14:anchorId="00497134" wp14:editId="1C887544">
            <wp:extent cx="5394616" cy="3167481"/>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pic:cNvPicPr>
                      <a:picLocks noChangeAspect="1"/>
                    </pic:cNvPicPr>
                  </pic:nvPicPr>
                  <pic:blipFill>
                    <a:blip r:embed="rId96">
                      <a:extLst>
                        <a:ext uri="{28A0092B-C50C-407E-A947-70E740481C1C}">
                          <a14:useLocalDpi xmlns:a14="http://schemas.microsoft.com/office/drawing/2010/main" val="0"/>
                        </a:ext>
                      </a:extLst>
                    </a:blip>
                    <a:stretch>
                      <a:fillRect/>
                    </a:stretch>
                  </pic:blipFill>
                  <pic:spPr>
                    <a:xfrm>
                      <a:off x="0" y="0"/>
                      <a:ext cx="5394616" cy="3167481"/>
                    </a:xfrm>
                    <a:prstGeom prst="rect">
                      <a:avLst/>
                    </a:prstGeom>
                  </pic:spPr>
                </pic:pic>
              </a:graphicData>
            </a:graphic>
          </wp:inline>
        </w:drawing>
      </w:r>
    </w:p>
    <w:p w:rsidR="00CC76A4" w:rsidRPr="00CC76A4" w:rsidRDefault="00CC76A4" w:rsidP="00CC76A4">
      <w:pPr>
        <w:jc w:val="both"/>
        <w:rPr>
          <w:rFonts w:ascii="Times New Roman" w:hAnsi="Times New Roman"/>
          <w:b/>
        </w:rPr>
      </w:pPr>
      <w:r w:rsidRPr="00CC76A4">
        <w:rPr>
          <w:rFonts w:ascii="Times New Roman" w:hAnsi="Times New Roman"/>
          <w:b/>
        </w:rPr>
        <w:t>Figure 4.1: A) Porosity measured from SEM map (sample #5) for dif</w:t>
      </w:r>
      <w:r w:rsidR="00575135">
        <w:rPr>
          <w:rFonts w:ascii="Times New Roman" w:hAnsi="Times New Roman"/>
          <w:b/>
        </w:rPr>
        <w:t>ferent sub-map areas is</w:t>
      </w:r>
      <w:r w:rsidRPr="00CC76A4">
        <w:rPr>
          <w:rFonts w:ascii="Times New Roman" w:hAnsi="Times New Roman"/>
          <w:b/>
        </w:rPr>
        <w:t xml:space="preserve"> compared</w:t>
      </w:r>
      <w:r w:rsidR="00575135">
        <w:rPr>
          <w:rFonts w:ascii="Times New Roman" w:hAnsi="Times New Roman"/>
          <w:b/>
        </w:rPr>
        <w:t xml:space="preserve"> to</w:t>
      </w:r>
      <w:r w:rsidRPr="00CC76A4">
        <w:rPr>
          <w:rFonts w:ascii="Times New Roman" w:hAnsi="Times New Roman"/>
          <w:b/>
        </w:rPr>
        <w:t xml:space="preserve"> total porosity for the original map (red line), B) Trun</w:t>
      </w:r>
      <w:r w:rsidR="006D277F">
        <w:rPr>
          <w:rFonts w:ascii="Times New Roman" w:hAnsi="Times New Roman"/>
          <w:b/>
        </w:rPr>
        <w:t>cation errors of each porosity value</w:t>
      </w:r>
      <w:r w:rsidRPr="00CC76A4">
        <w:rPr>
          <w:rFonts w:ascii="Times New Roman" w:hAnsi="Times New Roman"/>
          <w:b/>
        </w:rPr>
        <w:t xml:space="preserve"> </w:t>
      </w:r>
      <w:r w:rsidR="00575135">
        <w:rPr>
          <w:rFonts w:ascii="Times New Roman" w:hAnsi="Times New Roman"/>
          <w:b/>
        </w:rPr>
        <w:t>is compared to</w:t>
      </w:r>
      <w:r w:rsidRPr="00CC76A4">
        <w:rPr>
          <w:rFonts w:ascii="Times New Roman" w:hAnsi="Times New Roman"/>
          <w:b/>
        </w:rPr>
        <w:t xml:space="preserve"> 10% </w:t>
      </w:r>
      <w:r w:rsidR="00575135">
        <w:rPr>
          <w:rFonts w:ascii="Times New Roman" w:hAnsi="Times New Roman"/>
          <w:b/>
        </w:rPr>
        <w:t xml:space="preserve">truncation </w:t>
      </w:r>
      <w:r w:rsidRPr="00CC76A4">
        <w:rPr>
          <w:rFonts w:ascii="Times New Roman" w:hAnsi="Times New Roman"/>
          <w:b/>
        </w:rPr>
        <w:t xml:space="preserve">error (red line). Note beyond a map area of roughly 20% of the whole map, the difference in porosity estimates reduces and become acceptable. </w:t>
      </w:r>
    </w:p>
    <w:p w:rsidR="00CC76A4" w:rsidRPr="00B81CAB" w:rsidRDefault="004D58D4" w:rsidP="00CC76A4">
      <w:pPr>
        <w:jc w:val="both"/>
        <w:rPr>
          <w:rFonts w:ascii="Times New Roman" w:hAnsi="Times New Roman"/>
          <w:noProof/>
          <w:sz w:val="20"/>
          <w:szCs w:val="20"/>
        </w:rPr>
      </w:pPr>
      <w:r>
        <w:br w:type="page"/>
      </w:r>
      <w:r w:rsidR="000E5C7C" w:rsidRPr="00CC76A4">
        <w:rPr>
          <w:rFonts w:ascii="Times New Roman" w:hAnsi="Times New Roman"/>
        </w:rPr>
        <w:lastRenderedPageBreak/>
        <w:t>time and</w:t>
      </w:r>
      <w:r w:rsidR="000E5C7C" w:rsidRPr="00CC76A4">
        <w:rPr>
          <w:rFonts w:ascii="Times New Roman" w:hAnsi="Times New Roman"/>
          <w:b/>
        </w:rPr>
        <w:t xml:space="preserve"> </w:t>
      </w:r>
      <w:r w:rsidR="000E5C7C" w:rsidRPr="00CC76A4">
        <w:rPr>
          <w:rFonts w:ascii="Times New Roman" w:hAnsi="Times New Roman"/>
        </w:rPr>
        <w:t>resolution</w:t>
      </w:r>
      <w:r w:rsidR="00CC76A4" w:rsidRPr="00CC76A4">
        <w:rPr>
          <w:rFonts w:ascii="Times New Roman" w:hAnsi="Times New Roman"/>
        </w:rPr>
        <w:t>. Collecting a map of 0.32 mm</w:t>
      </w:r>
      <w:r w:rsidR="00CC76A4" w:rsidRPr="00CC76A4">
        <w:rPr>
          <w:rFonts w:ascii="Times New Roman" w:hAnsi="Times New Roman"/>
          <w:vertAlign w:val="superscript"/>
        </w:rPr>
        <w:t xml:space="preserve">2 </w:t>
      </w:r>
      <w:r w:rsidR="00CC76A4" w:rsidRPr="00CC76A4">
        <w:rPr>
          <w:rFonts w:ascii="Times New Roman" w:hAnsi="Times New Roman"/>
        </w:rPr>
        <w:t>requires only 15 hours and still provides a representative porosity result. In addition to the acquisition time, the image processing time for feature extraction is much less</w:t>
      </w:r>
      <w:r w:rsidR="00CC76A4" w:rsidRPr="00B81CAB">
        <w:rPr>
          <w:rFonts w:ascii="Times New Roman" w:hAnsi="Times New Roman"/>
          <w:sz w:val="20"/>
          <w:szCs w:val="20"/>
        </w:rPr>
        <w:t>.</w:t>
      </w:r>
      <w:r w:rsidR="00CC76A4" w:rsidRPr="00B81CAB">
        <w:rPr>
          <w:rFonts w:ascii="Times New Roman" w:hAnsi="Times New Roman"/>
          <w:noProof/>
          <w:sz w:val="20"/>
          <w:szCs w:val="20"/>
        </w:rPr>
        <w:t xml:space="preserve"> </w:t>
      </w:r>
    </w:p>
    <w:p w:rsidR="00CC76A4" w:rsidRDefault="00CC76A4" w:rsidP="00CC76A4">
      <w:pPr>
        <w:spacing w:line="360" w:lineRule="auto"/>
        <w:jc w:val="both"/>
        <w:rPr>
          <w:rFonts w:ascii="Times New Roman" w:hAnsi="Times New Roman"/>
          <w:sz w:val="16"/>
        </w:rPr>
      </w:pPr>
    </w:p>
    <w:p w:rsidR="00CC76A4" w:rsidRPr="00085615" w:rsidRDefault="00CC76A4" w:rsidP="00085615">
      <w:pPr>
        <w:jc w:val="both"/>
        <w:rPr>
          <w:rFonts w:ascii="Times New Roman" w:hAnsi="Times New Roman"/>
        </w:rPr>
      </w:pPr>
      <w:r w:rsidRPr="00085615">
        <w:rPr>
          <w:rFonts w:ascii="Times New Roman" w:hAnsi="Times New Roman"/>
        </w:rPr>
        <w:t xml:space="preserve">The REA study is also performed for organic matter on the same sample </w:t>
      </w:r>
      <w:r w:rsidRPr="00DC1817">
        <w:rPr>
          <w:rFonts w:ascii="Times New Roman" w:hAnsi="Times New Roman"/>
        </w:rPr>
        <w:t>(</w:t>
      </w:r>
      <w:r w:rsidR="00DC1817" w:rsidRPr="00DC1817">
        <w:rPr>
          <w:rFonts w:ascii="Times New Roman" w:hAnsi="Times New Roman"/>
          <w:b/>
        </w:rPr>
        <w:t xml:space="preserve">Fig </w:t>
      </w:r>
      <w:r w:rsidR="00992DBF" w:rsidRPr="00DC1817">
        <w:rPr>
          <w:rFonts w:ascii="Times New Roman" w:hAnsi="Times New Roman"/>
          <w:b/>
        </w:rPr>
        <w:t>4.2</w:t>
      </w:r>
      <w:r w:rsidRPr="00DC1817">
        <w:rPr>
          <w:rFonts w:ascii="Times New Roman" w:hAnsi="Times New Roman"/>
          <w:b/>
        </w:rPr>
        <w:t>A</w:t>
      </w:r>
      <w:r w:rsidRPr="00DC1817">
        <w:rPr>
          <w:rFonts w:ascii="Times New Roman" w:hAnsi="Times New Roman"/>
        </w:rPr>
        <w:t>)</w:t>
      </w:r>
      <w:r w:rsidRPr="00085615">
        <w:rPr>
          <w:rFonts w:ascii="Times New Roman" w:hAnsi="Times New Roman"/>
        </w:rPr>
        <w:t>, using the same the cut-off of 10%</w:t>
      </w:r>
      <w:r w:rsidR="00992DBF">
        <w:rPr>
          <w:rFonts w:ascii="Times New Roman" w:hAnsi="Times New Roman"/>
        </w:rPr>
        <w:t xml:space="preserve"> truncation error or less (</w:t>
      </w:r>
      <w:r w:rsidR="00DC1817" w:rsidRPr="00DC1817">
        <w:rPr>
          <w:rFonts w:ascii="Times New Roman" w:hAnsi="Times New Roman"/>
          <w:b/>
        </w:rPr>
        <w:t xml:space="preserve">Fig </w:t>
      </w:r>
      <w:r w:rsidR="00992DBF" w:rsidRPr="00DC1817">
        <w:rPr>
          <w:rFonts w:ascii="Times New Roman" w:hAnsi="Times New Roman"/>
          <w:b/>
        </w:rPr>
        <w:t>4.2</w:t>
      </w:r>
      <w:r w:rsidRPr="00DC1817">
        <w:rPr>
          <w:rFonts w:ascii="Times New Roman" w:hAnsi="Times New Roman"/>
          <w:b/>
        </w:rPr>
        <w:t>B</w:t>
      </w:r>
      <w:r w:rsidRPr="00085615">
        <w:rPr>
          <w:rFonts w:ascii="Times New Roman" w:hAnsi="Times New Roman"/>
        </w:rPr>
        <w:t>). A similar trend is observed: the organic matter content by area fluctuates at small sub-map sizes and converges toward the organic matter content of the whole map as the size increases. However, the REA for organic matter was determined to be 80% of the original map (approximately 1.09 mm</w:t>
      </w:r>
      <w:r w:rsidRPr="00085615">
        <w:rPr>
          <w:rFonts w:ascii="Times New Roman" w:hAnsi="Times New Roman"/>
          <w:vertAlign w:val="superscript"/>
        </w:rPr>
        <w:t>2</w:t>
      </w:r>
      <w:r w:rsidRPr="00085615">
        <w:rPr>
          <w:rFonts w:ascii="Times New Roman" w:hAnsi="Times New Roman"/>
        </w:rPr>
        <w:t>) which is significantly larger than the REA for porosity of the same sample. The minimum map area</w:t>
      </w:r>
      <w:r w:rsidRPr="00085615">
        <w:t xml:space="preserve"> </w:t>
      </w:r>
      <w:r w:rsidRPr="00085615">
        <w:rPr>
          <w:rFonts w:ascii="Times New Roman" w:hAnsi="Times New Roman"/>
        </w:rPr>
        <w:t>required to representatively capture the organic matter content for sample #5 is about three times larger than for porosity.</w:t>
      </w:r>
    </w:p>
    <w:p w:rsidR="00CC76A4" w:rsidRDefault="00CC76A4" w:rsidP="00085615">
      <w:pPr>
        <w:jc w:val="both"/>
        <w:rPr>
          <w:rFonts w:ascii="Times New Roman" w:hAnsi="Times New Roman"/>
          <w:b/>
        </w:rPr>
      </w:pPr>
      <w:r w:rsidRPr="00085615">
        <w:rPr>
          <w:rFonts w:ascii="Times New Roman" w:hAnsi="Times New Roman"/>
        </w:rPr>
        <w:t xml:space="preserve">The REA values for porosity and organic matter content for the 24 Wolfcamp Shale samples are showed in </w:t>
      </w:r>
      <w:r w:rsidR="00DC1817" w:rsidRPr="00DC1817">
        <w:rPr>
          <w:rFonts w:ascii="Times New Roman" w:hAnsi="Times New Roman"/>
          <w:b/>
        </w:rPr>
        <w:t xml:space="preserve">Fig </w:t>
      </w:r>
      <w:r w:rsidR="00992DBF" w:rsidRPr="00DC1817">
        <w:rPr>
          <w:rFonts w:ascii="Times New Roman" w:hAnsi="Times New Roman"/>
          <w:b/>
        </w:rPr>
        <w:t>4.3</w:t>
      </w:r>
      <w:r w:rsidRPr="00085615">
        <w:rPr>
          <w:rFonts w:ascii="Times New Roman" w:hAnsi="Times New Roman"/>
        </w:rPr>
        <w:t xml:space="preserve">. Throughout the </w:t>
      </w:r>
      <w:r w:rsidR="00182E7D" w:rsidRPr="00085615">
        <w:rPr>
          <w:rFonts w:ascii="Times New Roman" w:hAnsi="Times New Roman"/>
        </w:rPr>
        <w:t>one-foot</w:t>
      </w:r>
      <w:r w:rsidRPr="00085615">
        <w:rPr>
          <w:rFonts w:ascii="Times New Roman" w:hAnsi="Times New Roman"/>
        </w:rPr>
        <w:t xml:space="preserve"> core section, variations in REA</w:t>
      </w:r>
      <w:r w:rsidR="000175C4">
        <w:rPr>
          <w:rFonts w:ascii="Times New Roman" w:hAnsi="Times New Roman"/>
        </w:rPr>
        <w:t>s</w:t>
      </w:r>
      <w:r w:rsidRPr="00085615">
        <w:rPr>
          <w:rFonts w:ascii="Times New Roman" w:hAnsi="Times New Roman"/>
        </w:rPr>
        <w:t xml:space="preserve"> are observed for both</w:t>
      </w:r>
      <w:r w:rsidRPr="00085615">
        <w:rPr>
          <w:rFonts w:ascii="Times New Roman" w:hAnsi="Times New Roman"/>
          <w:b/>
        </w:rPr>
        <w:t xml:space="preserve"> </w:t>
      </w:r>
      <w:r w:rsidRPr="00085615">
        <w:rPr>
          <w:rFonts w:ascii="Times New Roman" w:hAnsi="Times New Roman"/>
        </w:rPr>
        <w:t>porosity and organic matter, which reflects the degree of heterogeneity of the formation. With one exception, the minimum required imaging area for porosity is smaller than for organic matter content. REA for porosity ranges from 0.2-0.8 mm</w:t>
      </w:r>
      <w:r w:rsidRPr="00085615">
        <w:rPr>
          <w:rFonts w:ascii="Times New Roman" w:hAnsi="Times New Roman"/>
          <w:vertAlign w:val="superscript"/>
        </w:rPr>
        <w:t>2</w:t>
      </w:r>
      <w:r w:rsidRPr="00085615">
        <w:rPr>
          <w:rFonts w:ascii="Times New Roman" w:hAnsi="Times New Roman"/>
        </w:rPr>
        <w:t xml:space="preserve"> with the average of 0.5 ± 0.2 mm</w:t>
      </w:r>
      <w:r w:rsidRPr="00085615">
        <w:rPr>
          <w:rFonts w:ascii="Times New Roman" w:hAnsi="Times New Roman"/>
          <w:vertAlign w:val="superscript"/>
        </w:rPr>
        <w:t>2</w:t>
      </w:r>
      <w:r w:rsidRPr="00085615">
        <w:rPr>
          <w:rFonts w:ascii="Times New Roman" w:hAnsi="Times New Roman"/>
        </w:rPr>
        <w:t>; REA for organic matter ranges from 0.6 – 1.2 mm</w:t>
      </w:r>
      <w:r w:rsidRPr="00085615">
        <w:rPr>
          <w:rFonts w:ascii="Times New Roman" w:hAnsi="Times New Roman"/>
          <w:vertAlign w:val="superscript"/>
        </w:rPr>
        <w:t>2</w:t>
      </w:r>
      <w:r w:rsidRPr="00085615">
        <w:rPr>
          <w:rFonts w:ascii="Times New Roman" w:hAnsi="Times New Roman"/>
        </w:rPr>
        <w:t xml:space="preserve"> with the average of 1.0 ± 0.2 mm</w:t>
      </w:r>
      <w:r w:rsidRPr="00085615">
        <w:rPr>
          <w:rFonts w:ascii="Times New Roman" w:hAnsi="Times New Roman"/>
          <w:vertAlign w:val="superscript"/>
        </w:rPr>
        <w:t>2</w:t>
      </w:r>
      <w:r w:rsidRPr="00085615">
        <w:rPr>
          <w:rFonts w:ascii="Times New Roman" w:hAnsi="Times New Roman"/>
        </w:rPr>
        <w:t>.</w:t>
      </w:r>
      <w:r w:rsidRPr="00085615">
        <w:rPr>
          <w:rFonts w:ascii="Times New Roman" w:hAnsi="Times New Roman"/>
          <w:b/>
        </w:rPr>
        <w:t xml:space="preserve"> </w:t>
      </w:r>
    </w:p>
    <w:p w:rsidR="00085615" w:rsidRDefault="00085615" w:rsidP="00085615">
      <w:pPr>
        <w:jc w:val="both"/>
        <w:rPr>
          <w:rFonts w:ascii="Times New Roman" w:hAnsi="Times New Roman"/>
          <w:b/>
        </w:rPr>
      </w:pPr>
    </w:p>
    <w:p w:rsidR="00085615" w:rsidRDefault="00085615" w:rsidP="00085615">
      <w:pPr>
        <w:jc w:val="both"/>
        <w:rPr>
          <w:rFonts w:ascii="Times New Roman" w:hAnsi="Times New Roman"/>
          <w:b/>
        </w:rPr>
      </w:pPr>
    </w:p>
    <w:p w:rsidR="00085615" w:rsidRDefault="00085615" w:rsidP="00085615">
      <w:pPr>
        <w:jc w:val="both"/>
        <w:rPr>
          <w:rFonts w:ascii="Times New Roman" w:hAnsi="Times New Roman"/>
          <w:b/>
        </w:rPr>
      </w:pPr>
    </w:p>
    <w:p w:rsidR="00D54D30" w:rsidRPr="00A325FE" w:rsidRDefault="00D54D30" w:rsidP="00941F3F">
      <w:pPr>
        <w:jc w:val="center"/>
        <w:rPr>
          <w:rFonts w:ascii="Times New Roman" w:hAnsi="Times New Roman"/>
        </w:rPr>
      </w:pPr>
      <w:r>
        <w:rPr>
          <w:rFonts w:ascii="Times New Roman" w:hAnsi="Times New Roman"/>
        </w:rPr>
        <w:lastRenderedPageBreak/>
        <w:br/>
      </w:r>
      <w:r>
        <w:rPr>
          <w:noProof/>
          <w:lang w:bidi="ar-SA"/>
        </w:rPr>
        <w:drawing>
          <wp:inline distT="0" distB="0" distL="0" distR="0" wp14:anchorId="3A077879" wp14:editId="4BA581F6">
            <wp:extent cx="5291278" cy="4229100"/>
            <wp:effectExtent l="0" t="0" r="508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pic:cNvPicPr>
                      <a:picLocks noChangeAspect="1"/>
                    </pic:cNvPicPr>
                  </pic:nvPicPr>
                  <pic:blipFill>
                    <a:blip r:embed="rId97">
                      <a:extLst>
                        <a:ext uri="{28A0092B-C50C-407E-A947-70E740481C1C}">
                          <a14:useLocalDpi xmlns:a14="http://schemas.microsoft.com/office/drawing/2010/main" val="0"/>
                        </a:ext>
                      </a:extLst>
                    </a:blip>
                    <a:stretch>
                      <a:fillRect/>
                    </a:stretch>
                  </pic:blipFill>
                  <pic:spPr>
                    <a:xfrm>
                      <a:off x="0" y="0"/>
                      <a:ext cx="5307199" cy="4241825"/>
                    </a:xfrm>
                    <a:prstGeom prst="rect">
                      <a:avLst/>
                    </a:prstGeom>
                  </pic:spPr>
                </pic:pic>
              </a:graphicData>
            </a:graphic>
          </wp:inline>
        </w:drawing>
      </w:r>
    </w:p>
    <w:p w:rsidR="00D54D30" w:rsidRPr="00085615" w:rsidRDefault="00D54D30" w:rsidP="00A325FE">
      <w:pPr>
        <w:jc w:val="both"/>
        <w:rPr>
          <w:rFonts w:ascii="Times New Roman" w:hAnsi="Times New Roman"/>
          <w:b/>
        </w:rPr>
      </w:pPr>
      <w:r w:rsidRPr="00085615">
        <w:rPr>
          <w:rFonts w:ascii="Times New Roman" w:hAnsi="Times New Roman"/>
          <w:b/>
        </w:rPr>
        <w:t xml:space="preserve">Figure </w:t>
      </w:r>
      <w:r w:rsidR="00F22AEE">
        <w:rPr>
          <w:rFonts w:ascii="Times New Roman" w:hAnsi="Times New Roman"/>
          <w:b/>
        </w:rPr>
        <w:t>4.2</w:t>
      </w:r>
      <w:r w:rsidRPr="00085615">
        <w:rPr>
          <w:rFonts w:ascii="Times New Roman" w:hAnsi="Times New Roman"/>
          <w:b/>
        </w:rPr>
        <w:t xml:space="preserve">: A) Organic matter content measured from an SEM map of sample #5 for different sub-map areas is compared to the total organic matter content for the original map (red line), B) Truncation errors of each </w:t>
      </w:r>
      <w:r w:rsidR="005D1F27">
        <w:rPr>
          <w:rFonts w:ascii="Times New Roman" w:hAnsi="Times New Roman"/>
          <w:b/>
        </w:rPr>
        <w:t>TOC value</w:t>
      </w:r>
      <w:r w:rsidRPr="00085615">
        <w:rPr>
          <w:rFonts w:ascii="Times New Roman" w:hAnsi="Times New Roman"/>
          <w:b/>
        </w:rPr>
        <w:t xml:space="preserve"> </w:t>
      </w:r>
      <w:r w:rsidR="005D1F27">
        <w:rPr>
          <w:rFonts w:ascii="Times New Roman" w:hAnsi="Times New Roman"/>
          <w:b/>
        </w:rPr>
        <w:t xml:space="preserve">is compared to </w:t>
      </w:r>
      <w:r w:rsidRPr="00085615">
        <w:rPr>
          <w:rFonts w:ascii="Times New Roman" w:hAnsi="Times New Roman"/>
          <w:b/>
        </w:rPr>
        <w:t xml:space="preserve">10% error (red line). Note beyond a map area of roughly 70% of the total area, the difference in TOC estimates reduces and become acceptable. Note also this area threshold is considerably larger than that for porosity. </w:t>
      </w:r>
    </w:p>
    <w:p w:rsidR="00D54D30" w:rsidRDefault="00D54D30" w:rsidP="00A325FE">
      <w:pPr>
        <w:spacing w:line="240" w:lineRule="auto"/>
        <w:rPr>
          <w:rFonts w:ascii="Times New Roman" w:hAnsi="Times New Roman"/>
        </w:rPr>
      </w:pPr>
      <w:r>
        <w:rPr>
          <w:rFonts w:ascii="Times New Roman" w:hAnsi="Times New Roman"/>
        </w:rPr>
        <w:br w:type="page"/>
      </w:r>
    </w:p>
    <w:p w:rsidR="00D54D30" w:rsidRDefault="00D54D30" w:rsidP="00A325FE">
      <w:r>
        <w:rPr>
          <w:noProof/>
          <w:lang w:bidi="ar-SA"/>
        </w:rPr>
        <w:lastRenderedPageBreak/>
        <w:drawing>
          <wp:anchor distT="0" distB="0" distL="114300" distR="114300" simplePos="0" relativeHeight="251616256" behindDoc="0" locked="1" layoutInCell="1" allowOverlap="1" wp14:anchorId="2777A990" wp14:editId="34B0C212">
            <wp:simplePos x="0" y="0"/>
            <wp:positionH relativeFrom="column">
              <wp:posOffset>1165860</wp:posOffset>
            </wp:positionH>
            <wp:positionV relativeFrom="page">
              <wp:posOffset>914400</wp:posOffset>
            </wp:positionV>
            <wp:extent cx="3487420" cy="5791200"/>
            <wp:effectExtent l="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extLst>
                        <a:ext uri="{28A0092B-C50C-407E-A947-70E740481C1C}">
                          <a14:useLocalDpi xmlns:a14="http://schemas.microsoft.com/office/drawing/2010/main" val="0"/>
                        </a:ext>
                      </a:extLst>
                    </a:blip>
                    <a:stretch>
                      <a:fillRect/>
                    </a:stretch>
                  </pic:blipFill>
                  <pic:spPr>
                    <a:xfrm>
                      <a:off x="0" y="0"/>
                      <a:ext cx="3487420" cy="5791200"/>
                    </a:xfrm>
                    <a:prstGeom prst="rect">
                      <a:avLst/>
                    </a:prstGeom>
                  </pic:spPr>
                </pic:pic>
              </a:graphicData>
            </a:graphic>
            <wp14:sizeRelH relativeFrom="margin">
              <wp14:pctWidth>0</wp14:pctWidth>
            </wp14:sizeRelH>
            <wp14:sizeRelV relativeFrom="margin">
              <wp14:pctHeight>0</wp14:pctHeight>
            </wp14:sizeRelV>
          </wp:anchor>
        </w:drawing>
      </w:r>
    </w:p>
    <w:p w:rsidR="00D54D30" w:rsidRDefault="00D54D30" w:rsidP="00A325FE">
      <w:pPr>
        <w:spacing w:line="240" w:lineRule="auto"/>
      </w:pPr>
    </w:p>
    <w:p w:rsidR="00D54D30" w:rsidRDefault="00D54D30" w:rsidP="00A325FE">
      <w:pPr>
        <w:rPr>
          <w:rFonts w:ascii="Times New Roman" w:hAnsi="Times New Roman"/>
        </w:rPr>
      </w:pPr>
    </w:p>
    <w:p w:rsidR="00D54D30" w:rsidRPr="00085615" w:rsidRDefault="00992DBF" w:rsidP="00A325FE">
      <w:pPr>
        <w:rPr>
          <w:rFonts w:asciiTheme="majorHAnsi" w:hAnsiTheme="majorHAnsi"/>
          <w:b/>
          <w:bCs/>
        </w:rPr>
      </w:pPr>
      <w:r>
        <w:rPr>
          <w:rFonts w:ascii="Times New Roman" w:hAnsi="Times New Roman"/>
          <w:b/>
        </w:rPr>
        <w:t xml:space="preserve">Figure 4.3: </w:t>
      </w:r>
      <w:r w:rsidR="00D54D30" w:rsidRPr="00085615">
        <w:rPr>
          <w:rFonts w:ascii="Times New Roman" w:hAnsi="Times New Roman"/>
          <w:b/>
        </w:rPr>
        <w:t>REA for porosity and organic content for 24 samples</w:t>
      </w:r>
      <w:r w:rsidR="00D54D30" w:rsidRPr="00085615">
        <w:rPr>
          <w:rFonts w:ascii="Times New Roman" w:hAnsi="Times New Roman"/>
          <w:b/>
          <w:color w:val="FF0000"/>
        </w:rPr>
        <w:t xml:space="preserve"> </w:t>
      </w:r>
      <w:r w:rsidR="00D54D30" w:rsidRPr="00085615">
        <w:rPr>
          <w:rFonts w:ascii="Times New Roman" w:hAnsi="Times New Roman"/>
          <w:b/>
        </w:rPr>
        <w:t xml:space="preserve">with depth. These are estimated from the whole maps. In </w:t>
      </w:r>
      <w:r w:rsidR="00182E7D" w:rsidRPr="00085615">
        <w:rPr>
          <w:rFonts w:ascii="Times New Roman" w:hAnsi="Times New Roman"/>
          <w:b/>
        </w:rPr>
        <w:t>general,</w:t>
      </w:r>
      <w:r w:rsidR="00D54D30" w:rsidRPr="00085615">
        <w:rPr>
          <w:rFonts w:ascii="Times New Roman" w:hAnsi="Times New Roman"/>
          <w:b/>
        </w:rPr>
        <w:t xml:space="preserve"> the REAs for organics are roughly twice that for porosity.</w:t>
      </w:r>
    </w:p>
    <w:p w:rsidR="00085615" w:rsidRPr="00085615" w:rsidRDefault="00D54D30" w:rsidP="00620F0E">
      <w:pPr>
        <w:spacing w:line="240" w:lineRule="auto"/>
        <w:jc w:val="center"/>
        <w:rPr>
          <w:rFonts w:ascii="Times New Roman" w:hAnsi="Times New Roman"/>
        </w:rPr>
      </w:pPr>
      <w:r>
        <w:rPr>
          <w:rFonts w:ascii="Times New Roman" w:hAnsi="Times New Roman"/>
        </w:rPr>
        <w:br w:type="page"/>
      </w:r>
    </w:p>
    <w:p w:rsidR="00CC76A4" w:rsidRDefault="00501C40" w:rsidP="006204F6">
      <w:pPr>
        <w:pStyle w:val="Heading3"/>
      </w:pPr>
      <w:r>
        <w:lastRenderedPageBreak/>
        <w:t xml:space="preserve">4.1.2 </w:t>
      </w:r>
      <w:r w:rsidR="00CC76A4">
        <w:t>Pore and Organic Matter Size Distribution</w:t>
      </w:r>
    </w:p>
    <w:p w:rsidR="00501C40" w:rsidRPr="00501C40" w:rsidRDefault="00501C40" w:rsidP="00A325FE"/>
    <w:p w:rsidR="00085615" w:rsidRDefault="00085615" w:rsidP="00A325FE">
      <w:pPr>
        <w:jc w:val="both"/>
        <w:rPr>
          <w:rFonts w:ascii="Times New Roman" w:hAnsi="Times New Roman"/>
        </w:rPr>
      </w:pPr>
      <w:r w:rsidRPr="00085615">
        <w:rPr>
          <w:rFonts w:ascii="Times New Roman" w:hAnsi="Times New Roman"/>
        </w:rPr>
        <w:t>P</w:t>
      </w:r>
      <w:r w:rsidR="000175C4">
        <w:rPr>
          <w:rFonts w:ascii="Times New Roman" w:hAnsi="Times New Roman"/>
        </w:rPr>
        <w:t>ore size distribution studies of</w:t>
      </w:r>
      <w:r w:rsidRPr="00085615">
        <w:rPr>
          <w:rFonts w:ascii="Times New Roman" w:hAnsi="Times New Roman"/>
        </w:rPr>
        <w:t xml:space="preserve"> 3D shale microstructure using FIB/SEM system indicated that the number of pores decreases with increasing pore body radii assuming spherical pores </w:t>
      </w:r>
      <w:bookmarkStart w:id="115" w:name="OLE_LINK69"/>
      <w:bookmarkStart w:id="116" w:name="OLE_LINK70"/>
      <w:r w:rsidRPr="00085615">
        <w:rPr>
          <w:rFonts w:ascii="Times New Roman" w:hAnsi="Times New Roman"/>
        </w:rPr>
        <w:t>(Curtis et al., 2010; Giffin et al., 2013; Goral et al., 2015)</w:t>
      </w:r>
      <w:bookmarkEnd w:id="115"/>
      <w:bookmarkEnd w:id="116"/>
      <w:r w:rsidRPr="00085615">
        <w:rPr>
          <w:rFonts w:ascii="Times New Roman" w:hAnsi="Times New Roman"/>
        </w:rPr>
        <w:t xml:space="preserve">. Do these 3D observations translate into 2D? </w:t>
      </w:r>
      <w:r w:rsidR="00DC1817" w:rsidRPr="00DC1817">
        <w:rPr>
          <w:rFonts w:ascii="Times New Roman" w:hAnsi="Times New Roman"/>
          <w:b/>
        </w:rPr>
        <w:t xml:space="preserve">Fig </w:t>
      </w:r>
      <w:r w:rsidR="00992DBF" w:rsidRPr="00DC1817">
        <w:rPr>
          <w:rFonts w:ascii="Times New Roman" w:hAnsi="Times New Roman"/>
          <w:b/>
        </w:rPr>
        <w:t>4.4</w:t>
      </w:r>
      <w:r w:rsidRPr="00085615">
        <w:rPr>
          <w:rFonts w:ascii="Times New Roman" w:hAnsi="Times New Roman"/>
          <w:b/>
        </w:rPr>
        <w:t xml:space="preserve"> </w:t>
      </w:r>
      <w:r w:rsidRPr="00085615">
        <w:rPr>
          <w:rFonts w:ascii="Times New Roman" w:hAnsi="Times New Roman"/>
        </w:rPr>
        <w:t>shows the pore size distributions p</w:t>
      </w:r>
      <w:r w:rsidR="000D17E1">
        <w:rPr>
          <w:rFonts w:ascii="Times New Roman" w:hAnsi="Times New Roman"/>
        </w:rPr>
        <w:t xml:space="preserve">lotted for all 24 </w:t>
      </w:r>
      <w:r w:rsidRPr="00085615">
        <w:rPr>
          <w:rFonts w:ascii="Times New Roman" w:hAnsi="Times New Roman"/>
        </w:rPr>
        <w:t xml:space="preserve">Wolfcamp samples. The distributions were determined from the entire map acquired for each sample. The number of pores appears to be inversely proportional to an equivalent spherical pore body radius on a log-log scale. </w:t>
      </w:r>
      <w:r w:rsidR="00CC553A">
        <w:rPr>
          <w:rFonts w:ascii="Times New Roman" w:hAnsi="Times New Roman"/>
        </w:rPr>
        <w:t xml:space="preserve">All 24 </w:t>
      </w:r>
      <w:r w:rsidR="00CC553A" w:rsidRPr="00085615">
        <w:rPr>
          <w:rFonts w:ascii="Times New Roman" w:hAnsi="Times New Roman"/>
        </w:rPr>
        <w:t xml:space="preserve">pore size distributions follow a similar trend </w:t>
      </w:r>
      <w:r w:rsidR="004C44D8">
        <w:rPr>
          <w:rFonts w:ascii="Times New Roman" w:hAnsi="Times New Roman"/>
        </w:rPr>
        <w:t>wherein</w:t>
      </w:r>
      <w:r w:rsidR="00CC553A">
        <w:rPr>
          <w:rFonts w:ascii="Times New Roman" w:hAnsi="Times New Roman"/>
        </w:rPr>
        <w:t xml:space="preserve"> s</w:t>
      </w:r>
      <w:r w:rsidRPr="00085615">
        <w:rPr>
          <w:rFonts w:ascii="Times New Roman" w:hAnsi="Times New Roman"/>
        </w:rPr>
        <w:t>mall pores do</w:t>
      </w:r>
      <w:r w:rsidR="000D17E1">
        <w:rPr>
          <w:rFonts w:ascii="Times New Roman" w:hAnsi="Times New Roman"/>
        </w:rPr>
        <w:t xml:space="preserve">minate in number. </w:t>
      </w:r>
      <w:r w:rsidRPr="00085615">
        <w:rPr>
          <w:rFonts w:ascii="Times New Roman" w:hAnsi="Times New Roman"/>
        </w:rPr>
        <w:t>The pore size distribution s</w:t>
      </w:r>
      <w:r w:rsidR="004C44D8">
        <w:rPr>
          <w:rFonts w:ascii="Times New Roman" w:hAnsi="Times New Roman"/>
        </w:rPr>
        <w:t xml:space="preserve">hows consistency throughout the </w:t>
      </w:r>
      <w:r w:rsidRPr="00085615">
        <w:rPr>
          <w:rFonts w:ascii="Times New Roman" w:hAnsi="Times New Roman"/>
        </w:rPr>
        <w:t>1 ft section. Unlike the variations observed in REA stud</w:t>
      </w:r>
      <w:r w:rsidR="004C44D8">
        <w:rPr>
          <w:rFonts w:ascii="Times New Roman" w:hAnsi="Times New Roman"/>
        </w:rPr>
        <w:t>ies</w:t>
      </w:r>
      <w:r w:rsidRPr="00085615">
        <w:rPr>
          <w:rFonts w:ascii="Times New Roman" w:hAnsi="Times New Roman"/>
        </w:rPr>
        <w:t xml:space="preserve"> for porosity and organic matter, a single sample in this one-foot section is necessary for estimating the pore size distribution. The result of small pore domination strongly agrees with the earlier pore size distribution from the smaller scale 3D SEM reconstruction</w:t>
      </w:r>
      <w:r w:rsidR="004C44D8">
        <w:rPr>
          <w:rFonts w:ascii="Times New Roman" w:hAnsi="Times New Roman"/>
        </w:rPr>
        <w:t>s</w:t>
      </w:r>
      <w:r w:rsidR="000D17E1">
        <w:rPr>
          <w:rFonts w:ascii="Times New Roman" w:hAnsi="Times New Roman"/>
        </w:rPr>
        <w:t xml:space="preserve"> </w:t>
      </w:r>
      <w:r w:rsidR="000D17E1" w:rsidRPr="00085615">
        <w:rPr>
          <w:rFonts w:ascii="Times New Roman" w:hAnsi="Times New Roman"/>
        </w:rPr>
        <w:t>(Curtis et al., 2010; Giffin et al., 2013; Goral et al., 2015)</w:t>
      </w:r>
      <w:r w:rsidRPr="00085615">
        <w:rPr>
          <w:rFonts w:ascii="Times New Roman" w:hAnsi="Times New Roman"/>
        </w:rPr>
        <w:t>. As the pore body radius approaches the SEM resolution of 10nm, the data de</w:t>
      </w:r>
      <w:r w:rsidR="00CC553A">
        <w:rPr>
          <w:rFonts w:ascii="Times New Roman" w:hAnsi="Times New Roman"/>
        </w:rPr>
        <w:t xml:space="preserve">viates from the observe </w:t>
      </w:r>
      <w:r w:rsidRPr="00085615">
        <w:rPr>
          <w:rFonts w:ascii="Times New Roman" w:hAnsi="Times New Roman"/>
        </w:rPr>
        <w:t>trend. Undersampling in which there is insufficient pixel density to determine the structure of any element near the resolution of an image is responsible for the underestimation (Curtis et al., 2010). The distribution of organic matter particle sizes was also studied (</w:t>
      </w:r>
      <w:r w:rsidR="00DC1817" w:rsidRPr="00DC1817">
        <w:rPr>
          <w:rFonts w:ascii="Times New Roman" w:hAnsi="Times New Roman"/>
          <w:b/>
        </w:rPr>
        <w:t xml:space="preserve">Fig </w:t>
      </w:r>
      <w:r w:rsidR="00992DBF" w:rsidRPr="00DC1817">
        <w:rPr>
          <w:rFonts w:ascii="Times New Roman" w:hAnsi="Times New Roman"/>
          <w:b/>
        </w:rPr>
        <w:t>4.5</w:t>
      </w:r>
      <w:r w:rsidRPr="00085615">
        <w:rPr>
          <w:rFonts w:ascii="Times New Roman" w:hAnsi="Times New Roman"/>
        </w:rPr>
        <w:t>). The result shows a similar trend to pores as small organic matter particles dominate in number with the number of organic matter particles decreasing proportionally with the increasi</w:t>
      </w:r>
      <w:r w:rsidR="00CC553A">
        <w:rPr>
          <w:rFonts w:ascii="Times New Roman" w:hAnsi="Times New Roman"/>
        </w:rPr>
        <w:t xml:space="preserve">ng equivalent spherical radius. </w:t>
      </w:r>
      <w:r w:rsidRPr="00085615">
        <w:rPr>
          <w:rFonts w:ascii="Times New Roman" w:hAnsi="Times New Roman"/>
        </w:rPr>
        <w:t xml:space="preserve">A greater separation in the size distributions is observed for the organic matter than for the </w:t>
      </w:r>
      <w:r w:rsidRPr="00085615">
        <w:rPr>
          <w:rFonts w:ascii="Times New Roman" w:hAnsi="Times New Roman"/>
        </w:rPr>
        <w:lastRenderedPageBreak/>
        <w:t xml:space="preserve">pore size distributions. </w:t>
      </w:r>
      <w:r w:rsidR="00DC1817" w:rsidRPr="00DC1817">
        <w:rPr>
          <w:rFonts w:ascii="Times New Roman" w:hAnsi="Times New Roman"/>
          <w:b/>
        </w:rPr>
        <w:t>Fig 4.6</w:t>
      </w:r>
      <w:r w:rsidRPr="00085615">
        <w:rPr>
          <w:rFonts w:ascii="Times New Roman" w:hAnsi="Times New Roman"/>
          <w:b/>
        </w:rPr>
        <w:t xml:space="preserve"> </w:t>
      </w:r>
      <w:r w:rsidRPr="00085615">
        <w:rPr>
          <w:rFonts w:ascii="Times New Roman" w:hAnsi="Times New Roman"/>
        </w:rPr>
        <w:t>shows an example of the variation of organic distributions. Most of organic matter particles from sample #5 (</w:t>
      </w:r>
      <w:r w:rsidR="00DC1817" w:rsidRPr="00DC1817">
        <w:rPr>
          <w:rFonts w:ascii="Times New Roman" w:hAnsi="Times New Roman"/>
          <w:b/>
        </w:rPr>
        <w:t>Fig 4</w:t>
      </w:r>
      <w:r w:rsidR="00992DBF" w:rsidRPr="00DC1817">
        <w:rPr>
          <w:rFonts w:ascii="Times New Roman" w:hAnsi="Times New Roman"/>
          <w:b/>
        </w:rPr>
        <w:t>.6</w:t>
      </w:r>
      <w:r w:rsidRPr="00DC1817">
        <w:rPr>
          <w:rFonts w:ascii="Times New Roman" w:hAnsi="Times New Roman"/>
          <w:b/>
        </w:rPr>
        <w:t>A</w:t>
      </w:r>
      <w:r w:rsidRPr="00085615">
        <w:rPr>
          <w:rFonts w:ascii="Times New Roman" w:hAnsi="Times New Roman"/>
          <w:b/>
        </w:rPr>
        <w:t xml:space="preserve">) </w:t>
      </w:r>
      <w:r w:rsidRPr="00085615">
        <w:rPr>
          <w:rFonts w:ascii="Times New Roman" w:hAnsi="Times New Roman"/>
        </w:rPr>
        <w:t xml:space="preserve">are relatively small in size and fill between the clays. However, from sample #13 </w:t>
      </w:r>
      <w:r w:rsidRPr="00992DBF">
        <w:rPr>
          <w:rFonts w:ascii="Times New Roman" w:hAnsi="Times New Roman"/>
        </w:rPr>
        <w:t>(</w:t>
      </w:r>
      <w:r w:rsidR="00DC1817" w:rsidRPr="00DC1817">
        <w:rPr>
          <w:rFonts w:ascii="Times New Roman" w:hAnsi="Times New Roman"/>
          <w:b/>
        </w:rPr>
        <w:t>Fig 4</w:t>
      </w:r>
      <w:r w:rsidR="00992DBF" w:rsidRPr="00DC1817">
        <w:rPr>
          <w:rFonts w:ascii="Times New Roman" w:hAnsi="Times New Roman"/>
          <w:b/>
        </w:rPr>
        <w:t>.6</w:t>
      </w:r>
      <w:r w:rsidRPr="00DC1817">
        <w:rPr>
          <w:rFonts w:ascii="Times New Roman" w:hAnsi="Times New Roman"/>
          <w:b/>
        </w:rPr>
        <w:t>B</w:t>
      </w:r>
      <w:r w:rsidRPr="00085615">
        <w:rPr>
          <w:rFonts w:ascii="Times New Roman" w:hAnsi="Times New Roman"/>
          <w:b/>
        </w:rPr>
        <w:t xml:space="preserve">), </w:t>
      </w:r>
      <w:r w:rsidRPr="00085615">
        <w:rPr>
          <w:rFonts w:ascii="Times New Roman" w:hAnsi="Times New Roman"/>
        </w:rPr>
        <w:t>apart from small organic matter particles between the clays, a number of larger organic matter particles is observed (highlighted in red circles). Most of these particles are associate</w:t>
      </w:r>
      <w:r w:rsidR="00AB078F">
        <w:rPr>
          <w:rFonts w:ascii="Times New Roman" w:hAnsi="Times New Roman"/>
        </w:rPr>
        <w:t>d with cracks. T</w:t>
      </w:r>
      <w:r w:rsidRPr="00085615">
        <w:rPr>
          <w:rFonts w:ascii="Times New Roman" w:hAnsi="Times New Roman"/>
        </w:rPr>
        <w:t xml:space="preserve">he distribution parallel to bedding </w:t>
      </w:r>
      <w:r w:rsidR="00AB078F">
        <w:rPr>
          <w:rFonts w:ascii="Times New Roman" w:hAnsi="Times New Roman"/>
        </w:rPr>
        <w:t xml:space="preserve">would be expected </w:t>
      </w:r>
      <w:r w:rsidRPr="00085615">
        <w:rPr>
          <w:rFonts w:ascii="Times New Roman" w:hAnsi="Times New Roman"/>
        </w:rPr>
        <w:t>to have different distributions and REAs.</w:t>
      </w:r>
    </w:p>
    <w:p w:rsidR="00085615" w:rsidRPr="00085615" w:rsidRDefault="00085615" w:rsidP="00A325FE">
      <w:pPr>
        <w:pStyle w:val="AbstractSectionHeading"/>
        <w:spacing w:line="480" w:lineRule="auto"/>
        <w:jc w:val="both"/>
        <w:rPr>
          <w:b w:val="0"/>
          <w:sz w:val="24"/>
          <w:szCs w:val="24"/>
        </w:rPr>
      </w:pPr>
      <w:r w:rsidRPr="00085615">
        <w:rPr>
          <w:b w:val="0"/>
          <w:sz w:val="24"/>
          <w:szCs w:val="24"/>
        </w:rPr>
        <w:t>Assuming spherical pores and organic matter, the pore and organic matter size distribution plots are converted into areal contribution plots, respectively (</w:t>
      </w:r>
      <w:r w:rsidR="00DC1817" w:rsidRPr="00DC1817">
        <w:rPr>
          <w:sz w:val="24"/>
          <w:szCs w:val="24"/>
        </w:rPr>
        <w:t xml:space="preserve">Fig </w:t>
      </w:r>
      <w:r w:rsidR="00992DBF" w:rsidRPr="00DC1817">
        <w:rPr>
          <w:sz w:val="24"/>
          <w:szCs w:val="24"/>
        </w:rPr>
        <w:t>4.7</w:t>
      </w:r>
      <w:r w:rsidRPr="00085615">
        <w:rPr>
          <w:b w:val="0"/>
          <w:sz w:val="24"/>
          <w:szCs w:val="24"/>
        </w:rPr>
        <w:t>). The area contributions show that larger pores dominate in area with more than 80 % of pore area coming from pores with radi</w:t>
      </w:r>
      <w:r w:rsidR="000D17E1">
        <w:rPr>
          <w:b w:val="0"/>
          <w:sz w:val="24"/>
          <w:szCs w:val="24"/>
        </w:rPr>
        <w:t xml:space="preserve">us larger than 50 nm despite dominating by </w:t>
      </w:r>
      <w:r w:rsidRPr="00085615">
        <w:rPr>
          <w:b w:val="0"/>
          <w:sz w:val="24"/>
          <w:szCs w:val="24"/>
        </w:rPr>
        <w:t>sm</w:t>
      </w:r>
      <w:r w:rsidR="000D17E1">
        <w:rPr>
          <w:b w:val="0"/>
          <w:sz w:val="24"/>
          <w:szCs w:val="24"/>
        </w:rPr>
        <w:t>aller pores</w:t>
      </w:r>
      <w:r w:rsidRPr="00085615">
        <w:rPr>
          <w:b w:val="0"/>
          <w:sz w:val="24"/>
          <w:szCs w:val="24"/>
        </w:rPr>
        <w:t xml:space="preserve">. For organic matter particles, particles with radius smaller than 50 nm still contribute up to 35% of total area. One reason for this significant amount of small organic matter is because the selected one-foot core is clay-heavy in </w:t>
      </w:r>
      <w:r w:rsidR="004621CD">
        <w:rPr>
          <w:b w:val="0"/>
          <w:sz w:val="24"/>
          <w:szCs w:val="24"/>
        </w:rPr>
        <w:t>mineral</w:t>
      </w:r>
      <w:r w:rsidRPr="00085615">
        <w:rPr>
          <w:b w:val="0"/>
          <w:sz w:val="24"/>
          <w:szCs w:val="24"/>
        </w:rPr>
        <w:t>ogy and imaging suggests there are a lot of organic matter particles filling in the small regions within the clay network. When the areal contribution plots of pore and organic matter are combined, it is observed that pore area is generally la</w:t>
      </w:r>
      <w:r w:rsidR="00575135">
        <w:rPr>
          <w:b w:val="0"/>
          <w:sz w:val="24"/>
          <w:szCs w:val="24"/>
        </w:rPr>
        <w:t>rger than organic matter area. Total p</w:t>
      </w:r>
      <w:r w:rsidRPr="00085615">
        <w:rPr>
          <w:b w:val="0"/>
          <w:sz w:val="24"/>
          <w:szCs w:val="24"/>
        </w:rPr>
        <w:t xml:space="preserve">ore area can be up to 10 </w:t>
      </w:r>
      <w:r w:rsidRPr="00085615">
        <w:rPr>
          <w:rFonts w:ascii="Calibri" w:hAnsi="Calibri"/>
          <w:b w:val="0"/>
          <w:sz w:val="24"/>
          <w:szCs w:val="24"/>
        </w:rPr>
        <w:t>µ</w:t>
      </w:r>
      <w:r w:rsidRPr="00085615">
        <w:rPr>
          <w:b w:val="0"/>
          <w:sz w:val="24"/>
          <w:szCs w:val="24"/>
        </w:rPr>
        <w:t>m</w:t>
      </w:r>
      <w:r w:rsidRPr="00085615">
        <w:rPr>
          <w:b w:val="0"/>
          <w:sz w:val="24"/>
          <w:szCs w:val="24"/>
          <w:vertAlign w:val="superscript"/>
        </w:rPr>
        <w:t>2</w:t>
      </w:r>
      <w:r w:rsidRPr="00085615">
        <w:rPr>
          <w:b w:val="0"/>
          <w:sz w:val="24"/>
          <w:szCs w:val="24"/>
        </w:rPr>
        <w:t xml:space="preserve">, while it is 7 </w:t>
      </w:r>
      <w:r w:rsidRPr="00085615">
        <w:rPr>
          <w:rFonts w:ascii="Calibri" w:hAnsi="Calibri"/>
          <w:b w:val="0"/>
          <w:sz w:val="24"/>
          <w:szCs w:val="24"/>
        </w:rPr>
        <w:t>µ</w:t>
      </w:r>
      <w:r w:rsidRPr="00085615">
        <w:rPr>
          <w:b w:val="0"/>
          <w:sz w:val="24"/>
          <w:szCs w:val="24"/>
        </w:rPr>
        <w:t>m</w:t>
      </w:r>
      <w:r w:rsidRPr="00085615">
        <w:rPr>
          <w:b w:val="0"/>
          <w:sz w:val="24"/>
          <w:szCs w:val="24"/>
          <w:vertAlign w:val="superscript"/>
        </w:rPr>
        <w:t>2</w:t>
      </w:r>
      <w:r w:rsidRPr="00085615">
        <w:rPr>
          <w:b w:val="0"/>
          <w:sz w:val="24"/>
          <w:szCs w:val="24"/>
          <w:vertAlign w:val="subscript"/>
        </w:rPr>
        <w:t xml:space="preserve"> </w:t>
      </w:r>
      <w:r w:rsidRPr="00085615">
        <w:rPr>
          <w:b w:val="0"/>
          <w:sz w:val="24"/>
          <w:szCs w:val="24"/>
        </w:rPr>
        <w:t xml:space="preserve">for organic matter. The average pore radius for the 24 samples ranges from 200 to 380 nm, while the average organic matter radius ranges from 70 to 180 nm. This suggests that most of the pores are located outside of the organic matter, i.e. they are mostly </w:t>
      </w:r>
      <w:r w:rsidR="004621CD">
        <w:rPr>
          <w:b w:val="0"/>
          <w:sz w:val="24"/>
          <w:szCs w:val="24"/>
        </w:rPr>
        <w:t>mineral</w:t>
      </w:r>
      <w:r w:rsidRPr="00085615">
        <w:rPr>
          <w:b w:val="0"/>
          <w:sz w:val="24"/>
          <w:szCs w:val="24"/>
        </w:rPr>
        <w:t>-associated pores.</w:t>
      </w:r>
    </w:p>
    <w:p w:rsidR="00085615" w:rsidRDefault="00085615" w:rsidP="00A325FE">
      <w:pPr>
        <w:rPr>
          <w:rFonts w:asciiTheme="majorHAnsi" w:hAnsiTheme="majorHAnsi"/>
          <w:b/>
          <w:bCs/>
          <w:sz w:val="28"/>
          <w:szCs w:val="32"/>
        </w:rPr>
      </w:pPr>
      <w:r>
        <w:br w:type="page"/>
      </w:r>
    </w:p>
    <w:p w:rsidR="00D54D30" w:rsidRDefault="00D54D30" w:rsidP="00A325FE">
      <w:pPr>
        <w:spacing w:line="240" w:lineRule="auto"/>
        <w:jc w:val="center"/>
      </w:pPr>
      <w:r>
        <w:rPr>
          <w:noProof/>
          <w:lang w:bidi="ar-SA"/>
        </w:rPr>
        <w:lastRenderedPageBreak/>
        <w:drawing>
          <wp:inline distT="0" distB="0" distL="0" distR="0" wp14:anchorId="7C11EE53" wp14:editId="56F0D26C">
            <wp:extent cx="4572000" cy="2505456"/>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4572000" cy="2505456"/>
                    </a:xfrm>
                    <a:prstGeom prst="rect">
                      <a:avLst/>
                    </a:prstGeom>
                  </pic:spPr>
                </pic:pic>
              </a:graphicData>
            </a:graphic>
          </wp:inline>
        </w:drawing>
      </w:r>
    </w:p>
    <w:p w:rsidR="00D54D30" w:rsidRDefault="00D54D30" w:rsidP="00A325FE">
      <w:pPr>
        <w:spacing w:line="240" w:lineRule="auto"/>
      </w:pPr>
    </w:p>
    <w:p w:rsidR="00D54D30" w:rsidRDefault="00D54D30" w:rsidP="00A325FE">
      <w:pPr>
        <w:rPr>
          <w:rFonts w:ascii="Times New Roman" w:hAnsi="Times New Roman"/>
          <w:b/>
        </w:rPr>
      </w:pPr>
      <w:r w:rsidRPr="00085615">
        <w:rPr>
          <w:rFonts w:ascii="Times New Roman" w:hAnsi="Times New Roman"/>
          <w:b/>
        </w:rPr>
        <w:t xml:space="preserve">Figure </w:t>
      </w:r>
      <w:r w:rsidR="00992DBF">
        <w:rPr>
          <w:rFonts w:ascii="Times New Roman" w:hAnsi="Times New Roman"/>
          <w:b/>
        </w:rPr>
        <w:t>4.4</w:t>
      </w:r>
      <w:r w:rsidRPr="00085615">
        <w:rPr>
          <w:rFonts w:ascii="Times New Roman" w:hAnsi="Times New Roman"/>
          <w:b/>
        </w:rPr>
        <w:t>:  Pore size distribution for 24 samples with 50 nm radius boundary (red line). Note the similarity in the trend for 24 samples</w:t>
      </w:r>
      <w:r w:rsidR="000D17E1">
        <w:rPr>
          <w:rFonts w:ascii="Times New Roman" w:hAnsi="Times New Roman"/>
          <w:b/>
        </w:rPr>
        <w:t xml:space="preserve">. </w:t>
      </w:r>
      <w:r w:rsidR="00AA389A">
        <w:rPr>
          <w:rFonts w:ascii="Times New Roman" w:hAnsi="Times New Roman"/>
          <w:b/>
        </w:rPr>
        <w:t>Note the assumption of spherical pores.</w:t>
      </w:r>
    </w:p>
    <w:p w:rsidR="00D54D30" w:rsidRPr="00085615" w:rsidRDefault="00D54D30" w:rsidP="00A325FE">
      <w:pPr>
        <w:jc w:val="center"/>
        <w:rPr>
          <w:b/>
        </w:rPr>
      </w:pPr>
      <w:r>
        <w:rPr>
          <w:noProof/>
          <w:lang w:bidi="ar-SA"/>
        </w:rPr>
        <w:drawing>
          <wp:inline distT="0" distB="0" distL="0" distR="0" wp14:anchorId="6FC56534" wp14:editId="02C87248">
            <wp:extent cx="4572000" cy="226771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extLst>
                        <a:ext uri="{28A0092B-C50C-407E-A947-70E740481C1C}">
                          <a14:useLocalDpi xmlns:a14="http://schemas.microsoft.com/office/drawing/2010/main" val="0"/>
                        </a:ext>
                      </a:extLst>
                    </a:blip>
                    <a:stretch>
                      <a:fillRect/>
                    </a:stretch>
                  </pic:blipFill>
                  <pic:spPr>
                    <a:xfrm>
                      <a:off x="0" y="0"/>
                      <a:ext cx="4572000" cy="2267712"/>
                    </a:xfrm>
                    <a:prstGeom prst="rect">
                      <a:avLst/>
                    </a:prstGeom>
                  </pic:spPr>
                </pic:pic>
              </a:graphicData>
            </a:graphic>
          </wp:inline>
        </w:drawing>
      </w:r>
    </w:p>
    <w:p w:rsidR="00D54D30" w:rsidRPr="00085615" w:rsidRDefault="00D54D30" w:rsidP="00A325FE">
      <w:pPr>
        <w:spacing w:line="240" w:lineRule="auto"/>
        <w:jc w:val="center"/>
        <w:rPr>
          <w:b/>
          <w:sz w:val="40"/>
        </w:rPr>
      </w:pPr>
    </w:p>
    <w:p w:rsidR="00D54D30" w:rsidRPr="00085615" w:rsidRDefault="00992DBF" w:rsidP="00A325FE">
      <w:pPr>
        <w:jc w:val="both"/>
        <w:rPr>
          <w:rFonts w:ascii="Times New Roman" w:hAnsi="Times New Roman"/>
          <w:b/>
          <w:szCs w:val="20"/>
          <w14:textOutline w14:w="9525" w14:cap="rnd" w14:cmpd="sng" w14:algn="ctr">
            <w14:noFill/>
            <w14:prstDash w14:val="solid"/>
            <w14:bevel/>
          </w14:textOutline>
        </w:rPr>
      </w:pPr>
      <w:r>
        <w:rPr>
          <w:rFonts w:ascii="Times New Roman" w:hAnsi="Times New Roman"/>
          <w:b/>
          <w:szCs w:val="20"/>
        </w:rPr>
        <w:t>Figure 4.5</w:t>
      </w:r>
      <w:r w:rsidR="00D54D30" w:rsidRPr="00085615">
        <w:rPr>
          <w:rFonts w:ascii="Times New Roman" w:hAnsi="Times New Roman"/>
          <w:b/>
          <w:szCs w:val="20"/>
        </w:rPr>
        <w:t>:  Organic matter size distribution for 24 samples with 50 nm radius boundary (red line). There is more scatter in the organic trends than the porosity trends.</w:t>
      </w:r>
      <w:r w:rsidR="00AA389A">
        <w:rPr>
          <w:rFonts w:ascii="Times New Roman" w:hAnsi="Times New Roman"/>
          <w:b/>
          <w:szCs w:val="20"/>
        </w:rPr>
        <w:t xml:space="preserve"> Note the assumption of spherical organic matter.</w:t>
      </w:r>
    </w:p>
    <w:p w:rsidR="00D54D30" w:rsidRDefault="00D54D30" w:rsidP="00A325FE">
      <w:pPr>
        <w:spacing w:line="240" w:lineRule="auto"/>
        <w:rPr>
          <w:rFonts w:ascii="Times New Roman" w:hAnsi="Times New Roman"/>
        </w:rPr>
      </w:pPr>
    </w:p>
    <w:p w:rsidR="00085615" w:rsidRDefault="00085615" w:rsidP="00A325FE">
      <w:pPr>
        <w:spacing w:line="240" w:lineRule="auto"/>
        <w:rPr>
          <w:rFonts w:asciiTheme="majorHAnsi" w:hAnsiTheme="majorHAnsi"/>
          <w:b/>
          <w:bCs/>
          <w:sz w:val="28"/>
          <w:szCs w:val="32"/>
        </w:rPr>
      </w:pPr>
      <w:r>
        <w:br w:type="page"/>
      </w:r>
    </w:p>
    <w:p w:rsidR="00085615" w:rsidRDefault="00085615" w:rsidP="00A325FE">
      <w:pPr>
        <w:spacing w:line="240" w:lineRule="auto"/>
        <w:jc w:val="center"/>
      </w:pPr>
    </w:p>
    <w:p w:rsidR="00085615" w:rsidRDefault="00D54D30" w:rsidP="00A325FE">
      <w:pPr>
        <w:spacing w:line="240" w:lineRule="auto"/>
        <w:jc w:val="center"/>
      </w:pPr>
      <w:r>
        <w:rPr>
          <w:noProof/>
          <w:lang w:bidi="ar-SA"/>
        </w:rPr>
        <w:drawing>
          <wp:anchor distT="0" distB="0" distL="114300" distR="114300" simplePos="0" relativeHeight="251621376" behindDoc="0" locked="0" layoutInCell="1" allowOverlap="1" wp14:anchorId="5ED4E755" wp14:editId="28BB840B">
            <wp:simplePos x="0" y="0"/>
            <wp:positionH relativeFrom="column">
              <wp:posOffset>-262890</wp:posOffset>
            </wp:positionH>
            <wp:positionV relativeFrom="paragraph">
              <wp:posOffset>177165</wp:posOffset>
            </wp:positionV>
            <wp:extent cx="5943600" cy="2322195"/>
            <wp:effectExtent l="0" t="0" r="0" b="1905"/>
            <wp:wrapTopAndBottom/>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pic:cNvPicPr>
                  </pic:nvPicPr>
                  <pic:blipFill rotWithShape="1">
                    <a:blip r:embed="rId101">
                      <a:extLst>
                        <a:ext uri="{28A0092B-C50C-407E-A947-70E740481C1C}">
                          <a14:useLocalDpi xmlns:a14="http://schemas.microsoft.com/office/drawing/2010/main" val="0"/>
                        </a:ext>
                      </a:extLst>
                    </a:blip>
                    <a:srcRect t="6320" b="5189"/>
                    <a:stretch/>
                  </pic:blipFill>
                  <pic:spPr bwMode="auto">
                    <a:xfrm>
                      <a:off x="0" y="0"/>
                      <a:ext cx="5943600" cy="2322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85615" w:rsidRDefault="00085615" w:rsidP="00A325FE">
      <w:pPr>
        <w:spacing w:line="240" w:lineRule="auto"/>
      </w:pPr>
    </w:p>
    <w:p w:rsidR="00D54D30" w:rsidRDefault="00992DBF" w:rsidP="00A325FE">
      <w:pPr>
        <w:jc w:val="both"/>
        <w:rPr>
          <w:rFonts w:ascii="Times New Roman" w:hAnsi="Times New Roman"/>
          <w:b/>
        </w:rPr>
      </w:pPr>
      <w:r>
        <w:rPr>
          <w:rFonts w:ascii="Times New Roman" w:hAnsi="Times New Roman"/>
          <w:b/>
        </w:rPr>
        <w:t>Figure 4.6</w:t>
      </w:r>
      <w:r w:rsidR="006D7069">
        <w:rPr>
          <w:rFonts w:ascii="Times New Roman" w:hAnsi="Times New Roman"/>
          <w:b/>
        </w:rPr>
        <w:t>:</w:t>
      </w:r>
      <w:r w:rsidR="00D54D30" w:rsidRPr="00D54D30">
        <w:rPr>
          <w:rFonts w:ascii="Times New Roman" w:hAnsi="Times New Roman"/>
          <w:b/>
        </w:rPr>
        <w:t xml:space="preserve"> SEM backscattered images of A) sample #5 and B) sample #13. Red circles highlighted larger organic matter particles which are mostly associated with cracks. These organic filled cracks are important and considered as key to HC generation. </w:t>
      </w:r>
    </w:p>
    <w:p w:rsidR="00D54D30" w:rsidRPr="00D54D30" w:rsidRDefault="00D54D30" w:rsidP="00A325FE">
      <w:pPr>
        <w:jc w:val="both"/>
        <w:rPr>
          <w:rFonts w:ascii="Times New Roman" w:hAnsi="Times New Roman"/>
          <w:b/>
          <w:szCs w:val="20"/>
          <w14:textOutline w14:w="9525" w14:cap="rnd" w14:cmpd="sng" w14:algn="ctr">
            <w14:noFill/>
            <w14:prstDash w14:val="solid"/>
            <w14:bevel/>
          </w14:textOutline>
        </w:rPr>
      </w:pPr>
    </w:p>
    <w:p w:rsidR="00D54D30" w:rsidRDefault="00D54D30" w:rsidP="00DC1817">
      <w:pPr>
        <w:pStyle w:val="AbstractSectionHeading"/>
        <w:spacing w:line="480" w:lineRule="auto"/>
        <w:jc w:val="both"/>
        <w:rPr>
          <w:b w:val="0"/>
          <w:sz w:val="24"/>
          <w:szCs w:val="24"/>
        </w:rPr>
      </w:pPr>
      <w:r w:rsidRPr="00D54D30">
        <w:rPr>
          <w:b w:val="0"/>
          <w:sz w:val="24"/>
          <w:szCs w:val="24"/>
        </w:rPr>
        <w:t>Pore and organic matter size distribution</w:t>
      </w:r>
      <w:r w:rsidR="00AA389A">
        <w:rPr>
          <w:b w:val="0"/>
          <w:sz w:val="24"/>
          <w:szCs w:val="24"/>
        </w:rPr>
        <w:t>s</w:t>
      </w:r>
      <w:r w:rsidRPr="00D54D30">
        <w:rPr>
          <w:b w:val="0"/>
          <w:sz w:val="24"/>
          <w:szCs w:val="24"/>
        </w:rPr>
        <w:t xml:space="preserve"> of each sample were studied at different scales. Three sub-maps of 10% scale (273 µm x 571 µm) which totally cover 30% area of the whole map of sample #5 are randomly selected. </w:t>
      </w:r>
      <w:r w:rsidR="00DC1817" w:rsidRPr="00DC1817">
        <w:rPr>
          <w:sz w:val="24"/>
          <w:szCs w:val="24"/>
        </w:rPr>
        <w:t xml:space="preserve">Fig </w:t>
      </w:r>
      <w:r w:rsidR="00992DBF" w:rsidRPr="00DC1817">
        <w:rPr>
          <w:sz w:val="24"/>
          <w:szCs w:val="24"/>
        </w:rPr>
        <w:t>4.8</w:t>
      </w:r>
      <w:r w:rsidRPr="00DC1817">
        <w:rPr>
          <w:sz w:val="24"/>
          <w:szCs w:val="24"/>
        </w:rPr>
        <w:t>A</w:t>
      </w:r>
      <w:r w:rsidRPr="00D54D30">
        <w:rPr>
          <w:b w:val="0"/>
          <w:sz w:val="24"/>
          <w:szCs w:val="24"/>
        </w:rPr>
        <w:t xml:space="preserve"> shows the pore size distribution plots of these three sub-maps. The same trend is observed as with the pervious pore size distributions (</w:t>
      </w:r>
      <w:r w:rsidR="00182E7D" w:rsidRPr="00DC1817">
        <w:rPr>
          <w:sz w:val="24"/>
          <w:szCs w:val="24"/>
        </w:rPr>
        <w:t>Fig 4.4</w:t>
      </w:r>
      <w:r w:rsidRPr="00D54D30">
        <w:rPr>
          <w:b w:val="0"/>
          <w:sz w:val="24"/>
          <w:szCs w:val="24"/>
        </w:rPr>
        <w:t>) in that there is an inversely proportional relationship between number of pores and equivalent pore</w:t>
      </w:r>
      <w:r w:rsidR="00CC553A">
        <w:rPr>
          <w:b w:val="0"/>
          <w:sz w:val="24"/>
          <w:szCs w:val="24"/>
        </w:rPr>
        <w:t xml:space="preserve"> body radii on a log-log scale. </w:t>
      </w:r>
      <w:r w:rsidRPr="00D54D30">
        <w:rPr>
          <w:b w:val="0"/>
          <w:sz w:val="24"/>
          <w:szCs w:val="24"/>
        </w:rPr>
        <w:t xml:space="preserve">The three distributions almost overlay and contain an almost equivalent total number of pores. The pore size distribution thus is very consistent at this sub-map scale. Breaking the map down to a smaller scale, six pore size distribution plots of six sub-maps of 5% scale (273 µm x 286 µm) at random locations are reported in </w:t>
      </w:r>
      <w:r w:rsidR="00DC1817" w:rsidRPr="00DC1817">
        <w:rPr>
          <w:sz w:val="24"/>
          <w:szCs w:val="24"/>
        </w:rPr>
        <w:t xml:space="preserve">Fig </w:t>
      </w:r>
      <w:r w:rsidR="00992DBF" w:rsidRPr="00DC1817">
        <w:rPr>
          <w:sz w:val="24"/>
          <w:szCs w:val="24"/>
        </w:rPr>
        <w:t>4.8</w:t>
      </w:r>
      <w:r w:rsidRPr="00DC1817">
        <w:rPr>
          <w:sz w:val="24"/>
          <w:szCs w:val="24"/>
        </w:rPr>
        <w:t>B</w:t>
      </w:r>
      <w:r w:rsidRPr="00D54D30">
        <w:rPr>
          <w:b w:val="0"/>
          <w:sz w:val="24"/>
          <w:szCs w:val="24"/>
        </w:rPr>
        <w:t xml:space="preserve">. A similar trend </w:t>
      </w:r>
      <w:r w:rsidRPr="00D54D30">
        <w:rPr>
          <w:b w:val="0"/>
          <w:sz w:val="24"/>
          <w:szCs w:val="24"/>
        </w:rPr>
        <w:lastRenderedPageBreak/>
        <w:t>is observed for these plots</w:t>
      </w:r>
      <w:r w:rsidR="004C44D8">
        <w:rPr>
          <w:b w:val="0"/>
          <w:sz w:val="24"/>
          <w:szCs w:val="24"/>
        </w:rPr>
        <w:t>, i.e.</w:t>
      </w:r>
      <w:r w:rsidR="00CC553A">
        <w:rPr>
          <w:b w:val="0"/>
          <w:sz w:val="24"/>
          <w:szCs w:val="24"/>
        </w:rPr>
        <w:t xml:space="preserve"> that number of pores de</w:t>
      </w:r>
      <w:r w:rsidR="00AB078F">
        <w:rPr>
          <w:b w:val="0"/>
          <w:sz w:val="24"/>
          <w:szCs w:val="24"/>
        </w:rPr>
        <w:t>creases with in</w:t>
      </w:r>
      <w:r w:rsidR="00CC553A">
        <w:rPr>
          <w:b w:val="0"/>
          <w:sz w:val="24"/>
          <w:szCs w:val="24"/>
        </w:rPr>
        <w:t>creasing</w:t>
      </w:r>
      <w:r w:rsidR="00AB078F">
        <w:rPr>
          <w:b w:val="0"/>
          <w:sz w:val="24"/>
          <w:szCs w:val="24"/>
        </w:rPr>
        <w:t xml:space="preserve"> pore radius</w:t>
      </w:r>
      <w:r w:rsidRPr="00D54D30">
        <w:rPr>
          <w:b w:val="0"/>
          <w:sz w:val="24"/>
          <w:szCs w:val="24"/>
        </w:rPr>
        <w:t xml:space="preserve">. A greater variation is observed because of higher standard deviation of total number of pores. However, the percentage deviation </w:t>
      </w:r>
      <w:r w:rsidR="004C44D8">
        <w:rPr>
          <w:b w:val="0"/>
          <w:sz w:val="24"/>
          <w:szCs w:val="24"/>
        </w:rPr>
        <w:t xml:space="preserve">is </w:t>
      </w:r>
      <w:r w:rsidRPr="00D54D30">
        <w:rPr>
          <w:b w:val="0"/>
          <w:sz w:val="24"/>
          <w:szCs w:val="24"/>
        </w:rPr>
        <w:t xml:space="preserve">always </w:t>
      </w:r>
      <w:r w:rsidR="004C44D8">
        <w:rPr>
          <w:b w:val="0"/>
          <w:sz w:val="24"/>
          <w:szCs w:val="24"/>
        </w:rPr>
        <w:t>less than</w:t>
      </w:r>
      <w:r w:rsidRPr="00D54D30">
        <w:rPr>
          <w:b w:val="0"/>
          <w:sz w:val="24"/>
          <w:szCs w:val="24"/>
        </w:rPr>
        <w:t xml:space="preserve"> 5%. This suggests that to study pore size distributions, only a small area of </w:t>
      </w:r>
      <w:r w:rsidR="004C44D8">
        <w:rPr>
          <w:b w:val="0"/>
          <w:sz w:val="24"/>
          <w:szCs w:val="24"/>
        </w:rPr>
        <w:t>~</w:t>
      </w:r>
      <w:r w:rsidRPr="00D54D30">
        <w:rPr>
          <w:b w:val="0"/>
          <w:sz w:val="24"/>
          <w:szCs w:val="24"/>
        </w:rPr>
        <w:t>5% scale</w:t>
      </w:r>
      <w:r w:rsidRPr="00D54D30">
        <w:rPr>
          <w:b w:val="0"/>
          <w:color w:val="FF0000"/>
          <w:sz w:val="24"/>
          <w:szCs w:val="24"/>
        </w:rPr>
        <w:t xml:space="preserve"> </w:t>
      </w:r>
      <w:r w:rsidRPr="00D54D30">
        <w:rPr>
          <w:b w:val="0"/>
          <w:sz w:val="24"/>
          <w:szCs w:val="24"/>
        </w:rPr>
        <w:t xml:space="preserve">for imaging is necessary. As for this 1 ft core section, the area needed </w:t>
      </w:r>
      <w:r w:rsidR="00BA1CFA">
        <w:rPr>
          <w:b w:val="0"/>
          <w:sz w:val="24"/>
          <w:szCs w:val="24"/>
        </w:rPr>
        <w:t xml:space="preserve">to capture </w:t>
      </w:r>
      <w:r w:rsidRPr="00D54D30">
        <w:rPr>
          <w:b w:val="0"/>
          <w:sz w:val="24"/>
          <w:szCs w:val="24"/>
        </w:rPr>
        <w:t>pore size distribution would be smaller than the area required to capture the total porosity (REA).</w:t>
      </w:r>
    </w:p>
    <w:p w:rsidR="00D54D30" w:rsidRPr="00D54D30" w:rsidRDefault="00D54D30" w:rsidP="00DC1817">
      <w:pPr>
        <w:pStyle w:val="AbstractSectionHeading"/>
        <w:spacing w:line="480" w:lineRule="auto"/>
        <w:jc w:val="both"/>
        <w:rPr>
          <w:b w:val="0"/>
          <w:sz w:val="24"/>
          <w:szCs w:val="24"/>
        </w:rPr>
      </w:pPr>
    </w:p>
    <w:p w:rsidR="00D54D30" w:rsidRDefault="00D54D30" w:rsidP="00DC1817">
      <w:pPr>
        <w:jc w:val="both"/>
      </w:pPr>
      <w:r>
        <w:rPr>
          <w:noProof/>
          <w:lang w:bidi="ar-SA"/>
        </w:rPr>
        <w:drawing>
          <wp:inline distT="0" distB="0" distL="0" distR="0" wp14:anchorId="3CC57483" wp14:editId="7E13893F">
            <wp:extent cx="5467350" cy="31813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5468112" cy="3181793"/>
                    </a:xfrm>
                    <a:prstGeom prst="rect">
                      <a:avLst/>
                    </a:prstGeom>
                  </pic:spPr>
                </pic:pic>
              </a:graphicData>
            </a:graphic>
          </wp:inline>
        </w:drawing>
      </w:r>
    </w:p>
    <w:p w:rsidR="00D54D30" w:rsidRDefault="00D54D30" w:rsidP="00DC1817">
      <w:pPr>
        <w:jc w:val="both"/>
        <w:rPr>
          <w:rFonts w:ascii="Times New Roman" w:hAnsi="Times New Roman"/>
          <w:b/>
        </w:rPr>
      </w:pPr>
    </w:p>
    <w:p w:rsidR="00D54D30" w:rsidRPr="00D54D30" w:rsidRDefault="00992DBF" w:rsidP="00DC1817">
      <w:pPr>
        <w:jc w:val="both"/>
        <w:rPr>
          <w:rFonts w:ascii="Times New Roman" w:hAnsi="Times New Roman"/>
          <w:b/>
        </w:rPr>
      </w:pPr>
      <w:r>
        <w:rPr>
          <w:rFonts w:ascii="Times New Roman" w:hAnsi="Times New Roman"/>
          <w:b/>
        </w:rPr>
        <w:t>Figure 4.7</w:t>
      </w:r>
      <w:r w:rsidR="00D54D30" w:rsidRPr="00D54D30">
        <w:rPr>
          <w:rFonts w:ascii="Times New Roman" w:hAnsi="Times New Roman"/>
          <w:b/>
        </w:rPr>
        <w:t>: Areal contribution of porosity (red) and organic matter (green) for 24 samples assuming a 50nm radius boundary (blue line)</w:t>
      </w:r>
      <w:r w:rsidR="00AA389A">
        <w:rPr>
          <w:rFonts w:ascii="Times New Roman" w:hAnsi="Times New Roman"/>
          <w:b/>
        </w:rPr>
        <w:t>. Note the assumption of spherical pores and organic matter.</w:t>
      </w:r>
    </w:p>
    <w:p w:rsidR="00D54D30" w:rsidRDefault="00D54D30" w:rsidP="00DC1817">
      <w:pPr>
        <w:jc w:val="both"/>
        <w:rPr>
          <w:b/>
          <w:sz w:val="32"/>
        </w:rPr>
      </w:pPr>
    </w:p>
    <w:p w:rsidR="00D54D30" w:rsidRDefault="00D54D30" w:rsidP="00DC1817">
      <w:pPr>
        <w:jc w:val="both"/>
        <w:rPr>
          <w:b/>
          <w:sz w:val="32"/>
        </w:rPr>
      </w:pPr>
    </w:p>
    <w:p w:rsidR="00D54D30" w:rsidRDefault="00D54D30" w:rsidP="00DC1817">
      <w:pPr>
        <w:jc w:val="center"/>
        <w:rPr>
          <w:b/>
          <w:sz w:val="32"/>
        </w:rPr>
      </w:pPr>
      <w:r>
        <w:rPr>
          <w:noProof/>
          <w:lang w:bidi="ar-SA"/>
        </w:rPr>
        <w:lastRenderedPageBreak/>
        <w:drawing>
          <wp:inline distT="0" distB="0" distL="0" distR="0" wp14:anchorId="4E8536EA" wp14:editId="679880C1">
            <wp:extent cx="4114800" cy="27614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4114800" cy="2761488"/>
                    </a:xfrm>
                    <a:prstGeom prst="rect">
                      <a:avLst/>
                    </a:prstGeom>
                  </pic:spPr>
                </pic:pic>
              </a:graphicData>
            </a:graphic>
          </wp:inline>
        </w:drawing>
      </w:r>
    </w:p>
    <w:p w:rsidR="00D54D30" w:rsidRDefault="00D54D30" w:rsidP="00DC1817">
      <w:pPr>
        <w:jc w:val="center"/>
        <w:rPr>
          <w:b/>
          <w:sz w:val="32"/>
        </w:rPr>
      </w:pPr>
      <w:r>
        <w:rPr>
          <w:noProof/>
          <w:lang w:bidi="ar-SA"/>
        </w:rPr>
        <w:drawing>
          <wp:inline distT="0" distB="0" distL="0" distR="0" wp14:anchorId="60904C78" wp14:editId="1AD28810">
            <wp:extent cx="4114800" cy="264261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4114800" cy="2642616"/>
                    </a:xfrm>
                    <a:prstGeom prst="rect">
                      <a:avLst/>
                    </a:prstGeom>
                  </pic:spPr>
                </pic:pic>
              </a:graphicData>
            </a:graphic>
          </wp:inline>
        </w:drawing>
      </w:r>
    </w:p>
    <w:p w:rsidR="00D54D30" w:rsidRPr="00D54D30" w:rsidRDefault="00D54D30" w:rsidP="00DC1817">
      <w:pPr>
        <w:jc w:val="both"/>
        <w:rPr>
          <w:rFonts w:ascii="Times New Roman" w:hAnsi="Times New Roman"/>
          <w:b/>
        </w:rPr>
      </w:pPr>
      <w:r w:rsidRPr="00D54D30">
        <w:rPr>
          <w:rFonts w:ascii="Times New Roman" w:hAnsi="Times New Roman"/>
          <w:b/>
        </w:rPr>
        <w:t xml:space="preserve">Figure </w:t>
      </w:r>
      <w:r w:rsidR="00992DBF">
        <w:rPr>
          <w:rFonts w:ascii="Times New Roman" w:hAnsi="Times New Roman"/>
          <w:b/>
        </w:rPr>
        <w:t>4.8</w:t>
      </w:r>
      <w:r w:rsidRPr="00D54D30">
        <w:rPr>
          <w:rFonts w:ascii="Times New Roman" w:hAnsi="Times New Roman"/>
          <w:b/>
        </w:rPr>
        <w:t>:  Pore size distribution of A) three sub-maps of 10% scale, average number of pores counted is 627,000 ± 17,000 and B) six sub-maps of 5% scale, average number of pores counted is 228,000 ± 39,000</w:t>
      </w:r>
      <w:r w:rsidR="00AA389A">
        <w:rPr>
          <w:rFonts w:ascii="Times New Roman" w:hAnsi="Times New Roman"/>
          <w:b/>
        </w:rPr>
        <w:t>. Note variation at large size.</w:t>
      </w:r>
    </w:p>
    <w:p w:rsidR="00085615" w:rsidRPr="00D54D30" w:rsidRDefault="00085615" w:rsidP="00DC1817">
      <w:pPr>
        <w:jc w:val="both"/>
        <w:rPr>
          <w:rFonts w:asciiTheme="majorHAnsi" w:hAnsiTheme="majorHAnsi"/>
          <w:b/>
          <w:bCs/>
        </w:rPr>
      </w:pPr>
      <w:r w:rsidRPr="00D54D30">
        <w:rPr>
          <w:b/>
        </w:rPr>
        <w:br w:type="page"/>
      </w:r>
    </w:p>
    <w:p w:rsidR="00085615" w:rsidRDefault="00501C40" w:rsidP="006204F6">
      <w:pPr>
        <w:pStyle w:val="Heading3"/>
      </w:pPr>
      <w:r>
        <w:lastRenderedPageBreak/>
        <w:t xml:space="preserve">4.1.3 </w:t>
      </w:r>
      <w:r w:rsidR="00D778D7" w:rsidRPr="00D778D7">
        <w:t>Imaging Data versus Petrophysical Data (</w:t>
      </w:r>
      <w:r w:rsidR="00A76121">
        <w:t>Crushed helium</w:t>
      </w:r>
      <w:r w:rsidR="00D778D7" w:rsidRPr="00D778D7">
        <w:t xml:space="preserve"> Porosity and TOC)</w:t>
      </w:r>
    </w:p>
    <w:p w:rsidR="00501C40" w:rsidRPr="00501C40" w:rsidRDefault="00501C40" w:rsidP="00501C40"/>
    <w:p w:rsidR="00085615" w:rsidRPr="00D778D7" w:rsidRDefault="00D778D7" w:rsidP="00AA389A">
      <w:pPr>
        <w:jc w:val="both"/>
        <w:rPr>
          <w:rFonts w:asciiTheme="majorHAnsi" w:hAnsiTheme="majorHAnsi"/>
          <w:b/>
          <w:bCs/>
        </w:rPr>
      </w:pPr>
      <w:r w:rsidRPr="00D778D7">
        <w:rPr>
          <w:rFonts w:ascii="Times New Roman" w:hAnsi="Times New Roman"/>
        </w:rPr>
        <w:t xml:space="preserve">Since porosity and organic matter studies utilizing SEM imaging are performed on a relatively small scale, it is important to correlate the results with those from petrophysical measurements which are performed at a larger scale. Petrophysical data including </w:t>
      </w:r>
      <w:r w:rsidR="00A76121">
        <w:rPr>
          <w:rFonts w:ascii="Times New Roman" w:hAnsi="Times New Roman"/>
        </w:rPr>
        <w:t>crushed helium</w:t>
      </w:r>
      <w:r w:rsidRPr="00D778D7">
        <w:rPr>
          <w:rFonts w:ascii="Times New Roman" w:hAnsi="Times New Roman"/>
        </w:rPr>
        <w:t xml:space="preserve"> porosity and TOC measurements are compared with the porosity and organic matter estimates derived from SEM data for the 1 ft section of Wolfcamp Shale core (</w:t>
      </w:r>
      <w:r w:rsidR="00DC1817" w:rsidRPr="00DC1817">
        <w:rPr>
          <w:rFonts w:ascii="Times New Roman" w:hAnsi="Times New Roman"/>
          <w:b/>
        </w:rPr>
        <w:t xml:space="preserve">Fig </w:t>
      </w:r>
      <w:r w:rsidR="00992DBF" w:rsidRPr="00DC1817">
        <w:rPr>
          <w:rFonts w:ascii="Times New Roman" w:hAnsi="Times New Roman"/>
          <w:b/>
        </w:rPr>
        <w:t>4.9</w:t>
      </w:r>
      <w:r w:rsidRPr="00992DBF">
        <w:rPr>
          <w:rFonts w:ascii="Times New Roman" w:hAnsi="Times New Roman"/>
        </w:rPr>
        <w:t xml:space="preserve"> and </w:t>
      </w:r>
      <w:r w:rsidR="00DC1817" w:rsidRPr="00DC1817">
        <w:rPr>
          <w:rFonts w:ascii="Times New Roman" w:hAnsi="Times New Roman"/>
          <w:b/>
        </w:rPr>
        <w:t xml:space="preserve">Fig </w:t>
      </w:r>
      <w:r w:rsidR="00992DBF" w:rsidRPr="00DC1817">
        <w:rPr>
          <w:rFonts w:ascii="Times New Roman" w:hAnsi="Times New Roman"/>
          <w:b/>
        </w:rPr>
        <w:t>4.10</w:t>
      </w:r>
      <w:r w:rsidRPr="00D778D7">
        <w:rPr>
          <w:rFonts w:ascii="Times New Roman" w:hAnsi="Times New Roman"/>
        </w:rPr>
        <w:t xml:space="preserve">). There are differences between the SEM derived data and the lab petrophysical measurements, some </w:t>
      </w:r>
      <w:r w:rsidR="00AA389A">
        <w:rPr>
          <w:rFonts w:ascii="Times New Roman" w:hAnsi="Times New Roman"/>
        </w:rPr>
        <w:t xml:space="preserve">are </w:t>
      </w:r>
      <w:r w:rsidRPr="00D778D7">
        <w:rPr>
          <w:rFonts w:ascii="Times New Roman" w:hAnsi="Times New Roman"/>
        </w:rPr>
        <w:t xml:space="preserve">expected based on the modes of measurements. </w:t>
      </w:r>
      <w:r w:rsidR="0006020F">
        <w:rPr>
          <w:rFonts w:ascii="Times New Roman" w:hAnsi="Times New Roman"/>
        </w:rPr>
        <w:t>Helium</w:t>
      </w:r>
      <w:r w:rsidRPr="00D778D7">
        <w:rPr>
          <w:rFonts w:ascii="Times New Roman" w:hAnsi="Times New Roman"/>
        </w:rPr>
        <w:t xml:space="preserve"> porosity measurements yield a volume percentage whereas the SEM analysis yields an areal percentage. Organic matter content derived from the SEM is also an area percentage whereas in TOC measurements it is a weight percentage. Overall, a similar trend between imaging data and petrophysical data are observed for both porosity and organic content.  The average difference between SEM porosity and </w:t>
      </w:r>
      <w:r w:rsidR="0006020F">
        <w:rPr>
          <w:rFonts w:ascii="Times New Roman" w:hAnsi="Times New Roman"/>
        </w:rPr>
        <w:t>helium</w:t>
      </w:r>
      <w:r w:rsidRPr="00D778D7">
        <w:rPr>
          <w:rFonts w:ascii="Times New Roman" w:hAnsi="Times New Roman"/>
        </w:rPr>
        <w:t xml:space="preserve"> porosity is 1.0%; the average difference between SEM TOC and </w:t>
      </w:r>
      <w:r w:rsidR="00A76121">
        <w:rPr>
          <w:rFonts w:ascii="Times New Roman" w:hAnsi="Times New Roman"/>
        </w:rPr>
        <w:t>LECO™</w:t>
      </w:r>
      <w:r w:rsidRPr="00D778D7">
        <w:rPr>
          <w:rFonts w:ascii="Times New Roman" w:hAnsi="Times New Roman"/>
        </w:rPr>
        <w:t xml:space="preserve">™ TOC is 0.6%. Assuming the formation is weakly heterogeneous, it is very promising to predict these petrophysical data from SEM imaging analysis. There is a small interval highlighted by ellipses </w:t>
      </w:r>
      <w:r w:rsidR="004C44D8">
        <w:rPr>
          <w:rFonts w:ascii="Times New Roman" w:hAnsi="Times New Roman"/>
        </w:rPr>
        <w:t xml:space="preserve">where </w:t>
      </w:r>
      <w:r w:rsidRPr="00D778D7">
        <w:rPr>
          <w:rFonts w:ascii="Times New Roman" w:hAnsi="Times New Roman"/>
        </w:rPr>
        <w:t>the correlation is fairly poor for porosity (red ellipse) as well as organic content (green ellipse). These anomalies can be attributed to the high degree of hete</w:t>
      </w:r>
      <w:r w:rsidR="00AA389A">
        <w:rPr>
          <w:rFonts w:ascii="Times New Roman" w:hAnsi="Times New Roman"/>
        </w:rPr>
        <w:t>rogeneity in this interval.</w:t>
      </w:r>
    </w:p>
    <w:p w:rsidR="00085615" w:rsidRDefault="00085615" w:rsidP="00D778D7"/>
    <w:p w:rsidR="00085615" w:rsidRDefault="00D778D7" w:rsidP="00D778D7">
      <w:pPr>
        <w:jc w:val="center"/>
        <w:rPr>
          <w:rFonts w:asciiTheme="majorHAnsi" w:hAnsiTheme="majorHAnsi"/>
          <w:b/>
          <w:bCs/>
        </w:rPr>
      </w:pPr>
      <w:r>
        <w:rPr>
          <w:noProof/>
          <w:lang w:bidi="ar-SA"/>
        </w:rPr>
        <w:lastRenderedPageBreak/>
        <w:drawing>
          <wp:inline distT="0" distB="0" distL="0" distR="0" wp14:anchorId="19BA99F1" wp14:editId="26B07B02">
            <wp:extent cx="4000500" cy="483941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4000500" cy="4839419"/>
                    </a:xfrm>
                    <a:prstGeom prst="rect">
                      <a:avLst/>
                    </a:prstGeom>
                  </pic:spPr>
                </pic:pic>
              </a:graphicData>
            </a:graphic>
          </wp:inline>
        </w:drawing>
      </w:r>
    </w:p>
    <w:p w:rsidR="00D778D7" w:rsidRPr="00D778D7" w:rsidRDefault="00D778D7" w:rsidP="00D778D7">
      <w:pPr>
        <w:jc w:val="both"/>
        <w:rPr>
          <w:rFonts w:asciiTheme="majorHAnsi" w:hAnsiTheme="majorHAnsi"/>
          <w:b/>
          <w:bCs/>
        </w:rPr>
      </w:pPr>
      <w:r>
        <w:rPr>
          <w:rFonts w:asciiTheme="majorHAnsi" w:hAnsiTheme="majorHAnsi"/>
          <w:b/>
          <w:bCs/>
        </w:rPr>
        <w:t xml:space="preserve">Figure </w:t>
      </w:r>
      <w:r w:rsidR="00992DBF">
        <w:rPr>
          <w:rFonts w:asciiTheme="majorHAnsi" w:hAnsiTheme="majorHAnsi"/>
          <w:b/>
          <w:bCs/>
        </w:rPr>
        <w:t>4.9</w:t>
      </w:r>
      <w:r>
        <w:rPr>
          <w:rFonts w:asciiTheme="majorHAnsi" w:hAnsiTheme="majorHAnsi"/>
          <w:b/>
          <w:bCs/>
        </w:rPr>
        <w:t>: Comparison of porosity measured from SEM imaging and petrophysical data. Red ellipse highlights the interval with the poorest correlation</w:t>
      </w:r>
      <w:r w:rsidR="00AA389A">
        <w:rPr>
          <w:rFonts w:asciiTheme="majorHAnsi" w:hAnsiTheme="majorHAnsi"/>
          <w:b/>
          <w:bCs/>
        </w:rPr>
        <w:t xml:space="preserve">. The error is 1.0% on average. Note SEM porosity values are measured from the </w:t>
      </w:r>
      <w:r w:rsidR="00E05CF1">
        <w:rPr>
          <w:rFonts w:asciiTheme="majorHAnsi" w:hAnsiTheme="majorHAnsi"/>
          <w:b/>
          <w:bCs/>
        </w:rPr>
        <w:t>whole map</w:t>
      </w:r>
      <w:r w:rsidR="00AA389A">
        <w:rPr>
          <w:rFonts w:asciiTheme="majorHAnsi" w:hAnsiTheme="majorHAnsi"/>
          <w:b/>
          <w:bCs/>
        </w:rPr>
        <w:t>s.</w:t>
      </w:r>
      <w:r>
        <w:rPr>
          <w:rFonts w:asciiTheme="majorHAnsi" w:hAnsiTheme="majorHAnsi"/>
          <w:b/>
          <w:bCs/>
        </w:rPr>
        <w:t xml:space="preserve"> </w:t>
      </w:r>
    </w:p>
    <w:p w:rsidR="00085615" w:rsidRDefault="00085615">
      <w:pPr>
        <w:spacing w:line="240" w:lineRule="auto"/>
        <w:rPr>
          <w:rFonts w:asciiTheme="majorHAnsi" w:hAnsiTheme="majorHAnsi"/>
          <w:b/>
          <w:bCs/>
          <w:sz w:val="28"/>
          <w:szCs w:val="32"/>
        </w:rPr>
      </w:pPr>
      <w:r>
        <w:br w:type="page"/>
      </w:r>
    </w:p>
    <w:p w:rsidR="008358A9" w:rsidRDefault="008358A9" w:rsidP="00D778D7">
      <w:pPr>
        <w:spacing w:line="240" w:lineRule="auto"/>
        <w:jc w:val="center"/>
        <w:rPr>
          <w:noProof/>
          <w:lang w:bidi="ar-SA"/>
        </w:rPr>
      </w:pPr>
      <w:r>
        <w:rPr>
          <w:noProof/>
          <w:lang w:bidi="ar-SA"/>
        </w:rPr>
        <w:lastRenderedPageBreak/>
        <w:drawing>
          <wp:inline distT="0" distB="0" distL="0" distR="0" wp14:anchorId="5B6BC801" wp14:editId="50E4A4C1">
            <wp:extent cx="3889612" cy="492684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3895725" cy="4934585"/>
                    </a:xfrm>
                    <a:prstGeom prst="rect">
                      <a:avLst/>
                    </a:prstGeom>
                  </pic:spPr>
                </pic:pic>
              </a:graphicData>
            </a:graphic>
          </wp:inline>
        </w:drawing>
      </w:r>
    </w:p>
    <w:p w:rsidR="008358A9" w:rsidRDefault="008358A9" w:rsidP="00D778D7">
      <w:pPr>
        <w:spacing w:line="240" w:lineRule="auto"/>
        <w:jc w:val="center"/>
        <w:rPr>
          <w:noProof/>
          <w:lang w:bidi="ar-SA"/>
        </w:rPr>
      </w:pPr>
    </w:p>
    <w:p w:rsidR="008358A9" w:rsidRDefault="008358A9" w:rsidP="008358A9">
      <w:pPr>
        <w:jc w:val="both"/>
        <w:rPr>
          <w:rFonts w:asciiTheme="majorHAnsi" w:hAnsiTheme="majorHAnsi"/>
          <w:b/>
          <w:bCs/>
        </w:rPr>
      </w:pPr>
      <w:r>
        <w:rPr>
          <w:rFonts w:asciiTheme="majorHAnsi" w:hAnsiTheme="majorHAnsi"/>
          <w:b/>
          <w:bCs/>
        </w:rPr>
        <w:t xml:space="preserve">Figure </w:t>
      </w:r>
      <w:r w:rsidR="00992DBF">
        <w:rPr>
          <w:rFonts w:asciiTheme="majorHAnsi" w:hAnsiTheme="majorHAnsi"/>
          <w:b/>
          <w:bCs/>
        </w:rPr>
        <w:t>4.10</w:t>
      </w:r>
      <w:r>
        <w:rPr>
          <w:rFonts w:asciiTheme="majorHAnsi" w:hAnsiTheme="majorHAnsi"/>
          <w:b/>
          <w:bCs/>
        </w:rPr>
        <w:t>: Comparison of organic content measured from SEM imaging and petrophysical data. Green ellipse highlights the interval with the poorest correlation</w:t>
      </w:r>
      <w:r w:rsidR="00AA389A">
        <w:rPr>
          <w:rFonts w:asciiTheme="majorHAnsi" w:hAnsiTheme="majorHAnsi"/>
          <w:b/>
          <w:bCs/>
        </w:rPr>
        <w:t xml:space="preserve">. The error is 0.6% on average. Note the SEM TOC values are measured from the </w:t>
      </w:r>
      <w:r w:rsidR="00E05CF1">
        <w:rPr>
          <w:rFonts w:asciiTheme="majorHAnsi" w:hAnsiTheme="majorHAnsi"/>
          <w:b/>
          <w:bCs/>
        </w:rPr>
        <w:t>whole map</w:t>
      </w:r>
      <w:r w:rsidR="00AA389A">
        <w:rPr>
          <w:rFonts w:asciiTheme="majorHAnsi" w:hAnsiTheme="majorHAnsi"/>
          <w:b/>
          <w:bCs/>
        </w:rPr>
        <w:t>s.</w:t>
      </w:r>
      <w:r>
        <w:rPr>
          <w:rFonts w:asciiTheme="majorHAnsi" w:hAnsiTheme="majorHAnsi"/>
          <w:b/>
          <w:bCs/>
        </w:rPr>
        <w:t xml:space="preserve"> </w:t>
      </w:r>
    </w:p>
    <w:p w:rsidR="008358A9" w:rsidRPr="00D778D7" w:rsidRDefault="008358A9" w:rsidP="008358A9">
      <w:pPr>
        <w:jc w:val="both"/>
        <w:rPr>
          <w:rFonts w:asciiTheme="majorHAnsi" w:hAnsiTheme="majorHAnsi"/>
          <w:b/>
          <w:bCs/>
        </w:rPr>
      </w:pPr>
    </w:p>
    <w:p w:rsidR="008358A9" w:rsidRPr="008358A9" w:rsidRDefault="00DC1817" w:rsidP="00501C40">
      <w:pPr>
        <w:jc w:val="both"/>
        <w:rPr>
          <w:rFonts w:ascii="Times New Roman" w:hAnsi="Times New Roman"/>
        </w:rPr>
      </w:pPr>
      <w:r w:rsidRPr="00DC1817">
        <w:rPr>
          <w:rFonts w:ascii="Times New Roman" w:hAnsi="Times New Roman"/>
          <w:b/>
        </w:rPr>
        <w:t>Fig 4.11</w:t>
      </w:r>
      <w:r w:rsidR="008358A9" w:rsidRPr="008358A9">
        <w:rPr>
          <w:rFonts w:ascii="Times New Roman" w:hAnsi="Times New Roman"/>
          <w:b/>
        </w:rPr>
        <w:t xml:space="preserve"> </w:t>
      </w:r>
      <w:r w:rsidR="008358A9" w:rsidRPr="008358A9">
        <w:rPr>
          <w:rFonts w:ascii="Times New Roman" w:hAnsi="Times New Roman"/>
        </w:rPr>
        <w:t xml:space="preserve">shows an </w:t>
      </w:r>
      <w:r w:rsidR="004C44D8">
        <w:rPr>
          <w:rFonts w:ascii="Times New Roman" w:hAnsi="Times New Roman"/>
        </w:rPr>
        <w:t>SEM image</w:t>
      </w:r>
      <w:r w:rsidR="008358A9" w:rsidRPr="008358A9">
        <w:rPr>
          <w:rFonts w:ascii="Times New Roman" w:hAnsi="Times New Roman"/>
        </w:rPr>
        <w:t xml:space="preserve"> from sample #3 which is located within the interval highlighted by the red ellipse in </w:t>
      </w:r>
      <w:r w:rsidRPr="00DC1817">
        <w:rPr>
          <w:rFonts w:ascii="Times New Roman" w:hAnsi="Times New Roman"/>
          <w:b/>
        </w:rPr>
        <w:t>Fig 4.9.</w:t>
      </w:r>
      <w:r w:rsidR="008358A9" w:rsidRPr="008358A9">
        <w:rPr>
          <w:rFonts w:ascii="Times New Roman" w:hAnsi="Times New Roman"/>
        </w:rPr>
        <w:t xml:space="preserve"> The SEM porosity measured on this sample is significantly lower than the </w:t>
      </w:r>
      <w:r w:rsidR="0006020F">
        <w:rPr>
          <w:rFonts w:ascii="Times New Roman" w:hAnsi="Times New Roman"/>
        </w:rPr>
        <w:t>helium</w:t>
      </w:r>
      <w:r w:rsidR="008358A9" w:rsidRPr="008358A9">
        <w:rPr>
          <w:rFonts w:ascii="Times New Roman" w:hAnsi="Times New Roman"/>
        </w:rPr>
        <w:t xml:space="preserve"> porosity measured on cores taken in this interval. Compared to samples outside the interval, </w:t>
      </w:r>
      <w:r w:rsidR="00AA389A">
        <w:rPr>
          <w:rFonts w:ascii="Times New Roman" w:hAnsi="Times New Roman"/>
        </w:rPr>
        <w:t xml:space="preserve">the </w:t>
      </w:r>
      <w:r w:rsidR="008358A9" w:rsidRPr="008358A9">
        <w:rPr>
          <w:rFonts w:ascii="Times New Roman" w:hAnsi="Times New Roman"/>
        </w:rPr>
        <w:t xml:space="preserve">majority of the pores and cracks for this </w:t>
      </w:r>
      <w:r w:rsidR="008358A9" w:rsidRPr="008358A9">
        <w:rPr>
          <w:rFonts w:ascii="Times New Roman" w:hAnsi="Times New Roman"/>
        </w:rPr>
        <w:lastRenderedPageBreak/>
        <w:t xml:space="preserve">sample are relatively small. Limited number of large pores and lack of major fractures are some of the main reasons for the lower SEM porosity. </w:t>
      </w:r>
      <w:r w:rsidRPr="00DC1817">
        <w:rPr>
          <w:rFonts w:ascii="Times New Roman" w:hAnsi="Times New Roman"/>
          <w:b/>
        </w:rPr>
        <w:t xml:space="preserve">Fig </w:t>
      </w:r>
      <w:r w:rsidR="000626AB" w:rsidRPr="00DC1817">
        <w:rPr>
          <w:rFonts w:ascii="Times New Roman" w:hAnsi="Times New Roman"/>
          <w:b/>
        </w:rPr>
        <w:t>4.12</w:t>
      </w:r>
      <w:r w:rsidR="008358A9" w:rsidRPr="008358A9">
        <w:rPr>
          <w:rFonts w:ascii="Times New Roman" w:hAnsi="Times New Roman"/>
        </w:rPr>
        <w:t xml:space="preserve"> is an SEM image from sample #13; the size of organic matter in this sample varies over a considerable range; numerous large particles can be observed, resulting in fairly high organic matter content. </w:t>
      </w:r>
      <w:r w:rsidR="00AA389A">
        <w:rPr>
          <w:rFonts w:ascii="Times New Roman" w:hAnsi="Times New Roman"/>
        </w:rPr>
        <w:t xml:space="preserve">However, </w:t>
      </w:r>
      <w:r w:rsidR="008358A9" w:rsidRPr="008358A9">
        <w:rPr>
          <w:rFonts w:ascii="Times New Roman" w:hAnsi="Times New Roman"/>
        </w:rPr>
        <w:t>TOC measurement for this sample</w:t>
      </w:r>
      <w:r w:rsidR="00AA389A">
        <w:rPr>
          <w:rFonts w:ascii="Times New Roman" w:hAnsi="Times New Roman"/>
        </w:rPr>
        <w:t xml:space="preserve"> </w:t>
      </w:r>
      <w:r w:rsidR="008358A9" w:rsidRPr="008358A9">
        <w:rPr>
          <w:rFonts w:ascii="Times New Roman" w:hAnsi="Times New Roman"/>
        </w:rPr>
        <w:t xml:space="preserve">is significantly greater than the estimation from SEM images. </w:t>
      </w:r>
    </w:p>
    <w:p w:rsidR="008358A9" w:rsidRDefault="008358A9" w:rsidP="00501C40">
      <w:pPr>
        <w:rPr>
          <w:noProof/>
          <w:lang w:bidi="ar-SA"/>
        </w:rPr>
      </w:pPr>
    </w:p>
    <w:p w:rsidR="008358A9" w:rsidRDefault="008358A9" w:rsidP="00501C40">
      <w:pPr>
        <w:jc w:val="center"/>
      </w:pPr>
    </w:p>
    <w:p w:rsidR="008358A9" w:rsidRDefault="008358A9" w:rsidP="00501C40">
      <w:pPr>
        <w:jc w:val="center"/>
      </w:pPr>
      <w:r>
        <w:rPr>
          <w:noProof/>
          <w:lang w:bidi="ar-SA"/>
        </w:rPr>
        <w:drawing>
          <wp:inline distT="0" distB="0" distL="0" distR="0" wp14:anchorId="6E916A82" wp14:editId="5BAFFABB">
            <wp:extent cx="3409950" cy="30575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3409950" cy="3057525"/>
                    </a:xfrm>
                    <a:prstGeom prst="rect">
                      <a:avLst/>
                    </a:prstGeom>
                  </pic:spPr>
                </pic:pic>
              </a:graphicData>
            </a:graphic>
          </wp:inline>
        </w:drawing>
      </w:r>
    </w:p>
    <w:p w:rsidR="00085615" w:rsidRDefault="000626AB" w:rsidP="00501C40">
      <w:pPr>
        <w:jc w:val="both"/>
        <w:rPr>
          <w:rFonts w:asciiTheme="majorHAnsi" w:hAnsiTheme="majorHAnsi"/>
          <w:b/>
          <w:bCs/>
          <w:sz w:val="28"/>
          <w:szCs w:val="32"/>
        </w:rPr>
      </w:pPr>
      <w:r>
        <w:rPr>
          <w:b/>
        </w:rPr>
        <w:t>Figure 4.11</w:t>
      </w:r>
      <w:r w:rsidR="008358A9">
        <w:rPr>
          <w:b/>
        </w:rPr>
        <w:t xml:space="preserve">: SEM backscattered image of sample #3. SEM porosity and </w:t>
      </w:r>
      <w:r w:rsidR="00A76121">
        <w:rPr>
          <w:b/>
        </w:rPr>
        <w:t>crushed helium</w:t>
      </w:r>
      <w:r w:rsidR="008358A9">
        <w:rPr>
          <w:b/>
        </w:rPr>
        <w:t xml:space="preserve"> porosity measured for this sample are 3.0% and 7.0%, respectively</w:t>
      </w:r>
      <w:r w:rsidR="00501C40">
        <w:rPr>
          <w:b/>
        </w:rPr>
        <w:t>.</w:t>
      </w:r>
      <w:r w:rsidR="00AA389A">
        <w:rPr>
          <w:b/>
        </w:rPr>
        <w:t xml:space="preserve"> Lack of large pores and fractures results in low SEM porosity.</w:t>
      </w:r>
      <w:r w:rsidR="00085615">
        <w:br w:type="page"/>
      </w:r>
    </w:p>
    <w:p w:rsidR="00501C40" w:rsidRDefault="00501C40" w:rsidP="00501C40">
      <w:pPr>
        <w:jc w:val="center"/>
      </w:pPr>
      <w:r>
        <w:rPr>
          <w:noProof/>
          <w:lang w:bidi="ar-SA"/>
        </w:rPr>
        <w:lastRenderedPageBreak/>
        <w:drawing>
          <wp:inline distT="0" distB="0" distL="0" distR="0" wp14:anchorId="0932BB5E" wp14:editId="7A4ABA0B">
            <wp:extent cx="3467100" cy="3133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3467100" cy="3133725"/>
                    </a:xfrm>
                    <a:prstGeom prst="rect">
                      <a:avLst/>
                    </a:prstGeom>
                  </pic:spPr>
                </pic:pic>
              </a:graphicData>
            </a:graphic>
          </wp:inline>
        </w:drawing>
      </w:r>
    </w:p>
    <w:p w:rsidR="00501C40" w:rsidRDefault="00501C40" w:rsidP="00501C40">
      <w:pPr>
        <w:jc w:val="both"/>
        <w:rPr>
          <w:b/>
        </w:rPr>
      </w:pPr>
      <w:r>
        <w:rPr>
          <w:b/>
        </w:rPr>
        <w:t xml:space="preserve">Figure </w:t>
      </w:r>
      <w:r w:rsidR="000626AB">
        <w:rPr>
          <w:b/>
        </w:rPr>
        <w:t>4.12</w:t>
      </w:r>
      <w:r>
        <w:rPr>
          <w:b/>
        </w:rPr>
        <w:t>: SEM backscattered image of sample #</w:t>
      </w:r>
      <w:r w:rsidR="005278AA">
        <w:rPr>
          <w:b/>
        </w:rPr>
        <w:t>1</w:t>
      </w:r>
      <w:r>
        <w:rPr>
          <w:b/>
        </w:rPr>
        <w:t xml:space="preserve">3. SEM </w:t>
      </w:r>
      <w:r w:rsidR="005278AA">
        <w:rPr>
          <w:b/>
        </w:rPr>
        <w:t>TOC</w:t>
      </w:r>
      <w:r>
        <w:rPr>
          <w:b/>
        </w:rPr>
        <w:t xml:space="preserve"> and </w:t>
      </w:r>
      <w:bookmarkStart w:id="117" w:name="OLE_LINK71"/>
      <w:r w:rsidR="005278AA">
        <w:rPr>
          <w:b/>
        </w:rPr>
        <w:t>LECO</w:t>
      </w:r>
      <w:r w:rsidR="005278AA">
        <w:rPr>
          <w:rFonts w:cstheme="minorHAnsi"/>
          <w:b/>
        </w:rPr>
        <w:t>™</w:t>
      </w:r>
      <w:r w:rsidR="005278AA">
        <w:rPr>
          <w:b/>
        </w:rPr>
        <w:t xml:space="preserve"> TOC</w:t>
      </w:r>
      <w:bookmarkEnd w:id="117"/>
      <w:r>
        <w:rPr>
          <w:b/>
        </w:rPr>
        <w:t xml:space="preserve"> </w:t>
      </w:r>
      <w:r w:rsidR="005278AA">
        <w:rPr>
          <w:b/>
        </w:rPr>
        <w:t>measured for this sample are 2.4% and 3.8</w:t>
      </w:r>
      <w:r>
        <w:rPr>
          <w:b/>
        </w:rPr>
        <w:t>%, respectively.</w:t>
      </w:r>
      <w:r w:rsidR="005278AA">
        <w:rPr>
          <w:b/>
        </w:rPr>
        <w:t xml:space="preserve"> SEM TOC is smaller than LECO</w:t>
      </w:r>
      <w:r w:rsidR="005278AA">
        <w:rPr>
          <w:rFonts w:cstheme="minorHAnsi"/>
          <w:b/>
        </w:rPr>
        <w:t>™</w:t>
      </w:r>
      <w:r w:rsidR="00BA1CFA">
        <w:rPr>
          <w:b/>
        </w:rPr>
        <w:t xml:space="preserve"> TOC despite</w:t>
      </w:r>
      <w:r w:rsidR="005278AA">
        <w:rPr>
          <w:b/>
        </w:rPr>
        <w:t xml:space="preserve"> numerous of large organic matter particles.</w:t>
      </w:r>
    </w:p>
    <w:p w:rsidR="00501C40" w:rsidRDefault="00501C40" w:rsidP="00501C40">
      <w:pPr>
        <w:jc w:val="both"/>
        <w:rPr>
          <w:b/>
        </w:rPr>
      </w:pPr>
    </w:p>
    <w:p w:rsidR="00A325FE" w:rsidRDefault="00A325FE" w:rsidP="006204F6">
      <w:pPr>
        <w:pStyle w:val="Heading3"/>
      </w:pPr>
      <w:r>
        <w:t xml:space="preserve">4.1.4 </w:t>
      </w:r>
      <w:r w:rsidRPr="00D778D7">
        <w:t xml:space="preserve">Imaging Data versus </w:t>
      </w:r>
      <w:r>
        <w:t>Mercury Injection Data</w:t>
      </w:r>
    </w:p>
    <w:p w:rsidR="008C3774" w:rsidRPr="00501C40" w:rsidRDefault="008C3774" w:rsidP="00501C40">
      <w:pPr>
        <w:jc w:val="center"/>
        <w:rPr>
          <w:rFonts w:ascii="Times New Roman" w:hAnsi="Times New Roman"/>
          <w:i/>
        </w:rPr>
      </w:pPr>
    </w:p>
    <w:p w:rsidR="00501C40" w:rsidRDefault="00501C40" w:rsidP="00D97EBD">
      <w:pPr>
        <w:jc w:val="both"/>
        <w:rPr>
          <w:rFonts w:ascii="Times New Roman" w:hAnsi="Times New Roman"/>
        </w:rPr>
      </w:pPr>
      <w:r>
        <w:rPr>
          <w:rFonts w:ascii="Times New Roman" w:hAnsi="Times New Roman"/>
        </w:rPr>
        <w:t xml:space="preserve">Mercury injection capillary pressure (MICP) measurements were performed on the Wolfcamp samples. During this experiment, mercury is injected into the sample in defined pressure </w:t>
      </w:r>
      <w:r w:rsidR="005278AA">
        <w:rPr>
          <w:rFonts w:ascii="Times New Roman" w:hAnsi="Times New Roman"/>
        </w:rPr>
        <w:t>increments from 5 to 60,000 psi</w:t>
      </w:r>
      <w:r>
        <w:rPr>
          <w:rFonts w:ascii="Times New Roman" w:hAnsi="Times New Roman"/>
        </w:rPr>
        <w:t xml:space="preserve">. During the gradual pressure release, mercury extrusion is also recorded as a function of pressure. </w:t>
      </w:r>
      <w:r w:rsidRPr="00DC1817">
        <w:rPr>
          <w:rFonts w:ascii="Times New Roman" w:hAnsi="Times New Roman"/>
          <w:b/>
        </w:rPr>
        <w:t xml:space="preserve">Fig </w:t>
      </w:r>
      <w:r w:rsidR="00E43B0B" w:rsidRPr="00DC1817">
        <w:rPr>
          <w:rFonts w:ascii="Times New Roman" w:hAnsi="Times New Roman"/>
          <w:b/>
        </w:rPr>
        <w:t>4.13</w:t>
      </w:r>
      <w:r w:rsidR="00E43B0B">
        <w:rPr>
          <w:rFonts w:ascii="Times New Roman" w:hAnsi="Times New Roman"/>
          <w:b/>
        </w:rPr>
        <w:t xml:space="preserve"> </w:t>
      </w:r>
      <w:r>
        <w:rPr>
          <w:rFonts w:ascii="Times New Roman" w:hAnsi="Times New Roman"/>
        </w:rPr>
        <w:t xml:space="preserve">shows the combination of intrusion and extrusion plots for sample #1. The difference between intrusion and extrusion data highlighted by black arrow proves that a significant amount of injected mercury is trapped inside the rock sample. Pore connectivity is the main reason for this trapped mercury. MICP model is </w:t>
      </w:r>
      <w:r w:rsidR="00160581">
        <w:rPr>
          <w:rFonts w:ascii="Times New Roman" w:hAnsi="Times New Roman"/>
        </w:rPr>
        <w:t>interpreted</w:t>
      </w:r>
      <w:r>
        <w:rPr>
          <w:rFonts w:ascii="Times New Roman" w:hAnsi="Times New Roman"/>
        </w:rPr>
        <w:t xml:space="preserve"> under the assumption that </w:t>
      </w:r>
      <w:r>
        <w:rPr>
          <w:rFonts w:ascii="Times New Roman" w:hAnsi="Times New Roman"/>
        </w:rPr>
        <w:lastRenderedPageBreak/>
        <w:t>all of pores are cylindrical capillaries throughout the sample (</w:t>
      </w:r>
      <w:r w:rsidR="00DC1817" w:rsidRPr="00DC1817">
        <w:rPr>
          <w:rFonts w:ascii="Times New Roman" w:hAnsi="Times New Roman"/>
          <w:b/>
        </w:rPr>
        <w:t xml:space="preserve">Fig </w:t>
      </w:r>
      <w:r w:rsidR="00E43B0B" w:rsidRPr="00DC1817">
        <w:rPr>
          <w:rFonts w:ascii="Times New Roman" w:hAnsi="Times New Roman"/>
          <w:b/>
        </w:rPr>
        <w:t>4.14</w:t>
      </w:r>
      <w:r w:rsidRPr="00877D4E">
        <w:rPr>
          <w:rFonts w:ascii="Times New Roman" w:hAnsi="Times New Roman"/>
        </w:rPr>
        <w:t>), whereas in real</w:t>
      </w:r>
      <w:r w:rsidR="005278AA">
        <w:rPr>
          <w:rFonts w:ascii="Times New Roman" w:hAnsi="Times New Roman"/>
        </w:rPr>
        <w:t>ity</w:t>
      </w:r>
      <w:r w:rsidRPr="00877D4E">
        <w:rPr>
          <w:rFonts w:ascii="Times New Roman" w:hAnsi="Times New Roman"/>
        </w:rPr>
        <w:t>, pore with different sizes are connected together (</w:t>
      </w:r>
      <w:r w:rsidR="00DC1817" w:rsidRPr="00DC1817">
        <w:rPr>
          <w:rFonts w:ascii="Times New Roman" w:hAnsi="Times New Roman"/>
          <w:b/>
        </w:rPr>
        <w:t xml:space="preserve">Fig </w:t>
      </w:r>
      <w:r w:rsidR="00E43B0B" w:rsidRPr="00DC1817">
        <w:rPr>
          <w:rFonts w:ascii="Times New Roman" w:hAnsi="Times New Roman"/>
          <w:b/>
        </w:rPr>
        <w:t>4.14</w:t>
      </w:r>
      <w:r w:rsidRPr="00877D4E">
        <w:rPr>
          <w:rFonts w:ascii="Times New Roman" w:hAnsi="Times New Roman"/>
        </w:rPr>
        <w:t xml:space="preserve">). Large pores where most of fluid is stored are considered pore body while much smaller pores are considered pore throat as they help connecting the pore bodies together. The mercury trapped recognized from </w:t>
      </w:r>
      <w:r w:rsidR="00DC1817" w:rsidRPr="00DC1817">
        <w:rPr>
          <w:rFonts w:ascii="Times New Roman" w:hAnsi="Times New Roman"/>
          <w:b/>
        </w:rPr>
        <w:t xml:space="preserve">Fig </w:t>
      </w:r>
      <w:r w:rsidR="00E43B0B" w:rsidRPr="00DC1817">
        <w:rPr>
          <w:rFonts w:ascii="Times New Roman" w:hAnsi="Times New Roman"/>
          <w:b/>
        </w:rPr>
        <w:t>4.13</w:t>
      </w:r>
      <w:r w:rsidR="00700247" w:rsidRPr="00DC1817">
        <w:rPr>
          <w:rFonts w:ascii="Times New Roman" w:hAnsi="Times New Roman"/>
        </w:rPr>
        <w:t xml:space="preserve"> </w:t>
      </w:r>
      <w:r w:rsidR="00700247">
        <w:rPr>
          <w:rFonts w:ascii="Times New Roman" w:hAnsi="Times New Roman"/>
        </w:rPr>
        <w:t xml:space="preserve">is believed to be </w:t>
      </w:r>
      <w:r>
        <w:rPr>
          <w:rFonts w:ascii="Times New Roman" w:hAnsi="Times New Roman"/>
        </w:rPr>
        <w:t>locate</w:t>
      </w:r>
      <w:r w:rsidR="00700247">
        <w:rPr>
          <w:rFonts w:ascii="Times New Roman" w:hAnsi="Times New Roman"/>
        </w:rPr>
        <w:t>d</w:t>
      </w:r>
      <w:r>
        <w:rPr>
          <w:rFonts w:ascii="Times New Roman" w:hAnsi="Times New Roman"/>
        </w:rPr>
        <w:t xml:space="preserve"> inside the pore bodies.</w:t>
      </w:r>
    </w:p>
    <w:p w:rsidR="00085615" w:rsidRDefault="00085615" w:rsidP="00D97EBD">
      <w:pPr>
        <w:jc w:val="both"/>
        <w:rPr>
          <w:sz w:val="22"/>
        </w:rPr>
      </w:pPr>
    </w:p>
    <w:p w:rsidR="005278AA" w:rsidRPr="008C3774" w:rsidRDefault="005278AA" w:rsidP="00D97EBD">
      <w:pPr>
        <w:jc w:val="both"/>
        <w:rPr>
          <w:sz w:val="22"/>
        </w:rPr>
      </w:pPr>
      <w:r>
        <w:rPr>
          <w:noProof/>
          <w:lang w:bidi="ar-SA"/>
        </w:rPr>
        <mc:AlternateContent>
          <mc:Choice Requires="wps">
            <w:drawing>
              <wp:anchor distT="0" distB="0" distL="114300" distR="114300" simplePos="0" relativeHeight="251626496" behindDoc="0" locked="0" layoutInCell="1" allowOverlap="1" wp14:anchorId="4B99D7C9" wp14:editId="6F7C2773">
                <wp:simplePos x="0" y="0"/>
                <wp:positionH relativeFrom="column">
                  <wp:posOffset>103292</wp:posOffset>
                </wp:positionH>
                <wp:positionV relativeFrom="paragraph">
                  <wp:posOffset>1744557</wp:posOffset>
                </wp:positionV>
                <wp:extent cx="1602317" cy="124883"/>
                <wp:effectExtent l="0" t="4127" r="13017" b="13018"/>
                <wp:wrapNone/>
                <wp:docPr id="242" name="Left-Right Arrow 33"/>
                <wp:cNvGraphicFramePr/>
                <a:graphic xmlns:a="http://schemas.openxmlformats.org/drawingml/2006/main">
                  <a:graphicData uri="http://schemas.microsoft.com/office/word/2010/wordprocessingShape">
                    <wps:wsp>
                      <wps:cNvSpPr/>
                      <wps:spPr>
                        <a:xfrm rot="5400000">
                          <a:off x="0" y="0"/>
                          <a:ext cx="1602317" cy="124883"/>
                        </a:xfrm>
                        <a:prstGeom prst="lef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9DFAE07"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33" o:spid="_x0000_s1026" type="#_x0000_t69" style="position:absolute;margin-left:8.15pt;margin-top:137.35pt;width:126.15pt;height:9.85pt;rotation:90;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" adj="842" fillcolor="black [3213]" strokecolor="black [3213]" strokeweight="2pt"/>
            </w:pict>
          </mc:Fallback>
        </mc:AlternateContent>
      </w:r>
      <w:r>
        <w:rPr>
          <w:noProof/>
          <w:lang w:bidi="ar-SA"/>
        </w:rPr>
        <w:drawing>
          <wp:inline distT="0" distB="0" distL="0" distR="0" wp14:anchorId="1865E4C7" wp14:editId="626C4ABD">
            <wp:extent cx="5394960" cy="3395134"/>
            <wp:effectExtent l="0" t="0" r="0" b="0"/>
            <wp:docPr id="243" name="Chart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501C40" w:rsidRPr="008C3774" w:rsidRDefault="00E34348" w:rsidP="00D97EBD">
      <w:pPr>
        <w:jc w:val="both"/>
        <w:rPr>
          <w:rFonts w:asciiTheme="majorHAnsi" w:hAnsiTheme="majorHAnsi"/>
          <w:b/>
          <w:bCs/>
          <w:szCs w:val="32"/>
        </w:rPr>
      </w:pPr>
      <w:r>
        <w:rPr>
          <w:rFonts w:asciiTheme="majorHAnsi" w:hAnsiTheme="majorHAnsi"/>
          <w:b/>
          <w:bCs/>
          <w:szCs w:val="32"/>
        </w:rPr>
        <w:t>Figure 4.13</w:t>
      </w:r>
      <w:r w:rsidR="00501C40" w:rsidRPr="008C3774">
        <w:rPr>
          <w:rFonts w:asciiTheme="majorHAnsi" w:hAnsiTheme="majorHAnsi"/>
          <w:b/>
          <w:bCs/>
          <w:szCs w:val="32"/>
        </w:rPr>
        <w:t xml:space="preserve">: </w:t>
      </w:r>
      <w:r w:rsidR="008C3774" w:rsidRPr="008C3774">
        <w:rPr>
          <w:rFonts w:asciiTheme="majorHAnsi" w:hAnsiTheme="majorHAnsi"/>
          <w:b/>
          <w:bCs/>
          <w:szCs w:val="32"/>
        </w:rPr>
        <w:t>Mercury intrusion and extrusion as a function of pressure of sample #1. Black arrow indicates the difference between intrusion and extrusion profile, which represent the amount of mercury trapped inside rock sample.</w:t>
      </w:r>
    </w:p>
    <w:p w:rsidR="00085615" w:rsidRDefault="00085615" w:rsidP="00D97EBD">
      <w:pPr>
        <w:jc w:val="both"/>
        <w:rPr>
          <w:sz w:val="22"/>
        </w:rPr>
      </w:pPr>
      <w:r w:rsidRPr="008C3774">
        <w:rPr>
          <w:sz w:val="22"/>
        </w:rPr>
        <w:br w:type="page"/>
      </w:r>
    </w:p>
    <w:p w:rsidR="008C3774" w:rsidRDefault="008C3774" w:rsidP="00D97EBD">
      <w:pPr>
        <w:jc w:val="both"/>
        <w:rPr>
          <w:sz w:val="22"/>
        </w:rPr>
      </w:pPr>
      <w:r>
        <w:rPr>
          <w:noProof/>
          <w:lang w:bidi="ar-SA"/>
        </w:rPr>
        <w:lastRenderedPageBreak/>
        <w:drawing>
          <wp:inline distT="0" distB="0" distL="0" distR="0" wp14:anchorId="046CAA74" wp14:editId="57D3CF39">
            <wp:extent cx="2579298" cy="15268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0"/>
                    <a:srcRect b="53924"/>
                    <a:stretch/>
                  </pic:blipFill>
                  <pic:spPr bwMode="auto">
                    <a:xfrm>
                      <a:off x="0" y="0"/>
                      <a:ext cx="2587081" cy="1531482"/>
                    </a:xfrm>
                    <a:prstGeom prst="rect">
                      <a:avLst/>
                    </a:prstGeom>
                    <a:ln>
                      <a:noFill/>
                    </a:ln>
                    <a:extLst>
                      <a:ext uri="{53640926-AAD7-44D8-BBD7-CCE9431645EC}">
                        <a14:shadowObscured xmlns:a14="http://schemas.microsoft.com/office/drawing/2010/main"/>
                      </a:ext>
                    </a:extLst>
                  </pic:spPr>
                </pic:pic>
              </a:graphicData>
            </a:graphic>
          </wp:inline>
        </w:drawing>
      </w:r>
      <w:r w:rsidR="00D97EBD">
        <w:rPr>
          <w:noProof/>
          <w:lang w:bidi="ar-SA"/>
        </w:rPr>
        <w:drawing>
          <wp:inline distT="0" distB="0" distL="0" distR="0" wp14:anchorId="73C1A88D" wp14:editId="676C2A2C">
            <wp:extent cx="2579298" cy="156321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2578807" cy="1562913"/>
                    </a:xfrm>
                    <a:prstGeom prst="rect">
                      <a:avLst/>
                    </a:prstGeom>
                  </pic:spPr>
                </pic:pic>
              </a:graphicData>
            </a:graphic>
          </wp:inline>
        </w:drawing>
      </w:r>
    </w:p>
    <w:p w:rsidR="00D97EBD" w:rsidRDefault="00D97EBD" w:rsidP="00D97EBD">
      <w:pPr>
        <w:jc w:val="both"/>
        <w:rPr>
          <w:sz w:val="22"/>
        </w:rPr>
      </w:pPr>
    </w:p>
    <w:p w:rsidR="008C3774" w:rsidRDefault="00D97EBD" w:rsidP="00D97EBD">
      <w:pPr>
        <w:jc w:val="both"/>
        <w:rPr>
          <w:b/>
          <w:sz w:val="22"/>
        </w:rPr>
      </w:pPr>
      <w:r>
        <w:rPr>
          <w:b/>
          <w:sz w:val="22"/>
        </w:rPr>
        <w:t>Fig</w:t>
      </w:r>
      <w:r w:rsidR="00E34348">
        <w:rPr>
          <w:b/>
          <w:sz w:val="22"/>
        </w:rPr>
        <w:t>ure 4.14</w:t>
      </w:r>
      <w:r>
        <w:rPr>
          <w:b/>
          <w:sz w:val="22"/>
        </w:rPr>
        <w:t>: MICP model assumption that all pores (blue) are homogeneous in size (left figure) versus real life scenario where pores with different sizes are mixed together</w:t>
      </w:r>
    </w:p>
    <w:p w:rsidR="00D97EBD" w:rsidRPr="00D97EBD" w:rsidRDefault="00D97EBD" w:rsidP="00D97EBD">
      <w:pPr>
        <w:jc w:val="both"/>
        <w:rPr>
          <w:b/>
          <w:sz w:val="22"/>
        </w:rPr>
      </w:pPr>
    </w:p>
    <w:p w:rsidR="008C3774" w:rsidRDefault="008C3774" w:rsidP="00D97EBD">
      <w:pPr>
        <w:spacing w:line="240" w:lineRule="auto"/>
        <w:jc w:val="both"/>
      </w:pPr>
      <w:r>
        <w:rPr>
          <w:noProof/>
          <w:lang w:bidi="ar-SA"/>
        </w:rPr>
        <w:drawing>
          <wp:inline distT="0" distB="0" distL="0" distR="0" wp14:anchorId="3B9ACB0D" wp14:editId="3C6C8F3C">
            <wp:extent cx="5394960" cy="333846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394960" cy="3338465"/>
                    </a:xfrm>
                    <a:prstGeom prst="rect">
                      <a:avLst/>
                    </a:prstGeom>
                  </pic:spPr>
                </pic:pic>
              </a:graphicData>
            </a:graphic>
          </wp:inline>
        </w:drawing>
      </w:r>
    </w:p>
    <w:p w:rsidR="008C3774" w:rsidRDefault="008C3774" w:rsidP="00D97EBD">
      <w:pPr>
        <w:jc w:val="both"/>
      </w:pPr>
    </w:p>
    <w:p w:rsidR="008C3774" w:rsidRDefault="008C3774" w:rsidP="00D97EBD">
      <w:pPr>
        <w:jc w:val="both"/>
        <w:rPr>
          <w:b/>
        </w:rPr>
      </w:pPr>
      <w:r>
        <w:rPr>
          <w:b/>
        </w:rPr>
        <w:t>Fig</w:t>
      </w:r>
      <w:r w:rsidR="00DC1817">
        <w:rPr>
          <w:b/>
        </w:rPr>
        <w:t>ure</w:t>
      </w:r>
      <w:r w:rsidR="00E34348">
        <w:rPr>
          <w:b/>
        </w:rPr>
        <w:t xml:space="preserve"> 4.15</w:t>
      </w:r>
      <w:r>
        <w:rPr>
          <w:b/>
        </w:rPr>
        <w:t>: Comparison of MICP pore volume distribution and SEM imaging pore area distribution</w:t>
      </w:r>
      <w:r w:rsidR="003945A8">
        <w:rPr>
          <w:b/>
        </w:rPr>
        <w:t xml:space="preserve"> of sample #1</w:t>
      </w:r>
      <w:r>
        <w:rPr>
          <w:b/>
        </w:rPr>
        <w:t xml:space="preserve">. </w:t>
      </w:r>
      <w:r w:rsidR="00160581">
        <w:rPr>
          <w:b/>
        </w:rPr>
        <w:t>While each distribution has one dominant p</w:t>
      </w:r>
      <w:r w:rsidR="00BA1CFA">
        <w:rPr>
          <w:b/>
        </w:rPr>
        <w:t>ea</w:t>
      </w:r>
      <w:r w:rsidR="00160581">
        <w:rPr>
          <w:b/>
        </w:rPr>
        <w:t>k, they are not at the same pore radius.</w:t>
      </w:r>
    </w:p>
    <w:p w:rsidR="00D97EBD" w:rsidRPr="00D97EBD" w:rsidRDefault="00085615" w:rsidP="00D97EBD">
      <w:pPr>
        <w:jc w:val="both"/>
        <w:rPr>
          <w:rFonts w:asciiTheme="majorHAnsi" w:hAnsiTheme="majorHAnsi"/>
          <w:b/>
          <w:bCs/>
          <w:sz w:val="28"/>
          <w:szCs w:val="32"/>
        </w:rPr>
      </w:pPr>
      <w:r>
        <w:br w:type="page"/>
      </w:r>
      <w:r w:rsidR="00D97EBD">
        <w:rPr>
          <w:rFonts w:ascii="Times New Roman" w:hAnsi="Times New Roman"/>
        </w:rPr>
        <w:lastRenderedPageBreak/>
        <w:t xml:space="preserve">While MICP results provide pore </w:t>
      </w:r>
      <w:r w:rsidR="00160581">
        <w:rPr>
          <w:rFonts w:ascii="Times New Roman" w:hAnsi="Times New Roman"/>
        </w:rPr>
        <w:t xml:space="preserve">throat access </w:t>
      </w:r>
      <w:r w:rsidR="00D97EBD">
        <w:rPr>
          <w:rFonts w:ascii="Times New Roman" w:hAnsi="Times New Roman"/>
        </w:rPr>
        <w:t xml:space="preserve">volume distribution, pore area </w:t>
      </w:r>
      <w:r w:rsidR="00BA1CFA">
        <w:rPr>
          <w:rFonts w:ascii="Times New Roman" w:hAnsi="Times New Roman"/>
        </w:rPr>
        <w:t>is</w:t>
      </w:r>
      <w:r w:rsidR="00D97EBD">
        <w:rPr>
          <w:rFonts w:ascii="Times New Roman" w:hAnsi="Times New Roman"/>
        </w:rPr>
        <w:t xml:space="preserve"> acquired from SEM imaging data. It is necessary to combine these two to fully understand the pore distribution. It is worth noticing that MICP is able to provide inf</w:t>
      </w:r>
      <w:r w:rsidR="00700247">
        <w:rPr>
          <w:rFonts w:ascii="Times New Roman" w:hAnsi="Times New Roman"/>
        </w:rPr>
        <w:t>ormation at better resolution (3</w:t>
      </w:r>
      <w:r w:rsidR="00D97EBD">
        <w:rPr>
          <w:rFonts w:ascii="Times New Roman" w:hAnsi="Times New Roman"/>
        </w:rPr>
        <w:t xml:space="preserve"> nm) compared to SEM imaging (10 nm). An example for sample #1 is </w:t>
      </w:r>
      <w:r w:rsidR="00D97EBD" w:rsidRPr="00877D4E">
        <w:rPr>
          <w:rFonts w:ascii="Times New Roman" w:hAnsi="Times New Roman"/>
        </w:rPr>
        <w:t>showed (</w:t>
      </w:r>
      <w:r w:rsidR="00DC1817" w:rsidRPr="00662D86">
        <w:rPr>
          <w:rFonts w:ascii="Times New Roman" w:hAnsi="Times New Roman"/>
          <w:b/>
        </w:rPr>
        <w:t xml:space="preserve">Fig </w:t>
      </w:r>
      <w:r w:rsidR="00E43B0B" w:rsidRPr="00662D86">
        <w:rPr>
          <w:rFonts w:ascii="Times New Roman" w:hAnsi="Times New Roman"/>
          <w:b/>
        </w:rPr>
        <w:t>4.15</w:t>
      </w:r>
      <w:r w:rsidR="00700247">
        <w:rPr>
          <w:rFonts w:ascii="Times New Roman" w:hAnsi="Times New Roman"/>
        </w:rPr>
        <w:t>). The two plots do not</w:t>
      </w:r>
      <w:r w:rsidR="00D97EBD" w:rsidRPr="00877D4E">
        <w:rPr>
          <w:rFonts w:ascii="Times New Roman" w:hAnsi="Times New Roman"/>
        </w:rPr>
        <w:t xml:space="preserve"> match; instead, two distinctive peaks are observed. The MICP peak (1) is expected to represent pore throats, while the SEM peak (2) is expected to represent the pore bodies. </w:t>
      </w:r>
      <w:r w:rsidR="00DC1817">
        <w:rPr>
          <w:rFonts w:ascii="Times New Roman" w:hAnsi="Times New Roman"/>
        </w:rPr>
        <w:t xml:space="preserve">Fig </w:t>
      </w:r>
      <w:r w:rsidR="00E43B0B" w:rsidRPr="00877D4E">
        <w:rPr>
          <w:rFonts w:ascii="Times New Roman" w:hAnsi="Times New Roman"/>
        </w:rPr>
        <w:t>4.16</w:t>
      </w:r>
      <w:r w:rsidR="00D97EBD" w:rsidRPr="00877D4E">
        <w:rPr>
          <w:rFonts w:ascii="Times New Roman" w:hAnsi="Times New Roman"/>
        </w:rPr>
        <w:t xml:space="preserve"> shows the MICP/SEM combination for all of the 24 Wolfcamp samples. Both MICP and SEM</w:t>
      </w:r>
      <w:r w:rsidR="00D97EBD">
        <w:rPr>
          <w:rFonts w:ascii="Times New Roman" w:hAnsi="Times New Roman"/>
        </w:rPr>
        <w:t xml:space="preserve"> plots show strong consistency between the samples as two distinctive groups of </w:t>
      </w:r>
      <w:r w:rsidR="00182E7D">
        <w:rPr>
          <w:rFonts w:ascii="Times New Roman" w:hAnsi="Times New Roman"/>
        </w:rPr>
        <w:t>peaks</w:t>
      </w:r>
      <w:r w:rsidR="00D97EBD">
        <w:rPr>
          <w:rFonts w:ascii="Times New Roman" w:hAnsi="Times New Roman"/>
        </w:rPr>
        <w:t xml:space="preserve"> are observed. From MICP data, </w:t>
      </w:r>
      <w:r w:rsidR="00700247">
        <w:rPr>
          <w:rFonts w:ascii="Times New Roman" w:hAnsi="Times New Roman"/>
        </w:rPr>
        <w:t xml:space="preserve">the diameter of </w:t>
      </w:r>
      <w:r w:rsidR="00D97EBD">
        <w:rPr>
          <w:rFonts w:ascii="Times New Roman" w:hAnsi="Times New Roman"/>
        </w:rPr>
        <w:t xml:space="preserve">most of pore population ranges from </w:t>
      </w:r>
      <w:r w:rsidR="00700247">
        <w:rPr>
          <w:rFonts w:ascii="Times New Roman" w:hAnsi="Times New Roman"/>
        </w:rPr>
        <w:t>4 to 8</w:t>
      </w:r>
      <w:r w:rsidR="00D97EBD">
        <w:rPr>
          <w:rFonts w:ascii="Times New Roman" w:hAnsi="Times New Roman"/>
        </w:rPr>
        <w:t xml:space="preserve"> nm; from SEM data,</w:t>
      </w:r>
      <w:r w:rsidR="00700247">
        <w:rPr>
          <w:rFonts w:ascii="Times New Roman" w:hAnsi="Times New Roman"/>
        </w:rPr>
        <w:t xml:space="preserve"> the diameter</w:t>
      </w:r>
      <w:r w:rsidR="00D97EBD">
        <w:rPr>
          <w:rFonts w:ascii="Times New Roman" w:hAnsi="Times New Roman"/>
        </w:rPr>
        <w:t xml:space="preserve"> </w:t>
      </w:r>
      <w:r w:rsidR="00700247">
        <w:rPr>
          <w:rFonts w:ascii="Times New Roman" w:hAnsi="Times New Roman"/>
        </w:rPr>
        <w:t xml:space="preserve">of </w:t>
      </w:r>
      <w:r w:rsidR="00D97EBD">
        <w:rPr>
          <w:rFonts w:ascii="Times New Roman" w:hAnsi="Times New Roman"/>
        </w:rPr>
        <w:t xml:space="preserve">most </w:t>
      </w:r>
      <w:r w:rsidR="00700247">
        <w:rPr>
          <w:rFonts w:ascii="Times New Roman" w:hAnsi="Times New Roman"/>
        </w:rPr>
        <w:t>of pore population ranges from 200 to 4</w:t>
      </w:r>
      <w:r w:rsidR="00D97EBD">
        <w:rPr>
          <w:rFonts w:ascii="Times New Roman" w:hAnsi="Times New Roman"/>
        </w:rPr>
        <w:t xml:space="preserve">00 nm. Do the difference between MICP and SEM data related to the difference between mercury intrusion and extrusion </w:t>
      </w:r>
      <w:r w:rsidR="00D97EBD" w:rsidRPr="00877D4E">
        <w:rPr>
          <w:rFonts w:ascii="Times New Roman" w:hAnsi="Times New Roman"/>
        </w:rPr>
        <w:t xml:space="preserve">profiles? To answer that, </w:t>
      </w:r>
      <w:r w:rsidR="00160581">
        <w:rPr>
          <w:rFonts w:ascii="Times New Roman" w:hAnsi="Times New Roman"/>
        </w:rPr>
        <w:t xml:space="preserve">the </w:t>
      </w:r>
      <w:r w:rsidR="00D97EBD" w:rsidRPr="00877D4E">
        <w:rPr>
          <w:rFonts w:ascii="Times New Roman" w:hAnsi="Times New Roman"/>
        </w:rPr>
        <w:t>ratio between pore body from SEM distribution and pore throat from MICP distribution is plotted with the intrusion/extrusion difference for each of the samples (</w:t>
      </w:r>
      <w:r w:rsidR="00182E7D" w:rsidRPr="00662D86">
        <w:rPr>
          <w:rFonts w:ascii="Times New Roman" w:hAnsi="Times New Roman"/>
          <w:b/>
        </w:rPr>
        <w:t>Fig 4.17</w:t>
      </w:r>
      <w:r w:rsidR="00D97EBD" w:rsidRPr="00877D4E">
        <w:rPr>
          <w:rFonts w:ascii="Times New Roman" w:hAnsi="Times New Roman"/>
        </w:rPr>
        <w:t xml:space="preserve">). The amount of mercury trapped inside the pore system appears to be directly proportional to the ratio of pore body to pore throat. This result strongly </w:t>
      </w:r>
      <w:r w:rsidR="00182E7D" w:rsidRPr="00877D4E">
        <w:rPr>
          <w:rFonts w:ascii="Times New Roman" w:hAnsi="Times New Roman"/>
        </w:rPr>
        <w:t>agrees</w:t>
      </w:r>
      <w:r w:rsidR="00D97EBD" w:rsidRPr="00877D4E">
        <w:rPr>
          <w:rFonts w:ascii="Times New Roman" w:hAnsi="Times New Roman"/>
        </w:rPr>
        <w:t xml:space="preserve"> with earlier study by Wardlaw and McKellar where experimental evidence is presented from glass micromodels and from reservoir rocks that the volume of residual mercury trapped during pressure reduction increases as pore to throat size ratio increases (</w:t>
      </w:r>
      <w:r w:rsidR="00182E7D" w:rsidRPr="00662D86">
        <w:rPr>
          <w:rFonts w:ascii="Times New Roman" w:hAnsi="Times New Roman"/>
          <w:b/>
        </w:rPr>
        <w:t>Fig 4.18</w:t>
      </w:r>
      <w:r w:rsidR="00D97EBD" w:rsidRPr="00877D4E">
        <w:rPr>
          <w:rFonts w:ascii="Times New Roman" w:hAnsi="Times New Roman"/>
        </w:rPr>
        <w:t>). It can be concluded that MICP is able to provide information about</w:t>
      </w:r>
      <w:r w:rsidR="00D97EBD">
        <w:rPr>
          <w:rFonts w:ascii="Times New Roman" w:hAnsi="Times New Roman"/>
        </w:rPr>
        <w:t xml:space="preserve"> pore throats that SEM imaging is unable to acquire due to resolution limitation.    </w:t>
      </w:r>
    </w:p>
    <w:p w:rsidR="00085615" w:rsidRDefault="00085615">
      <w:pPr>
        <w:spacing w:line="240" w:lineRule="auto"/>
        <w:rPr>
          <w:rFonts w:asciiTheme="majorHAnsi" w:hAnsiTheme="majorHAnsi"/>
          <w:b/>
          <w:bCs/>
          <w:sz w:val="28"/>
          <w:szCs w:val="32"/>
        </w:rPr>
      </w:pPr>
    </w:p>
    <w:p w:rsidR="00085615" w:rsidRDefault="00085615">
      <w:pPr>
        <w:spacing w:line="240" w:lineRule="auto"/>
        <w:rPr>
          <w:rFonts w:asciiTheme="majorHAnsi" w:hAnsiTheme="majorHAnsi"/>
          <w:b/>
          <w:bCs/>
          <w:sz w:val="28"/>
          <w:szCs w:val="32"/>
        </w:rPr>
      </w:pPr>
      <w:r>
        <w:br w:type="page"/>
      </w:r>
    </w:p>
    <w:p w:rsidR="00D97EBD" w:rsidRDefault="00D97EBD" w:rsidP="00D97EBD">
      <w:pPr>
        <w:jc w:val="both"/>
        <w:rPr>
          <w:b/>
        </w:rPr>
      </w:pPr>
      <w:r>
        <w:rPr>
          <w:noProof/>
          <w:lang w:bidi="ar-SA"/>
        </w:rPr>
        <w:lastRenderedPageBreak/>
        <w:drawing>
          <wp:inline distT="0" distB="0" distL="0" distR="0" wp14:anchorId="2BBFBEA6" wp14:editId="7601B593">
            <wp:extent cx="5629275" cy="29051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629275" cy="2905125"/>
                    </a:xfrm>
                    <a:prstGeom prst="rect">
                      <a:avLst/>
                    </a:prstGeom>
                  </pic:spPr>
                </pic:pic>
              </a:graphicData>
            </a:graphic>
          </wp:inline>
        </w:drawing>
      </w:r>
      <w:r>
        <w:rPr>
          <w:b/>
        </w:rPr>
        <w:t>Fig</w:t>
      </w:r>
      <w:r w:rsidR="00E34348">
        <w:rPr>
          <w:b/>
        </w:rPr>
        <w:t>ure 4.16</w:t>
      </w:r>
      <w:r>
        <w:rPr>
          <w:b/>
        </w:rPr>
        <w:t>: Comparison of MICP pore volume distribution and SEM imaging pore area distribution for the 24</w:t>
      </w:r>
      <w:r w:rsidR="005B2B7F">
        <w:rPr>
          <w:b/>
        </w:rPr>
        <w:t xml:space="preserve"> Wolfcamp samples. Two separate</w:t>
      </w:r>
      <w:r>
        <w:rPr>
          <w:b/>
        </w:rPr>
        <w:t xml:space="preserve"> peaks are still observed.</w:t>
      </w:r>
    </w:p>
    <w:p w:rsidR="00085615" w:rsidRDefault="00085615">
      <w:pPr>
        <w:spacing w:line="240" w:lineRule="auto"/>
        <w:rPr>
          <w:rFonts w:asciiTheme="majorHAnsi" w:hAnsiTheme="majorHAnsi"/>
          <w:b/>
          <w:bCs/>
          <w:sz w:val="28"/>
          <w:szCs w:val="32"/>
        </w:rPr>
      </w:pPr>
    </w:p>
    <w:p w:rsidR="00577975" w:rsidRDefault="00D97EBD" w:rsidP="00D97EBD">
      <w:pPr>
        <w:spacing w:line="240" w:lineRule="auto"/>
        <w:jc w:val="center"/>
      </w:pPr>
      <w:r w:rsidRPr="00D97EBD">
        <w:rPr>
          <w:noProof/>
          <w:lang w:bidi="ar-SA"/>
        </w:rPr>
        <w:drawing>
          <wp:inline distT="0" distB="0" distL="0" distR="0" wp14:anchorId="3A9FCF59" wp14:editId="1FE2686B">
            <wp:extent cx="5394960" cy="2791431"/>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577975" w:rsidRDefault="00577975" w:rsidP="00577975">
      <w:pPr>
        <w:jc w:val="both"/>
        <w:rPr>
          <w:b/>
        </w:rPr>
      </w:pPr>
      <w:r>
        <w:rPr>
          <w:b/>
        </w:rPr>
        <w:t>Fig</w:t>
      </w:r>
      <w:r w:rsidR="00E34348">
        <w:rPr>
          <w:b/>
        </w:rPr>
        <w:t>ure 4.17</w:t>
      </w:r>
      <w:r>
        <w:rPr>
          <w:b/>
        </w:rPr>
        <w:t>: Difference between mercury intrusion and extrusion versus pore</w:t>
      </w:r>
      <w:r w:rsidR="00700247">
        <w:rPr>
          <w:b/>
        </w:rPr>
        <w:t xml:space="preserve"> body</w:t>
      </w:r>
      <w:r>
        <w:rPr>
          <w:b/>
        </w:rPr>
        <w:t xml:space="preserve"> to throat ratio shows a directly proportional relationship.</w:t>
      </w:r>
    </w:p>
    <w:p w:rsidR="00577975" w:rsidRDefault="00577975" w:rsidP="00577975">
      <w:pPr>
        <w:jc w:val="both"/>
        <w:rPr>
          <w:b/>
        </w:rPr>
      </w:pPr>
    </w:p>
    <w:p w:rsidR="00577975" w:rsidRDefault="00577975" w:rsidP="00577975">
      <w:pPr>
        <w:jc w:val="both"/>
        <w:rPr>
          <w:b/>
        </w:rPr>
      </w:pPr>
    </w:p>
    <w:p w:rsidR="00577975" w:rsidRDefault="00577975" w:rsidP="00577975">
      <w:pPr>
        <w:jc w:val="both"/>
        <w:rPr>
          <w:b/>
        </w:rPr>
      </w:pPr>
    </w:p>
    <w:p w:rsidR="00577975" w:rsidRDefault="00577975" w:rsidP="00577975">
      <w:pPr>
        <w:jc w:val="center"/>
      </w:pPr>
      <w:r>
        <w:rPr>
          <w:noProof/>
          <w:lang w:bidi="ar-SA"/>
        </w:rPr>
        <w:drawing>
          <wp:inline distT="0" distB="0" distL="0" distR="0" wp14:anchorId="4BCC979A" wp14:editId="02E0DAC5">
            <wp:extent cx="2515895" cy="2182091"/>
            <wp:effectExtent l="0" t="0" r="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2528795" cy="2193279"/>
                    </a:xfrm>
                    <a:prstGeom prst="rect">
                      <a:avLst/>
                    </a:prstGeom>
                  </pic:spPr>
                </pic:pic>
              </a:graphicData>
            </a:graphic>
          </wp:inline>
        </w:drawing>
      </w:r>
    </w:p>
    <w:p w:rsidR="00577975" w:rsidRDefault="00577975" w:rsidP="00577975">
      <w:pPr>
        <w:jc w:val="both"/>
        <w:rPr>
          <w:b/>
        </w:rPr>
      </w:pPr>
      <w:r>
        <w:rPr>
          <w:b/>
        </w:rPr>
        <w:t>Fig</w:t>
      </w:r>
      <w:r w:rsidR="00E34348">
        <w:rPr>
          <w:b/>
        </w:rPr>
        <w:t>ure 4.18</w:t>
      </w:r>
      <w:r>
        <w:rPr>
          <w:b/>
        </w:rPr>
        <w:t>: Glass model with mercury. Lower part shows the residual trapped mercury (Wardlaw and McKellar, 1981)</w:t>
      </w:r>
    </w:p>
    <w:p w:rsidR="00577975" w:rsidRDefault="00577975" w:rsidP="00577975">
      <w:pPr>
        <w:jc w:val="both"/>
        <w:rPr>
          <w:b/>
        </w:rPr>
      </w:pPr>
    </w:p>
    <w:p w:rsidR="00A325FE" w:rsidRDefault="00A325FE" w:rsidP="006204F6">
      <w:pPr>
        <w:pStyle w:val="Heading3"/>
      </w:pPr>
      <w:r>
        <w:t xml:space="preserve">4.1.5 </w:t>
      </w:r>
      <w:r w:rsidRPr="00D778D7">
        <w:t xml:space="preserve">Imaging Data versus </w:t>
      </w:r>
      <w:r>
        <w:t>NMR Data</w:t>
      </w:r>
    </w:p>
    <w:p w:rsidR="00577975" w:rsidRDefault="00577975" w:rsidP="00577975">
      <w:pPr>
        <w:jc w:val="center"/>
        <w:rPr>
          <w:i/>
        </w:rPr>
      </w:pPr>
    </w:p>
    <w:p w:rsidR="00577975" w:rsidRDefault="00577975" w:rsidP="00160581">
      <w:pPr>
        <w:jc w:val="both"/>
        <w:rPr>
          <w:rFonts w:ascii="Times New Roman" w:hAnsi="Times New Roman"/>
        </w:rPr>
      </w:pPr>
      <w:r>
        <w:rPr>
          <w:rFonts w:ascii="Times New Roman" w:hAnsi="Times New Roman"/>
        </w:rPr>
        <w:t xml:space="preserve">Nuclear magnetic resonance (NMR) was performed on the </w:t>
      </w:r>
      <w:r w:rsidR="005B2B7F">
        <w:rPr>
          <w:rFonts w:ascii="Times New Roman" w:hAnsi="Times New Roman"/>
        </w:rPr>
        <w:t>native-state samples</w:t>
      </w:r>
      <w:r>
        <w:rPr>
          <w:rFonts w:ascii="Times New Roman" w:hAnsi="Times New Roman"/>
        </w:rPr>
        <w:t>. Pore volume d</w:t>
      </w:r>
      <w:r w:rsidR="005B2B7F">
        <w:rPr>
          <w:rFonts w:ascii="Times New Roman" w:hAnsi="Times New Roman"/>
        </w:rPr>
        <w:t xml:space="preserve">istribution </w:t>
      </w:r>
      <w:r w:rsidR="00160581">
        <w:rPr>
          <w:rFonts w:ascii="Times New Roman" w:hAnsi="Times New Roman"/>
        </w:rPr>
        <w:t>is</w:t>
      </w:r>
      <w:r w:rsidR="005B2B7F">
        <w:rPr>
          <w:rFonts w:ascii="Times New Roman" w:hAnsi="Times New Roman"/>
        </w:rPr>
        <w:t xml:space="preserve"> plotted</w:t>
      </w:r>
      <w:r>
        <w:rPr>
          <w:rFonts w:ascii="Times New Roman" w:hAnsi="Times New Roman"/>
        </w:rPr>
        <w:t xml:space="preserve"> with the increasing T</w:t>
      </w:r>
      <w:r>
        <w:rPr>
          <w:rFonts w:ascii="Times New Roman" w:hAnsi="Times New Roman"/>
          <w:vertAlign w:val="subscript"/>
        </w:rPr>
        <w:t>2</w:t>
      </w:r>
      <w:r>
        <w:rPr>
          <w:rFonts w:ascii="Times New Roman" w:hAnsi="Times New Roman"/>
        </w:rPr>
        <w:t xml:space="preserve"> relaxation time. While it is fairly easy to combine SEM data with MICP data, comparing SEM data with NMR data requires T</w:t>
      </w:r>
      <w:r>
        <w:rPr>
          <w:rFonts w:ascii="Times New Roman" w:hAnsi="Times New Roman"/>
          <w:vertAlign w:val="subscript"/>
        </w:rPr>
        <w:t>2</w:t>
      </w:r>
      <w:r>
        <w:rPr>
          <w:rFonts w:ascii="Times New Roman" w:hAnsi="Times New Roman"/>
        </w:rPr>
        <w:t xml:space="preserve"> – pore radius</w:t>
      </w:r>
      <w:r w:rsidR="005B2B7F">
        <w:rPr>
          <w:rFonts w:ascii="Times New Roman" w:hAnsi="Times New Roman"/>
        </w:rPr>
        <w:t xml:space="preserve"> conversion. Assuming </w:t>
      </w:r>
      <w:r>
        <w:rPr>
          <w:rFonts w:ascii="Times New Roman" w:hAnsi="Times New Roman"/>
        </w:rPr>
        <w:t>all pores from SEM data are spherical, equivalent pore radius R</w:t>
      </w:r>
      <w:r w:rsidR="005B2B7F">
        <w:rPr>
          <w:rFonts w:ascii="Times New Roman" w:hAnsi="Times New Roman"/>
        </w:rPr>
        <w:t xml:space="preserve"> (µm)</w:t>
      </w:r>
      <w:r>
        <w:rPr>
          <w:rFonts w:ascii="Times New Roman" w:hAnsi="Times New Roman"/>
        </w:rPr>
        <w:t xml:space="preserve"> is related to T</w:t>
      </w:r>
      <w:r>
        <w:rPr>
          <w:rFonts w:ascii="Times New Roman" w:hAnsi="Times New Roman"/>
          <w:vertAlign w:val="subscript"/>
        </w:rPr>
        <w:t>2</w:t>
      </w:r>
      <w:r>
        <w:rPr>
          <w:rFonts w:ascii="Times New Roman" w:hAnsi="Times New Roman"/>
        </w:rPr>
        <w:t xml:space="preserve"> relaxation time as:</w:t>
      </w:r>
    </w:p>
    <w:p w:rsidR="00577975" w:rsidRPr="001111AA" w:rsidRDefault="001E1AF0" w:rsidP="00160581">
      <w:pPr>
        <w:jc w:val="both"/>
        <w:rPr>
          <w:rFonts w:ascii="Times New Roman" w:eastAsiaTheme="minorEastAsia" w:hAnsi="Times New Roman"/>
        </w:rPr>
      </w:pPr>
      <m:oMathPara>
        <m:oMath>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f>
            <m:fPr>
              <m:ctrlPr>
                <w:rPr>
                  <w:rFonts w:ascii="Cambria Math" w:eastAsiaTheme="minorEastAsia" w:hAnsi="Cambria Math"/>
                  <w:i/>
                </w:rPr>
              </m:ctrlPr>
            </m:fPr>
            <m:num>
              <m:r>
                <w:rPr>
                  <w:rFonts w:ascii="Cambria Math" w:hAnsi="Cambria Math"/>
                </w:rPr>
                <m:t>1000*R</m:t>
              </m:r>
            </m:num>
            <m:den>
              <m:r>
                <w:rPr>
                  <w:rFonts w:ascii="Cambria Math" w:eastAsiaTheme="minorEastAsia" w:hAnsi="Cambria Math"/>
                </w:rPr>
                <m:t>3*</m:t>
              </m:r>
              <m:sSub>
                <m:sSubPr>
                  <m:ctrlPr>
                    <w:rPr>
                      <w:rFonts w:ascii="Cambria Math" w:eastAsiaTheme="minorEastAsia" w:hAnsi="Cambria Math"/>
                      <w:i/>
                    </w:rPr>
                  </m:ctrlPr>
                </m:sSubPr>
                <m:e>
                  <m:r>
                    <w:rPr>
                      <w:rFonts w:ascii="Cambria Math" w:eastAsiaTheme="minorEastAsia" w:hAnsi="Cambria Math"/>
                    </w:rPr>
                    <m:t>ρ</m:t>
                  </m:r>
                </m:e>
                <m:sub>
                  <m:r>
                    <w:rPr>
                      <w:rFonts w:ascii="Cambria Math" w:eastAsiaTheme="minorEastAsia" w:hAnsi="Cambria Math"/>
                    </w:rPr>
                    <m:t>e</m:t>
                  </m:r>
                </m:sub>
              </m:sSub>
            </m:den>
          </m:f>
        </m:oMath>
      </m:oMathPara>
    </w:p>
    <w:p w:rsidR="00577975" w:rsidRPr="005B2B7F" w:rsidRDefault="00577975" w:rsidP="00160581">
      <w:pPr>
        <w:jc w:val="both"/>
        <w:rPr>
          <w:rFonts w:ascii="Times New Roman" w:hAnsi="Times New Roman"/>
        </w:rPr>
      </w:pPr>
      <w:r>
        <w:rPr>
          <w:rFonts w:ascii="Times New Roman" w:hAnsi="Times New Roman"/>
        </w:rPr>
        <w:t>where ρ</w:t>
      </w:r>
      <w:r>
        <w:rPr>
          <w:rFonts w:ascii="Times New Roman" w:hAnsi="Times New Roman"/>
          <w:vertAlign w:val="subscript"/>
        </w:rPr>
        <w:t>e</w:t>
      </w:r>
      <w:r>
        <w:rPr>
          <w:rFonts w:ascii="Times New Roman" w:hAnsi="Times New Roman"/>
        </w:rPr>
        <w:t xml:space="preserve"> </w:t>
      </w:r>
      <w:r w:rsidR="005B2B7F">
        <w:rPr>
          <w:rFonts w:ascii="Times New Roman" w:hAnsi="Times New Roman"/>
        </w:rPr>
        <w:t xml:space="preserve">(µm/sec) </w:t>
      </w:r>
      <w:r>
        <w:rPr>
          <w:rFonts w:ascii="Times New Roman" w:hAnsi="Times New Roman"/>
        </w:rPr>
        <w:t xml:space="preserve">is the effective surface relaxation and is treated as matching factor. </w:t>
      </w:r>
      <w:r w:rsidR="00182E7D" w:rsidRPr="00662D86">
        <w:rPr>
          <w:rFonts w:ascii="Times New Roman" w:hAnsi="Times New Roman"/>
          <w:b/>
        </w:rPr>
        <w:t>Fig 4.19</w:t>
      </w:r>
      <w:r w:rsidRPr="00662D86">
        <w:rPr>
          <w:rFonts w:ascii="Times New Roman" w:hAnsi="Times New Roman"/>
          <w:b/>
        </w:rPr>
        <w:t xml:space="preserve"> </w:t>
      </w:r>
      <w:r w:rsidR="00877D4E" w:rsidRPr="00662D86">
        <w:rPr>
          <w:rFonts w:ascii="Times New Roman" w:hAnsi="Times New Roman"/>
          <w:b/>
        </w:rPr>
        <w:t>–</w:t>
      </w:r>
      <w:r w:rsidRPr="00662D86">
        <w:rPr>
          <w:rFonts w:ascii="Times New Roman" w:hAnsi="Times New Roman"/>
          <w:b/>
        </w:rPr>
        <w:t xml:space="preserve"> </w:t>
      </w:r>
      <w:r w:rsidR="00182E7D" w:rsidRPr="00662D86">
        <w:rPr>
          <w:rFonts w:ascii="Times New Roman" w:hAnsi="Times New Roman"/>
          <w:b/>
        </w:rPr>
        <w:t>Fig 4.22</w:t>
      </w:r>
      <w:r w:rsidR="00877D4E">
        <w:rPr>
          <w:rFonts w:ascii="Times New Roman" w:hAnsi="Times New Roman"/>
          <w:b/>
        </w:rPr>
        <w:t xml:space="preserve"> </w:t>
      </w:r>
      <w:r>
        <w:rPr>
          <w:rFonts w:ascii="Times New Roman" w:hAnsi="Times New Roman"/>
        </w:rPr>
        <w:t xml:space="preserve">show the comparison between pore distributions from NMR data and converted SEM data for sample #1, #2, #3, and #4. NMR and SEM data </w:t>
      </w:r>
      <w:r w:rsidR="00BA1CFA">
        <w:rPr>
          <w:rFonts w:ascii="Times New Roman" w:hAnsi="Times New Roman"/>
        </w:rPr>
        <w:t xml:space="preserve">show a strong agreement; </w:t>
      </w:r>
      <w:r>
        <w:rPr>
          <w:rFonts w:ascii="Times New Roman" w:hAnsi="Times New Roman"/>
        </w:rPr>
        <w:t>the peaks almost ove</w:t>
      </w:r>
      <w:r w:rsidR="005B2B7F">
        <w:rPr>
          <w:rFonts w:ascii="Times New Roman" w:hAnsi="Times New Roman"/>
        </w:rPr>
        <w:t>rlay each other for all</w:t>
      </w:r>
      <w:r>
        <w:rPr>
          <w:rFonts w:ascii="Times New Roman" w:hAnsi="Times New Roman"/>
        </w:rPr>
        <w:t xml:space="preserve"> samples. This strong </w:t>
      </w:r>
      <w:r>
        <w:rPr>
          <w:rFonts w:ascii="Times New Roman" w:hAnsi="Times New Roman"/>
        </w:rPr>
        <w:lastRenderedPageBreak/>
        <w:t>correlation indicates that NMR and SEM d</w:t>
      </w:r>
      <w:r w:rsidR="005B2B7F">
        <w:rPr>
          <w:rFonts w:ascii="Times New Roman" w:hAnsi="Times New Roman"/>
        </w:rPr>
        <w:t>ata represent</w:t>
      </w:r>
      <w:r>
        <w:rPr>
          <w:rFonts w:ascii="Times New Roman" w:hAnsi="Times New Roman"/>
        </w:rPr>
        <w:t xml:space="preserve"> the pore body distribution. The average ρ</w:t>
      </w:r>
      <w:r>
        <w:rPr>
          <w:rFonts w:ascii="Times New Roman" w:hAnsi="Times New Roman"/>
          <w:vertAlign w:val="subscript"/>
        </w:rPr>
        <w:t xml:space="preserve">e </w:t>
      </w:r>
      <w:r>
        <w:rPr>
          <w:rFonts w:ascii="Times New Roman" w:hAnsi="Times New Roman"/>
        </w:rPr>
        <w:t xml:space="preserve">is 41 </w:t>
      </w:r>
      <w:r w:rsidRPr="00FE0680">
        <w:rPr>
          <w:rFonts w:ascii="Times New Roman" w:eastAsiaTheme="minorEastAsia" w:hAnsi="Times New Roman"/>
        </w:rPr>
        <w:t>µm/</w:t>
      </w:r>
      <w:r w:rsidRPr="00FE0680">
        <w:rPr>
          <w:rFonts w:ascii="Times New Roman" w:hAnsi="Times New Roman"/>
        </w:rPr>
        <w:t xml:space="preserve">sec </w:t>
      </w:r>
      <w:r>
        <w:rPr>
          <w:rFonts w:ascii="Times New Roman" w:hAnsi="Times New Roman"/>
        </w:rPr>
        <w:t xml:space="preserve">± 3 </w:t>
      </w:r>
      <w:bookmarkStart w:id="118" w:name="OLE_LINK75"/>
      <w:bookmarkStart w:id="119" w:name="OLE_LINK76"/>
      <w:r w:rsidRPr="00FE0680">
        <w:rPr>
          <w:rFonts w:ascii="Times New Roman" w:eastAsiaTheme="minorEastAsia" w:hAnsi="Times New Roman"/>
        </w:rPr>
        <w:t>µm/sec</w:t>
      </w:r>
      <w:bookmarkEnd w:id="118"/>
      <w:bookmarkEnd w:id="119"/>
      <w:r>
        <w:rPr>
          <w:rFonts w:ascii="Times New Roman" w:hAnsi="Times New Roman"/>
        </w:rPr>
        <w:t xml:space="preserve">. Compared to </w:t>
      </w:r>
      <w:bookmarkStart w:id="120" w:name="OLE_LINK73"/>
      <w:bookmarkStart w:id="121" w:name="OLE_LINK74"/>
      <w:r>
        <w:rPr>
          <w:rFonts w:ascii="Times New Roman" w:hAnsi="Times New Roman"/>
        </w:rPr>
        <w:t>ρ</w:t>
      </w:r>
      <w:r>
        <w:rPr>
          <w:rFonts w:ascii="Times New Roman" w:hAnsi="Times New Roman"/>
          <w:vertAlign w:val="subscript"/>
        </w:rPr>
        <w:t xml:space="preserve">e </w:t>
      </w:r>
      <w:bookmarkEnd w:id="120"/>
      <w:bookmarkEnd w:id="121"/>
      <w:r>
        <w:rPr>
          <w:rFonts w:ascii="Times New Roman" w:hAnsi="Times New Roman"/>
        </w:rPr>
        <w:t>values fo</w:t>
      </w:r>
      <w:r w:rsidR="00A1452E">
        <w:rPr>
          <w:rFonts w:ascii="Times New Roman" w:hAnsi="Times New Roman"/>
        </w:rPr>
        <w:t>r NMR/MICP matching from Sulucarn</w:t>
      </w:r>
      <w:r>
        <w:rPr>
          <w:rFonts w:ascii="Times New Roman" w:hAnsi="Times New Roman"/>
        </w:rPr>
        <w:t>ain’s study</w:t>
      </w:r>
      <w:r w:rsidR="00A1452E">
        <w:rPr>
          <w:rFonts w:ascii="Times New Roman" w:hAnsi="Times New Roman"/>
        </w:rPr>
        <w:t xml:space="preserve"> (2012)</w:t>
      </w:r>
      <w:r>
        <w:rPr>
          <w:rFonts w:ascii="Times New Roman" w:hAnsi="Times New Roman"/>
        </w:rPr>
        <w:t xml:space="preserve">, </w:t>
      </w:r>
      <w:bookmarkStart w:id="122" w:name="OLE_LINK105"/>
      <w:bookmarkStart w:id="123" w:name="OLE_LINK106"/>
      <w:r>
        <w:rPr>
          <w:rFonts w:ascii="Times New Roman" w:hAnsi="Times New Roman"/>
        </w:rPr>
        <w:t>ρ</w:t>
      </w:r>
      <w:r>
        <w:rPr>
          <w:rFonts w:ascii="Times New Roman" w:hAnsi="Times New Roman"/>
          <w:vertAlign w:val="subscript"/>
        </w:rPr>
        <w:t xml:space="preserve">e </w:t>
      </w:r>
      <w:r>
        <w:rPr>
          <w:rFonts w:ascii="Times New Roman" w:hAnsi="Times New Roman"/>
        </w:rPr>
        <w:t>values</w:t>
      </w:r>
      <w:r w:rsidR="00575135">
        <w:rPr>
          <w:rFonts w:ascii="Times New Roman" w:hAnsi="Times New Roman"/>
        </w:rPr>
        <w:t xml:space="preserve"> for NMR/SEM matching</w:t>
      </w:r>
      <w:bookmarkEnd w:id="122"/>
      <w:bookmarkEnd w:id="123"/>
      <w:r w:rsidR="00575135">
        <w:rPr>
          <w:rFonts w:ascii="Times New Roman" w:hAnsi="Times New Roman"/>
        </w:rPr>
        <w:t xml:space="preserve"> is larger</w:t>
      </w:r>
      <w:r>
        <w:rPr>
          <w:rFonts w:ascii="Times New Roman" w:hAnsi="Times New Roman"/>
        </w:rPr>
        <w:t>.</w:t>
      </w:r>
      <w:r w:rsidR="005B2B7F">
        <w:rPr>
          <w:rFonts w:ascii="Times New Roman" w:hAnsi="Times New Roman"/>
        </w:rPr>
        <w:t xml:space="preserve"> The </w:t>
      </w:r>
      <w:r w:rsidR="00E05CF1">
        <w:rPr>
          <w:rFonts w:ascii="Times New Roman" w:hAnsi="Times New Roman"/>
        </w:rPr>
        <w:t>average ρ</w:t>
      </w:r>
      <w:r w:rsidR="005B2B7F">
        <w:rPr>
          <w:rFonts w:ascii="Times New Roman" w:hAnsi="Times New Roman"/>
          <w:vertAlign w:val="subscript"/>
        </w:rPr>
        <w:t xml:space="preserve">e </w:t>
      </w:r>
      <w:r w:rsidR="005B2B7F">
        <w:rPr>
          <w:rFonts w:ascii="Times New Roman" w:hAnsi="Times New Roman"/>
        </w:rPr>
        <w:t xml:space="preserve">for matching between NMR spectra and MICP data from Ordovician organic rich shale samples is 1.7 </w:t>
      </w:r>
      <w:r w:rsidR="005B2B7F" w:rsidRPr="00FE0680">
        <w:rPr>
          <w:rFonts w:ascii="Times New Roman" w:eastAsiaTheme="minorEastAsia" w:hAnsi="Times New Roman"/>
        </w:rPr>
        <w:t>µm/sec</w:t>
      </w:r>
      <w:r w:rsidR="005B2B7F">
        <w:rPr>
          <w:rFonts w:ascii="Times New Roman" w:hAnsi="Times New Roman"/>
        </w:rPr>
        <w:t xml:space="preserve"> ± 1.0 </w:t>
      </w:r>
      <w:r w:rsidR="005B2B7F" w:rsidRPr="00FE0680">
        <w:rPr>
          <w:rFonts w:ascii="Times New Roman" w:eastAsiaTheme="minorEastAsia" w:hAnsi="Times New Roman"/>
        </w:rPr>
        <w:t>µm/sec</w:t>
      </w:r>
      <w:r w:rsidR="005B2B7F">
        <w:rPr>
          <w:rFonts w:ascii="Times New Roman" w:eastAsiaTheme="minorEastAsia" w:hAnsi="Times New Roman"/>
        </w:rPr>
        <w:t xml:space="preserve"> (</w:t>
      </w:r>
      <w:r w:rsidR="005B2B7F">
        <w:rPr>
          <w:rFonts w:ascii="Times New Roman" w:hAnsi="Times New Roman"/>
        </w:rPr>
        <w:t xml:space="preserve">Sulucarnain et al., </w:t>
      </w:r>
      <w:r w:rsidR="00E05CF1">
        <w:rPr>
          <w:rFonts w:ascii="Times New Roman" w:hAnsi="Times New Roman"/>
        </w:rPr>
        <w:t>2012).</w:t>
      </w:r>
      <w:r w:rsidR="00575135">
        <w:rPr>
          <w:rFonts w:ascii="Times New Roman" w:hAnsi="Times New Roman"/>
        </w:rPr>
        <w:t xml:space="preserve"> Since NMR and SEM presents the pore body distribution while MICP presents pore throat distribution, ρ</w:t>
      </w:r>
      <w:r w:rsidR="00575135">
        <w:rPr>
          <w:rFonts w:ascii="Times New Roman" w:hAnsi="Times New Roman"/>
          <w:vertAlign w:val="subscript"/>
        </w:rPr>
        <w:t xml:space="preserve">e </w:t>
      </w:r>
      <w:r w:rsidR="00575135">
        <w:rPr>
          <w:rFonts w:ascii="Times New Roman" w:hAnsi="Times New Roman"/>
        </w:rPr>
        <w:t>values for NMR/SEM matching is more reasonable.</w:t>
      </w:r>
    </w:p>
    <w:p w:rsidR="003945A8" w:rsidRPr="00FE0680" w:rsidRDefault="003945A8" w:rsidP="00577975">
      <w:pPr>
        <w:rPr>
          <w:rFonts w:ascii="Times New Roman" w:hAnsi="Times New Roman"/>
          <w:i/>
          <w:u w:val="single"/>
        </w:rPr>
      </w:pPr>
    </w:p>
    <w:p w:rsidR="00577975" w:rsidRDefault="00577975" w:rsidP="00577975">
      <w:pPr>
        <w:jc w:val="center"/>
        <w:rPr>
          <w:rFonts w:ascii="Times New Roman" w:hAnsi="Times New Roman"/>
          <w:i/>
          <w:u w:val="single"/>
        </w:rPr>
      </w:pPr>
      <w:r>
        <w:rPr>
          <w:noProof/>
          <w:lang w:bidi="ar-SA"/>
        </w:rPr>
        <w:drawing>
          <wp:inline distT="0" distB="0" distL="0" distR="0" wp14:anchorId="073579A8" wp14:editId="2988DD74">
            <wp:extent cx="5248275" cy="3381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248275" cy="3381375"/>
                    </a:xfrm>
                    <a:prstGeom prst="rect">
                      <a:avLst/>
                    </a:prstGeom>
                  </pic:spPr>
                </pic:pic>
              </a:graphicData>
            </a:graphic>
          </wp:inline>
        </w:drawing>
      </w:r>
    </w:p>
    <w:p w:rsidR="00577975" w:rsidRPr="003945A8" w:rsidRDefault="00577975" w:rsidP="00577975">
      <w:pPr>
        <w:jc w:val="both"/>
        <w:rPr>
          <w:rFonts w:ascii="Times New Roman" w:hAnsi="Times New Roman"/>
          <w:b/>
        </w:rPr>
      </w:pPr>
      <w:r>
        <w:rPr>
          <w:rFonts w:ascii="Times New Roman" w:hAnsi="Times New Roman"/>
          <w:b/>
        </w:rPr>
        <w:t>Fig</w:t>
      </w:r>
      <w:r w:rsidR="00E34348">
        <w:rPr>
          <w:rFonts w:ascii="Times New Roman" w:hAnsi="Times New Roman"/>
          <w:b/>
        </w:rPr>
        <w:t>ure 4.19</w:t>
      </w:r>
      <w:r>
        <w:rPr>
          <w:rFonts w:ascii="Times New Roman" w:hAnsi="Times New Roman"/>
          <w:b/>
        </w:rPr>
        <w:t xml:space="preserve">: </w:t>
      </w:r>
      <w:r w:rsidR="003945A8">
        <w:rPr>
          <w:rFonts w:ascii="Times New Roman" w:hAnsi="Times New Roman"/>
          <w:b/>
        </w:rPr>
        <w:t>Comparison of NMR pore volume distribution (blue) and converted SEM pore area (red) distribution of sample #1. The effective surface relaxation is</w:t>
      </w:r>
      <w:r w:rsidR="003945A8" w:rsidRPr="003945A8">
        <w:rPr>
          <w:rFonts w:ascii="Times New Roman" w:hAnsi="Times New Roman"/>
          <w:b/>
        </w:rPr>
        <w:t xml:space="preserve"> ρ</w:t>
      </w:r>
      <w:r w:rsidR="00182E7D" w:rsidRPr="003945A8">
        <w:rPr>
          <w:rFonts w:ascii="Times New Roman" w:hAnsi="Times New Roman"/>
          <w:b/>
          <w:vertAlign w:val="subscript"/>
        </w:rPr>
        <w:t>e</w:t>
      </w:r>
      <w:r w:rsidR="00182E7D">
        <w:rPr>
          <w:rFonts w:ascii="Times New Roman" w:hAnsi="Times New Roman"/>
          <w:b/>
          <w:vertAlign w:val="subscript"/>
        </w:rPr>
        <w:t xml:space="preserve"> </w:t>
      </w:r>
      <w:r w:rsidR="00182E7D">
        <w:rPr>
          <w:rFonts w:ascii="Times New Roman" w:hAnsi="Times New Roman"/>
          <w:b/>
        </w:rPr>
        <w:t>=</w:t>
      </w:r>
      <w:r w:rsidR="003945A8">
        <w:rPr>
          <w:rFonts w:ascii="Times New Roman" w:hAnsi="Times New Roman"/>
          <w:b/>
        </w:rPr>
        <w:t xml:space="preserve"> 33 </w:t>
      </w:r>
      <w:r w:rsidR="003945A8" w:rsidRPr="003945A8">
        <w:rPr>
          <w:rFonts w:ascii="Times New Roman" w:eastAsiaTheme="minorEastAsia" w:hAnsi="Times New Roman"/>
          <w:b/>
        </w:rPr>
        <w:t>µm/</w:t>
      </w:r>
      <w:r w:rsidR="003945A8" w:rsidRPr="003945A8">
        <w:rPr>
          <w:rFonts w:ascii="Times New Roman" w:hAnsi="Times New Roman"/>
          <w:b/>
        </w:rPr>
        <w:t>sec</w:t>
      </w:r>
      <w:r w:rsidR="003945A8">
        <w:rPr>
          <w:rFonts w:ascii="Times New Roman" w:hAnsi="Times New Roman"/>
          <w:b/>
        </w:rPr>
        <w:t>.</w:t>
      </w:r>
    </w:p>
    <w:p w:rsidR="00085615" w:rsidRDefault="00085615" w:rsidP="003945A8">
      <w:pPr>
        <w:jc w:val="center"/>
        <w:rPr>
          <w:rFonts w:asciiTheme="majorHAnsi" w:hAnsiTheme="majorHAnsi"/>
          <w:b/>
          <w:bCs/>
          <w:sz w:val="28"/>
          <w:szCs w:val="32"/>
        </w:rPr>
      </w:pPr>
      <w:r>
        <w:br w:type="page"/>
      </w:r>
      <w:r w:rsidR="003945A8">
        <w:rPr>
          <w:noProof/>
          <w:lang w:bidi="ar-SA"/>
        </w:rPr>
        <w:lastRenderedPageBreak/>
        <w:drawing>
          <wp:inline distT="0" distB="0" distL="0" distR="0" wp14:anchorId="02A47730" wp14:editId="7A7D1EAC">
            <wp:extent cx="4853854" cy="2897579"/>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4857454" cy="2899728"/>
                    </a:xfrm>
                    <a:prstGeom prst="rect">
                      <a:avLst/>
                    </a:prstGeom>
                  </pic:spPr>
                </pic:pic>
              </a:graphicData>
            </a:graphic>
          </wp:inline>
        </w:drawing>
      </w:r>
    </w:p>
    <w:p w:rsidR="003945A8" w:rsidRPr="003945A8" w:rsidRDefault="003945A8" w:rsidP="003945A8">
      <w:pPr>
        <w:jc w:val="both"/>
        <w:rPr>
          <w:rFonts w:ascii="Times New Roman" w:hAnsi="Times New Roman"/>
          <w:b/>
        </w:rPr>
      </w:pPr>
      <w:r>
        <w:rPr>
          <w:rFonts w:ascii="Times New Roman" w:hAnsi="Times New Roman"/>
          <w:b/>
        </w:rPr>
        <w:t>Fig</w:t>
      </w:r>
      <w:r w:rsidR="00E34348">
        <w:rPr>
          <w:rFonts w:ascii="Times New Roman" w:hAnsi="Times New Roman"/>
          <w:b/>
        </w:rPr>
        <w:t>ure 4.20</w:t>
      </w:r>
      <w:r>
        <w:rPr>
          <w:rFonts w:ascii="Times New Roman" w:hAnsi="Times New Roman"/>
          <w:b/>
        </w:rPr>
        <w:t>: Comparison of NMR pore volume distribution (blue) and converted SEM pore area distribution (red) of sample #2. The effective surface relaxation is</w:t>
      </w:r>
      <w:r w:rsidRPr="003945A8">
        <w:rPr>
          <w:rFonts w:ascii="Times New Roman" w:hAnsi="Times New Roman"/>
          <w:b/>
        </w:rPr>
        <w:t xml:space="preserve"> ρ</w:t>
      </w:r>
      <w:r w:rsidR="00182E7D" w:rsidRPr="003945A8">
        <w:rPr>
          <w:rFonts w:ascii="Times New Roman" w:hAnsi="Times New Roman"/>
          <w:b/>
          <w:vertAlign w:val="subscript"/>
        </w:rPr>
        <w:t>e</w:t>
      </w:r>
      <w:r w:rsidR="00182E7D">
        <w:rPr>
          <w:rFonts w:ascii="Times New Roman" w:hAnsi="Times New Roman"/>
          <w:b/>
          <w:vertAlign w:val="subscript"/>
        </w:rPr>
        <w:t xml:space="preserve"> </w:t>
      </w:r>
      <w:r w:rsidR="00182E7D">
        <w:rPr>
          <w:rFonts w:ascii="Times New Roman" w:hAnsi="Times New Roman"/>
          <w:b/>
        </w:rPr>
        <w:t>=</w:t>
      </w:r>
      <w:r>
        <w:rPr>
          <w:rFonts w:ascii="Times New Roman" w:hAnsi="Times New Roman"/>
          <w:b/>
        </w:rPr>
        <w:t xml:space="preserve"> 40 </w:t>
      </w:r>
      <w:r w:rsidRPr="003945A8">
        <w:rPr>
          <w:rFonts w:ascii="Times New Roman" w:eastAsiaTheme="minorEastAsia" w:hAnsi="Times New Roman"/>
          <w:b/>
        </w:rPr>
        <w:t>µm/</w:t>
      </w:r>
      <w:r w:rsidRPr="003945A8">
        <w:rPr>
          <w:rFonts w:ascii="Times New Roman" w:hAnsi="Times New Roman"/>
          <w:b/>
        </w:rPr>
        <w:t>sec</w:t>
      </w:r>
      <w:r>
        <w:rPr>
          <w:rFonts w:ascii="Times New Roman" w:hAnsi="Times New Roman"/>
          <w:b/>
        </w:rPr>
        <w:t>.</w:t>
      </w:r>
    </w:p>
    <w:p w:rsidR="00085615" w:rsidRDefault="003945A8" w:rsidP="003945A8">
      <w:pPr>
        <w:spacing w:line="240" w:lineRule="auto"/>
        <w:jc w:val="center"/>
        <w:rPr>
          <w:rFonts w:asciiTheme="majorHAnsi" w:hAnsiTheme="majorHAnsi"/>
          <w:b/>
          <w:bCs/>
          <w:sz w:val="28"/>
          <w:szCs w:val="32"/>
        </w:rPr>
      </w:pPr>
      <w:r>
        <w:rPr>
          <w:noProof/>
          <w:lang w:bidi="ar-SA"/>
        </w:rPr>
        <w:drawing>
          <wp:inline distT="0" distB="0" distL="0" distR="0" wp14:anchorId="2D0EB7D1" wp14:editId="28AEA186">
            <wp:extent cx="4758910" cy="2947185"/>
            <wp:effectExtent l="0" t="0" r="381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4764790" cy="2950826"/>
                    </a:xfrm>
                    <a:prstGeom prst="rect">
                      <a:avLst/>
                    </a:prstGeom>
                  </pic:spPr>
                </pic:pic>
              </a:graphicData>
            </a:graphic>
          </wp:inline>
        </w:drawing>
      </w:r>
    </w:p>
    <w:p w:rsidR="003945A8" w:rsidRPr="003945A8" w:rsidRDefault="003945A8" w:rsidP="003945A8">
      <w:pPr>
        <w:jc w:val="both"/>
        <w:rPr>
          <w:rFonts w:ascii="Times New Roman" w:hAnsi="Times New Roman"/>
          <w:b/>
        </w:rPr>
      </w:pPr>
      <w:r>
        <w:rPr>
          <w:rFonts w:ascii="Times New Roman" w:hAnsi="Times New Roman"/>
          <w:b/>
        </w:rPr>
        <w:t>Fig</w:t>
      </w:r>
      <w:r w:rsidR="00E34348">
        <w:rPr>
          <w:rFonts w:ascii="Times New Roman" w:hAnsi="Times New Roman"/>
          <w:b/>
        </w:rPr>
        <w:t>ure 4.21</w:t>
      </w:r>
      <w:r>
        <w:rPr>
          <w:rFonts w:ascii="Times New Roman" w:hAnsi="Times New Roman"/>
          <w:b/>
        </w:rPr>
        <w:t>: Comparison of NMR pore volume distribution (blue) and converted SEM pore area distribution (red) of sample #3. The effective surface relaxation is</w:t>
      </w:r>
      <w:r w:rsidRPr="003945A8">
        <w:rPr>
          <w:rFonts w:ascii="Times New Roman" w:hAnsi="Times New Roman"/>
          <w:b/>
        </w:rPr>
        <w:t xml:space="preserve"> ρ</w:t>
      </w:r>
      <w:r w:rsidR="00182E7D" w:rsidRPr="003945A8">
        <w:rPr>
          <w:rFonts w:ascii="Times New Roman" w:hAnsi="Times New Roman"/>
          <w:b/>
          <w:vertAlign w:val="subscript"/>
        </w:rPr>
        <w:t>e</w:t>
      </w:r>
      <w:r w:rsidR="00182E7D">
        <w:rPr>
          <w:rFonts w:ascii="Times New Roman" w:hAnsi="Times New Roman"/>
          <w:b/>
          <w:vertAlign w:val="subscript"/>
        </w:rPr>
        <w:t xml:space="preserve"> </w:t>
      </w:r>
      <w:r w:rsidR="00182E7D">
        <w:rPr>
          <w:rFonts w:ascii="Times New Roman" w:hAnsi="Times New Roman"/>
          <w:b/>
        </w:rPr>
        <w:t>=</w:t>
      </w:r>
      <w:r>
        <w:rPr>
          <w:rFonts w:ascii="Times New Roman" w:hAnsi="Times New Roman"/>
          <w:b/>
        </w:rPr>
        <w:t xml:space="preserve"> 46 </w:t>
      </w:r>
      <w:r w:rsidRPr="003945A8">
        <w:rPr>
          <w:rFonts w:ascii="Times New Roman" w:eastAsiaTheme="minorEastAsia" w:hAnsi="Times New Roman"/>
          <w:b/>
        </w:rPr>
        <w:t>µm/</w:t>
      </w:r>
      <w:r w:rsidRPr="003945A8">
        <w:rPr>
          <w:rFonts w:ascii="Times New Roman" w:hAnsi="Times New Roman"/>
          <w:b/>
        </w:rPr>
        <w:t>sec</w:t>
      </w:r>
      <w:r>
        <w:rPr>
          <w:rFonts w:ascii="Times New Roman" w:hAnsi="Times New Roman"/>
          <w:b/>
        </w:rPr>
        <w:t>.</w:t>
      </w:r>
    </w:p>
    <w:p w:rsidR="00085615" w:rsidRDefault="00085615" w:rsidP="003945A8">
      <w:pPr>
        <w:spacing w:line="240" w:lineRule="auto"/>
        <w:jc w:val="center"/>
        <w:rPr>
          <w:rFonts w:asciiTheme="majorHAnsi" w:hAnsiTheme="majorHAnsi"/>
          <w:b/>
          <w:bCs/>
          <w:sz w:val="28"/>
          <w:szCs w:val="32"/>
        </w:rPr>
      </w:pPr>
      <w:r>
        <w:br w:type="page"/>
      </w:r>
      <w:r w:rsidR="003945A8">
        <w:rPr>
          <w:noProof/>
          <w:lang w:bidi="ar-SA"/>
        </w:rPr>
        <w:lastRenderedPageBreak/>
        <w:drawing>
          <wp:inline distT="0" distB="0" distL="0" distR="0" wp14:anchorId="4E7747ED" wp14:editId="510F3C6B">
            <wp:extent cx="4996682" cy="293320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4999984" cy="2935143"/>
                    </a:xfrm>
                    <a:prstGeom prst="rect">
                      <a:avLst/>
                    </a:prstGeom>
                  </pic:spPr>
                </pic:pic>
              </a:graphicData>
            </a:graphic>
          </wp:inline>
        </w:drawing>
      </w:r>
    </w:p>
    <w:p w:rsidR="003945A8" w:rsidRDefault="003945A8" w:rsidP="003945A8">
      <w:pPr>
        <w:jc w:val="both"/>
      </w:pPr>
    </w:p>
    <w:p w:rsidR="003945A8" w:rsidRDefault="003945A8" w:rsidP="003945A8">
      <w:pPr>
        <w:jc w:val="both"/>
        <w:rPr>
          <w:rFonts w:ascii="Times New Roman" w:hAnsi="Times New Roman"/>
          <w:b/>
        </w:rPr>
      </w:pPr>
      <w:r>
        <w:rPr>
          <w:rFonts w:ascii="Times New Roman" w:hAnsi="Times New Roman"/>
          <w:b/>
        </w:rPr>
        <w:t>Fig</w:t>
      </w:r>
      <w:r w:rsidR="00662D86">
        <w:rPr>
          <w:rFonts w:ascii="Times New Roman" w:hAnsi="Times New Roman"/>
          <w:b/>
        </w:rPr>
        <w:t>ure</w:t>
      </w:r>
      <w:r w:rsidR="00E34348">
        <w:rPr>
          <w:rFonts w:ascii="Times New Roman" w:hAnsi="Times New Roman"/>
          <w:b/>
        </w:rPr>
        <w:t xml:space="preserve"> 4.22</w:t>
      </w:r>
      <w:r>
        <w:rPr>
          <w:rFonts w:ascii="Times New Roman" w:hAnsi="Times New Roman"/>
          <w:b/>
        </w:rPr>
        <w:t>: Comparison of NMR pore volume distribution (blue) and converted SEM pore area distribution (red) of sample #4. The effective surface relaxation is</w:t>
      </w:r>
      <w:r w:rsidRPr="003945A8">
        <w:rPr>
          <w:rFonts w:ascii="Times New Roman" w:hAnsi="Times New Roman"/>
          <w:b/>
        </w:rPr>
        <w:t xml:space="preserve"> </w:t>
      </w:r>
      <w:r w:rsidR="00877D4E" w:rsidRPr="003945A8">
        <w:rPr>
          <w:rFonts w:ascii="Times New Roman" w:hAnsi="Times New Roman"/>
          <w:b/>
        </w:rPr>
        <w:t>ρ</w:t>
      </w:r>
      <w:r w:rsidR="00877D4E" w:rsidRPr="003945A8">
        <w:rPr>
          <w:rFonts w:ascii="Times New Roman" w:hAnsi="Times New Roman"/>
          <w:b/>
          <w:vertAlign w:val="subscript"/>
        </w:rPr>
        <w:t>e</w:t>
      </w:r>
      <w:r w:rsidR="00877D4E">
        <w:rPr>
          <w:rFonts w:ascii="Times New Roman" w:hAnsi="Times New Roman"/>
          <w:b/>
          <w:vertAlign w:val="subscript"/>
        </w:rPr>
        <w:t xml:space="preserve"> </w:t>
      </w:r>
      <w:r w:rsidR="00877D4E">
        <w:rPr>
          <w:rFonts w:ascii="Times New Roman" w:hAnsi="Times New Roman"/>
          <w:b/>
        </w:rPr>
        <w:t>=</w:t>
      </w:r>
      <w:r>
        <w:rPr>
          <w:rFonts w:ascii="Times New Roman" w:hAnsi="Times New Roman"/>
          <w:b/>
        </w:rPr>
        <w:t xml:space="preserve"> 46 </w:t>
      </w:r>
      <w:r w:rsidRPr="003945A8">
        <w:rPr>
          <w:rFonts w:ascii="Times New Roman" w:eastAsiaTheme="minorEastAsia" w:hAnsi="Times New Roman"/>
          <w:b/>
        </w:rPr>
        <w:t>µm/</w:t>
      </w:r>
      <w:r w:rsidRPr="003945A8">
        <w:rPr>
          <w:rFonts w:ascii="Times New Roman" w:hAnsi="Times New Roman"/>
          <w:b/>
        </w:rPr>
        <w:t>sec</w:t>
      </w:r>
      <w:r>
        <w:rPr>
          <w:rFonts w:ascii="Times New Roman" w:hAnsi="Times New Roman"/>
          <w:b/>
        </w:rPr>
        <w:t>.</w:t>
      </w:r>
    </w:p>
    <w:p w:rsidR="00A325FE" w:rsidRPr="003945A8" w:rsidRDefault="00A325FE" w:rsidP="003945A8">
      <w:pPr>
        <w:jc w:val="both"/>
        <w:rPr>
          <w:rFonts w:ascii="Times New Roman" w:hAnsi="Times New Roman"/>
          <w:b/>
        </w:rPr>
      </w:pPr>
    </w:p>
    <w:p w:rsidR="00A325FE" w:rsidRDefault="00A325FE" w:rsidP="0080054D">
      <w:pPr>
        <w:pStyle w:val="Heading2"/>
      </w:pPr>
      <w:r>
        <w:t xml:space="preserve">4.2 </w:t>
      </w:r>
      <w:r w:rsidR="004621CD">
        <w:t>Mineral</w:t>
      </w:r>
      <w:r w:rsidR="00F22AEE">
        <w:t xml:space="preserve"> </w:t>
      </w:r>
      <w:r>
        <w:t xml:space="preserve">Grain </w:t>
      </w:r>
      <w:r w:rsidR="00F22AEE">
        <w:t>Size D</w:t>
      </w:r>
      <w:r>
        <w:t>istribution</w:t>
      </w:r>
    </w:p>
    <w:p w:rsidR="00A325FE" w:rsidRDefault="00A325FE" w:rsidP="006204F6">
      <w:pPr>
        <w:pStyle w:val="Heading3"/>
      </w:pPr>
      <w:r>
        <w:t>4.2.1 Representative Elementary Area</w:t>
      </w:r>
    </w:p>
    <w:p w:rsidR="009967CA" w:rsidRDefault="00870928" w:rsidP="002C4D04">
      <w:pPr>
        <w:jc w:val="both"/>
        <w:rPr>
          <w:rFonts w:ascii="Times New Roman" w:hAnsi="Times New Roman"/>
        </w:rPr>
      </w:pPr>
      <w:r>
        <w:rPr>
          <w:rFonts w:ascii="Times New Roman" w:hAnsi="Times New Roman"/>
        </w:rPr>
        <w:t xml:space="preserve">Seven samples </w:t>
      </w:r>
      <w:r w:rsidR="00E05CF1">
        <w:rPr>
          <w:rFonts w:ascii="Times New Roman" w:hAnsi="Times New Roman"/>
        </w:rPr>
        <w:t>from</w:t>
      </w:r>
      <w:r>
        <w:rPr>
          <w:rFonts w:ascii="Times New Roman" w:hAnsi="Times New Roman"/>
        </w:rPr>
        <w:t xml:space="preserve"> the 1ft Wolfcamp core are selected for the grain size study. </w:t>
      </w:r>
      <w:r w:rsidR="002C4D04">
        <w:rPr>
          <w:rFonts w:ascii="Times New Roman" w:hAnsi="Times New Roman"/>
        </w:rPr>
        <w:t xml:space="preserve">Four major </w:t>
      </w:r>
      <w:r w:rsidR="00951A71">
        <w:rPr>
          <w:rFonts w:ascii="Times New Roman" w:hAnsi="Times New Roman"/>
        </w:rPr>
        <w:t>m</w:t>
      </w:r>
      <w:r w:rsidR="00C74138">
        <w:rPr>
          <w:rFonts w:ascii="Times New Roman" w:hAnsi="Times New Roman"/>
        </w:rPr>
        <w:t>ineral groups</w:t>
      </w:r>
      <w:r w:rsidR="002C4D04">
        <w:rPr>
          <w:rFonts w:ascii="Times New Roman" w:hAnsi="Times New Roman"/>
        </w:rPr>
        <w:t xml:space="preserve"> are successively segmented by thresholding and </w:t>
      </w:r>
      <w:r w:rsidR="00E05CF1">
        <w:rPr>
          <w:rFonts w:ascii="Times New Roman" w:hAnsi="Times New Roman"/>
        </w:rPr>
        <w:t xml:space="preserve">applying the </w:t>
      </w:r>
      <w:r w:rsidR="002C4D04">
        <w:rPr>
          <w:rFonts w:ascii="Times New Roman" w:hAnsi="Times New Roman"/>
        </w:rPr>
        <w:t xml:space="preserve">watershed method. Similar method applied for porosity and organic matter to determine REA values for </w:t>
      </w:r>
      <w:r w:rsidR="00951A71">
        <w:rPr>
          <w:rFonts w:ascii="Times New Roman" w:hAnsi="Times New Roman"/>
        </w:rPr>
        <w:t>m</w:t>
      </w:r>
      <w:r w:rsidR="00C74138">
        <w:rPr>
          <w:rFonts w:ascii="Times New Roman" w:hAnsi="Times New Roman"/>
        </w:rPr>
        <w:t>ineral groups</w:t>
      </w:r>
      <w:r w:rsidR="002C4D04">
        <w:rPr>
          <w:rFonts w:ascii="Times New Roman" w:hAnsi="Times New Roman"/>
        </w:rPr>
        <w:t>. From one standard map (276 µm x</w:t>
      </w:r>
      <w:r w:rsidR="00756FFB">
        <w:rPr>
          <w:rFonts w:ascii="Times New Roman" w:hAnsi="Times New Roman"/>
        </w:rPr>
        <w:t xml:space="preserve"> 6,000 µm</w:t>
      </w:r>
      <w:r w:rsidR="002C4D04">
        <w:rPr>
          <w:rFonts w:ascii="Times New Roman" w:hAnsi="Times New Roman"/>
        </w:rPr>
        <w:t>), smaller sub-maps of different sizes and random locations were extracted. For</w:t>
      </w:r>
      <w:r w:rsidR="00E05CF1">
        <w:rPr>
          <w:rFonts w:ascii="Times New Roman" w:hAnsi="Times New Roman"/>
        </w:rPr>
        <w:t xml:space="preserve"> each of the </w:t>
      </w:r>
      <w:r w:rsidR="00951A71">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E05CF1">
        <w:rPr>
          <w:rFonts w:ascii="Times New Roman" w:hAnsi="Times New Roman"/>
        </w:rPr>
        <w:t xml:space="preserve">, </w:t>
      </w:r>
      <w:r w:rsidR="002C4D04">
        <w:rPr>
          <w:rFonts w:ascii="Times New Roman" w:hAnsi="Times New Roman"/>
        </w:rPr>
        <w:t xml:space="preserve">SEM areal percentage of these sub-maps were calculated and plotted in comparison with the areal percentage value of the original map. </w:t>
      </w:r>
      <w:r w:rsidR="00182E7D" w:rsidRPr="00662D86">
        <w:rPr>
          <w:rFonts w:ascii="Times New Roman" w:hAnsi="Times New Roman"/>
          <w:b/>
        </w:rPr>
        <w:t>Fig 4.23</w:t>
      </w:r>
      <w:r w:rsidR="002C4D04">
        <w:rPr>
          <w:rFonts w:ascii="Times New Roman" w:hAnsi="Times New Roman"/>
          <w:b/>
        </w:rPr>
        <w:t xml:space="preserve"> </w:t>
      </w:r>
      <w:r w:rsidR="002C4D04">
        <w:rPr>
          <w:rFonts w:ascii="Times New Roman" w:hAnsi="Times New Roman"/>
        </w:rPr>
        <w:t xml:space="preserve">shows an example result for </w:t>
      </w:r>
      <w:r w:rsidR="002C4C6C">
        <w:rPr>
          <w:rFonts w:ascii="Times New Roman" w:hAnsi="Times New Roman"/>
        </w:rPr>
        <w:t>group SCl</w:t>
      </w:r>
      <w:r w:rsidR="004621CD">
        <w:rPr>
          <w:rFonts w:ascii="Times New Roman" w:hAnsi="Times New Roman"/>
        </w:rPr>
        <w:t xml:space="preserve"> </w:t>
      </w:r>
      <w:r w:rsidR="004621CD" w:rsidRPr="004621CD">
        <w:rPr>
          <w:rFonts w:ascii="Times New Roman" w:hAnsi="Times New Roman"/>
        </w:rPr>
        <w:t>(silica, clays, Mg-dol., feldspar)</w:t>
      </w:r>
      <w:r w:rsidR="002C4D04">
        <w:rPr>
          <w:rFonts w:ascii="Times New Roman" w:hAnsi="Times New Roman"/>
        </w:rPr>
        <w:t xml:space="preserve"> from sample #1. The </w:t>
      </w:r>
      <w:r w:rsidR="002C4D04">
        <w:rPr>
          <w:rFonts w:ascii="Times New Roman" w:hAnsi="Times New Roman"/>
        </w:rPr>
        <w:lastRenderedPageBreak/>
        <w:t>original map area of this sample is 1.45 mm</w:t>
      </w:r>
      <w:r w:rsidR="002C4D04">
        <w:rPr>
          <w:rFonts w:ascii="Times New Roman" w:hAnsi="Times New Roman"/>
          <w:vertAlign w:val="superscript"/>
        </w:rPr>
        <w:t>2</w:t>
      </w:r>
      <w:r w:rsidR="002C4D04">
        <w:rPr>
          <w:rFonts w:ascii="Times New Roman" w:hAnsi="Times New Roman"/>
        </w:rPr>
        <w:t xml:space="preserve">. </w:t>
      </w:r>
      <w:r w:rsidR="002C4C6C">
        <w:rPr>
          <w:rFonts w:ascii="Times New Roman" w:hAnsi="Times New Roman"/>
        </w:rPr>
        <w:t>Large</w:t>
      </w:r>
      <w:r w:rsidR="002C4D04">
        <w:rPr>
          <w:rFonts w:ascii="Times New Roman" w:hAnsi="Times New Roman"/>
        </w:rPr>
        <w:t xml:space="preserve"> fluctuation of areal percentage is observed for small sub-maps. As the size of the sub-map increases, the areal percentage values converge to the areal percentage value of the whole map for </w:t>
      </w:r>
      <w:r w:rsidR="004621CD">
        <w:rPr>
          <w:rFonts w:ascii="Times New Roman" w:hAnsi="Times New Roman"/>
        </w:rPr>
        <w:t>mineral</w:t>
      </w:r>
      <w:r w:rsidR="00CC4D77">
        <w:rPr>
          <w:rFonts w:ascii="Times New Roman" w:hAnsi="Times New Roman"/>
        </w:rPr>
        <w:t xml:space="preserve"> group</w:t>
      </w:r>
      <w:r w:rsidR="00485EEE">
        <w:rPr>
          <w:rFonts w:ascii="Times New Roman" w:hAnsi="Times New Roman"/>
        </w:rPr>
        <w:t xml:space="preserve"> </w:t>
      </w:r>
      <w:r w:rsidR="002C4C6C">
        <w:rPr>
          <w:rFonts w:ascii="Times New Roman" w:hAnsi="Times New Roman"/>
        </w:rPr>
        <w:t>SCl</w:t>
      </w:r>
      <w:r w:rsidR="002C4D04">
        <w:rPr>
          <w:rFonts w:ascii="Times New Roman" w:hAnsi="Times New Roman"/>
        </w:rPr>
        <w:t xml:space="preserve"> of sample #1. Thi</w:t>
      </w:r>
      <w:r w:rsidR="00E05CF1">
        <w:rPr>
          <w:rFonts w:ascii="Times New Roman" w:hAnsi="Times New Roman"/>
        </w:rPr>
        <w:t>s follows a similar trend to those observed</w:t>
      </w:r>
      <w:r w:rsidR="002C4D04">
        <w:rPr>
          <w:rFonts w:ascii="Times New Roman" w:hAnsi="Times New Roman"/>
        </w:rPr>
        <w:t xml:space="preserve"> porosity and organic matter. Truncation error of the areal percentage values of each sub-map </w:t>
      </w:r>
      <w:r w:rsidR="002C4C6C">
        <w:rPr>
          <w:rFonts w:ascii="Times New Roman" w:hAnsi="Times New Roman"/>
        </w:rPr>
        <w:t xml:space="preserve">is </w:t>
      </w:r>
      <w:r w:rsidR="002C4D04">
        <w:rPr>
          <w:rFonts w:ascii="Times New Roman" w:hAnsi="Times New Roman"/>
        </w:rPr>
        <w:t>compared to the value of the whole map in</w:t>
      </w:r>
      <w:r w:rsidR="00877D4E">
        <w:rPr>
          <w:rFonts w:ascii="Times New Roman" w:hAnsi="Times New Roman"/>
          <w:b/>
        </w:rPr>
        <w:t xml:space="preserve"> </w:t>
      </w:r>
      <w:r w:rsidR="00DC1817" w:rsidRPr="00662D86">
        <w:rPr>
          <w:rFonts w:ascii="Times New Roman" w:hAnsi="Times New Roman"/>
          <w:b/>
        </w:rPr>
        <w:t xml:space="preserve">Fig </w:t>
      </w:r>
      <w:r w:rsidR="00877D4E" w:rsidRPr="00662D86">
        <w:rPr>
          <w:rFonts w:ascii="Times New Roman" w:hAnsi="Times New Roman"/>
          <w:b/>
        </w:rPr>
        <w:t>4.23B</w:t>
      </w:r>
      <w:r w:rsidR="00877D4E">
        <w:rPr>
          <w:rFonts w:ascii="Times New Roman" w:hAnsi="Times New Roman"/>
        </w:rPr>
        <w:t xml:space="preserve">. </w:t>
      </w:r>
      <w:r w:rsidR="002C4D04">
        <w:rPr>
          <w:rFonts w:ascii="Times New Roman" w:hAnsi="Times New Roman"/>
        </w:rPr>
        <w:t>A cut-off of 1</w:t>
      </w:r>
      <w:r w:rsidR="00E05CF1">
        <w:rPr>
          <w:rFonts w:ascii="Times New Roman" w:hAnsi="Times New Roman"/>
        </w:rPr>
        <w:t>0</w:t>
      </w:r>
      <w:r w:rsidR="002C4D04">
        <w:rPr>
          <w:rFonts w:ascii="Times New Roman" w:hAnsi="Times New Roman"/>
        </w:rPr>
        <w:t xml:space="preserve">% </w:t>
      </w:r>
      <w:r w:rsidR="009967CA">
        <w:rPr>
          <w:rFonts w:ascii="Times New Roman" w:hAnsi="Times New Roman"/>
        </w:rPr>
        <w:t xml:space="preserve">truncation error is </w:t>
      </w:r>
      <w:r w:rsidR="00160581">
        <w:rPr>
          <w:rFonts w:ascii="Times New Roman" w:hAnsi="Times New Roman"/>
        </w:rPr>
        <w:t>acceptable</w:t>
      </w:r>
      <w:r w:rsidR="00E05CF1">
        <w:rPr>
          <w:rFonts w:ascii="Times New Roman" w:hAnsi="Times New Roman"/>
        </w:rPr>
        <w:t>, i.e. 11% of the whole map area</w:t>
      </w:r>
      <w:r w:rsidR="009967CA">
        <w:rPr>
          <w:rFonts w:ascii="Times New Roman" w:hAnsi="Times New Roman"/>
        </w:rPr>
        <w:t xml:space="preserve">. </w:t>
      </w:r>
      <w:r w:rsidR="00160581">
        <w:rPr>
          <w:rFonts w:ascii="Times New Roman" w:hAnsi="Times New Roman"/>
        </w:rPr>
        <w:t>At the 11% full map scale</w:t>
      </w:r>
      <w:r w:rsidR="002C4C6C">
        <w:rPr>
          <w:rFonts w:ascii="Times New Roman" w:hAnsi="Times New Roman"/>
        </w:rPr>
        <w:t>,</w:t>
      </w:r>
      <w:r w:rsidR="00160581">
        <w:rPr>
          <w:rFonts w:ascii="Times New Roman" w:hAnsi="Times New Roman"/>
        </w:rPr>
        <w:t xml:space="preserve"> the area needed is 0.16 mm</w:t>
      </w:r>
      <w:r w:rsidR="00160581">
        <w:rPr>
          <w:rFonts w:ascii="Times New Roman" w:hAnsi="Times New Roman"/>
          <w:vertAlign w:val="superscript"/>
        </w:rPr>
        <w:t xml:space="preserve">2 </w:t>
      </w:r>
      <w:r w:rsidR="002C4C6C">
        <w:rPr>
          <w:rFonts w:ascii="Times New Roman" w:hAnsi="Times New Roman"/>
        </w:rPr>
        <w:t>or larger)</w:t>
      </w:r>
    </w:p>
    <w:p w:rsidR="00CC2D8E" w:rsidRDefault="00877D4E" w:rsidP="00160581">
      <w:pPr>
        <w:jc w:val="center"/>
        <w:rPr>
          <w:rFonts w:ascii="Times New Roman" w:hAnsi="Times New Roman"/>
        </w:rPr>
      </w:pPr>
      <w:r w:rsidRPr="00877D4E">
        <w:rPr>
          <w:rFonts w:ascii="Times New Roman" w:hAnsi="Times New Roman"/>
          <w:noProof/>
          <w:lang w:bidi="ar-SA"/>
        </w:rPr>
        <mc:AlternateContent>
          <mc:Choice Requires="wps">
            <w:drawing>
              <wp:anchor distT="0" distB="0" distL="114300" distR="114300" simplePos="0" relativeHeight="251631616" behindDoc="0" locked="0" layoutInCell="1" allowOverlap="1" wp14:anchorId="508DAF3C" wp14:editId="66886CE2">
                <wp:simplePos x="0" y="0"/>
                <wp:positionH relativeFrom="column">
                  <wp:posOffset>4665345</wp:posOffset>
                </wp:positionH>
                <wp:positionV relativeFrom="paragraph">
                  <wp:posOffset>183515</wp:posOffset>
                </wp:positionV>
                <wp:extent cx="356235" cy="248920"/>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63" type="#_x0000_t202" style="position:absolute;left:0;text-align:left;margin-left:367.35pt;margin-top:14.45pt;width:28.05pt;height:19.6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" stroked="f">
                <v:textbox>
                  <w:txbxContent>
                    <w:p w:rsidR="00304DD5" w:rsidRDefault="00304DD5">
                      <w:r>
                        <w:t>A</w:t>
                      </w:r>
                    </w:p>
                  </w:txbxContent>
                </v:textbox>
              </v:shape>
            </w:pict>
          </mc:Fallback>
        </mc:AlternateContent>
      </w:r>
      <w:r w:rsidRPr="00877D4E">
        <w:rPr>
          <w:rFonts w:ascii="Times New Roman" w:hAnsi="Times New Roman"/>
          <w:noProof/>
          <w:lang w:bidi="ar-SA"/>
        </w:rPr>
        <mc:AlternateContent>
          <mc:Choice Requires="wps">
            <w:drawing>
              <wp:anchor distT="0" distB="0" distL="114300" distR="114300" simplePos="0" relativeHeight="251656192" behindDoc="0" locked="0" layoutInCell="1" allowOverlap="1" wp14:anchorId="1AC5FD02" wp14:editId="38880693">
                <wp:simplePos x="0" y="0"/>
                <wp:positionH relativeFrom="column">
                  <wp:posOffset>4669394</wp:posOffset>
                </wp:positionH>
                <wp:positionV relativeFrom="paragraph">
                  <wp:posOffset>2087492</wp:posOffset>
                </wp:positionV>
                <wp:extent cx="356235" cy="248920"/>
                <wp:effectExtent l="0" t="0" r="5715"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sidP="00877D4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367.65pt;margin-top:164.35pt;width:28.05pt;height:1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" stroked="f">
                <v:textbox>
                  <w:txbxContent>
                    <w:p w:rsidR="00304DD5" w:rsidRDefault="00304DD5" w:rsidP="00877D4E">
                      <w:r>
                        <w:t>B</w:t>
                      </w:r>
                    </w:p>
                  </w:txbxContent>
                </v:textbox>
              </v:shape>
            </w:pict>
          </mc:Fallback>
        </mc:AlternateContent>
      </w:r>
      <w:r w:rsidR="00CC2D8E">
        <w:rPr>
          <w:noProof/>
          <w:lang w:bidi="ar-SA"/>
        </w:rPr>
        <w:drawing>
          <wp:inline distT="0" distB="0" distL="0" distR="0" wp14:anchorId="55710EDE" wp14:editId="6D542FD7">
            <wp:extent cx="5301708" cy="3314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327606" cy="3330892"/>
                    </a:xfrm>
                    <a:prstGeom prst="rect">
                      <a:avLst/>
                    </a:prstGeom>
                  </pic:spPr>
                </pic:pic>
              </a:graphicData>
            </a:graphic>
          </wp:inline>
        </w:drawing>
      </w:r>
    </w:p>
    <w:p w:rsidR="00CC2D8E" w:rsidRPr="00CC76A4" w:rsidRDefault="00CC2D8E" w:rsidP="00CC2D8E">
      <w:pPr>
        <w:jc w:val="both"/>
        <w:rPr>
          <w:rFonts w:ascii="Times New Roman" w:hAnsi="Times New Roman"/>
          <w:b/>
        </w:rPr>
      </w:pPr>
      <w:r w:rsidRPr="00CC76A4">
        <w:rPr>
          <w:rFonts w:ascii="Times New Roman" w:hAnsi="Times New Roman"/>
          <w:b/>
        </w:rPr>
        <w:t>Figure 4.</w:t>
      </w:r>
      <w:r>
        <w:rPr>
          <w:rFonts w:ascii="Times New Roman" w:hAnsi="Times New Roman"/>
          <w:b/>
        </w:rPr>
        <w:t>2</w:t>
      </w:r>
      <w:r w:rsidR="00E34348">
        <w:rPr>
          <w:rFonts w:ascii="Times New Roman" w:hAnsi="Times New Roman"/>
          <w:b/>
        </w:rPr>
        <w:t>3</w:t>
      </w:r>
      <w:r w:rsidRPr="00CC76A4">
        <w:rPr>
          <w:rFonts w:ascii="Times New Roman" w:hAnsi="Times New Roman"/>
          <w:b/>
        </w:rPr>
        <w:t xml:space="preserve">: A) </w:t>
      </w:r>
      <w:r>
        <w:rPr>
          <w:rFonts w:ascii="Times New Roman" w:hAnsi="Times New Roman"/>
          <w:b/>
        </w:rPr>
        <w:t>areal percentage for</w:t>
      </w:r>
      <w:r w:rsidR="00E05CF1">
        <w:rPr>
          <w:rFonts w:ascii="Times New Roman" w:hAnsi="Times New Roman"/>
          <w:b/>
        </w:rPr>
        <w:t xml:space="preserve"> </w:t>
      </w:r>
      <w:r w:rsidR="00951A71">
        <w:rPr>
          <w:rFonts w:ascii="Times New Roman" w:hAnsi="Times New Roman"/>
          <w:b/>
        </w:rPr>
        <w:t>m</w:t>
      </w:r>
      <w:r w:rsidR="004621CD">
        <w:rPr>
          <w:rFonts w:ascii="Times New Roman" w:hAnsi="Times New Roman"/>
          <w:b/>
        </w:rPr>
        <w:t>ineral</w:t>
      </w:r>
      <w:r w:rsidR="00CC4D77">
        <w:rPr>
          <w:rFonts w:ascii="Times New Roman" w:hAnsi="Times New Roman"/>
          <w:b/>
        </w:rPr>
        <w:t xml:space="preserve"> group</w:t>
      </w:r>
      <w:r w:rsidR="00485EEE">
        <w:rPr>
          <w:rFonts w:ascii="Times New Roman" w:hAnsi="Times New Roman"/>
          <w:b/>
        </w:rPr>
        <w:t xml:space="preserve"> SCl</w:t>
      </w:r>
      <w:r w:rsidR="00575135">
        <w:rPr>
          <w:rFonts w:ascii="Times New Roman" w:hAnsi="Times New Roman"/>
          <w:b/>
        </w:rPr>
        <w:t xml:space="preserve"> (silica, clays, Mg-dolomite, feldspar)</w:t>
      </w:r>
      <w:r>
        <w:rPr>
          <w:rFonts w:ascii="Times New Roman" w:hAnsi="Times New Roman"/>
          <w:b/>
        </w:rPr>
        <w:t xml:space="preserve"> </w:t>
      </w:r>
      <w:r w:rsidRPr="00CC76A4">
        <w:rPr>
          <w:rFonts w:ascii="Times New Roman" w:hAnsi="Times New Roman"/>
          <w:b/>
        </w:rPr>
        <w:t>measured from SEM map (sample #</w:t>
      </w:r>
      <w:r>
        <w:rPr>
          <w:rFonts w:ascii="Times New Roman" w:hAnsi="Times New Roman"/>
          <w:b/>
        </w:rPr>
        <w:t>1</w:t>
      </w:r>
      <w:r w:rsidR="00E05CF1">
        <w:rPr>
          <w:rFonts w:ascii="Times New Roman" w:hAnsi="Times New Roman"/>
          <w:b/>
        </w:rPr>
        <w:t>) for different sub-map areas are</w:t>
      </w:r>
      <w:r w:rsidR="00575135">
        <w:rPr>
          <w:rFonts w:ascii="Times New Roman" w:hAnsi="Times New Roman"/>
          <w:b/>
        </w:rPr>
        <w:t xml:space="preserve"> compared to</w:t>
      </w:r>
      <w:r w:rsidRPr="00CC76A4">
        <w:rPr>
          <w:rFonts w:ascii="Times New Roman" w:hAnsi="Times New Roman"/>
          <w:b/>
        </w:rPr>
        <w:t xml:space="preserve"> total porosity for the original map (red line), B) T</w:t>
      </w:r>
      <w:r w:rsidR="00575135">
        <w:rPr>
          <w:rFonts w:ascii="Times New Roman" w:hAnsi="Times New Roman"/>
          <w:b/>
        </w:rPr>
        <w:t>runcation errors of each areal percentage value</w:t>
      </w:r>
      <w:r w:rsidRPr="00CC76A4">
        <w:rPr>
          <w:rFonts w:ascii="Times New Roman" w:hAnsi="Times New Roman"/>
          <w:b/>
        </w:rPr>
        <w:t xml:space="preserve"> </w:t>
      </w:r>
      <w:r w:rsidR="00575135">
        <w:rPr>
          <w:rFonts w:ascii="Times New Roman" w:hAnsi="Times New Roman"/>
          <w:b/>
        </w:rPr>
        <w:t>is compared to</w:t>
      </w:r>
      <w:r w:rsidRPr="00CC76A4">
        <w:rPr>
          <w:rFonts w:ascii="Times New Roman" w:hAnsi="Times New Roman"/>
          <w:b/>
        </w:rPr>
        <w:t xml:space="preserve"> 10% error (red line). Note beyond a map area of roughly </w:t>
      </w:r>
      <w:r>
        <w:rPr>
          <w:rFonts w:ascii="Times New Roman" w:hAnsi="Times New Roman"/>
          <w:b/>
        </w:rPr>
        <w:t>11</w:t>
      </w:r>
      <w:r w:rsidRPr="00CC76A4">
        <w:rPr>
          <w:rFonts w:ascii="Times New Roman" w:hAnsi="Times New Roman"/>
          <w:b/>
        </w:rPr>
        <w:t xml:space="preserve">% of the whole map, the difference in </w:t>
      </w:r>
      <w:r w:rsidR="000F0B5A">
        <w:rPr>
          <w:rFonts w:ascii="Times New Roman" w:hAnsi="Times New Roman"/>
          <w:b/>
        </w:rPr>
        <w:t>areal percentage</w:t>
      </w:r>
      <w:r w:rsidRPr="00CC76A4">
        <w:rPr>
          <w:rFonts w:ascii="Times New Roman" w:hAnsi="Times New Roman"/>
          <w:b/>
        </w:rPr>
        <w:t xml:space="preserve"> estimates reduces and become acceptable. </w:t>
      </w:r>
    </w:p>
    <w:p w:rsidR="002C4D04" w:rsidRDefault="002C4D04" w:rsidP="002C4D04">
      <w:pPr>
        <w:jc w:val="both"/>
        <w:rPr>
          <w:rFonts w:ascii="Times New Roman" w:hAnsi="Times New Roman"/>
        </w:rPr>
      </w:pPr>
      <w:r>
        <w:rPr>
          <w:rFonts w:ascii="Times New Roman" w:hAnsi="Times New Roman"/>
        </w:rPr>
        <w:lastRenderedPageBreak/>
        <w:t>Excluding image processing time, the required amount of time to acquire this cut-off map is 8 hours, which is much less than the required time for the whole map of approximately 6</w:t>
      </w:r>
      <w:r w:rsidR="00665FAD">
        <w:rPr>
          <w:rFonts w:ascii="Times New Roman" w:hAnsi="Times New Roman"/>
        </w:rPr>
        <w:t>6</w:t>
      </w:r>
      <w:r>
        <w:rPr>
          <w:rFonts w:ascii="Times New Roman" w:hAnsi="Times New Roman"/>
        </w:rPr>
        <w:t xml:space="preserve"> hours. </w:t>
      </w:r>
      <w:r w:rsidR="00182E7D" w:rsidRPr="00662D86">
        <w:rPr>
          <w:rFonts w:ascii="Times New Roman" w:hAnsi="Times New Roman"/>
          <w:b/>
        </w:rPr>
        <w:t>Fig 4.24</w:t>
      </w:r>
      <w:r w:rsidR="00A66AF6" w:rsidRPr="00662D86">
        <w:rPr>
          <w:rFonts w:ascii="Times New Roman" w:hAnsi="Times New Roman"/>
          <w:b/>
        </w:rPr>
        <w:t xml:space="preserve"> – </w:t>
      </w:r>
      <w:r w:rsidR="00182E7D" w:rsidRPr="00662D86">
        <w:rPr>
          <w:rFonts w:ascii="Times New Roman" w:hAnsi="Times New Roman"/>
          <w:b/>
        </w:rPr>
        <w:t>Fig 4.26</w:t>
      </w:r>
      <w:r w:rsidRPr="009D55B9">
        <w:rPr>
          <w:rFonts w:ascii="Times New Roman" w:hAnsi="Times New Roman"/>
        </w:rPr>
        <w:t xml:space="preserve"> shows example results for </w:t>
      </w:r>
      <w:r w:rsidR="00F3616C">
        <w:rPr>
          <w:rFonts w:ascii="Times New Roman" w:hAnsi="Times New Roman"/>
        </w:rPr>
        <w:t>g</w:t>
      </w:r>
      <w:r w:rsidR="00485EEE">
        <w:rPr>
          <w:rFonts w:ascii="Times New Roman" w:hAnsi="Times New Roman"/>
        </w:rPr>
        <w:t>roup CCl</w:t>
      </w:r>
      <w:r w:rsidR="00951A71">
        <w:rPr>
          <w:rFonts w:ascii="Times New Roman" w:hAnsi="Times New Roman"/>
        </w:rPr>
        <w:t xml:space="preserve"> </w:t>
      </w:r>
      <w:r w:rsidR="00951A71" w:rsidRPr="00951A71">
        <w:rPr>
          <w:rFonts w:ascii="Times New Roman" w:hAnsi="Times New Roman"/>
        </w:rPr>
        <w:t>(calcite, clays, Fe-dol., K-feldspar)</w:t>
      </w:r>
      <w:r w:rsidRPr="009D55B9">
        <w:rPr>
          <w:rFonts w:ascii="Times New Roman" w:hAnsi="Times New Roman"/>
        </w:rPr>
        <w:t xml:space="preserve">, </w:t>
      </w:r>
      <w:r w:rsidR="0092173C">
        <w:rPr>
          <w:rFonts w:ascii="Times New Roman" w:hAnsi="Times New Roman"/>
        </w:rPr>
        <w:t>RA</w:t>
      </w:r>
      <w:r w:rsidR="00831C7B">
        <w:rPr>
          <w:rFonts w:ascii="Times New Roman" w:hAnsi="Times New Roman"/>
        </w:rPr>
        <w:t xml:space="preserve"> (rutile, apatite)</w:t>
      </w:r>
      <w:r w:rsidRPr="009D55B9">
        <w:rPr>
          <w:rFonts w:ascii="Times New Roman" w:hAnsi="Times New Roman"/>
        </w:rPr>
        <w:t xml:space="preserve">, and </w:t>
      </w:r>
      <w:r w:rsidR="0092173C">
        <w:rPr>
          <w:rFonts w:ascii="Times New Roman" w:hAnsi="Times New Roman"/>
        </w:rPr>
        <w:t>P</w:t>
      </w:r>
      <w:r w:rsidR="00831C7B">
        <w:rPr>
          <w:rFonts w:ascii="Times New Roman" w:hAnsi="Times New Roman"/>
        </w:rPr>
        <w:t xml:space="preserve"> (pyrite)</w:t>
      </w:r>
      <w:r w:rsidRPr="009D55B9">
        <w:rPr>
          <w:rFonts w:ascii="Times New Roman" w:hAnsi="Times New Roman"/>
        </w:rPr>
        <w:t xml:space="preserve"> from the same sample</w:t>
      </w:r>
      <w:r>
        <w:rPr>
          <w:rFonts w:ascii="Times New Roman" w:hAnsi="Times New Roman"/>
        </w:rPr>
        <w:t xml:space="preserve">. The REA values for the four </w:t>
      </w:r>
      <w:r w:rsidR="00951A71">
        <w:rPr>
          <w:rFonts w:ascii="Times New Roman" w:hAnsi="Times New Roman"/>
        </w:rPr>
        <w:t>m</w:t>
      </w:r>
      <w:r w:rsidR="00C74138">
        <w:rPr>
          <w:rFonts w:ascii="Times New Roman" w:hAnsi="Times New Roman"/>
        </w:rPr>
        <w:t>ineral groups</w:t>
      </w:r>
      <w:r>
        <w:rPr>
          <w:rFonts w:ascii="Times New Roman" w:hAnsi="Times New Roman"/>
        </w:rPr>
        <w:t xml:space="preserve"> from this sample are 0.16, 1.13, 0.97, and 0.97 mm</w:t>
      </w:r>
      <w:r>
        <w:rPr>
          <w:rFonts w:ascii="Times New Roman" w:hAnsi="Times New Roman"/>
          <w:vertAlign w:val="superscript"/>
        </w:rPr>
        <w:t>2</w:t>
      </w:r>
      <w:r>
        <w:rPr>
          <w:rFonts w:ascii="Times New Roman" w:hAnsi="Times New Roman"/>
        </w:rPr>
        <w:t xml:space="preserve">, respectively. </w:t>
      </w:r>
    </w:p>
    <w:p w:rsidR="00CC2D8E" w:rsidRDefault="00877D4E" w:rsidP="00593D10">
      <w:pPr>
        <w:jc w:val="center"/>
        <w:rPr>
          <w:rFonts w:ascii="Times New Roman" w:hAnsi="Times New Roman"/>
        </w:rPr>
      </w:pPr>
      <w:r w:rsidRPr="00877D4E">
        <w:rPr>
          <w:rFonts w:ascii="Times New Roman" w:hAnsi="Times New Roman"/>
          <w:noProof/>
          <w:lang w:bidi="ar-SA"/>
        </w:rPr>
        <mc:AlternateContent>
          <mc:Choice Requires="wps">
            <w:drawing>
              <wp:anchor distT="0" distB="0" distL="114300" distR="114300" simplePos="0" relativeHeight="251667456" behindDoc="0" locked="0" layoutInCell="1" allowOverlap="1" wp14:anchorId="51BC3919" wp14:editId="3CE766CC">
                <wp:simplePos x="0" y="0"/>
                <wp:positionH relativeFrom="column">
                  <wp:posOffset>3836035</wp:posOffset>
                </wp:positionH>
                <wp:positionV relativeFrom="paragraph">
                  <wp:posOffset>1839051</wp:posOffset>
                </wp:positionV>
                <wp:extent cx="356235" cy="248920"/>
                <wp:effectExtent l="0" t="0" r="5715"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sidP="00877D4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302.05pt;margin-top:144.8pt;width:28.05pt;height:19.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" stroked="f">
                <v:textbox>
                  <w:txbxContent>
                    <w:p w:rsidR="00304DD5" w:rsidRDefault="00304DD5" w:rsidP="00877D4E">
                      <w:r>
                        <w:t>B</w:t>
                      </w:r>
                    </w:p>
                  </w:txbxContent>
                </v:textbox>
              </v:shape>
            </w:pict>
          </mc:Fallback>
        </mc:AlternateContent>
      </w:r>
      <w:r w:rsidRPr="00877D4E">
        <w:rPr>
          <w:rFonts w:ascii="Times New Roman" w:hAnsi="Times New Roman"/>
          <w:noProof/>
          <w:lang w:bidi="ar-SA"/>
        </w:rPr>
        <mc:AlternateContent>
          <mc:Choice Requires="wps">
            <w:drawing>
              <wp:anchor distT="0" distB="0" distL="114300" distR="114300" simplePos="0" relativeHeight="251636736" behindDoc="0" locked="0" layoutInCell="1" allowOverlap="1" wp14:anchorId="145F7D79" wp14:editId="2E5D4ADF">
                <wp:simplePos x="0" y="0"/>
                <wp:positionH relativeFrom="column">
                  <wp:posOffset>3832225</wp:posOffset>
                </wp:positionH>
                <wp:positionV relativeFrom="paragraph">
                  <wp:posOffset>281940</wp:posOffset>
                </wp:positionV>
                <wp:extent cx="356235" cy="248920"/>
                <wp:effectExtent l="0" t="0" r="5715"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sidP="00877D4E">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301.75pt;margin-top:22.2pt;width:28.05pt;height:19.6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" stroked="f">
                <v:textbox>
                  <w:txbxContent>
                    <w:p w:rsidR="00304DD5" w:rsidRDefault="00304DD5" w:rsidP="00877D4E">
                      <w:r>
                        <w:t>A</w:t>
                      </w:r>
                    </w:p>
                  </w:txbxContent>
                </v:textbox>
              </v:shape>
            </w:pict>
          </mc:Fallback>
        </mc:AlternateContent>
      </w:r>
      <w:r w:rsidR="000F0B5A">
        <w:rPr>
          <w:noProof/>
          <w:lang w:bidi="ar-SA"/>
        </w:rPr>
        <w:drawing>
          <wp:inline distT="0" distB="0" distL="0" distR="0" wp14:anchorId="4C0E2487" wp14:editId="559C2EE0">
            <wp:extent cx="4833257" cy="332041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4858090" cy="3337475"/>
                    </a:xfrm>
                    <a:prstGeom prst="rect">
                      <a:avLst/>
                    </a:prstGeom>
                  </pic:spPr>
                </pic:pic>
              </a:graphicData>
            </a:graphic>
          </wp:inline>
        </w:drawing>
      </w:r>
    </w:p>
    <w:p w:rsidR="000F0B5A" w:rsidRPr="00CC76A4" w:rsidRDefault="000F0B5A" w:rsidP="000F0B5A">
      <w:pPr>
        <w:jc w:val="both"/>
        <w:rPr>
          <w:rFonts w:ascii="Times New Roman" w:hAnsi="Times New Roman"/>
          <w:b/>
        </w:rPr>
      </w:pPr>
      <w:r w:rsidRPr="00CC76A4">
        <w:rPr>
          <w:rFonts w:ascii="Times New Roman" w:hAnsi="Times New Roman"/>
          <w:b/>
        </w:rPr>
        <w:t>Figure 4.</w:t>
      </w:r>
      <w:r>
        <w:rPr>
          <w:rFonts w:ascii="Times New Roman" w:hAnsi="Times New Roman"/>
          <w:b/>
        </w:rPr>
        <w:t>2</w:t>
      </w:r>
      <w:r w:rsidR="00E34348">
        <w:rPr>
          <w:rFonts w:ascii="Times New Roman" w:hAnsi="Times New Roman"/>
          <w:b/>
        </w:rPr>
        <w:t>4</w:t>
      </w:r>
      <w:r w:rsidRPr="00CC76A4">
        <w:rPr>
          <w:rFonts w:ascii="Times New Roman" w:hAnsi="Times New Roman"/>
          <w:b/>
        </w:rPr>
        <w:t xml:space="preserve">: A) </w:t>
      </w:r>
      <w:r>
        <w:rPr>
          <w:rFonts w:ascii="Times New Roman" w:hAnsi="Times New Roman"/>
          <w:b/>
        </w:rPr>
        <w:t xml:space="preserve">areal percentage for </w:t>
      </w:r>
      <w:r w:rsidR="00F3616C">
        <w:rPr>
          <w:rFonts w:ascii="Times New Roman" w:hAnsi="Times New Roman"/>
          <w:b/>
        </w:rPr>
        <w:t>g</w:t>
      </w:r>
      <w:r w:rsidR="00485EEE">
        <w:rPr>
          <w:rFonts w:ascii="Times New Roman" w:hAnsi="Times New Roman"/>
          <w:b/>
        </w:rPr>
        <w:t>roup CCl</w:t>
      </w:r>
      <w:r w:rsidR="005D1F27">
        <w:rPr>
          <w:rFonts w:ascii="Times New Roman" w:hAnsi="Times New Roman"/>
          <w:b/>
        </w:rPr>
        <w:t xml:space="preserve"> (calcite, Fe-Dolomite, clays, K-feldspar)</w:t>
      </w:r>
      <w:r>
        <w:rPr>
          <w:rFonts w:ascii="Times New Roman" w:hAnsi="Times New Roman"/>
          <w:b/>
        </w:rPr>
        <w:t xml:space="preserve"> </w:t>
      </w:r>
      <w:r w:rsidRPr="00CC76A4">
        <w:rPr>
          <w:rFonts w:ascii="Times New Roman" w:hAnsi="Times New Roman"/>
          <w:b/>
        </w:rPr>
        <w:t>measured from SEM map (sample #</w:t>
      </w:r>
      <w:r>
        <w:rPr>
          <w:rFonts w:ascii="Times New Roman" w:hAnsi="Times New Roman"/>
          <w:b/>
        </w:rPr>
        <w:t>1</w:t>
      </w:r>
      <w:r w:rsidRPr="00CC76A4">
        <w:rPr>
          <w:rFonts w:ascii="Times New Roman" w:hAnsi="Times New Roman"/>
          <w:b/>
        </w:rPr>
        <w:t xml:space="preserve">) for different sub-map areas in compared </w:t>
      </w:r>
      <w:r w:rsidR="00575135">
        <w:rPr>
          <w:rFonts w:ascii="Times New Roman" w:hAnsi="Times New Roman"/>
          <w:b/>
        </w:rPr>
        <w:t>to</w:t>
      </w:r>
      <w:r w:rsidRPr="00CC76A4">
        <w:rPr>
          <w:rFonts w:ascii="Times New Roman" w:hAnsi="Times New Roman"/>
          <w:b/>
        </w:rPr>
        <w:t xml:space="preserve"> total porosity for the original map (red line), B) Truncatio</w:t>
      </w:r>
      <w:r w:rsidR="00575135">
        <w:rPr>
          <w:rFonts w:ascii="Times New Roman" w:hAnsi="Times New Roman"/>
          <w:b/>
        </w:rPr>
        <w:t>n errors of each areal percentage value is compared to</w:t>
      </w:r>
      <w:r w:rsidRPr="00CC76A4">
        <w:rPr>
          <w:rFonts w:ascii="Times New Roman" w:hAnsi="Times New Roman"/>
          <w:b/>
        </w:rPr>
        <w:t xml:space="preserve"> </w:t>
      </w:r>
      <w:r w:rsidR="00575135">
        <w:rPr>
          <w:rFonts w:ascii="Times New Roman" w:hAnsi="Times New Roman"/>
          <w:b/>
        </w:rPr>
        <w:t>1</w:t>
      </w:r>
      <w:r>
        <w:rPr>
          <w:rFonts w:ascii="Times New Roman" w:hAnsi="Times New Roman"/>
          <w:b/>
        </w:rPr>
        <w:t>0</w:t>
      </w:r>
      <w:r w:rsidRPr="00CC76A4">
        <w:rPr>
          <w:rFonts w:ascii="Times New Roman" w:hAnsi="Times New Roman"/>
          <w:b/>
        </w:rPr>
        <w:t xml:space="preserve">% error (red line). Note beyond a map area of roughly </w:t>
      </w:r>
      <w:r>
        <w:rPr>
          <w:rFonts w:ascii="Times New Roman" w:hAnsi="Times New Roman"/>
          <w:b/>
        </w:rPr>
        <w:t>90</w:t>
      </w:r>
      <w:r w:rsidRPr="00CC76A4">
        <w:rPr>
          <w:rFonts w:ascii="Times New Roman" w:hAnsi="Times New Roman"/>
          <w:b/>
        </w:rPr>
        <w:t xml:space="preserve">% of the whole map, the difference in </w:t>
      </w:r>
      <w:r>
        <w:rPr>
          <w:rFonts w:ascii="Times New Roman" w:hAnsi="Times New Roman"/>
          <w:b/>
        </w:rPr>
        <w:t>areal percentage</w:t>
      </w:r>
      <w:r w:rsidRPr="00CC76A4">
        <w:rPr>
          <w:rFonts w:ascii="Times New Roman" w:hAnsi="Times New Roman"/>
          <w:b/>
        </w:rPr>
        <w:t xml:space="preserve"> estimates reduces and become acceptable. </w:t>
      </w:r>
    </w:p>
    <w:p w:rsidR="00CC2D8E" w:rsidRDefault="00CC2D8E" w:rsidP="002C4D04">
      <w:pPr>
        <w:jc w:val="both"/>
        <w:rPr>
          <w:rFonts w:ascii="Times New Roman" w:hAnsi="Times New Roman"/>
        </w:rPr>
      </w:pPr>
    </w:p>
    <w:p w:rsidR="00CC2D8E" w:rsidRDefault="00ED1C65" w:rsidP="00870928">
      <w:pPr>
        <w:jc w:val="center"/>
        <w:rPr>
          <w:rFonts w:ascii="Times New Roman" w:hAnsi="Times New Roman"/>
        </w:rPr>
      </w:pPr>
      <w:r w:rsidRPr="00877D4E">
        <w:rPr>
          <w:rFonts w:ascii="Times New Roman" w:hAnsi="Times New Roman"/>
          <w:noProof/>
          <w:lang w:bidi="ar-SA"/>
        </w:rPr>
        <w:lastRenderedPageBreak/>
        <mc:AlternateContent>
          <mc:Choice Requires="wps">
            <w:drawing>
              <wp:anchor distT="0" distB="0" distL="114300" distR="114300" simplePos="0" relativeHeight="251677696" behindDoc="0" locked="0" layoutInCell="1" allowOverlap="1" wp14:anchorId="728C8AA8" wp14:editId="14B0498B">
                <wp:simplePos x="0" y="0"/>
                <wp:positionH relativeFrom="column">
                  <wp:posOffset>4688840</wp:posOffset>
                </wp:positionH>
                <wp:positionV relativeFrom="paragraph">
                  <wp:posOffset>2635885</wp:posOffset>
                </wp:positionV>
                <wp:extent cx="356235" cy="248920"/>
                <wp:effectExtent l="0" t="0" r="5715"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sidP="00877D4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67" type="#_x0000_t202" style="position:absolute;left:0;text-align:left;margin-left:369.2pt;margin-top:207.55pt;width:28.05pt;height:19.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" stroked="f">
                <v:textbox>
                  <w:txbxContent>
                    <w:p w:rsidR="00304DD5" w:rsidRDefault="00304DD5" w:rsidP="00877D4E">
                      <w:r>
                        <w:t>B</w:t>
                      </w:r>
                    </w:p>
                  </w:txbxContent>
                </v:textbox>
              </v:shape>
            </w:pict>
          </mc:Fallback>
        </mc:AlternateContent>
      </w:r>
      <w:r w:rsidRPr="00877D4E">
        <w:rPr>
          <w:rFonts w:ascii="Times New Roman" w:hAnsi="Times New Roman"/>
          <w:noProof/>
          <w:lang w:bidi="ar-SA"/>
        </w:rPr>
        <mc:AlternateContent>
          <mc:Choice Requires="wps">
            <w:drawing>
              <wp:anchor distT="0" distB="0" distL="114300" distR="114300" simplePos="0" relativeHeight="251646976" behindDoc="0" locked="0" layoutInCell="1" allowOverlap="1" wp14:anchorId="3D0EE77E" wp14:editId="7FD391C7">
                <wp:simplePos x="0" y="0"/>
                <wp:positionH relativeFrom="column">
                  <wp:posOffset>4685030</wp:posOffset>
                </wp:positionH>
                <wp:positionV relativeFrom="paragraph">
                  <wp:posOffset>328295</wp:posOffset>
                </wp:positionV>
                <wp:extent cx="356235" cy="248920"/>
                <wp:effectExtent l="0" t="0" r="5715"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sidP="00877D4E">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368.9pt;margin-top:25.85pt;width:28.05pt;height:19.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" stroked="f">
                <v:textbox>
                  <w:txbxContent>
                    <w:p w:rsidR="00304DD5" w:rsidRDefault="00304DD5" w:rsidP="00877D4E">
                      <w:r>
                        <w:t>A</w:t>
                      </w:r>
                    </w:p>
                  </w:txbxContent>
                </v:textbox>
              </v:shape>
            </w:pict>
          </mc:Fallback>
        </mc:AlternateContent>
      </w:r>
      <w:r w:rsidR="000F0B5A">
        <w:rPr>
          <w:noProof/>
          <w:lang w:bidi="ar-SA"/>
        </w:rPr>
        <w:drawing>
          <wp:inline distT="0" distB="0" distL="0" distR="0" wp14:anchorId="1884AEC0" wp14:editId="3530B2AC">
            <wp:extent cx="5374830" cy="43058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5373222" cy="4304581"/>
                    </a:xfrm>
                    <a:prstGeom prst="rect">
                      <a:avLst/>
                    </a:prstGeom>
                  </pic:spPr>
                </pic:pic>
              </a:graphicData>
            </a:graphic>
          </wp:inline>
        </w:drawing>
      </w:r>
      <w:bookmarkStart w:id="124" w:name="_GoBack"/>
      <w:bookmarkEnd w:id="124"/>
    </w:p>
    <w:p w:rsidR="00870928" w:rsidRDefault="000F0B5A" w:rsidP="00870928">
      <w:pPr>
        <w:jc w:val="both"/>
        <w:rPr>
          <w:rFonts w:ascii="Times New Roman" w:hAnsi="Times New Roman"/>
          <w:b/>
        </w:rPr>
      </w:pPr>
      <w:r w:rsidRPr="00CC76A4">
        <w:rPr>
          <w:rFonts w:ascii="Times New Roman" w:hAnsi="Times New Roman"/>
          <w:b/>
        </w:rPr>
        <w:t>Figure 4.</w:t>
      </w:r>
      <w:r>
        <w:rPr>
          <w:rFonts w:ascii="Times New Roman" w:hAnsi="Times New Roman"/>
          <w:b/>
        </w:rPr>
        <w:t>2</w:t>
      </w:r>
      <w:r w:rsidR="00E34348">
        <w:rPr>
          <w:rFonts w:ascii="Times New Roman" w:hAnsi="Times New Roman"/>
          <w:b/>
        </w:rPr>
        <w:t>5</w:t>
      </w:r>
      <w:r w:rsidRPr="00CC76A4">
        <w:rPr>
          <w:rFonts w:ascii="Times New Roman" w:hAnsi="Times New Roman"/>
          <w:b/>
        </w:rPr>
        <w:t xml:space="preserve">: A) </w:t>
      </w:r>
      <w:r>
        <w:rPr>
          <w:rFonts w:ascii="Times New Roman" w:hAnsi="Times New Roman"/>
          <w:b/>
        </w:rPr>
        <w:t xml:space="preserve">areal percentage for </w:t>
      </w:r>
      <w:r w:rsidR="00F3616C">
        <w:rPr>
          <w:rFonts w:ascii="Times New Roman" w:hAnsi="Times New Roman"/>
          <w:b/>
        </w:rPr>
        <w:t>g</w:t>
      </w:r>
      <w:r w:rsidR="00485EEE">
        <w:rPr>
          <w:rFonts w:ascii="Times New Roman" w:hAnsi="Times New Roman"/>
          <w:b/>
        </w:rPr>
        <w:t>roup RA</w:t>
      </w:r>
      <w:r w:rsidR="005D1F27">
        <w:rPr>
          <w:rFonts w:ascii="Times New Roman" w:hAnsi="Times New Roman"/>
          <w:b/>
        </w:rPr>
        <w:t xml:space="preserve"> (rutile and apatite)</w:t>
      </w:r>
      <w:r>
        <w:rPr>
          <w:rFonts w:ascii="Times New Roman" w:hAnsi="Times New Roman"/>
          <w:b/>
        </w:rPr>
        <w:t xml:space="preserve"> </w:t>
      </w:r>
      <w:r w:rsidRPr="00CC76A4">
        <w:rPr>
          <w:rFonts w:ascii="Times New Roman" w:hAnsi="Times New Roman"/>
          <w:b/>
        </w:rPr>
        <w:t>measured from SEM map (sample #</w:t>
      </w:r>
      <w:r>
        <w:rPr>
          <w:rFonts w:ascii="Times New Roman" w:hAnsi="Times New Roman"/>
          <w:b/>
        </w:rPr>
        <w:t>1</w:t>
      </w:r>
      <w:r w:rsidRPr="00CC76A4">
        <w:rPr>
          <w:rFonts w:ascii="Times New Roman" w:hAnsi="Times New Roman"/>
          <w:b/>
        </w:rPr>
        <w:t xml:space="preserve">) for different sub-map areas </w:t>
      </w:r>
      <w:r w:rsidR="005D1F27">
        <w:rPr>
          <w:rFonts w:ascii="Times New Roman" w:hAnsi="Times New Roman"/>
          <w:b/>
        </w:rPr>
        <w:t>is</w:t>
      </w:r>
      <w:r w:rsidRPr="00CC76A4">
        <w:rPr>
          <w:rFonts w:ascii="Times New Roman" w:hAnsi="Times New Roman"/>
          <w:b/>
        </w:rPr>
        <w:t xml:space="preserve"> compared with total porosity for the original map (red line), B) Truncation errors of each </w:t>
      </w:r>
      <w:r w:rsidR="005D1F27">
        <w:rPr>
          <w:rFonts w:ascii="Times New Roman" w:hAnsi="Times New Roman"/>
          <w:b/>
        </w:rPr>
        <w:t>areal percentage value</w:t>
      </w:r>
      <w:r w:rsidRPr="00CC76A4">
        <w:rPr>
          <w:rFonts w:ascii="Times New Roman" w:hAnsi="Times New Roman"/>
          <w:b/>
        </w:rPr>
        <w:t xml:space="preserve"> </w:t>
      </w:r>
      <w:r w:rsidR="005D1F27">
        <w:rPr>
          <w:rFonts w:ascii="Times New Roman" w:hAnsi="Times New Roman"/>
          <w:b/>
        </w:rPr>
        <w:t>is compared to</w:t>
      </w:r>
      <w:r w:rsidRPr="00CC76A4">
        <w:rPr>
          <w:rFonts w:ascii="Times New Roman" w:hAnsi="Times New Roman"/>
          <w:b/>
        </w:rPr>
        <w:t xml:space="preserve"> </w:t>
      </w:r>
      <w:r w:rsidR="00575135">
        <w:rPr>
          <w:rFonts w:ascii="Times New Roman" w:hAnsi="Times New Roman"/>
          <w:b/>
        </w:rPr>
        <w:t>10</w:t>
      </w:r>
      <w:r w:rsidRPr="00CC76A4">
        <w:rPr>
          <w:rFonts w:ascii="Times New Roman" w:hAnsi="Times New Roman"/>
          <w:b/>
        </w:rPr>
        <w:t xml:space="preserve">% error (red line). Note beyond a map area of roughly </w:t>
      </w:r>
      <w:r w:rsidR="00575135">
        <w:rPr>
          <w:rFonts w:ascii="Times New Roman" w:hAnsi="Times New Roman"/>
          <w:b/>
        </w:rPr>
        <w:t>78</w:t>
      </w:r>
      <w:r w:rsidRPr="00CC76A4">
        <w:rPr>
          <w:rFonts w:ascii="Times New Roman" w:hAnsi="Times New Roman"/>
          <w:b/>
        </w:rPr>
        <w:t xml:space="preserve">% of the whole map, the difference in </w:t>
      </w:r>
      <w:r>
        <w:rPr>
          <w:rFonts w:ascii="Times New Roman" w:hAnsi="Times New Roman"/>
          <w:b/>
        </w:rPr>
        <w:t>areal percentage</w:t>
      </w:r>
      <w:r w:rsidRPr="00CC76A4">
        <w:rPr>
          <w:rFonts w:ascii="Times New Roman" w:hAnsi="Times New Roman"/>
          <w:b/>
        </w:rPr>
        <w:t xml:space="preserve"> estimate</w:t>
      </w:r>
      <w:r w:rsidR="00870928">
        <w:rPr>
          <w:rFonts w:ascii="Times New Roman" w:hAnsi="Times New Roman"/>
          <w:b/>
        </w:rPr>
        <w:t>s reduces and become acceptable</w:t>
      </w:r>
      <w:r w:rsidRPr="00CC76A4">
        <w:rPr>
          <w:rFonts w:ascii="Times New Roman" w:hAnsi="Times New Roman"/>
          <w:b/>
        </w:rPr>
        <w:t xml:space="preserve"> </w:t>
      </w:r>
    </w:p>
    <w:p w:rsidR="000F0B5A" w:rsidRDefault="00870928" w:rsidP="000F0B5A">
      <w:pPr>
        <w:jc w:val="both"/>
        <w:rPr>
          <w:rFonts w:ascii="Times New Roman" w:hAnsi="Times New Roman"/>
          <w:b/>
        </w:rPr>
      </w:pPr>
      <w:r>
        <w:rPr>
          <w:noProof/>
          <w:lang w:bidi="ar-SA"/>
        </w:rPr>
        <w:lastRenderedPageBreak/>
        <w:drawing>
          <wp:inline distT="0" distB="0" distL="0" distR="0" wp14:anchorId="28434FCC" wp14:editId="3958FA62">
            <wp:extent cx="5394960" cy="45914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5394960" cy="4591480"/>
                    </a:xfrm>
                    <a:prstGeom prst="rect">
                      <a:avLst/>
                    </a:prstGeom>
                  </pic:spPr>
                </pic:pic>
              </a:graphicData>
            </a:graphic>
          </wp:inline>
        </w:drawing>
      </w:r>
      <w:r w:rsidR="00A66AF6" w:rsidRPr="00877D4E">
        <w:rPr>
          <w:rFonts w:ascii="Times New Roman" w:hAnsi="Times New Roman"/>
          <w:noProof/>
          <w:lang w:bidi="ar-SA"/>
        </w:rPr>
        <mc:AlternateContent>
          <mc:Choice Requires="wps">
            <w:drawing>
              <wp:anchor distT="0" distB="0" distL="114300" distR="114300" simplePos="0" relativeHeight="251652096" behindDoc="0" locked="0" layoutInCell="1" allowOverlap="1" wp14:anchorId="258A6110" wp14:editId="48BA6606">
                <wp:simplePos x="0" y="0"/>
                <wp:positionH relativeFrom="column">
                  <wp:posOffset>4647565</wp:posOffset>
                </wp:positionH>
                <wp:positionV relativeFrom="paragraph">
                  <wp:posOffset>-4110355</wp:posOffset>
                </wp:positionV>
                <wp:extent cx="356235" cy="248920"/>
                <wp:effectExtent l="0" t="0" r="5715"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sidP="00877D4E">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365.95pt;margin-top:-323.65pt;width:28.05pt;height:19.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" stroked="f">
                <v:textbox>
                  <w:txbxContent>
                    <w:p w:rsidR="00304DD5" w:rsidRDefault="00304DD5" w:rsidP="00877D4E">
                      <w:r>
                        <w:t>A</w:t>
                      </w:r>
                    </w:p>
                  </w:txbxContent>
                </v:textbox>
              </v:shape>
            </w:pict>
          </mc:Fallback>
        </mc:AlternateContent>
      </w:r>
      <w:r w:rsidR="00A66AF6" w:rsidRPr="00877D4E">
        <w:rPr>
          <w:rFonts w:ascii="Times New Roman" w:hAnsi="Times New Roman"/>
          <w:noProof/>
          <w:lang w:bidi="ar-SA"/>
        </w:rPr>
        <mc:AlternateContent>
          <mc:Choice Requires="wps">
            <w:drawing>
              <wp:anchor distT="0" distB="0" distL="114300" distR="114300" simplePos="0" relativeHeight="251687936" behindDoc="0" locked="0" layoutInCell="1" allowOverlap="1" wp14:anchorId="31E8CB66" wp14:editId="4ACFCC04">
                <wp:simplePos x="0" y="0"/>
                <wp:positionH relativeFrom="column">
                  <wp:posOffset>4651375</wp:posOffset>
                </wp:positionH>
                <wp:positionV relativeFrom="paragraph">
                  <wp:posOffset>-1778635</wp:posOffset>
                </wp:positionV>
                <wp:extent cx="356235" cy="248920"/>
                <wp:effectExtent l="0" t="0" r="5715"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248920"/>
                        </a:xfrm>
                        <a:prstGeom prst="rect">
                          <a:avLst/>
                        </a:prstGeom>
                        <a:solidFill>
                          <a:srgbClr val="FFFFFF"/>
                        </a:solidFill>
                        <a:ln w="9525">
                          <a:noFill/>
                          <a:miter lim="800000"/>
                          <a:headEnd/>
                          <a:tailEnd/>
                        </a:ln>
                      </wps:spPr>
                      <wps:txbx>
                        <w:txbxContent>
                          <w:p w:rsidR="00304DD5" w:rsidRDefault="00304DD5" w:rsidP="00877D4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366.25pt;margin-top:-140.05pt;width:28.05pt;height:19.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" stroked="f">
                <v:textbox>
                  <w:txbxContent>
                    <w:p w:rsidR="00304DD5" w:rsidRDefault="00304DD5" w:rsidP="00877D4E">
                      <w:r>
                        <w:t>B</w:t>
                      </w:r>
                    </w:p>
                  </w:txbxContent>
                </v:textbox>
              </v:shape>
            </w:pict>
          </mc:Fallback>
        </mc:AlternateContent>
      </w:r>
      <w:r w:rsidR="000F0B5A" w:rsidRPr="00CC76A4">
        <w:rPr>
          <w:rFonts w:ascii="Times New Roman" w:hAnsi="Times New Roman"/>
          <w:b/>
        </w:rPr>
        <w:t>Figure 4.</w:t>
      </w:r>
      <w:r w:rsidR="000F0B5A">
        <w:rPr>
          <w:rFonts w:ascii="Times New Roman" w:hAnsi="Times New Roman"/>
          <w:b/>
        </w:rPr>
        <w:t>2</w:t>
      </w:r>
      <w:r w:rsidR="00E34348">
        <w:rPr>
          <w:rFonts w:ascii="Times New Roman" w:hAnsi="Times New Roman"/>
          <w:b/>
        </w:rPr>
        <w:t>6</w:t>
      </w:r>
      <w:r w:rsidR="000F0B5A" w:rsidRPr="00CC76A4">
        <w:rPr>
          <w:rFonts w:ascii="Times New Roman" w:hAnsi="Times New Roman"/>
          <w:b/>
        </w:rPr>
        <w:t xml:space="preserve">: A) </w:t>
      </w:r>
      <w:r w:rsidR="000F0B5A">
        <w:rPr>
          <w:rFonts w:ascii="Times New Roman" w:hAnsi="Times New Roman"/>
          <w:b/>
        </w:rPr>
        <w:t xml:space="preserve">areal percentage for </w:t>
      </w:r>
      <w:r w:rsidR="00F3616C">
        <w:rPr>
          <w:rFonts w:ascii="Times New Roman" w:hAnsi="Times New Roman"/>
          <w:b/>
        </w:rPr>
        <w:t>g</w:t>
      </w:r>
      <w:r w:rsidR="00485EEE">
        <w:rPr>
          <w:rFonts w:ascii="Times New Roman" w:hAnsi="Times New Roman"/>
          <w:b/>
        </w:rPr>
        <w:t>roup P</w:t>
      </w:r>
      <w:r w:rsidR="005D1F27">
        <w:rPr>
          <w:rFonts w:ascii="Times New Roman" w:hAnsi="Times New Roman"/>
          <w:b/>
        </w:rPr>
        <w:t xml:space="preserve"> (pyrite)</w:t>
      </w:r>
      <w:r w:rsidR="000F0B5A">
        <w:rPr>
          <w:rFonts w:ascii="Times New Roman" w:hAnsi="Times New Roman"/>
          <w:b/>
        </w:rPr>
        <w:t xml:space="preserve"> </w:t>
      </w:r>
      <w:r w:rsidR="000F0B5A" w:rsidRPr="00CC76A4">
        <w:rPr>
          <w:rFonts w:ascii="Times New Roman" w:hAnsi="Times New Roman"/>
          <w:b/>
        </w:rPr>
        <w:t>measured from SEM map (sample #</w:t>
      </w:r>
      <w:r w:rsidR="000F0B5A">
        <w:rPr>
          <w:rFonts w:ascii="Times New Roman" w:hAnsi="Times New Roman"/>
          <w:b/>
        </w:rPr>
        <w:t>1</w:t>
      </w:r>
      <w:r w:rsidR="000F0B5A" w:rsidRPr="00CC76A4">
        <w:rPr>
          <w:rFonts w:ascii="Times New Roman" w:hAnsi="Times New Roman"/>
          <w:b/>
        </w:rPr>
        <w:t xml:space="preserve">) for different sub-map areas </w:t>
      </w:r>
      <w:r w:rsidR="005D1F27">
        <w:rPr>
          <w:rFonts w:ascii="Times New Roman" w:hAnsi="Times New Roman"/>
          <w:b/>
        </w:rPr>
        <w:t>is</w:t>
      </w:r>
      <w:r w:rsidR="000F0B5A" w:rsidRPr="00CC76A4">
        <w:rPr>
          <w:rFonts w:ascii="Times New Roman" w:hAnsi="Times New Roman"/>
          <w:b/>
        </w:rPr>
        <w:t xml:space="preserve"> compared </w:t>
      </w:r>
      <w:r w:rsidR="005D1F27">
        <w:rPr>
          <w:rFonts w:ascii="Times New Roman" w:hAnsi="Times New Roman"/>
          <w:b/>
        </w:rPr>
        <w:t>to</w:t>
      </w:r>
      <w:r w:rsidR="000F0B5A" w:rsidRPr="00CC76A4">
        <w:rPr>
          <w:rFonts w:ascii="Times New Roman" w:hAnsi="Times New Roman"/>
          <w:b/>
        </w:rPr>
        <w:t xml:space="preserve"> total porosity for the original map (red line), B) Truncation errors of each </w:t>
      </w:r>
      <w:r w:rsidR="00575135">
        <w:rPr>
          <w:rFonts w:ascii="Times New Roman" w:hAnsi="Times New Roman"/>
          <w:b/>
        </w:rPr>
        <w:t>areal percentage value</w:t>
      </w:r>
      <w:r w:rsidR="000F0B5A" w:rsidRPr="00CC76A4">
        <w:rPr>
          <w:rFonts w:ascii="Times New Roman" w:hAnsi="Times New Roman"/>
          <w:b/>
        </w:rPr>
        <w:t xml:space="preserve"> </w:t>
      </w:r>
      <w:r w:rsidR="005D1F27">
        <w:rPr>
          <w:rFonts w:ascii="Times New Roman" w:hAnsi="Times New Roman"/>
          <w:b/>
        </w:rPr>
        <w:t>is compared to</w:t>
      </w:r>
      <w:r w:rsidR="000F0B5A" w:rsidRPr="00CC76A4">
        <w:rPr>
          <w:rFonts w:ascii="Times New Roman" w:hAnsi="Times New Roman"/>
          <w:b/>
        </w:rPr>
        <w:t xml:space="preserve"> </w:t>
      </w:r>
      <w:r w:rsidR="005D1F27">
        <w:rPr>
          <w:rFonts w:ascii="Times New Roman" w:hAnsi="Times New Roman"/>
          <w:b/>
        </w:rPr>
        <w:t>10</w:t>
      </w:r>
      <w:r w:rsidR="000F0B5A" w:rsidRPr="00CC76A4">
        <w:rPr>
          <w:rFonts w:ascii="Times New Roman" w:hAnsi="Times New Roman"/>
          <w:b/>
        </w:rPr>
        <w:t xml:space="preserve">% error (red line). Note beyond a map area of roughly </w:t>
      </w:r>
      <w:r w:rsidR="005D1F27">
        <w:rPr>
          <w:rFonts w:ascii="Times New Roman" w:hAnsi="Times New Roman"/>
          <w:b/>
        </w:rPr>
        <w:t>78</w:t>
      </w:r>
      <w:r w:rsidR="000F0B5A" w:rsidRPr="00CC76A4">
        <w:rPr>
          <w:rFonts w:ascii="Times New Roman" w:hAnsi="Times New Roman"/>
          <w:b/>
        </w:rPr>
        <w:t xml:space="preserve">% of the whole map, the difference in </w:t>
      </w:r>
      <w:r w:rsidR="000F0B5A">
        <w:rPr>
          <w:rFonts w:ascii="Times New Roman" w:hAnsi="Times New Roman"/>
          <w:b/>
        </w:rPr>
        <w:t>areal percentage</w:t>
      </w:r>
      <w:r w:rsidR="000F0B5A" w:rsidRPr="00CC76A4">
        <w:rPr>
          <w:rFonts w:ascii="Times New Roman" w:hAnsi="Times New Roman"/>
          <w:b/>
        </w:rPr>
        <w:t xml:space="preserve"> estimates reduces and become acceptable. </w:t>
      </w:r>
    </w:p>
    <w:p w:rsidR="000F0B5A" w:rsidRPr="00CC76A4" w:rsidRDefault="000F0B5A" w:rsidP="000F0B5A">
      <w:pPr>
        <w:jc w:val="both"/>
        <w:rPr>
          <w:rFonts w:ascii="Times New Roman" w:hAnsi="Times New Roman"/>
          <w:b/>
        </w:rPr>
      </w:pPr>
    </w:p>
    <w:p w:rsidR="000F0B5A" w:rsidRDefault="000F0B5A" w:rsidP="000F0B5A">
      <w:pPr>
        <w:jc w:val="both"/>
        <w:rPr>
          <w:rFonts w:ascii="Times New Roman" w:hAnsi="Times New Roman"/>
        </w:rPr>
      </w:pPr>
      <w:bookmarkStart w:id="125" w:name="_Hlk489519383"/>
      <w:r>
        <w:rPr>
          <w:rFonts w:ascii="Times New Roman" w:hAnsi="Times New Roman"/>
        </w:rPr>
        <w:t xml:space="preserve">The REA values for the four </w:t>
      </w:r>
      <w:r w:rsidR="00951A71">
        <w:rPr>
          <w:rFonts w:ascii="Times New Roman" w:hAnsi="Times New Roman"/>
        </w:rPr>
        <w:t>m</w:t>
      </w:r>
      <w:r w:rsidR="00C74138">
        <w:rPr>
          <w:rFonts w:ascii="Times New Roman" w:hAnsi="Times New Roman"/>
        </w:rPr>
        <w:t>ineral groups</w:t>
      </w:r>
      <w:r>
        <w:rPr>
          <w:rFonts w:ascii="Times New Roman" w:hAnsi="Times New Roman"/>
        </w:rPr>
        <w:t xml:space="preserve"> for the seven Wolfcamp Shale samples are showed in </w:t>
      </w:r>
      <w:r w:rsidR="00182E7D" w:rsidRPr="00662D86">
        <w:rPr>
          <w:rFonts w:ascii="Times New Roman" w:hAnsi="Times New Roman"/>
          <w:b/>
        </w:rPr>
        <w:t>Fig 4.27</w:t>
      </w:r>
      <w:r>
        <w:rPr>
          <w:rFonts w:ascii="Times New Roman" w:hAnsi="Times New Roman"/>
          <w:b/>
        </w:rPr>
        <w:t xml:space="preserve"> </w:t>
      </w:r>
      <w:r>
        <w:rPr>
          <w:rFonts w:ascii="Times New Roman" w:hAnsi="Times New Roman"/>
        </w:rPr>
        <w:t xml:space="preserve">in comparison with the REA values for porosity calculated </w:t>
      </w:r>
      <w:r w:rsidR="00665FAD">
        <w:rPr>
          <w:rFonts w:ascii="Times New Roman" w:hAnsi="Times New Roman"/>
        </w:rPr>
        <w:t>in</w:t>
      </w:r>
      <w:r>
        <w:rPr>
          <w:rFonts w:ascii="Times New Roman" w:hAnsi="Times New Roman"/>
        </w:rPr>
        <w:t xml:space="preserve"> </w:t>
      </w:r>
      <w:r w:rsidRPr="00B1417A">
        <w:rPr>
          <w:rFonts w:ascii="Times New Roman" w:hAnsi="Times New Roman"/>
          <w:b/>
        </w:rPr>
        <w:t xml:space="preserve">Chapter </w:t>
      </w:r>
      <w:r w:rsidR="00B1417A" w:rsidRPr="00B1417A">
        <w:rPr>
          <w:rFonts w:ascii="Times New Roman" w:hAnsi="Times New Roman"/>
          <w:b/>
        </w:rPr>
        <w:t>4.1.1</w:t>
      </w:r>
      <w:r>
        <w:rPr>
          <w:rFonts w:ascii="Times New Roman" w:hAnsi="Times New Roman"/>
        </w:rPr>
        <w:t xml:space="preserve">. A fairly similar trend is observed from the results for the selected </w:t>
      </w:r>
      <w:r>
        <w:rPr>
          <w:rFonts w:ascii="Times New Roman" w:hAnsi="Times New Roman"/>
        </w:rPr>
        <w:lastRenderedPageBreak/>
        <w:t xml:space="preserve">samples. </w:t>
      </w:r>
      <w:r w:rsidR="00951A71">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Pr>
          <w:rFonts w:ascii="Times New Roman" w:hAnsi="Times New Roman"/>
        </w:rPr>
        <w:t xml:space="preserve"> </w:t>
      </w:r>
      <w:r w:rsidR="00E06662">
        <w:rPr>
          <w:rFonts w:ascii="Times New Roman" w:hAnsi="Times New Roman"/>
        </w:rPr>
        <w:t>SCl (silica, clays, Mg-dolomite, feldspar)</w:t>
      </w:r>
      <w:r w:rsidR="005D1F27">
        <w:rPr>
          <w:rFonts w:ascii="Times New Roman" w:hAnsi="Times New Roman"/>
        </w:rPr>
        <w:t xml:space="preserve"> </w:t>
      </w:r>
      <w:r>
        <w:rPr>
          <w:rFonts w:ascii="Times New Roman" w:hAnsi="Times New Roman"/>
        </w:rPr>
        <w:t>has significant low REA (0.08 to 0.16 mm</w:t>
      </w:r>
      <w:r>
        <w:rPr>
          <w:rFonts w:ascii="Times New Roman" w:hAnsi="Times New Roman"/>
          <w:vertAlign w:val="superscript"/>
        </w:rPr>
        <w:t>2</w:t>
      </w:r>
      <w:r w:rsidR="00E06662">
        <w:rPr>
          <w:rFonts w:ascii="Times New Roman" w:hAnsi="Times New Roman"/>
        </w:rPr>
        <w:t xml:space="preserve">), much lower compared </w:t>
      </w:r>
      <w:r w:rsidR="005D1F27">
        <w:rPr>
          <w:rFonts w:ascii="Times New Roman" w:hAnsi="Times New Roman"/>
        </w:rPr>
        <w:t>to</w:t>
      </w:r>
      <w:r>
        <w:rPr>
          <w:rFonts w:ascii="Times New Roman" w:hAnsi="Times New Roman"/>
        </w:rPr>
        <w:t xml:space="preserve"> the REA values for the </w:t>
      </w:r>
      <w:r w:rsidRPr="00A66AF6">
        <w:rPr>
          <w:rFonts w:ascii="Times New Roman" w:hAnsi="Times New Roman"/>
        </w:rPr>
        <w:t xml:space="preserve">other three </w:t>
      </w:r>
      <w:r w:rsidR="00951A71">
        <w:rPr>
          <w:rFonts w:ascii="Times New Roman" w:hAnsi="Times New Roman"/>
        </w:rPr>
        <w:t>m</w:t>
      </w:r>
      <w:r w:rsidR="00C74138">
        <w:rPr>
          <w:rFonts w:ascii="Times New Roman" w:hAnsi="Times New Roman"/>
        </w:rPr>
        <w:t>ineral groups</w:t>
      </w:r>
      <w:r w:rsidR="00E06662">
        <w:rPr>
          <w:rFonts w:ascii="Times New Roman" w:hAnsi="Times New Roman"/>
        </w:rPr>
        <w:t xml:space="preserve"> including group CCl (calcite, clays, Fe-dolomite, K-feldspar), group RA (rutile and apatite), and group P (pyrite)</w:t>
      </w:r>
      <w:r w:rsidRPr="00A66AF6">
        <w:rPr>
          <w:rFonts w:ascii="Times New Roman" w:hAnsi="Times New Roman"/>
        </w:rPr>
        <w:t xml:space="preserve">. These small REA values are due to the dominance of quartz which contributes 78% of the total area in average for the seven samples in the </w:t>
      </w:r>
      <w:r w:rsidR="004621CD">
        <w:rPr>
          <w:rFonts w:ascii="Times New Roman" w:hAnsi="Times New Roman"/>
        </w:rPr>
        <w:t>mineral</w:t>
      </w:r>
      <w:r w:rsidRPr="00A66AF6">
        <w:rPr>
          <w:rFonts w:ascii="Times New Roman" w:hAnsi="Times New Roman"/>
        </w:rPr>
        <w:t>ogy (</w:t>
      </w:r>
      <w:r w:rsidRPr="00665FAD">
        <w:rPr>
          <w:rFonts w:ascii="Times New Roman" w:hAnsi="Times New Roman"/>
          <w:b/>
        </w:rPr>
        <w:t>Table</w:t>
      </w:r>
      <w:r w:rsidR="00A66AF6" w:rsidRPr="00665FAD">
        <w:rPr>
          <w:rFonts w:ascii="Times New Roman" w:hAnsi="Times New Roman"/>
          <w:b/>
        </w:rPr>
        <w:t xml:space="preserve"> 4.1</w:t>
      </w:r>
      <w:r w:rsidR="00E05CF1">
        <w:rPr>
          <w:rFonts w:ascii="Times New Roman" w:hAnsi="Times New Roman"/>
        </w:rPr>
        <w:t>); the more common</w:t>
      </w:r>
      <w:r w:rsidRPr="00A66AF6">
        <w:rPr>
          <w:rFonts w:ascii="Times New Roman" w:hAnsi="Times New Roman"/>
        </w:rPr>
        <w:t xml:space="preserve"> a </w:t>
      </w:r>
      <w:r w:rsidR="004621CD">
        <w:rPr>
          <w:rFonts w:ascii="Times New Roman" w:hAnsi="Times New Roman"/>
        </w:rPr>
        <w:t>mineral</w:t>
      </w:r>
      <w:r w:rsidRPr="00A66AF6">
        <w:rPr>
          <w:rFonts w:ascii="Times New Roman" w:hAnsi="Times New Roman"/>
        </w:rPr>
        <w:t xml:space="preserve"> is in the micr</w:t>
      </w:r>
      <w:r w:rsidR="00E06662">
        <w:rPr>
          <w:rFonts w:ascii="Times New Roman" w:hAnsi="Times New Roman"/>
        </w:rPr>
        <w:t>ostructure, the smaller area required</w:t>
      </w:r>
      <w:r w:rsidRPr="00A66AF6">
        <w:rPr>
          <w:rFonts w:ascii="Times New Roman" w:hAnsi="Times New Roman"/>
        </w:rPr>
        <w:t xml:space="preserve"> to capture its representative. </w:t>
      </w:r>
      <w:r w:rsidR="004621CD">
        <w:rPr>
          <w:rFonts w:ascii="Times New Roman" w:hAnsi="Times New Roman"/>
        </w:rPr>
        <w:t>Mineral</w:t>
      </w:r>
      <w:r w:rsidR="00CC4D77">
        <w:rPr>
          <w:rFonts w:ascii="Times New Roman" w:hAnsi="Times New Roman"/>
        </w:rPr>
        <w:t xml:space="preserve"> group</w:t>
      </w:r>
      <w:r w:rsidR="00485EEE">
        <w:rPr>
          <w:rFonts w:ascii="Times New Roman" w:hAnsi="Times New Roman"/>
        </w:rPr>
        <w:t xml:space="preserve"> </w:t>
      </w:r>
      <w:r w:rsidR="003728F0">
        <w:rPr>
          <w:rFonts w:ascii="Times New Roman" w:hAnsi="Times New Roman"/>
        </w:rPr>
        <w:t xml:space="preserve">CCl </w:t>
      </w:r>
      <w:r w:rsidRPr="00A66AF6">
        <w:rPr>
          <w:rFonts w:ascii="Times New Roman" w:hAnsi="Times New Roman"/>
        </w:rPr>
        <w:t>has fairly high REA (0.05 to 0.12 mm</w:t>
      </w:r>
      <w:r w:rsidRPr="00A66AF6">
        <w:rPr>
          <w:rFonts w:ascii="Times New Roman" w:hAnsi="Times New Roman"/>
          <w:vertAlign w:val="superscript"/>
        </w:rPr>
        <w:t>2</w:t>
      </w:r>
      <w:r w:rsidRPr="00A66AF6">
        <w:rPr>
          <w:rFonts w:ascii="Times New Roman" w:hAnsi="Times New Roman"/>
        </w:rPr>
        <w:t xml:space="preserve">) due to its lower areal percentage (6.2% in average). </w:t>
      </w:r>
      <w:r w:rsidR="004621CD">
        <w:rPr>
          <w:rFonts w:ascii="Times New Roman" w:hAnsi="Times New Roman"/>
        </w:rPr>
        <w:t>Mineral</w:t>
      </w:r>
      <w:r w:rsidR="00CC4D77">
        <w:rPr>
          <w:rFonts w:ascii="Times New Roman" w:hAnsi="Times New Roman"/>
        </w:rPr>
        <w:t xml:space="preserve"> group</w:t>
      </w:r>
      <w:r w:rsidR="00485EEE">
        <w:rPr>
          <w:rFonts w:ascii="Times New Roman" w:hAnsi="Times New Roman"/>
        </w:rPr>
        <w:t xml:space="preserve"> RA</w:t>
      </w:r>
      <w:r w:rsidRPr="00A66AF6">
        <w:rPr>
          <w:rFonts w:ascii="Times New Roman" w:hAnsi="Times New Roman"/>
        </w:rPr>
        <w:t xml:space="preserve"> and </w:t>
      </w:r>
      <w:r w:rsidR="00485EEE">
        <w:rPr>
          <w:rFonts w:ascii="Times New Roman" w:hAnsi="Times New Roman"/>
        </w:rPr>
        <w:t>Group P</w:t>
      </w:r>
      <w:r w:rsidRPr="00A66AF6">
        <w:rPr>
          <w:rFonts w:ascii="Times New Roman" w:hAnsi="Times New Roman"/>
        </w:rPr>
        <w:t xml:space="preserve"> have the highest REA (0.97 to 1.30 mm</w:t>
      </w:r>
      <w:r w:rsidRPr="00A66AF6">
        <w:rPr>
          <w:rFonts w:ascii="Times New Roman" w:hAnsi="Times New Roman"/>
          <w:vertAlign w:val="superscript"/>
        </w:rPr>
        <w:t>2</w:t>
      </w:r>
      <w:r w:rsidRPr="00A66AF6">
        <w:rPr>
          <w:rFonts w:ascii="Times New Roman" w:hAnsi="Times New Roman"/>
        </w:rPr>
        <w:t xml:space="preserve"> and 0.65 to 1.30 mm</w:t>
      </w:r>
      <w:r w:rsidRPr="00A66AF6">
        <w:rPr>
          <w:rFonts w:ascii="Times New Roman" w:hAnsi="Times New Roman"/>
          <w:vertAlign w:val="superscript"/>
        </w:rPr>
        <w:t>2</w:t>
      </w:r>
      <w:r w:rsidRPr="00A66AF6">
        <w:rPr>
          <w:rFonts w:ascii="Times New Roman" w:hAnsi="Times New Roman"/>
        </w:rPr>
        <w:t>, respectively); the REA required is almost equal to the area of the whole map (approximately 1.56 mm</w:t>
      </w:r>
      <w:bookmarkStart w:id="126" w:name="OLE_LINK65"/>
      <w:r w:rsidRPr="00A66AF6">
        <w:rPr>
          <w:rFonts w:ascii="Times New Roman" w:hAnsi="Times New Roman"/>
          <w:vertAlign w:val="superscript"/>
        </w:rPr>
        <w:t>2</w:t>
      </w:r>
      <w:bookmarkEnd w:id="126"/>
      <w:r w:rsidRPr="00A66AF6">
        <w:rPr>
          <w:rFonts w:ascii="Times New Roman" w:hAnsi="Times New Roman"/>
        </w:rPr>
        <w:t xml:space="preserve">). The </w:t>
      </w:r>
      <w:r w:rsidR="00E06662">
        <w:rPr>
          <w:rFonts w:ascii="Times New Roman" w:hAnsi="Times New Roman"/>
        </w:rPr>
        <w:t>large REA values for rutile, apatite, and pyrite are due to low concentration</w:t>
      </w:r>
      <w:r w:rsidRPr="00A66AF6">
        <w:rPr>
          <w:rFonts w:ascii="Times New Roman" w:hAnsi="Times New Roman"/>
        </w:rPr>
        <w:t>; this can be clearly observed from the SEM image and map (</w:t>
      </w:r>
      <w:r w:rsidR="00182E7D" w:rsidRPr="00662D86">
        <w:rPr>
          <w:rFonts w:ascii="Times New Roman" w:hAnsi="Times New Roman"/>
          <w:b/>
        </w:rPr>
        <w:t>Fig 3.4</w:t>
      </w:r>
      <w:r w:rsidRPr="00662D86">
        <w:rPr>
          <w:rFonts w:ascii="Times New Roman" w:hAnsi="Times New Roman"/>
        </w:rPr>
        <w:t>).</w:t>
      </w:r>
      <w:r w:rsidRPr="00A66AF6">
        <w:rPr>
          <w:rFonts w:ascii="Times New Roman" w:hAnsi="Times New Roman"/>
        </w:rPr>
        <w:t xml:space="preserve"> In fact, </w:t>
      </w:r>
      <w:r w:rsidR="00951A71">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Pr>
          <w:rFonts w:ascii="Times New Roman" w:hAnsi="Times New Roman"/>
        </w:rPr>
        <w:t xml:space="preserve"> </w:t>
      </w:r>
      <w:r w:rsidR="00E06662">
        <w:rPr>
          <w:rFonts w:ascii="Times New Roman" w:hAnsi="Times New Roman"/>
        </w:rPr>
        <w:t>RA</w:t>
      </w:r>
      <w:r w:rsidRPr="00A66AF6">
        <w:rPr>
          <w:rFonts w:ascii="Times New Roman" w:hAnsi="Times New Roman"/>
        </w:rPr>
        <w:t xml:space="preserve"> and </w:t>
      </w:r>
      <w:r w:rsidR="00E06662">
        <w:rPr>
          <w:rFonts w:ascii="Times New Roman" w:hAnsi="Times New Roman"/>
        </w:rPr>
        <w:t>P</w:t>
      </w:r>
      <w:r w:rsidRPr="00A66AF6">
        <w:rPr>
          <w:rFonts w:ascii="Times New Roman" w:hAnsi="Times New Roman"/>
        </w:rPr>
        <w:t xml:space="preserve"> only contribute to 0.3% and 1.1% in average to the total 2D microstructural area, respectively. When comparing the REA values of the four </w:t>
      </w:r>
      <w:r w:rsidR="00951A71">
        <w:rPr>
          <w:rFonts w:ascii="Times New Roman" w:hAnsi="Times New Roman"/>
        </w:rPr>
        <w:t>m</w:t>
      </w:r>
      <w:r w:rsidR="00C74138">
        <w:rPr>
          <w:rFonts w:ascii="Times New Roman" w:hAnsi="Times New Roman"/>
        </w:rPr>
        <w:t>ineral groups</w:t>
      </w:r>
      <w:r w:rsidR="00E06662">
        <w:rPr>
          <w:rFonts w:ascii="Times New Roman" w:hAnsi="Times New Roman"/>
        </w:rPr>
        <w:t xml:space="preserve"> with those of the porosity</w:t>
      </w:r>
      <w:r w:rsidRPr="00A66AF6">
        <w:rPr>
          <w:rFonts w:ascii="Times New Roman" w:hAnsi="Times New Roman"/>
        </w:rPr>
        <w:t xml:space="preserve"> </w:t>
      </w:r>
      <w:r w:rsidR="00E06662">
        <w:rPr>
          <w:rFonts w:ascii="Times New Roman" w:hAnsi="Times New Roman"/>
        </w:rPr>
        <w:t xml:space="preserve">(see </w:t>
      </w:r>
      <w:r w:rsidR="00182E7D" w:rsidRPr="00662D86">
        <w:rPr>
          <w:rFonts w:ascii="Times New Roman" w:hAnsi="Times New Roman"/>
          <w:b/>
        </w:rPr>
        <w:t>Fig 4.27</w:t>
      </w:r>
      <w:r w:rsidR="00E06662">
        <w:rPr>
          <w:rFonts w:ascii="Times New Roman" w:hAnsi="Times New Roman"/>
        </w:rPr>
        <w:t>), we note that</w:t>
      </w:r>
      <w:r w:rsidR="00A66AF6" w:rsidRPr="00A66AF6">
        <w:rPr>
          <w:rFonts w:ascii="Times New Roman" w:hAnsi="Times New Roman"/>
        </w:rPr>
        <w:t xml:space="preserve"> </w:t>
      </w:r>
      <w:r w:rsidRPr="00A66AF6">
        <w:rPr>
          <w:rFonts w:ascii="Times New Roman" w:hAnsi="Times New Roman"/>
        </w:rPr>
        <w:t xml:space="preserve">the representative area required for porosity is smaller than most of the </w:t>
      </w:r>
      <w:r w:rsidR="00951A71">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Pr="00A66AF6">
        <w:rPr>
          <w:rFonts w:ascii="Times New Roman" w:hAnsi="Times New Roman"/>
        </w:rPr>
        <w:t xml:space="preserve"> except for </w:t>
      </w:r>
      <w:r w:rsidR="00E06662">
        <w:rPr>
          <w:rFonts w:ascii="Times New Roman" w:hAnsi="Times New Roman"/>
        </w:rPr>
        <w:t>g</w:t>
      </w:r>
      <w:r w:rsidR="00485EEE">
        <w:rPr>
          <w:rFonts w:ascii="Times New Roman" w:hAnsi="Times New Roman"/>
        </w:rPr>
        <w:t>roup SCl</w:t>
      </w:r>
      <w:r w:rsidRPr="00A66AF6">
        <w:rPr>
          <w:rFonts w:ascii="Times New Roman" w:hAnsi="Times New Roman"/>
        </w:rPr>
        <w:t>. It i</w:t>
      </w:r>
      <w:r w:rsidR="00E05CF1">
        <w:rPr>
          <w:rFonts w:ascii="Times New Roman" w:hAnsi="Times New Roman"/>
        </w:rPr>
        <w:t>s noticed</w:t>
      </w:r>
      <w:r w:rsidRPr="00A66AF6">
        <w:rPr>
          <w:rFonts w:ascii="Times New Roman" w:hAnsi="Times New Roman"/>
        </w:rPr>
        <w:t xml:space="preserve"> from </w:t>
      </w:r>
      <w:r w:rsidRPr="00665FAD">
        <w:rPr>
          <w:rFonts w:ascii="Times New Roman" w:hAnsi="Times New Roman"/>
          <w:b/>
        </w:rPr>
        <w:t>Table</w:t>
      </w:r>
      <w:r w:rsidR="00A66AF6" w:rsidRPr="00665FAD">
        <w:rPr>
          <w:rFonts w:ascii="Times New Roman" w:hAnsi="Times New Roman"/>
          <w:b/>
        </w:rPr>
        <w:t xml:space="preserve"> 4.1</w:t>
      </w:r>
      <w:r w:rsidRPr="00A66AF6">
        <w:rPr>
          <w:rFonts w:ascii="Times New Roman" w:hAnsi="Times New Roman"/>
        </w:rPr>
        <w:t xml:space="preserve"> that similar behavior is observed for areal percentage: </w:t>
      </w:r>
      <w:r w:rsidR="00665FAD">
        <w:rPr>
          <w:rFonts w:ascii="Times New Roman" w:hAnsi="Times New Roman"/>
        </w:rPr>
        <w:t>o</w:t>
      </w:r>
      <w:r w:rsidRPr="00A66AF6">
        <w:rPr>
          <w:rFonts w:ascii="Times New Roman" w:hAnsi="Times New Roman"/>
        </w:rPr>
        <w:t xml:space="preserve">n average, the porosity values </w:t>
      </w:r>
      <w:r w:rsidR="0092173C">
        <w:rPr>
          <w:rFonts w:ascii="Times New Roman" w:hAnsi="Times New Roman"/>
        </w:rPr>
        <w:t xml:space="preserve">measured from the </w:t>
      </w:r>
      <w:r w:rsidR="00E06662">
        <w:rPr>
          <w:rFonts w:ascii="Times New Roman" w:hAnsi="Times New Roman"/>
        </w:rPr>
        <w:t>whole</w:t>
      </w:r>
      <w:r w:rsidR="0092173C">
        <w:rPr>
          <w:rFonts w:ascii="Times New Roman" w:hAnsi="Times New Roman"/>
        </w:rPr>
        <w:t xml:space="preserve"> map</w:t>
      </w:r>
      <w:r w:rsidR="00E06662">
        <w:rPr>
          <w:rFonts w:ascii="Times New Roman" w:hAnsi="Times New Roman"/>
        </w:rPr>
        <w:t>s</w:t>
      </w:r>
      <w:r w:rsidR="0092173C">
        <w:rPr>
          <w:rFonts w:ascii="Times New Roman" w:hAnsi="Times New Roman"/>
        </w:rPr>
        <w:t xml:space="preserve"> </w:t>
      </w:r>
      <w:r w:rsidRPr="00A66AF6">
        <w:rPr>
          <w:rFonts w:ascii="Times New Roman" w:hAnsi="Times New Roman"/>
        </w:rPr>
        <w:t xml:space="preserve">for the seven samples are smaller than the areal percentage of </w:t>
      </w:r>
      <w:r w:rsidR="00E06662">
        <w:rPr>
          <w:rFonts w:ascii="Times New Roman" w:hAnsi="Times New Roman"/>
        </w:rPr>
        <w:t>g</w:t>
      </w:r>
      <w:r w:rsidR="00485EEE">
        <w:rPr>
          <w:rFonts w:ascii="Times New Roman" w:hAnsi="Times New Roman"/>
        </w:rPr>
        <w:t>roup SCl</w:t>
      </w:r>
      <w:r w:rsidRPr="00A66AF6">
        <w:rPr>
          <w:rFonts w:ascii="Times New Roman" w:hAnsi="Times New Roman"/>
        </w:rPr>
        <w:t xml:space="preserve">, but </w:t>
      </w:r>
      <w:r w:rsidR="00665FAD">
        <w:rPr>
          <w:rFonts w:ascii="Times New Roman" w:hAnsi="Times New Roman"/>
        </w:rPr>
        <w:t>great</w:t>
      </w:r>
      <w:r w:rsidRPr="00A66AF6">
        <w:rPr>
          <w:rFonts w:ascii="Times New Roman" w:hAnsi="Times New Roman"/>
        </w:rPr>
        <w:t xml:space="preserve">er than the areal percentage of the other three groups. </w:t>
      </w:r>
    </w:p>
    <w:bookmarkEnd w:id="125"/>
    <w:p w:rsidR="00085615" w:rsidRDefault="00085615">
      <w:pPr>
        <w:spacing w:line="240" w:lineRule="auto"/>
        <w:rPr>
          <w:rFonts w:asciiTheme="majorHAnsi" w:hAnsiTheme="majorHAnsi"/>
          <w:b/>
          <w:bCs/>
          <w:sz w:val="28"/>
          <w:szCs w:val="32"/>
        </w:rPr>
      </w:pPr>
    </w:p>
    <w:p w:rsidR="00085615" w:rsidRDefault="00085615">
      <w:pPr>
        <w:spacing w:line="240" w:lineRule="auto"/>
        <w:rPr>
          <w:rFonts w:asciiTheme="majorHAnsi" w:hAnsiTheme="majorHAnsi"/>
          <w:b/>
          <w:bCs/>
          <w:sz w:val="28"/>
          <w:szCs w:val="32"/>
        </w:rPr>
      </w:pPr>
      <w:r>
        <w:br w:type="page"/>
      </w:r>
      <w:r w:rsidR="0092173C" w:rsidRPr="0092173C">
        <w:rPr>
          <w:noProof/>
        </w:rPr>
        <w:lastRenderedPageBreak/>
        <w:t xml:space="preserve"> </w:t>
      </w:r>
      <w:r w:rsidR="0092173C">
        <w:rPr>
          <w:noProof/>
          <w:lang w:bidi="ar-SA"/>
        </w:rPr>
        <w:drawing>
          <wp:inline distT="0" distB="0" distL="0" distR="0" wp14:anchorId="6A605CF0" wp14:editId="7E508417">
            <wp:extent cx="5394960" cy="323977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394960" cy="3239770"/>
                    </a:xfrm>
                    <a:prstGeom prst="rect">
                      <a:avLst/>
                    </a:prstGeom>
                  </pic:spPr>
                </pic:pic>
              </a:graphicData>
            </a:graphic>
          </wp:inline>
        </w:drawing>
      </w:r>
      <w:r w:rsidR="0092173C" w:rsidRPr="0092173C">
        <w:rPr>
          <w:noProof/>
        </w:rPr>
        <w:t xml:space="preserve"> </w:t>
      </w:r>
    </w:p>
    <w:p w:rsidR="00085615" w:rsidRDefault="00B1417A" w:rsidP="00B1417A">
      <w:pPr>
        <w:spacing w:line="240" w:lineRule="auto"/>
        <w:jc w:val="both"/>
        <w:rPr>
          <w:rFonts w:asciiTheme="majorHAnsi" w:hAnsiTheme="majorHAnsi"/>
          <w:b/>
          <w:bCs/>
          <w:sz w:val="28"/>
          <w:szCs w:val="32"/>
        </w:rPr>
      </w:pPr>
      <w:r>
        <w:rPr>
          <w:b/>
        </w:rPr>
        <w:t>Fig</w:t>
      </w:r>
      <w:r w:rsidR="00E34348">
        <w:rPr>
          <w:b/>
        </w:rPr>
        <w:t>ure 4.27</w:t>
      </w:r>
      <w:r>
        <w:rPr>
          <w:b/>
        </w:rPr>
        <w:t xml:space="preserve">: REA values for porosity and four </w:t>
      </w:r>
      <w:r w:rsidR="00951A71">
        <w:rPr>
          <w:b/>
        </w:rPr>
        <w:t>m</w:t>
      </w:r>
      <w:r w:rsidR="00C74138">
        <w:rPr>
          <w:b/>
        </w:rPr>
        <w:t>ineral groups</w:t>
      </w:r>
      <w:r>
        <w:rPr>
          <w:b/>
        </w:rPr>
        <w:t xml:space="preserve"> for the selected seven samples. Note that REAs for </w:t>
      </w:r>
      <w:r w:rsidR="00F3616C">
        <w:rPr>
          <w:b/>
        </w:rPr>
        <w:t>g</w:t>
      </w:r>
      <w:r w:rsidR="00485EEE">
        <w:rPr>
          <w:b/>
        </w:rPr>
        <w:t>roup SCl</w:t>
      </w:r>
      <w:r>
        <w:rPr>
          <w:b/>
        </w:rPr>
        <w:t xml:space="preserve"> are significantly low compared to the others</w:t>
      </w:r>
      <w:r w:rsidR="0092173C" w:rsidRPr="0092173C">
        <w:rPr>
          <w:rFonts w:ascii="Times New Roman" w:hAnsi="Times New Roman"/>
          <w:noProof/>
        </w:rPr>
        <w:t xml:space="preserve"> </w:t>
      </w:r>
    </w:p>
    <w:p w:rsidR="00B1417A" w:rsidRDefault="00B1417A">
      <w:pPr>
        <w:spacing w:line="240" w:lineRule="auto"/>
      </w:pPr>
    </w:p>
    <w:p w:rsidR="00B1417A" w:rsidRDefault="00B1417A">
      <w:pPr>
        <w:spacing w:line="240" w:lineRule="auto"/>
      </w:pPr>
    </w:p>
    <w:p w:rsidR="00B1417A" w:rsidRDefault="00B1417A">
      <w:pPr>
        <w:spacing w:line="240" w:lineRule="auto"/>
        <w:rPr>
          <w:b/>
        </w:rPr>
      </w:pPr>
      <w:bookmarkStart w:id="127" w:name="OLE_LINK98"/>
      <w:bookmarkStart w:id="128" w:name="OLE_LINK104"/>
      <w:r>
        <w:rPr>
          <w:b/>
        </w:rPr>
        <w:t xml:space="preserve">Table 4.1 – Average areal percentage and REA values for four </w:t>
      </w:r>
      <w:r w:rsidR="00951A71">
        <w:rPr>
          <w:b/>
        </w:rPr>
        <w:t>m</w:t>
      </w:r>
      <w:r w:rsidR="00C74138">
        <w:rPr>
          <w:b/>
        </w:rPr>
        <w:t>ineral groups</w:t>
      </w:r>
      <w:r>
        <w:rPr>
          <w:b/>
        </w:rPr>
        <w:t xml:space="preserve"> of the selected seven samples</w:t>
      </w:r>
    </w:p>
    <w:tbl>
      <w:tblPr>
        <w:tblStyle w:val="TableGrid"/>
        <w:tblW w:w="8565" w:type="dxa"/>
        <w:jc w:val="center"/>
        <w:tblLook w:val="0600" w:firstRow="0" w:lastRow="0" w:firstColumn="0" w:lastColumn="0" w:noHBand="1" w:noVBand="1"/>
      </w:tblPr>
      <w:tblGrid>
        <w:gridCol w:w="2268"/>
        <w:gridCol w:w="1620"/>
        <w:gridCol w:w="1527"/>
        <w:gridCol w:w="1620"/>
        <w:gridCol w:w="1530"/>
      </w:tblGrid>
      <w:tr w:rsidR="006A78AE" w:rsidRPr="00B1417A" w:rsidTr="006A78AE">
        <w:trPr>
          <w:trHeight w:val="399"/>
          <w:jc w:val="center"/>
        </w:trPr>
        <w:tc>
          <w:tcPr>
            <w:tcW w:w="2268"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b/>
                <w:bCs/>
                <w:color w:val="000000"/>
                <w:kern w:val="24"/>
                <w:lang w:bidi="ar-SA"/>
              </w:rPr>
              <w:t>Wolfcamp</w:t>
            </w:r>
          </w:p>
        </w:tc>
        <w:tc>
          <w:tcPr>
            <w:tcW w:w="1620" w:type="dxa"/>
            <w:hideMark/>
          </w:tcPr>
          <w:p w:rsidR="006A78AE" w:rsidRDefault="00485EEE" w:rsidP="006A78AE">
            <w:pPr>
              <w:spacing w:line="240" w:lineRule="auto"/>
              <w:jc w:val="center"/>
              <w:textAlignment w:val="bottom"/>
              <w:rPr>
                <w:rFonts w:ascii="Calibri" w:hAnsi="Calibri" w:cs="Arial"/>
                <w:b/>
                <w:bCs/>
                <w:color w:val="000000" w:themeColor="dark1"/>
                <w:kern w:val="24"/>
                <w:lang w:bidi="ar-SA"/>
              </w:rPr>
            </w:pPr>
            <w:r>
              <w:rPr>
                <w:rFonts w:ascii="Calibri" w:hAnsi="Calibri" w:cs="Arial"/>
                <w:b/>
                <w:bCs/>
                <w:color w:val="000000" w:themeColor="dark1"/>
                <w:kern w:val="24"/>
                <w:lang w:bidi="ar-SA"/>
              </w:rPr>
              <w:t>Group SCl</w:t>
            </w:r>
            <w:r w:rsidR="0092173C">
              <w:rPr>
                <w:rFonts w:ascii="Calibri" w:hAnsi="Calibri" w:cs="Arial"/>
                <w:b/>
                <w:bCs/>
                <w:color w:val="000000" w:themeColor="dark1"/>
                <w:kern w:val="24"/>
                <w:lang w:bidi="ar-SA"/>
              </w:rPr>
              <w:t xml:space="preserve"> </w:t>
            </w:r>
          </w:p>
          <w:p w:rsidR="0092173C" w:rsidRPr="00B1417A" w:rsidRDefault="0092173C" w:rsidP="006A78AE">
            <w:pPr>
              <w:spacing w:line="240" w:lineRule="auto"/>
              <w:jc w:val="center"/>
              <w:textAlignment w:val="bottom"/>
              <w:rPr>
                <w:rFonts w:ascii="Arial" w:hAnsi="Arial" w:cs="Arial"/>
                <w:lang w:bidi="ar-SA"/>
              </w:rPr>
            </w:pPr>
            <w:r>
              <w:rPr>
                <w:rFonts w:ascii="Calibri" w:hAnsi="Calibri" w:cs="Arial"/>
                <w:b/>
                <w:bCs/>
                <w:color w:val="000000" w:themeColor="dark1"/>
                <w:kern w:val="24"/>
                <w:lang w:bidi="ar-SA"/>
              </w:rPr>
              <w:t xml:space="preserve">(silica, clays, Mg-dolomite, feldspar) </w:t>
            </w:r>
          </w:p>
        </w:tc>
        <w:tc>
          <w:tcPr>
            <w:tcW w:w="1527" w:type="dxa"/>
            <w:hideMark/>
          </w:tcPr>
          <w:p w:rsidR="006A78AE" w:rsidRDefault="00485EEE" w:rsidP="006A78AE">
            <w:pPr>
              <w:spacing w:line="240" w:lineRule="auto"/>
              <w:jc w:val="center"/>
              <w:textAlignment w:val="bottom"/>
              <w:rPr>
                <w:rFonts w:ascii="Calibri" w:hAnsi="Calibri" w:cs="Arial"/>
                <w:b/>
                <w:bCs/>
                <w:color w:val="000000" w:themeColor="dark1"/>
                <w:kern w:val="24"/>
                <w:lang w:bidi="ar-SA"/>
              </w:rPr>
            </w:pPr>
            <w:r>
              <w:rPr>
                <w:rFonts w:ascii="Calibri" w:hAnsi="Calibri" w:cs="Arial"/>
                <w:b/>
                <w:bCs/>
                <w:color w:val="000000" w:themeColor="dark1"/>
                <w:kern w:val="24"/>
                <w:lang w:bidi="ar-SA"/>
              </w:rPr>
              <w:t>Group CCl</w:t>
            </w:r>
          </w:p>
          <w:p w:rsidR="0092173C" w:rsidRPr="00B1417A" w:rsidRDefault="0092173C" w:rsidP="006A78AE">
            <w:pPr>
              <w:spacing w:line="240" w:lineRule="auto"/>
              <w:jc w:val="center"/>
              <w:textAlignment w:val="bottom"/>
              <w:rPr>
                <w:rFonts w:ascii="Arial" w:hAnsi="Arial" w:cs="Arial"/>
                <w:lang w:bidi="ar-SA"/>
              </w:rPr>
            </w:pPr>
            <w:r>
              <w:rPr>
                <w:rFonts w:ascii="Calibri" w:hAnsi="Calibri" w:cs="Arial"/>
                <w:b/>
                <w:bCs/>
                <w:color w:val="000000" w:themeColor="dark1"/>
                <w:kern w:val="24"/>
                <w:lang w:bidi="ar-SA"/>
              </w:rPr>
              <w:t>(calcite, clays, Fe-dolomite, K-feldspar)</w:t>
            </w:r>
          </w:p>
        </w:tc>
        <w:tc>
          <w:tcPr>
            <w:tcW w:w="1620" w:type="dxa"/>
            <w:hideMark/>
          </w:tcPr>
          <w:p w:rsidR="006A78AE" w:rsidRDefault="00485EEE" w:rsidP="006A78AE">
            <w:pPr>
              <w:spacing w:line="240" w:lineRule="auto"/>
              <w:jc w:val="center"/>
              <w:textAlignment w:val="bottom"/>
              <w:rPr>
                <w:rFonts w:ascii="Calibri" w:hAnsi="Calibri" w:cs="Arial"/>
                <w:b/>
                <w:bCs/>
                <w:color w:val="000000" w:themeColor="dark1"/>
                <w:kern w:val="24"/>
                <w:lang w:bidi="ar-SA"/>
              </w:rPr>
            </w:pPr>
            <w:r>
              <w:rPr>
                <w:rFonts w:ascii="Calibri" w:hAnsi="Calibri" w:cs="Arial"/>
                <w:b/>
                <w:bCs/>
                <w:color w:val="000000" w:themeColor="dark1"/>
                <w:kern w:val="24"/>
                <w:lang w:bidi="ar-SA"/>
              </w:rPr>
              <w:t>Group RA</w:t>
            </w:r>
          </w:p>
          <w:p w:rsidR="0092173C" w:rsidRPr="00B1417A" w:rsidRDefault="0092173C" w:rsidP="006A78AE">
            <w:pPr>
              <w:spacing w:line="240" w:lineRule="auto"/>
              <w:jc w:val="center"/>
              <w:textAlignment w:val="bottom"/>
              <w:rPr>
                <w:rFonts w:ascii="Arial" w:hAnsi="Arial" w:cs="Arial"/>
                <w:lang w:bidi="ar-SA"/>
              </w:rPr>
            </w:pPr>
            <w:r>
              <w:rPr>
                <w:rFonts w:ascii="Calibri" w:hAnsi="Calibri" w:cs="Arial"/>
                <w:b/>
                <w:bCs/>
                <w:color w:val="000000" w:themeColor="dark1"/>
                <w:kern w:val="24"/>
                <w:lang w:bidi="ar-SA"/>
              </w:rPr>
              <w:t>(rutile, apatite)</w:t>
            </w:r>
          </w:p>
        </w:tc>
        <w:tc>
          <w:tcPr>
            <w:tcW w:w="1530" w:type="dxa"/>
            <w:hideMark/>
          </w:tcPr>
          <w:p w:rsidR="006A78AE" w:rsidRDefault="00485EEE" w:rsidP="006A78AE">
            <w:pPr>
              <w:spacing w:line="240" w:lineRule="auto"/>
              <w:jc w:val="center"/>
              <w:textAlignment w:val="bottom"/>
              <w:rPr>
                <w:rFonts w:ascii="Calibri" w:hAnsi="Calibri" w:cs="Arial"/>
                <w:b/>
                <w:bCs/>
                <w:color w:val="000000" w:themeColor="dark1"/>
                <w:kern w:val="24"/>
                <w:lang w:bidi="ar-SA"/>
              </w:rPr>
            </w:pPr>
            <w:r>
              <w:rPr>
                <w:rFonts w:ascii="Calibri" w:hAnsi="Calibri" w:cs="Arial"/>
                <w:b/>
                <w:bCs/>
                <w:color w:val="000000" w:themeColor="dark1"/>
                <w:kern w:val="24"/>
                <w:lang w:bidi="ar-SA"/>
              </w:rPr>
              <w:t>Group P</w:t>
            </w:r>
          </w:p>
          <w:p w:rsidR="0092173C" w:rsidRPr="00B1417A" w:rsidRDefault="0092173C" w:rsidP="006A78AE">
            <w:pPr>
              <w:spacing w:line="240" w:lineRule="auto"/>
              <w:jc w:val="center"/>
              <w:textAlignment w:val="bottom"/>
              <w:rPr>
                <w:rFonts w:ascii="Arial" w:hAnsi="Arial" w:cs="Arial"/>
                <w:lang w:bidi="ar-SA"/>
              </w:rPr>
            </w:pPr>
            <w:r>
              <w:rPr>
                <w:rFonts w:ascii="Calibri" w:hAnsi="Calibri" w:cs="Arial"/>
                <w:b/>
                <w:bCs/>
                <w:color w:val="000000" w:themeColor="dark1"/>
                <w:kern w:val="24"/>
                <w:lang w:bidi="ar-SA"/>
              </w:rPr>
              <w:t>(pyrite)</w:t>
            </w:r>
          </w:p>
        </w:tc>
      </w:tr>
      <w:tr w:rsidR="006A78AE" w:rsidRPr="00B1417A" w:rsidTr="006A78AE">
        <w:trPr>
          <w:trHeight w:val="399"/>
          <w:jc w:val="center"/>
        </w:trPr>
        <w:tc>
          <w:tcPr>
            <w:tcW w:w="2268"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b/>
                <w:bCs/>
                <w:color w:val="000000"/>
                <w:kern w:val="24"/>
                <w:lang w:bidi="ar-SA"/>
              </w:rPr>
              <w:t>Area</w:t>
            </w:r>
            <w:r>
              <w:rPr>
                <w:rFonts w:ascii="Calibri" w:hAnsi="Calibri" w:cs="Arial"/>
                <w:b/>
                <w:bCs/>
                <w:color w:val="000000"/>
                <w:kern w:val="24"/>
                <w:lang w:bidi="ar-SA"/>
              </w:rPr>
              <w:t>l percentage</w:t>
            </w:r>
            <w:r w:rsidRPr="00B1417A">
              <w:rPr>
                <w:rFonts w:ascii="Calibri" w:hAnsi="Calibri" w:cs="Arial"/>
                <w:b/>
                <w:bCs/>
                <w:color w:val="000000"/>
                <w:kern w:val="24"/>
                <w:lang w:bidi="ar-SA"/>
              </w:rPr>
              <w:t>, %</w:t>
            </w:r>
          </w:p>
        </w:tc>
        <w:tc>
          <w:tcPr>
            <w:tcW w:w="1620"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bCs/>
                <w:color w:val="000000" w:themeColor="dark1"/>
                <w:kern w:val="24"/>
                <w:lang w:bidi="ar-SA"/>
              </w:rPr>
              <w:t>78 ± 2</w:t>
            </w:r>
          </w:p>
        </w:tc>
        <w:tc>
          <w:tcPr>
            <w:tcW w:w="1527"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color w:val="000000" w:themeColor="dark1"/>
                <w:kern w:val="24"/>
                <w:lang w:bidi="ar-SA"/>
              </w:rPr>
              <w:t>6.2 ±</w:t>
            </w:r>
            <w:r w:rsidRPr="00B1417A">
              <w:rPr>
                <w:rFonts w:hAnsi="Calibri" w:cs="Arial"/>
                <w:color w:val="000000"/>
                <w:kern w:val="24"/>
                <w:lang w:bidi="ar-SA"/>
              </w:rPr>
              <w:t xml:space="preserve"> </w:t>
            </w:r>
            <w:r w:rsidRPr="00B1417A">
              <w:rPr>
                <w:rFonts w:ascii="Calibri" w:hAnsi="Calibri" w:cs="Arial"/>
                <w:color w:val="000000"/>
                <w:kern w:val="24"/>
                <w:lang w:bidi="ar-SA"/>
              </w:rPr>
              <w:t>1</w:t>
            </w:r>
          </w:p>
        </w:tc>
        <w:tc>
          <w:tcPr>
            <w:tcW w:w="1620"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color w:val="000000" w:themeColor="dark1"/>
                <w:kern w:val="24"/>
                <w:lang w:bidi="ar-SA"/>
              </w:rPr>
              <w:t>0.3 ±</w:t>
            </w:r>
            <w:r w:rsidRPr="00B1417A">
              <w:rPr>
                <w:rFonts w:ascii="Calibri" w:hAnsi="Calibri" w:cs="Arial"/>
                <w:color w:val="000000"/>
                <w:kern w:val="24"/>
                <w:lang w:bidi="ar-SA"/>
              </w:rPr>
              <w:t xml:space="preserve"> 0.2</w:t>
            </w:r>
          </w:p>
        </w:tc>
        <w:tc>
          <w:tcPr>
            <w:tcW w:w="1530"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color w:val="000000" w:themeColor="dark1"/>
                <w:kern w:val="24"/>
                <w:lang w:bidi="ar-SA"/>
              </w:rPr>
              <w:t>1.1 ±</w:t>
            </w:r>
            <w:r w:rsidRPr="00B1417A">
              <w:rPr>
                <w:rFonts w:ascii="Calibri" w:hAnsi="Calibri" w:cs="Arial"/>
                <w:color w:val="000000"/>
                <w:kern w:val="24"/>
                <w:lang w:bidi="ar-SA"/>
              </w:rPr>
              <w:t xml:space="preserve"> 0.3</w:t>
            </w:r>
          </w:p>
        </w:tc>
      </w:tr>
      <w:tr w:rsidR="006A78AE" w:rsidRPr="00B1417A" w:rsidTr="006A78AE">
        <w:trPr>
          <w:trHeight w:val="399"/>
          <w:jc w:val="center"/>
        </w:trPr>
        <w:tc>
          <w:tcPr>
            <w:tcW w:w="2268"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b/>
                <w:bCs/>
                <w:color w:val="000000"/>
                <w:kern w:val="24"/>
                <w:lang w:bidi="ar-SA"/>
              </w:rPr>
              <w:t>REA, mm</w:t>
            </w:r>
            <w:r w:rsidRPr="00B1417A">
              <w:rPr>
                <w:rFonts w:ascii="Calibri" w:hAnsi="Calibri" w:cs="Arial"/>
                <w:b/>
                <w:bCs/>
                <w:color w:val="000000"/>
                <w:kern w:val="24"/>
                <w:position w:val="10"/>
                <w:vertAlign w:val="superscript"/>
                <w:lang w:bidi="ar-SA"/>
              </w:rPr>
              <w:t>2</w:t>
            </w:r>
          </w:p>
        </w:tc>
        <w:tc>
          <w:tcPr>
            <w:tcW w:w="1620"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ascii="Calibri" w:hAnsi="Calibri" w:cs="Arial"/>
                <w:bCs/>
                <w:color w:val="000000"/>
                <w:kern w:val="24"/>
                <w:lang w:bidi="ar-SA"/>
              </w:rPr>
              <w:t>0.08 – 0.16</w:t>
            </w:r>
          </w:p>
        </w:tc>
        <w:tc>
          <w:tcPr>
            <w:tcW w:w="1527"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hAnsi="Calibri" w:cs="Arial"/>
                <w:color w:val="000000"/>
                <w:kern w:val="24"/>
                <w:lang w:bidi="ar-SA"/>
              </w:rPr>
              <w:t xml:space="preserve">0.8 - 1.13 </w:t>
            </w:r>
          </w:p>
        </w:tc>
        <w:tc>
          <w:tcPr>
            <w:tcW w:w="1620"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hAnsi="Calibri" w:cs="Arial"/>
                <w:color w:val="000000"/>
                <w:kern w:val="24"/>
                <w:lang w:bidi="ar-SA"/>
              </w:rPr>
              <w:t xml:space="preserve">0.97 </w:t>
            </w:r>
            <w:r w:rsidRPr="00B1417A">
              <w:rPr>
                <w:rFonts w:hAnsi="Calibri" w:cs="Arial"/>
                <w:color w:val="000000"/>
                <w:kern w:val="24"/>
                <w:lang w:bidi="ar-SA"/>
              </w:rPr>
              <w:t>–</w:t>
            </w:r>
            <w:r w:rsidRPr="00B1417A">
              <w:rPr>
                <w:rFonts w:hAnsi="Calibri" w:cs="Arial"/>
                <w:color w:val="000000"/>
                <w:kern w:val="24"/>
                <w:lang w:bidi="ar-SA"/>
              </w:rPr>
              <w:t xml:space="preserve"> 1.2</w:t>
            </w:r>
          </w:p>
        </w:tc>
        <w:tc>
          <w:tcPr>
            <w:tcW w:w="1530" w:type="dxa"/>
            <w:hideMark/>
          </w:tcPr>
          <w:p w:rsidR="006A78AE" w:rsidRPr="00B1417A" w:rsidRDefault="006A78AE" w:rsidP="006A78AE">
            <w:pPr>
              <w:spacing w:line="240" w:lineRule="auto"/>
              <w:jc w:val="center"/>
              <w:textAlignment w:val="bottom"/>
              <w:rPr>
                <w:rFonts w:ascii="Arial" w:hAnsi="Arial" w:cs="Arial"/>
                <w:lang w:bidi="ar-SA"/>
              </w:rPr>
            </w:pPr>
            <w:r w:rsidRPr="00B1417A">
              <w:rPr>
                <w:rFonts w:hAnsi="Calibri" w:cs="Arial"/>
                <w:color w:val="000000"/>
                <w:kern w:val="24"/>
                <w:lang w:bidi="ar-SA"/>
              </w:rPr>
              <w:t xml:space="preserve">0.96 </w:t>
            </w:r>
            <w:r w:rsidRPr="00B1417A">
              <w:rPr>
                <w:rFonts w:hAnsi="Calibri" w:cs="Arial"/>
                <w:color w:val="000000"/>
                <w:kern w:val="24"/>
                <w:lang w:bidi="ar-SA"/>
              </w:rPr>
              <w:t>–</w:t>
            </w:r>
            <w:r w:rsidRPr="00B1417A">
              <w:rPr>
                <w:rFonts w:hAnsi="Calibri" w:cs="Arial"/>
                <w:color w:val="000000"/>
                <w:kern w:val="24"/>
                <w:lang w:bidi="ar-SA"/>
              </w:rPr>
              <w:t xml:space="preserve"> 1.30</w:t>
            </w:r>
          </w:p>
        </w:tc>
      </w:tr>
      <w:bookmarkEnd w:id="127"/>
      <w:bookmarkEnd w:id="128"/>
    </w:tbl>
    <w:p w:rsidR="006A78AE" w:rsidRDefault="006A78AE">
      <w:pPr>
        <w:spacing w:line="240" w:lineRule="auto"/>
        <w:rPr>
          <w:b/>
        </w:rPr>
      </w:pPr>
    </w:p>
    <w:p w:rsidR="006A78AE" w:rsidRDefault="006A78AE">
      <w:pPr>
        <w:spacing w:line="240" w:lineRule="auto"/>
        <w:rPr>
          <w:b/>
        </w:rPr>
      </w:pPr>
    </w:p>
    <w:p w:rsidR="006A78AE" w:rsidRDefault="006A78AE" w:rsidP="006204F6">
      <w:pPr>
        <w:pStyle w:val="Heading3"/>
      </w:pPr>
      <w:r>
        <w:t>4.2.2 Grain Size Distribution</w:t>
      </w:r>
    </w:p>
    <w:p w:rsidR="006A78AE" w:rsidRDefault="006A78AE">
      <w:pPr>
        <w:spacing w:line="240" w:lineRule="auto"/>
        <w:rPr>
          <w:b/>
        </w:rPr>
      </w:pPr>
    </w:p>
    <w:p w:rsidR="00F22AEE" w:rsidRPr="006A78AE" w:rsidRDefault="00182E7D" w:rsidP="00665FAD">
      <w:pPr>
        <w:jc w:val="both"/>
      </w:pPr>
      <w:r w:rsidRPr="00662D86">
        <w:rPr>
          <w:rFonts w:ascii="Times New Roman" w:hAnsi="Times New Roman"/>
          <w:b/>
        </w:rPr>
        <w:t>Fig 4.28</w:t>
      </w:r>
      <w:r w:rsidR="00F22AEE" w:rsidRPr="00A66AF6">
        <w:rPr>
          <w:rFonts w:ascii="Times New Roman" w:hAnsi="Times New Roman"/>
        </w:rPr>
        <w:t xml:space="preserve"> shows size distribution result for all of the </w:t>
      </w:r>
      <w:r w:rsidR="004621CD">
        <w:rPr>
          <w:rFonts w:ascii="Times New Roman" w:hAnsi="Times New Roman"/>
        </w:rPr>
        <w:t>mineral</w:t>
      </w:r>
      <w:r w:rsidR="00F22AEE" w:rsidRPr="00A66AF6">
        <w:rPr>
          <w:rFonts w:ascii="Times New Roman" w:hAnsi="Times New Roman"/>
        </w:rPr>
        <w:t xml:space="preserve"> grains observed from the</w:t>
      </w:r>
      <w:r w:rsidR="00F22AEE">
        <w:rPr>
          <w:rFonts w:ascii="Times New Roman" w:hAnsi="Times New Roman"/>
        </w:rPr>
        <w:t xml:space="preserve"> maps of the seven Wolfcamp samples. The distributions were determined from the entire map acquired for each sample (similar to pore and organic size distribution). There is an inversely proportional relationship between number of </w:t>
      </w:r>
      <w:r w:rsidR="004621CD">
        <w:rPr>
          <w:rFonts w:ascii="Times New Roman" w:hAnsi="Times New Roman"/>
        </w:rPr>
        <w:t>mineral</w:t>
      </w:r>
      <w:r w:rsidR="00F22AEE">
        <w:rPr>
          <w:rFonts w:ascii="Times New Roman" w:hAnsi="Times New Roman"/>
        </w:rPr>
        <w:t xml:space="preserve"> grains and </w:t>
      </w:r>
      <w:r w:rsidR="00F22AEE">
        <w:rPr>
          <w:rFonts w:ascii="Times New Roman" w:hAnsi="Times New Roman"/>
        </w:rPr>
        <w:lastRenderedPageBreak/>
        <w:t xml:space="preserve">equivalent spherical </w:t>
      </w:r>
      <w:r w:rsidR="004621CD">
        <w:rPr>
          <w:rFonts w:ascii="Times New Roman" w:hAnsi="Times New Roman"/>
        </w:rPr>
        <w:t>mineral</w:t>
      </w:r>
      <w:r w:rsidR="00F22AEE">
        <w:rPr>
          <w:rFonts w:ascii="Times New Roman" w:hAnsi="Times New Roman"/>
        </w:rPr>
        <w:t xml:space="preserve"> grain radius on a log-log scale. The grain size distributions for the seven samples show a high degree of consistency as th</w:t>
      </w:r>
      <w:r w:rsidR="00AB5520">
        <w:rPr>
          <w:rFonts w:ascii="Times New Roman" w:hAnsi="Times New Roman"/>
        </w:rPr>
        <w:t>e plots follow a similar trend;</w:t>
      </w:r>
      <w:r w:rsidR="00F22AEE">
        <w:rPr>
          <w:rFonts w:ascii="Times New Roman" w:hAnsi="Times New Roman"/>
        </w:rPr>
        <w:t xml:space="preserve"> an insignificant variation is observed. Similar to pore and organic size distribution, grain size distribution indicates that small particles dominate in number. </w:t>
      </w:r>
      <w:r w:rsidR="00AB5520">
        <w:rPr>
          <w:rFonts w:ascii="Times New Roman" w:hAnsi="Times New Roman"/>
        </w:rPr>
        <w:t xml:space="preserve">The average grain </w:t>
      </w:r>
      <w:r w:rsidR="00E06662">
        <w:rPr>
          <w:rFonts w:ascii="Times New Roman" w:hAnsi="Times New Roman"/>
        </w:rPr>
        <w:t xml:space="preserve">equivalent </w:t>
      </w:r>
      <w:r w:rsidR="00AB5520">
        <w:rPr>
          <w:rFonts w:ascii="Times New Roman" w:hAnsi="Times New Roman"/>
        </w:rPr>
        <w:t xml:space="preserve">radius for seven samples within the 1 ft section ranges from 288 nm to 321 nm. </w:t>
      </w:r>
      <w:r w:rsidR="00F22AEE">
        <w:rPr>
          <w:rFonts w:ascii="Times New Roman" w:hAnsi="Times New Roman"/>
        </w:rPr>
        <w:t>The average grain rad</w:t>
      </w:r>
      <w:r w:rsidR="00AB5520">
        <w:rPr>
          <w:rFonts w:ascii="Times New Roman" w:hAnsi="Times New Roman"/>
        </w:rPr>
        <w:t>ius for all seven samples is 307 nm ± 12</w:t>
      </w:r>
      <w:r w:rsidR="00F22AEE">
        <w:rPr>
          <w:rFonts w:ascii="Times New Roman" w:hAnsi="Times New Roman"/>
        </w:rPr>
        <w:t xml:space="preserve"> nm.</w:t>
      </w:r>
      <w:r w:rsidR="00AB5520">
        <w:rPr>
          <w:rFonts w:ascii="Times New Roman" w:hAnsi="Times New Roman"/>
        </w:rPr>
        <w:t xml:space="preserve"> </w:t>
      </w:r>
      <w:r w:rsidR="003728F0">
        <w:rPr>
          <w:rFonts w:ascii="Times New Roman" w:hAnsi="Times New Roman"/>
        </w:rPr>
        <w:t>On average, approximately 200 to 325 grains can be sampled with a nanoindentor probe.</w:t>
      </w:r>
    </w:p>
    <w:p w:rsidR="00D81ABF" w:rsidRDefault="00D81ABF" w:rsidP="006A78AE">
      <w:pPr>
        <w:jc w:val="both"/>
        <w:rPr>
          <w:rFonts w:ascii="Times New Roman" w:hAnsi="Times New Roman"/>
        </w:rPr>
      </w:pPr>
      <w:r>
        <w:rPr>
          <w:noProof/>
          <w:lang w:bidi="ar-SA"/>
        </w:rPr>
        <w:drawing>
          <wp:anchor distT="0" distB="0" distL="114300" distR="114300" simplePos="0" relativeHeight="251703296" behindDoc="0" locked="0" layoutInCell="1" allowOverlap="1">
            <wp:simplePos x="0" y="0"/>
            <wp:positionH relativeFrom="column">
              <wp:posOffset>4727575</wp:posOffset>
            </wp:positionH>
            <wp:positionV relativeFrom="paragraph">
              <wp:posOffset>224790</wp:posOffset>
            </wp:positionV>
            <wp:extent cx="542925" cy="2962275"/>
            <wp:effectExtent l="0" t="0" r="9525" b="9525"/>
            <wp:wrapSquare wrapText="bothSides"/>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extLst>
                        <a:ext uri="{28A0092B-C50C-407E-A947-70E740481C1C}">
                          <a14:useLocalDpi xmlns:a14="http://schemas.microsoft.com/office/drawing/2010/main" val="0"/>
                        </a:ext>
                      </a:extLst>
                    </a:blip>
                    <a:stretch>
                      <a:fillRect/>
                    </a:stretch>
                  </pic:blipFill>
                  <pic:spPr>
                    <a:xfrm>
                      <a:off x="0" y="0"/>
                      <a:ext cx="542925" cy="2962275"/>
                    </a:xfrm>
                    <a:prstGeom prst="rect">
                      <a:avLst/>
                    </a:prstGeom>
                  </pic:spPr>
                </pic:pic>
              </a:graphicData>
            </a:graphic>
            <wp14:sizeRelV relativeFrom="margin">
              <wp14:pctHeight>0</wp14:pctHeight>
            </wp14:sizeRelV>
          </wp:anchor>
        </w:drawing>
      </w:r>
    </w:p>
    <w:p w:rsidR="00F22AEE" w:rsidRPr="00D81ABF" w:rsidRDefault="00D81ABF" w:rsidP="006A78AE">
      <w:pPr>
        <w:jc w:val="both"/>
        <w:rPr>
          <w:rFonts w:ascii="Times New Roman" w:hAnsi="Times New Roman"/>
        </w:rPr>
      </w:pPr>
      <w:r>
        <w:rPr>
          <w:noProof/>
          <w:lang w:bidi="ar-SA"/>
        </w:rPr>
        <w:drawing>
          <wp:anchor distT="0" distB="0" distL="114300" distR="114300" simplePos="0" relativeHeight="251672576" behindDoc="0" locked="0" layoutInCell="1" allowOverlap="1">
            <wp:simplePos x="0" y="0"/>
            <wp:positionH relativeFrom="column">
              <wp:posOffset>1863513</wp:posOffset>
            </wp:positionH>
            <wp:positionV relativeFrom="paragraph">
              <wp:posOffset>2956560</wp:posOffset>
            </wp:positionV>
            <wp:extent cx="257175" cy="200025"/>
            <wp:effectExtent l="0" t="0" r="9525" b="9525"/>
            <wp:wrapNone/>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257175" cy="200025"/>
                    </a:xfrm>
                    <a:prstGeom prst="rect">
                      <a:avLst/>
                    </a:prstGeom>
                  </pic:spPr>
                </pic:pic>
              </a:graphicData>
            </a:graphic>
          </wp:anchor>
        </w:drawing>
      </w:r>
      <w:r>
        <w:rPr>
          <w:noProof/>
          <w:lang w:bidi="ar-SA"/>
        </w:rPr>
        <w:drawing>
          <wp:inline distT="0" distB="0" distL="0" distR="0">
            <wp:extent cx="4600908" cy="3138310"/>
            <wp:effectExtent l="0" t="0" r="9525"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extLst>
                        <a:ext uri="{28A0092B-C50C-407E-A947-70E740481C1C}">
                          <a14:useLocalDpi xmlns:a14="http://schemas.microsoft.com/office/drawing/2010/main" val="0"/>
                        </a:ext>
                      </a:extLst>
                    </a:blip>
                    <a:stretch>
                      <a:fillRect/>
                    </a:stretch>
                  </pic:blipFill>
                  <pic:spPr>
                    <a:xfrm>
                      <a:off x="0" y="0"/>
                      <a:ext cx="4658981" cy="3177922"/>
                    </a:xfrm>
                    <a:prstGeom prst="rect">
                      <a:avLst/>
                    </a:prstGeom>
                  </pic:spPr>
                </pic:pic>
              </a:graphicData>
            </a:graphic>
          </wp:inline>
        </w:drawing>
      </w:r>
      <w:r w:rsidRPr="00D81ABF">
        <w:rPr>
          <w:noProof/>
        </w:rPr>
        <w:t xml:space="preserve"> </w:t>
      </w:r>
    </w:p>
    <w:p w:rsidR="003728F0" w:rsidRDefault="00F22AEE" w:rsidP="006A78AE">
      <w:pPr>
        <w:jc w:val="both"/>
        <w:rPr>
          <w:b/>
        </w:rPr>
      </w:pPr>
      <w:r>
        <w:rPr>
          <w:b/>
        </w:rPr>
        <w:t>Fig</w:t>
      </w:r>
      <w:r w:rsidR="00E34348">
        <w:rPr>
          <w:b/>
        </w:rPr>
        <w:t>ure 4.28:</w:t>
      </w:r>
      <w:r>
        <w:rPr>
          <w:b/>
        </w:rPr>
        <w:t xml:space="preserve"> </w:t>
      </w:r>
      <w:r w:rsidR="00314929">
        <w:rPr>
          <w:b/>
        </w:rPr>
        <w:t xml:space="preserve">All </w:t>
      </w:r>
      <w:r>
        <w:rPr>
          <w:b/>
        </w:rPr>
        <w:t>Grain size distribution for seven samples with their location on the right picture. Note the similar trend for these seven samples.</w:t>
      </w:r>
      <w:r w:rsidR="00B5433F">
        <w:rPr>
          <w:b/>
        </w:rPr>
        <w:t xml:space="preserve"> Distributions were derived from entire SEM maps (1.6 mm</w:t>
      </w:r>
      <w:r w:rsidR="00B5433F">
        <w:rPr>
          <w:b/>
          <w:vertAlign w:val="superscript"/>
        </w:rPr>
        <w:t>2</w:t>
      </w:r>
      <w:r w:rsidR="00B5433F">
        <w:rPr>
          <w:b/>
        </w:rPr>
        <w:t>)</w:t>
      </w:r>
      <w:bookmarkStart w:id="129" w:name="OLE_LINK87"/>
    </w:p>
    <w:p w:rsidR="00F22AEE" w:rsidRPr="003728F0" w:rsidRDefault="00F22AEE" w:rsidP="006A78AE">
      <w:pPr>
        <w:jc w:val="both"/>
        <w:rPr>
          <w:b/>
        </w:rPr>
      </w:pPr>
      <w:r>
        <w:rPr>
          <w:rFonts w:ascii="Times New Roman" w:hAnsi="Times New Roman"/>
        </w:rPr>
        <w:t xml:space="preserve">However, </w:t>
      </w:r>
      <w:r w:rsidR="004621CD">
        <w:rPr>
          <w:rFonts w:ascii="Times New Roman" w:hAnsi="Times New Roman"/>
        </w:rPr>
        <w:t>mineral</w:t>
      </w:r>
      <w:r>
        <w:rPr>
          <w:rFonts w:ascii="Times New Roman" w:hAnsi="Times New Roman"/>
        </w:rPr>
        <w:t xml:space="preserve"> grain includes four smaller groups whose amounts and behaviors are remarkably different from each other. </w:t>
      </w:r>
      <w:r w:rsidR="00146E9C">
        <w:rPr>
          <w:rFonts w:ascii="Times New Roman" w:hAnsi="Times New Roman"/>
        </w:rPr>
        <w:t>Thus, it is</w:t>
      </w:r>
      <w:r>
        <w:rPr>
          <w:rFonts w:ascii="Times New Roman" w:hAnsi="Times New Roman"/>
        </w:rPr>
        <w:t xml:space="preserve"> necessary to break down th</w:t>
      </w:r>
      <w:r w:rsidR="005625E4">
        <w:rPr>
          <w:rFonts w:ascii="Times New Roman" w:hAnsi="Times New Roman"/>
        </w:rPr>
        <w:t xml:space="preserve">e grain </w:t>
      </w:r>
      <w:r w:rsidR="005625E4">
        <w:rPr>
          <w:rFonts w:ascii="Times New Roman" w:hAnsi="Times New Roman"/>
        </w:rPr>
        <w:lastRenderedPageBreak/>
        <w:t>distribution more finely</w:t>
      </w:r>
      <w:r>
        <w:rPr>
          <w:rFonts w:ascii="Times New Roman" w:hAnsi="Times New Roman"/>
        </w:rPr>
        <w:t xml:space="preserve">. </w:t>
      </w:r>
      <w:r w:rsidR="00182E7D" w:rsidRPr="00662D86">
        <w:rPr>
          <w:rFonts w:ascii="Times New Roman" w:hAnsi="Times New Roman"/>
          <w:b/>
        </w:rPr>
        <w:t>Fig 4.29</w:t>
      </w:r>
      <w:r w:rsidR="00A66AF6" w:rsidRPr="00662D86">
        <w:rPr>
          <w:rFonts w:ascii="Times New Roman" w:hAnsi="Times New Roman"/>
          <w:b/>
        </w:rPr>
        <w:t xml:space="preserve"> – </w:t>
      </w:r>
      <w:r w:rsidR="00182E7D" w:rsidRPr="00662D86">
        <w:rPr>
          <w:rFonts w:ascii="Times New Roman" w:hAnsi="Times New Roman"/>
          <w:b/>
        </w:rPr>
        <w:t>Fig 4.32</w:t>
      </w:r>
      <w:r>
        <w:rPr>
          <w:rFonts w:ascii="Times New Roman" w:hAnsi="Times New Roman"/>
          <w:b/>
        </w:rPr>
        <w:t xml:space="preserve"> </w:t>
      </w:r>
      <w:r w:rsidR="00A66AF6">
        <w:rPr>
          <w:rFonts w:ascii="Times New Roman" w:hAnsi="Times New Roman"/>
        </w:rPr>
        <w:t>show</w:t>
      </w:r>
      <w:r>
        <w:rPr>
          <w:rFonts w:ascii="Times New Roman" w:hAnsi="Times New Roman"/>
        </w:rPr>
        <w:t xml:space="preserve"> the grain size distribution for each of the four </w:t>
      </w:r>
      <w:r w:rsidR="00951A71">
        <w:rPr>
          <w:rFonts w:ascii="Times New Roman" w:hAnsi="Times New Roman"/>
        </w:rPr>
        <w:t>m</w:t>
      </w:r>
      <w:r w:rsidR="00C74138">
        <w:rPr>
          <w:rFonts w:ascii="Times New Roman" w:hAnsi="Times New Roman"/>
        </w:rPr>
        <w:t>ineral groups</w:t>
      </w:r>
      <w:r>
        <w:rPr>
          <w:rFonts w:ascii="Times New Roman" w:hAnsi="Times New Roman"/>
        </w:rPr>
        <w:t xml:space="preserve"> acquired from the entire maps. Similar resu</w:t>
      </w:r>
      <w:r w:rsidR="005625E4">
        <w:rPr>
          <w:rFonts w:ascii="Times New Roman" w:hAnsi="Times New Roman"/>
        </w:rPr>
        <w:t xml:space="preserve">lts are observed for all </w:t>
      </w:r>
      <w:r>
        <w:rPr>
          <w:rFonts w:ascii="Times New Roman" w:hAnsi="Times New Roman"/>
        </w:rPr>
        <w:t xml:space="preserve">groups as </w:t>
      </w:r>
      <w:r w:rsidR="00665FAD">
        <w:rPr>
          <w:rFonts w:ascii="Times New Roman" w:hAnsi="Times New Roman"/>
        </w:rPr>
        <w:t xml:space="preserve">the </w:t>
      </w:r>
      <w:r>
        <w:rPr>
          <w:rFonts w:ascii="Times New Roman" w:hAnsi="Times New Roman"/>
        </w:rPr>
        <w:t>number of grains appears to inversely proportional to equivalent spherical grain radius and small grain particles dominate in number. Comparing to the distributions for all grain</w:t>
      </w:r>
      <w:r w:rsidR="005625E4">
        <w:rPr>
          <w:rFonts w:ascii="Times New Roman" w:hAnsi="Times New Roman"/>
        </w:rPr>
        <w:t>s</w:t>
      </w:r>
      <w:r>
        <w:rPr>
          <w:rFonts w:ascii="Times New Roman" w:hAnsi="Times New Roman"/>
        </w:rPr>
        <w:t>, the distribution</w:t>
      </w:r>
      <w:r w:rsidR="005625E4">
        <w:rPr>
          <w:rFonts w:ascii="Times New Roman" w:hAnsi="Times New Roman"/>
        </w:rPr>
        <w:t xml:space="preserve">s </w:t>
      </w:r>
      <w:r>
        <w:rPr>
          <w:rFonts w:ascii="Times New Roman" w:hAnsi="Times New Roman"/>
        </w:rPr>
        <w:t xml:space="preserve">for the four </w:t>
      </w:r>
      <w:r w:rsidR="00951A71">
        <w:rPr>
          <w:rFonts w:ascii="Times New Roman" w:hAnsi="Times New Roman"/>
        </w:rPr>
        <w:t>m</w:t>
      </w:r>
      <w:r w:rsidR="00C74138">
        <w:rPr>
          <w:rFonts w:ascii="Times New Roman" w:hAnsi="Times New Roman"/>
        </w:rPr>
        <w:t>ineral groups</w:t>
      </w:r>
      <w:r>
        <w:rPr>
          <w:rFonts w:ascii="Times New Roman" w:hAnsi="Times New Roman"/>
        </w:rPr>
        <w:t xml:space="preserve"> show larger variation between the samples, especially for </w:t>
      </w:r>
      <w:r w:rsidR="00951A71">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3728F0">
        <w:rPr>
          <w:rFonts w:ascii="Times New Roman" w:hAnsi="Times New Roman"/>
        </w:rPr>
        <w:t xml:space="preserve"> RA</w:t>
      </w:r>
      <w:r w:rsidR="00665FAD">
        <w:rPr>
          <w:rFonts w:ascii="Times New Roman" w:hAnsi="Times New Roman"/>
        </w:rPr>
        <w:t xml:space="preserve"> (rutile, apatite)</w:t>
      </w:r>
      <w:r>
        <w:rPr>
          <w:rFonts w:ascii="Times New Roman" w:hAnsi="Times New Roman"/>
        </w:rPr>
        <w:t xml:space="preserve"> and </w:t>
      </w:r>
      <w:r w:rsidR="003728F0">
        <w:rPr>
          <w:rFonts w:ascii="Times New Roman" w:hAnsi="Times New Roman"/>
        </w:rPr>
        <w:t>g</w:t>
      </w:r>
      <w:r w:rsidR="00485EEE">
        <w:rPr>
          <w:rFonts w:ascii="Times New Roman" w:hAnsi="Times New Roman"/>
        </w:rPr>
        <w:t>roup P</w:t>
      </w:r>
      <w:r w:rsidR="00665FAD">
        <w:rPr>
          <w:rFonts w:ascii="Times New Roman" w:hAnsi="Times New Roman"/>
        </w:rPr>
        <w:t xml:space="preserve"> (pyrite)</w:t>
      </w:r>
      <w:r>
        <w:rPr>
          <w:rFonts w:ascii="Times New Roman" w:hAnsi="Times New Roman"/>
        </w:rPr>
        <w:t xml:space="preserve">. This is due to the small number of rutile and apatite grains in </w:t>
      </w:r>
      <w:r w:rsidR="003728F0">
        <w:rPr>
          <w:rFonts w:ascii="Times New Roman" w:hAnsi="Times New Roman"/>
        </w:rPr>
        <w:t>g</w:t>
      </w:r>
      <w:r w:rsidR="00485EEE">
        <w:rPr>
          <w:rFonts w:ascii="Times New Roman" w:hAnsi="Times New Roman"/>
        </w:rPr>
        <w:t>roup RA</w:t>
      </w:r>
      <w:r>
        <w:rPr>
          <w:rFonts w:ascii="Times New Roman" w:hAnsi="Times New Roman"/>
        </w:rPr>
        <w:t xml:space="preserve"> and pyrite grains in </w:t>
      </w:r>
      <w:r w:rsidR="00F3616C">
        <w:rPr>
          <w:rFonts w:ascii="Times New Roman" w:hAnsi="Times New Roman"/>
        </w:rPr>
        <w:t>g</w:t>
      </w:r>
      <w:r w:rsidR="00485EEE">
        <w:rPr>
          <w:rFonts w:ascii="Times New Roman" w:hAnsi="Times New Roman"/>
        </w:rPr>
        <w:t>roup P</w:t>
      </w:r>
      <w:r>
        <w:rPr>
          <w:rFonts w:ascii="Times New Roman" w:hAnsi="Times New Roman"/>
        </w:rPr>
        <w:t xml:space="preserve"> observed from the maps. These variations for these groups are however relatively small; overall it can be stated that the grain size distributions are fairly consiste</w:t>
      </w:r>
      <w:r w:rsidR="005625E4">
        <w:rPr>
          <w:rFonts w:ascii="Times New Roman" w:hAnsi="Times New Roman"/>
        </w:rPr>
        <w:t>nt even after breaking down by</w:t>
      </w:r>
      <w:r>
        <w:rPr>
          <w:rFonts w:ascii="Times New Roman" w:hAnsi="Times New Roman"/>
        </w:rPr>
        <w:t xml:space="preserve"> </w:t>
      </w:r>
      <w:r w:rsidR="00951A71">
        <w:rPr>
          <w:rFonts w:ascii="Times New Roman" w:hAnsi="Times New Roman"/>
        </w:rPr>
        <w:t>m</w:t>
      </w:r>
      <w:r w:rsidR="00C74138">
        <w:rPr>
          <w:rFonts w:ascii="Times New Roman" w:hAnsi="Times New Roman"/>
        </w:rPr>
        <w:t>ineral groups</w:t>
      </w:r>
      <w:r>
        <w:rPr>
          <w:rFonts w:ascii="Times New Roman" w:hAnsi="Times New Roman"/>
        </w:rPr>
        <w:t>. Combining t</w:t>
      </w:r>
      <w:r w:rsidR="005625E4">
        <w:rPr>
          <w:rFonts w:ascii="Times New Roman" w:hAnsi="Times New Roman"/>
        </w:rPr>
        <w:t xml:space="preserve">his result with the FTIR </w:t>
      </w:r>
      <w:r>
        <w:rPr>
          <w:rFonts w:ascii="Times New Roman" w:hAnsi="Times New Roman"/>
        </w:rPr>
        <w:t xml:space="preserve">from </w:t>
      </w:r>
      <w:r w:rsidR="00DC1817" w:rsidRPr="00662D86">
        <w:rPr>
          <w:rFonts w:ascii="Times New Roman" w:hAnsi="Times New Roman"/>
          <w:b/>
        </w:rPr>
        <w:t xml:space="preserve">Fig </w:t>
      </w:r>
      <w:r w:rsidR="00A66AF6" w:rsidRPr="00662D86">
        <w:rPr>
          <w:rFonts w:ascii="Times New Roman" w:hAnsi="Times New Roman"/>
          <w:b/>
        </w:rPr>
        <w:t>3.8</w:t>
      </w:r>
      <w:r w:rsidRPr="00A66AF6">
        <w:rPr>
          <w:rFonts w:ascii="Times New Roman" w:hAnsi="Times New Roman"/>
        </w:rPr>
        <w:t>,</w:t>
      </w:r>
      <w:r>
        <w:rPr>
          <w:rFonts w:ascii="Times New Roman" w:hAnsi="Times New Roman"/>
        </w:rPr>
        <w:t xml:space="preserve"> </w:t>
      </w:r>
      <w:r w:rsidRPr="002850E8">
        <w:rPr>
          <w:rFonts w:ascii="Times New Roman" w:hAnsi="Times New Roman"/>
        </w:rPr>
        <w:t>It</w:t>
      </w:r>
      <w:r>
        <w:rPr>
          <w:rFonts w:ascii="Times New Roman" w:hAnsi="Times New Roman"/>
        </w:rPr>
        <w:t xml:space="preserve"> can be concluded that there is no s</w:t>
      </w:r>
      <w:r w:rsidR="005625E4">
        <w:rPr>
          <w:rFonts w:ascii="Times New Roman" w:hAnsi="Times New Roman"/>
        </w:rPr>
        <w:t>ignificant difference in</w:t>
      </w:r>
      <w:r>
        <w:rPr>
          <w:rFonts w:ascii="Times New Roman" w:hAnsi="Times New Roman"/>
        </w:rPr>
        <w:t xml:space="preserve"> </w:t>
      </w:r>
      <w:r w:rsidR="004621CD">
        <w:rPr>
          <w:rFonts w:ascii="Times New Roman" w:hAnsi="Times New Roman"/>
        </w:rPr>
        <w:t>mineral</w:t>
      </w:r>
      <w:r>
        <w:rPr>
          <w:rFonts w:ascii="Times New Roman" w:hAnsi="Times New Roman"/>
        </w:rPr>
        <w:t xml:space="preserve">ogy throughout the selected </w:t>
      </w:r>
      <w:r w:rsidR="00951A71">
        <w:rPr>
          <w:rFonts w:ascii="Times New Roman" w:hAnsi="Times New Roman"/>
        </w:rPr>
        <w:t>one-foot</w:t>
      </w:r>
      <w:r>
        <w:rPr>
          <w:rFonts w:ascii="Times New Roman" w:hAnsi="Times New Roman"/>
        </w:rPr>
        <w:t xml:space="preserve"> section of Wolfcamp shale. </w:t>
      </w:r>
      <w:r w:rsidR="00182E7D">
        <w:rPr>
          <w:rFonts w:ascii="Times New Roman" w:hAnsi="Times New Roman"/>
        </w:rPr>
        <w:t>Therefore,</w:t>
      </w:r>
      <w:r>
        <w:rPr>
          <w:rFonts w:ascii="Times New Roman" w:hAnsi="Times New Roman"/>
        </w:rPr>
        <w:t xml:space="preserve"> </w:t>
      </w:r>
      <w:r w:rsidR="003728F0">
        <w:rPr>
          <w:rFonts w:ascii="Times New Roman" w:hAnsi="Times New Roman"/>
        </w:rPr>
        <w:t xml:space="preserve">only </w:t>
      </w:r>
      <w:r>
        <w:rPr>
          <w:rFonts w:ascii="Times New Roman" w:hAnsi="Times New Roman"/>
        </w:rPr>
        <w:t xml:space="preserve">one sample </w:t>
      </w:r>
      <w:r w:rsidR="003728F0">
        <w:rPr>
          <w:rFonts w:ascii="Times New Roman" w:hAnsi="Times New Roman"/>
        </w:rPr>
        <w:t xml:space="preserve">is required </w:t>
      </w:r>
      <w:r>
        <w:rPr>
          <w:rFonts w:ascii="Times New Roman" w:hAnsi="Times New Roman"/>
        </w:rPr>
        <w:t xml:space="preserve">at any location from this </w:t>
      </w:r>
      <w:r w:rsidR="003728F0">
        <w:rPr>
          <w:rFonts w:ascii="Times New Roman" w:hAnsi="Times New Roman"/>
        </w:rPr>
        <w:t>one-foot</w:t>
      </w:r>
      <w:r>
        <w:rPr>
          <w:rFonts w:ascii="Times New Roman" w:hAnsi="Times New Roman"/>
        </w:rPr>
        <w:t xml:space="preserve"> section for a successfully grain size distribution study. </w:t>
      </w:r>
    </w:p>
    <w:bookmarkEnd w:id="129"/>
    <w:p w:rsidR="00F22AEE" w:rsidRDefault="00620F0E" w:rsidP="00314929">
      <w:pPr>
        <w:spacing w:line="240" w:lineRule="auto"/>
        <w:jc w:val="center"/>
        <w:rPr>
          <w:rFonts w:asciiTheme="majorHAnsi" w:hAnsiTheme="majorHAnsi"/>
          <w:b/>
          <w:bCs/>
          <w:sz w:val="28"/>
          <w:szCs w:val="32"/>
        </w:rPr>
      </w:pPr>
      <w:r>
        <w:rPr>
          <w:noProof/>
          <w:lang w:bidi="ar-SA"/>
        </w:rPr>
        <w:drawing>
          <wp:anchor distT="0" distB="0" distL="114300" distR="114300" simplePos="0" relativeHeight="251641856" behindDoc="0" locked="0" layoutInCell="1" allowOverlap="1" wp14:anchorId="482AF7D5" wp14:editId="33727A99">
            <wp:simplePos x="0" y="0"/>
            <wp:positionH relativeFrom="column">
              <wp:posOffset>3122353</wp:posOffset>
            </wp:positionH>
            <wp:positionV relativeFrom="paragraph">
              <wp:posOffset>1888490</wp:posOffset>
            </wp:positionV>
            <wp:extent cx="276102" cy="214746"/>
            <wp:effectExtent l="0" t="0" r="0"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276102" cy="214746"/>
                    </a:xfrm>
                    <a:prstGeom prst="rect">
                      <a:avLst/>
                    </a:prstGeom>
                  </pic:spPr>
                </pic:pic>
              </a:graphicData>
            </a:graphic>
            <wp14:sizeRelH relativeFrom="margin">
              <wp14:pctWidth>0</wp14:pctWidth>
            </wp14:sizeRelH>
            <wp14:sizeRelV relativeFrom="margin">
              <wp14:pctHeight>0</wp14:pctHeight>
            </wp14:sizeRelV>
          </wp:anchor>
        </w:drawing>
      </w:r>
      <w:r w:rsidR="00314929">
        <w:rPr>
          <w:noProof/>
          <w:lang w:bidi="ar-SA"/>
        </w:rPr>
        <w:drawing>
          <wp:inline distT="0" distB="0" distL="0" distR="0" wp14:anchorId="63B5F153" wp14:editId="55F7FAA8">
            <wp:extent cx="2759066" cy="2009775"/>
            <wp:effectExtent l="0" t="0" r="381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2785082" cy="2028726"/>
                    </a:xfrm>
                    <a:prstGeom prst="rect">
                      <a:avLst/>
                    </a:prstGeom>
                  </pic:spPr>
                </pic:pic>
              </a:graphicData>
            </a:graphic>
          </wp:inline>
        </w:drawing>
      </w:r>
    </w:p>
    <w:p w:rsidR="00314929" w:rsidRDefault="00314929" w:rsidP="00314929">
      <w:pPr>
        <w:jc w:val="both"/>
        <w:rPr>
          <w:b/>
        </w:rPr>
      </w:pPr>
    </w:p>
    <w:p w:rsidR="00314929" w:rsidRDefault="00314929" w:rsidP="00314929">
      <w:pPr>
        <w:jc w:val="both"/>
        <w:rPr>
          <w:b/>
        </w:rPr>
      </w:pPr>
      <w:r>
        <w:rPr>
          <w:b/>
        </w:rPr>
        <w:t>Fig</w:t>
      </w:r>
      <w:r w:rsidR="00E34348">
        <w:rPr>
          <w:b/>
        </w:rPr>
        <w:t>ure 4.29:</w:t>
      </w:r>
      <w:r>
        <w:rPr>
          <w:b/>
        </w:rPr>
        <w:t xml:space="preserve"> Grain size distribution for </w:t>
      </w:r>
      <w:r w:rsidR="00F3616C">
        <w:rPr>
          <w:b/>
        </w:rPr>
        <w:t>g</w:t>
      </w:r>
      <w:r w:rsidR="00485EEE">
        <w:rPr>
          <w:b/>
        </w:rPr>
        <w:t>roup SCl</w:t>
      </w:r>
      <w:r w:rsidR="004621CD">
        <w:rPr>
          <w:b/>
        </w:rPr>
        <w:t xml:space="preserve"> </w:t>
      </w:r>
      <w:r w:rsidR="004621CD" w:rsidRPr="004621CD">
        <w:rPr>
          <w:b/>
        </w:rPr>
        <w:t>(silica, clays, Mg-dol., feldspar)</w:t>
      </w:r>
      <w:r>
        <w:rPr>
          <w:b/>
        </w:rPr>
        <w:t xml:space="preserve"> of seven samples. Note the similar trend for these samples. A little bit more variation is observed compared to all grain distribution</w:t>
      </w:r>
      <w:r w:rsidR="00B5433F">
        <w:rPr>
          <w:b/>
        </w:rPr>
        <w:t xml:space="preserve"> (</w:t>
      </w:r>
      <w:r w:rsidR="000E5C7C">
        <w:rPr>
          <w:b/>
        </w:rPr>
        <w:t xml:space="preserve">see </w:t>
      </w:r>
      <w:r w:rsidR="00B5433F">
        <w:rPr>
          <w:b/>
        </w:rPr>
        <w:t>Fig 4.28)</w:t>
      </w:r>
      <w:r>
        <w:rPr>
          <w:b/>
        </w:rPr>
        <w:t xml:space="preserve">. </w:t>
      </w:r>
    </w:p>
    <w:p w:rsidR="00314929" w:rsidRPr="00F22AEE" w:rsidRDefault="00E05CF1" w:rsidP="00314929">
      <w:pPr>
        <w:jc w:val="center"/>
        <w:rPr>
          <w:b/>
        </w:rPr>
      </w:pPr>
      <w:r>
        <w:rPr>
          <w:noProof/>
          <w:lang w:bidi="ar-SA"/>
        </w:rPr>
        <w:lastRenderedPageBreak/>
        <w:drawing>
          <wp:anchor distT="0" distB="0" distL="114300" distR="114300" simplePos="0" relativeHeight="251662336" behindDoc="0" locked="0" layoutInCell="1" allowOverlap="1" wp14:anchorId="0ADB64AF" wp14:editId="1DB236B6">
            <wp:simplePos x="0" y="0"/>
            <wp:positionH relativeFrom="column">
              <wp:posOffset>3191934</wp:posOffset>
            </wp:positionH>
            <wp:positionV relativeFrom="paragraph">
              <wp:posOffset>2539365</wp:posOffset>
            </wp:positionV>
            <wp:extent cx="311603" cy="242358"/>
            <wp:effectExtent l="0" t="0" r="0" b="5715"/>
            <wp:wrapNone/>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311603" cy="242358"/>
                    </a:xfrm>
                    <a:prstGeom prst="rect">
                      <a:avLst/>
                    </a:prstGeom>
                  </pic:spPr>
                </pic:pic>
              </a:graphicData>
            </a:graphic>
            <wp14:sizeRelH relativeFrom="margin">
              <wp14:pctWidth>0</wp14:pctWidth>
            </wp14:sizeRelH>
            <wp14:sizeRelV relativeFrom="margin">
              <wp14:pctHeight>0</wp14:pctHeight>
            </wp14:sizeRelV>
          </wp:anchor>
        </w:drawing>
      </w:r>
      <w:r w:rsidR="00314929">
        <w:rPr>
          <w:noProof/>
          <w:lang w:bidi="ar-SA"/>
        </w:rPr>
        <w:drawing>
          <wp:inline distT="0" distB="0" distL="0" distR="0" wp14:anchorId="2557E263" wp14:editId="3794C443">
            <wp:extent cx="3561142" cy="2835547"/>
            <wp:effectExtent l="0" t="0" r="127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3560463" cy="2835007"/>
                    </a:xfrm>
                    <a:prstGeom prst="rect">
                      <a:avLst/>
                    </a:prstGeom>
                  </pic:spPr>
                </pic:pic>
              </a:graphicData>
            </a:graphic>
          </wp:inline>
        </w:drawing>
      </w:r>
    </w:p>
    <w:p w:rsidR="00314929" w:rsidRDefault="00314929" w:rsidP="00314929">
      <w:pPr>
        <w:jc w:val="both"/>
        <w:rPr>
          <w:b/>
        </w:rPr>
      </w:pPr>
      <w:r>
        <w:rPr>
          <w:b/>
        </w:rPr>
        <w:t>Fig</w:t>
      </w:r>
      <w:r w:rsidR="00E34348">
        <w:rPr>
          <w:b/>
        </w:rPr>
        <w:t>ure 4.30:</w:t>
      </w:r>
      <w:r>
        <w:rPr>
          <w:b/>
        </w:rPr>
        <w:t xml:space="preserve"> Grain size distribution for </w:t>
      </w:r>
      <w:r w:rsidR="00F3616C">
        <w:rPr>
          <w:b/>
        </w:rPr>
        <w:t>g</w:t>
      </w:r>
      <w:r w:rsidR="00485EEE">
        <w:rPr>
          <w:b/>
        </w:rPr>
        <w:t>roup CCl</w:t>
      </w:r>
      <w:r w:rsidR="00951A71">
        <w:rPr>
          <w:b/>
        </w:rPr>
        <w:t xml:space="preserve"> </w:t>
      </w:r>
      <w:r w:rsidR="00951A71" w:rsidRPr="00951A71">
        <w:rPr>
          <w:b/>
        </w:rPr>
        <w:t>(calcite, clays, Fe-dol., K-feldspar)</w:t>
      </w:r>
      <w:r>
        <w:rPr>
          <w:b/>
        </w:rPr>
        <w:t xml:space="preserve"> of seven samples. Note the similar trend for these samples. A little bit more variation is observed compared to all grain distribution. </w:t>
      </w:r>
    </w:p>
    <w:p w:rsidR="00F22AEE" w:rsidRPr="00314929" w:rsidRDefault="00E05CF1" w:rsidP="00E34348">
      <w:pPr>
        <w:jc w:val="center"/>
        <w:rPr>
          <w:rFonts w:ascii="Times New Roman" w:hAnsi="Times New Roman"/>
          <w:b/>
        </w:rPr>
      </w:pPr>
      <w:r>
        <w:rPr>
          <w:noProof/>
          <w:lang w:bidi="ar-SA"/>
        </w:rPr>
        <w:drawing>
          <wp:anchor distT="0" distB="0" distL="114300" distR="114300" simplePos="0" relativeHeight="251682816" behindDoc="0" locked="0" layoutInCell="1" allowOverlap="1" wp14:anchorId="0ADB64AF" wp14:editId="1DB236B6">
            <wp:simplePos x="0" y="0"/>
            <wp:positionH relativeFrom="column">
              <wp:posOffset>3115733</wp:posOffset>
            </wp:positionH>
            <wp:positionV relativeFrom="paragraph">
              <wp:posOffset>2589107</wp:posOffset>
            </wp:positionV>
            <wp:extent cx="311603" cy="242358"/>
            <wp:effectExtent l="0" t="0" r="0" b="5715"/>
            <wp:wrapNone/>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311603" cy="242358"/>
                    </a:xfrm>
                    <a:prstGeom prst="rect">
                      <a:avLst/>
                    </a:prstGeom>
                  </pic:spPr>
                </pic:pic>
              </a:graphicData>
            </a:graphic>
            <wp14:sizeRelH relativeFrom="margin">
              <wp14:pctWidth>0</wp14:pctWidth>
            </wp14:sizeRelH>
            <wp14:sizeRelV relativeFrom="margin">
              <wp14:pctHeight>0</wp14:pctHeight>
            </wp14:sizeRelV>
          </wp:anchor>
        </w:drawing>
      </w:r>
      <w:r w:rsidR="00E34348">
        <w:rPr>
          <w:noProof/>
          <w:lang w:bidi="ar-SA"/>
        </w:rPr>
        <w:drawing>
          <wp:inline distT="0" distB="0" distL="0" distR="0" wp14:anchorId="6139FF14" wp14:editId="08FB79B6">
            <wp:extent cx="3714750" cy="29432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3714750" cy="2943225"/>
                    </a:xfrm>
                    <a:prstGeom prst="rect">
                      <a:avLst/>
                    </a:prstGeom>
                  </pic:spPr>
                </pic:pic>
              </a:graphicData>
            </a:graphic>
          </wp:inline>
        </w:drawing>
      </w:r>
    </w:p>
    <w:p w:rsidR="00F22AEE" w:rsidRPr="00E34348" w:rsidRDefault="00314929" w:rsidP="00F22AEE">
      <w:pPr>
        <w:jc w:val="both"/>
        <w:rPr>
          <w:b/>
        </w:rPr>
      </w:pPr>
      <w:r>
        <w:rPr>
          <w:b/>
        </w:rPr>
        <w:t>Fig</w:t>
      </w:r>
      <w:r w:rsidR="00E34348">
        <w:rPr>
          <w:b/>
        </w:rPr>
        <w:t>ure 4.31:</w:t>
      </w:r>
      <w:r>
        <w:rPr>
          <w:b/>
        </w:rPr>
        <w:t xml:space="preserve"> Grain size </w:t>
      </w:r>
      <w:r w:rsidR="00E34348">
        <w:rPr>
          <w:b/>
        </w:rPr>
        <w:t>distributions</w:t>
      </w:r>
      <w:r>
        <w:rPr>
          <w:b/>
        </w:rPr>
        <w:t xml:space="preserve"> for </w:t>
      </w:r>
      <w:r w:rsidR="00F3616C">
        <w:rPr>
          <w:b/>
        </w:rPr>
        <w:t>g</w:t>
      </w:r>
      <w:r w:rsidR="00485EEE">
        <w:rPr>
          <w:b/>
        </w:rPr>
        <w:t>roup RA</w:t>
      </w:r>
      <w:r w:rsidR="00951A71">
        <w:rPr>
          <w:b/>
        </w:rPr>
        <w:t xml:space="preserve"> </w:t>
      </w:r>
      <w:r w:rsidR="00951A71" w:rsidRPr="00951A71">
        <w:rPr>
          <w:b/>
        </w:rPr>
        <w:t>(rutile, apatite)</w:t>
      </w:r>
      <w:r>
        <w:rPr>
          <w:b/>
        </w:rPr>
        <w:t xml:space="preserve"> of seven samples. Note the similar trend for these samples. More variation is observed compared to all grain d</w:t>
      </w:r>
      <w:r w:rsidR="00E34348">
        <w:rPr>
          <w:b/>
        </w:rPr>
        <w:t xml:space="preserve">istribution. </w:t>
      </w:r>
    </w:p>
    <w:p w:rsidR="00314929" w:rsidRDefault="005625E4" w:rsidP="00314929">
      <w:pPr>
        <w:jc w:val="center"/>
        <w:rPr>
          <w:rFonts w:ascii="Times New Roman" w:hAnsi="Times New Roman"/>
        </w:rPr>
      </w:pPr>
      <w:r>
        <w:rPr>
          <w:noProof/>
          <w:lang w:bidi="ar-SA"/>
        </w:rPr>
        <w:lastRenderedPageBreak/>
        <w:drawing>
          <wp:anchor distT="0" distB="0" distL="114300" distR="114300" simplePos="0" relativeHeight="251693056" behindDoc="0" locked="0" layoutInCell="1" allowOverlap="1" wp14:anchorId="0DB507E6" wp14:editId="74FCADA3">
            <wp:simplePos x="0" y="0"/>
            <wp:positionH relativeFrom="column">
              <wp:posOffset>3208655</wp:posOffset>
            </wp:positionH>
            <wp:positionV relativeFrom="paragraph">
              <wp:posOffset>2488142</wp:posOffset>
            </wp:positionV>
            <wp:extent cx="311603" cy="242358"/>
            <wp:effectExtent l="0" t="0" r="0" b="5715"/>
            <wp:wrapNone/>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extLst>
                        <a:ext uri="{28A0092B-C50C-407E-A947-70E740481C1C}">
                          <a14:useLocalDpi xmlns:a14="http://schemas.microsoft.com/office/drawing/2010/main" val="0"/>
                        </a:ext>
                      </a:extLst>
                    </a:blip>
                    <a:stretch>
                      <a:fillRect/>
                    </a:stretch>
                  </pic:blipFill>
                  <pic:spPr>
                    <a:xfrm>
                      <a:off x="0" y="0"/>
                      <a:ext cx="311603" cy="242358"/>
                    </a:xfrm>
                    <a:prstGeom prst="rect">
                      <a:avLst/>
                    </a:prstGeom>
                  </pic:spPr>
                </pic:pic>
              </a:graphicData>
            </a:graphic>
            <wp14:sizeRelH relativeFrom="margin">
              <wp14:pctWidth>0</wp14:pctWidth>
            </wp14:sizeRelH>
            <wp14:sizeRelV relativeFrom="margin">
              <wp14:pctHeight>0</wp14:pctHeight>
            </wp14:sizeRelV>
          </wp:anchor>
        </w:drawing>
      </w:r>
      <w:r w:rsidR="00314929">
        <w:rPr>
          <w:noProof/>
          <w:lang w:bidi="ar-SA"/>
        </w:rPr>
        <w:drawing>
          <wp:inline distT="0" distB="0" distL="0" distR="0" wp14:anchorId="3278ED9F" wp14:editId="6440B092">
            <wp:extent cx="3429000" cy="28289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3429000" cy="2828925"/>
                    </a:xfrm>
                    <a:prstGeom prst="rect">
                      <a:avLst/>
                    </a:prstGeom>
                  </pic:spPr>
                </pic:pic>
              </a:graphicData>
            </a:graphic>
          </wp:inline>
        </w:drawing>
      </w:r>
    </w:p>
    <w:p w:rsidR="00314929" w:rsidRDefault="00314929" w:rsidP="00314929">
      <w:pPr>
        <w:jc w:val="both"/>
        <w:rPr>
          <w:b/>
        </w:rPr>
      </w:pPr>
      <w:r>
        <w:rPr>
          <w:b/>
        </w:rPr>
        <w:t>Fig</w:t>
      </w:r>
      <w:r w:rsidR="00E34348">
        <w:rPr>
          <w:b/>
        </w:rPr>
        <w:t>ure 4.32:</w:t>
      </w:r>
      <w:r>
        <w:rPr>
          <w:b/>
        </w:rPr>
        <w:t xml:space="preserve"> Grain size distribution for </w:t>
      </w:r>
      <w:r w:rsidR="00F3616C">
        <w:rPr>
          <w:b/>
        </w:rPr>
        <w:t>g</w:t>
      </w:r>
      <w:r w:rsidR="00485EEE">
        <w:rPr>
          <w:b/>
        </w:rPr>
        <w:t>roup P</w:t>
      </w:r>
      <w:r w:rsidR="00951A71">
        <w:rPr>
          <w:b/>
        </w:rPr>
        <w:t xml:space="preserve"> </w:t>
      </w:r>
      <w:bookmarkStart w:id="130" w:name="OLE_LINK137"/>
      <w:bookmarkStart w:id="131" w:name="OLE_LINK139"/>
      <w:r w:rsidR="00951A71">
        <w:rPr>
          <w:b/>
        </w:rPr>
        <w:t>(pyrite)</w:t>
      </w:r>
      <w:bookmarkEnd w:id="130"/>
      <w:bookmarkEnd w:id="131"/>
      <w:r>
        <w:rPr>
          <w:b/>
        </w:rPr>
        <w:t xml:space="preserve"> of seven samples. Note the similar trend for these samples. More variation is observed compared to all grain distribution. </w:t>
      </w:r>
    </w:p>
    <w:p w:rsidR="00314929" w:rsidRDefault="00314929" w:rsidP="00314929">
      <w:pPr>
        <w:jc w:val="both"/>
        <w:rPr>
          <w:rFonts w:ascii="Times New Roman" w:hAnsi="Times New Roman"/>
        </w:rPr>
      </w:pPr>
      <w:r>
        <w:rPr>
          <w:rFonts w:ascii="Times New Roman" w:hAnsi="Times New Roman"/>
        </w:rPr>
        <w:t xml:space="preserve">The grain size distribution for clay is effectively separated from </w:t>
      </w:r>
      <w:r w:rsidR="002817B8">
        <w:rPr>
          <w:rFonts w:ascii="Times New Roman" w:hAnsi="Times New Roman"/>
        </w:rPr>
        <w:t>g</w:t>
      </w:r>
      <w:r w:rsidR="00485EEE">
        <w:rPr>
          <w:rFonts w:ascii="Times New Roman" w:hAnsi="Times New Roman"/>
        </w:rPr>
        <w:t xml:space="preserve">roup </w:t>
      </w:r>
      <w:r w:rsidR="003D3BD4">
        <w:rPr>
          <w:rFonts w:ascii="Times New Roman" w:hAnsi="Times New Roman"/>
        </w:rPr>
        <w:t>SCl</w:t>
      </w:r>
      <w:r w:rsidR="004621CD">
        <w:rPr>
          <w:rFonts w:ascii="Times New Roman" w:hAnsi="Times New Roman"/>
        </w:rPr>
        <w:t xml:space="preserve"> </w:t>
      </w:r>
      <w:r w:rsidR="004621CD" w:rsidRPr="004621CD">
        <w:rPr>
          <w:rFonts w:ascii="Times New Roman" w:hAnsi="Times New Roman"/>
        </w:rPr>
        <w:t>(silica, clays, Mg-dol., feldspar)</w:t>
      </w:r>
      <w:r w:rsidR="00B72958">
        <w:rPr>
          <w:rFonts w:ascii="Times New Roman" w:hAnsi="Times New Roman"/>
        </w:rPr>
        <w:t xml:space="preserve"> and </w:t>
      </w:r>
      <w:r w:rsidR="003D3BD4">
        <w:rPr>
          <w:rFonts w:ascii="Times New Roman" w:hAnsi="Times New Roman"/>
        </w:rPr>
        <w:t>CCl</w:t>
      </w:r>
      <w:r>
        <w:rPr>
          <w:rFonts w:ascii="Times New Roman" w:hAnsi="Times New Roman"/>
        </w:rPr>
        <w:t xml:space="preserve"> </w:t>
      </w:r>
      <w:r w:rsidR="00951A71" w:rsidRPr="00951A71">
        <w:rPr>
          <w:rFonts w:ascii="Times New Roman" w:hAnsi="Times New Roman"/>
        </w:rPr>
        <w:t>(calcite, clays, Fe-dol., K-feldspar)</w:t>
      </w:r>
      <w:r w:rsidR="00951A71">
        <w:rPr>
          <w:rFonts w:ascii="Times New Roman" w:hAnsi="Times New Roman"/>
        </w:rPr>
        <w:t xml:space="preserve"> </w:t>
      </w:r>
      <w:r>
        <w:rPr>
          <w:rFonts w:ascii="Times New Roman" w:hAnsi="Times New Roman"/>
        </w:rPr>
        <w:t xml:space="preserve">based on aspect ratio. An example for </w:t>
      </w:r>
      <w:r w:rsidR="002817B8">
        <w:rPr>
          <w:rFonts w:ascii="Times New Roman" w:hAnsi="Times New Roman"/>
        </w:rPr>
        <w:t>g</w:t>
      </w:r>
      <w:r w:rsidR="00485EEE">
        <w:rPr>
          <w:rFonts w:ascii="Times New Roman" w:hAnsi="Times New Roman"/>
        </w:rPr>
        <w:t xml:space="preserve">roup </w:t>
      </w:r>
      <w:r w:rsidR="003D3BD4">
        <w:rPr>
          <w:rFonts w:ascii="Times New Roman" w:hAnsi="Times New Roman"/>
        </w:rPr>
        <w:t>CCl</w:t>
      </w:r>
      <w:r>
        <w:rPr>
          <w:rFonts w:ascii="Times New Roman" w:hAnsi="Times New Roman"/>
        </w:rPr>
        <w:t xml:space="preserve"> from sample #1 </w:t>
      </w:r>
      <w:r w:rsidRPr="00A66AF6">
        <w:rPr>
          <w:rFonts w:ascii="Times New Roman" w:hAnsi="Times New Roman"/>
        </w:rPr>
        <w:t>(</w:t>
      </w:r>
      <w:r w:rsidR="00DC1817" w:rsidRPr="00662D86">
        <w:rPr>
          <w:rFonts w:ascii="Times New Roman" w:hAnsi="Times New Roman"/>
          <w:b/>
        </w:rPr>
        <w:t xml:space="preserve">Fig </w:t>
      </w:r>
      <w:r w:rsidR="00A66AF6" w:rsidRPr="00662D86">
        <w:rPr>
          <w:rFonts w:ascii="Times New Roman" w:hAnsi="Times New Roman"/>
          <w:b/>
        </w:rPr>
        <w:t>4.33</w:t>
      </w:r>
      <w:r w:rsidR="00A66AF6" w:rsidRPr="00A66AF6">
        <w:rPr>
          <w:rFonts w:ascii="Times New Roman" w:hAnsi="Times New Roman"/>
        </w:rPr>
        <w:t>)</w:t>
      </w:r>
      <w:r w:rsidRPr="00A66AF6">
        <w:rPr>
          <w:rFonts w:ascii="Times New Roman" w:hAnsi="Times New Roman"/>
        </w:rPr>
        <w:t xml:space="preserve"> shows</w:t>
      </w:r>
      <w:r>
        <w:rPr>
          <w:rFonts w:ascii="Times New Roman" w:hAnsi="Times New Roman"/>
        </w:rPr>
        <w:t xml:space="preserve"> the distribution results for clay grains (mostly chlorite) and for the combination of other grains (calcite, iron-rich dolomite, and feld</w:t>
      </w:r>
      <w:r w:rsidR="00D81ABF">
        <w:rPr>
          <w:rFonts w:ascii="Times New Roman" w:hAnsi="Times New Roman"/>
        </w:rPr>
        <w:t>spar) in this group. It is noticed</w:t>
      </w:r>
      <w:r>
        <w:rPr>
          <w:rFonts w:ascii="Times New Roman" w:hAnsi="Times New Roman"/>
        </w:rPr>
        <w:t xml:space="preserve"> that the number of grain</w:t>
      </w:r>
      <w:r w:rsidR="00D81ABF">
        <w:rPr>
          <w:rFonts w:ascii="Times New Roman" w:hAnsi="Times New Roman"/>
        </w:rPr>
        <w:t>s</w:t>
      </w:r>
      <w:r>
        <w:rPr>
          <w:rFonts w:ascii="Times New Roman" w:hAnsi="Times New Roman"/>
        </w:rPr>
        <w:t xml:space="preserve"> proportionally </w:t>
      </w:r>
      <w:r w:rsidR="00D81ABF">
        <w:rPr>
          <w:rFonts w:ascii="Times New Roman" w:hAnsi="Times New Roman"/>
        </w:rPr>
        <w:t>decreases</w:t>
      </w:r>
      <w:r>
        <w:rPr>
          <w:rFonts w:ascii="Times New Roman" w:hAnsi="Times New Roman"/>
        </w:rPr>
        <w:t xml:space="preserve"> with the increasing </w:t>
      </w:r>
      <w:r w:rsidRPr="00CE1C55">
        <w:rPr>
          <w:rFonts w:ascii="Times New Roman" w:hAnsi="Times New Roman"/>
        </w:rPr>
        <w:t>grain size</w:t>
      </w:r>
      <w:r>
        <w:rPr>
          <w:rFonts w:ascii="Times New Roman" w:hAnsi="Times New Roman"/>
        </w:rPr>
        <w:t xml:space="preserve">. </w:t>
      </w:r>
      <w:r w:rsidR="00D81ABF">
        <w:rPr>
          <w:rFonts w:ascii="Times New Roman" w:hAnsi="Times New Roman"/>
        </w:rPr>
        <w:t xml:space="preserve">For </w:t>
      </w:r>
      <w:r w:rsidR="00F3616C">
        <w:rPr>
          <w:rFonts w:ascii="Times New Roman" w:hAnsi="Times New Roman"/>
        </w:rPr>
        <w:t>g</w:t>
      </w:r>
      <w:r w:rsidR="00485EEE">
        <w:rPr>
          <w:rFonts w:ascii="Times New Roman" w:hAnsi="Times New Roman"/>
        </w:rPr>
        <w:t>roup CCl</w:t>
      </w:r>
      <w:r w:rsidR="00D81ABF">
        <w:rPr>
          <w:rFonts w:ascii="Times New Roman" w:hAnsi="Times New Roman"/>
        </w:rPr>
        <w:t xml:space="preserve"> in all</w:t>
      </w:r>
      <w:r>
        <w:rPr>
          <w:rFonts w:ascii="Times New Roman" w:hAnsi="Times New Roman"/>
        </w:rPr>
        <w:t xml:space="preserve"> seven samples, the average grain radius of clay (200 nm ± 2nm) is smaller than the average grain radius of other grains (227 nm </w:t>
      </w:r>
      <w:bookmarkStart w:id="132" w:name="OLE_LINK1"/>
      <w:bookmarkStart w:id="133" w:name="OLE_LINK2"/>
      <w:r>
        <w:rPr>
          <w:rFonts w:ascii="Times New Roman" w:hAnsi="Times New Roman"/>
        </w:rPr>
        <w:t>± 2 nm</w:t>
      </w:r>
      <w:bookmarkEnd w:id="132"/>
      <w:bookmarkEnd w:id="133"/>
      <w:r w:rsidR="00D81ABF">
        <w:rPr>
          <w:rFonts w:ascii="Times New Roman" w:hAnsi="Times New Roman"/>
        </w:rPr>
        <w:t>)</w:t>
      </w:r>
      <w:r w:rsidR="00B5433F">
        <w:rPr>
          <w:rFonts w:ascii="Times New Roman" w:hAnsi="Times New Roman"/>
        </w:rPr>
        <w:t xml:space="preserve">; this difference is </w:t>
      </w:r>
      <w:r w:rsidR="003D3BD4">
        <w:rPr>
          <w:rFonts w:ascii="Times New Roman" w:hAnsi="Times New Roman"/>
        </w:rPr>
        <w:t xml:space="preserve">however </w:t>
      </w:r>
      <w:r w:rsidR="00B5433F">
        <w:rPr>
          <w:rFonts w:ascii="Times New Roman" w:hAnsi="Times New Roman"/>
        </w:rPr>
        <w:t>insignificant</w:t>
      </w:r>
      <w:r w:rsidR="00D81ABF">
        <w:rPr>
          <w:rFonts w:ascii="Times New Roman" w:hAnsi="Times New Roman"/>
        </w:rPr>
        <w:t>. A s</w:t>
      </w:r>
      <w:r>
        <w:rPr>
          <w:rFonts w:ascii="Times New Roman" w:hAnsi="Times New Roman"/>
        </w:rPr>
        <w:t xml:space="preserve">imilar result is observed for </w:t>
      </w:r>
      <w:r w:rsidR="00F3616C">
        <w:rPr>
          <w:rFonts w:ascii="Times New Roman" w:hAnsi="Times New Roman"/>
        </w:rPr>
        <w:t>g</w:t>
      </w:r>
      <w:r w:rsidR="00485EEE">
        <w:rPr>
          <w:rFonts w:ascii="Times New Roman" w:hAnsi="Times New Roman"/>
        </w:rPr>
        <w:t>roup SCl</w:t>
      </w:r>
      <w:r>
        <w:rPr>
          <w:rFonts w:ascii="Times New Roman" w:hAnsi="Times New Roman"/>
        </w:rPr>
        <w:t xml:space="preserve"> as the average radius for clay and other grains are 243 nm ± 2 nm and 319 nm ± 2 nm, respectively.</w:t>
      </w:r>
    </w:p>
    <w:p w:rsidR="00314929" w:rsidRDefault="00314929" w:rsidP="00314929">
      <w:pPr>
        <w:jc w:val="both"/>
        <w:rPr>
          <w:rFonts w:ascii="Times New Roman" w:hAnsi="Times New Roman"/>
        </w:rPr>
      </w:pPr>
    </w:p>
    <w:p w:rsidR="00B1417A" w:rsidRDefault="00B43928">
      <w:pPr>
        <w:spacing w:line="240" w:lineRule="auto"/>
        <w:rPr>
          <w:rFonts w:asciiTheme="majorHAnsi" w:hAnsiTheme="majorHAnsi"/>
          <w:b/>
          <w:bCs/>
          <w:sz w:val="28"/>
          <w:szCs w:val="32"/>
        </w:rPr>
      </w:pPr>
      <w:r>
        <w:rPr>
          <w:noProof/>
          <w:lang w:bidi="ar-SA"/>
        </w:rPr>
        <w:lastRenderedPageBreak/>
        <w:drawing>
          <wp:inline distT="0" distB="0" distL="0" distR="0" wp14:anchorId="20C2B9A4" wp14:editId="695891EE">
            <wp:extent cx="5390707" cy="2849525"/>
            <wp:effectExtent l="0" t="0" r="635"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394960" cy="2851773"/>
                    </a:xfrm>
                    <a:prstGeom prst="rect">
                      <a:avLst/>
                    </a:prstGeom>
                  </pic:spPr>
                </pic:pic>
              </a:graphicData>
            </a:graphic>
          </wp:inline>
        </w:drawing>
      </w:r>
    </w:p>
    <w:p w:rsidR="00085615" w:rsidRPr="00E14E10" w:rsidRDefault="00E14E10">
      <w:pPr>
        <w:spacing w:line="240" w:lineRule="auto"/>
        <w:rPr>
          <w:rFonts w:asciiTheme="majorHAnsi" w:hAnsiTheme="majorHAnsi"/>
          <w:bCs/>
          <w:sz w:val="28"/>
          <w:szCs w:val="32"/>
        </w:rPr>
      </w:pPr>
      <w:r>
        <w:rPr>
          <w:rFonts w:asciiTheme="majorHAnsi" w:hAnsiTheme="majorHAnsi"/>
          <w:b/>
          <w:bCs/>
          <w:sz w:val="28"/>
          <w:szCs w:val="32"/>
        </w:rPr>
        <w:t xml:space="preserve">                              </w:t>
      </w:r>
      <w:r w:rsidRPr="00E14E10">
        <w:rPr>
          <w:rFonts w:asciiTheme="majorHAnsi" w:hAnsiTheme="majorHAnsi"/>
          <w:bCs/>
          <w:sz w:val="28"/>
          <w:szCs w:val="32"/>
        </w:rPr>
        <w:t xml:space="preserve"> Clay</w:t>
      </w:r>
      <w:r w:rsidRPr="00E14E10">
        <w:rPr>
          <w:rFonts w:asciiTheme="majorHAnsi" w:hAnsiTheme="majorHAnsi"/>
          <w:bCs/>
          <w:sz w:val="28"/>
          <w:szCs w:val="32"/>
        </w:rPr>
        <w:tab/>
      </w:r>
      <w:r w:rsidRPr="00E14E10">
        <w:rPr>
          <w:rFonts w:asciiTheme="majorHAnsi" w:hAnsiTheme="majorHAnsi"/>
          <w:bCs/>
          <w:sz w:val="28"/>
          <w:szCs w:val="32"/>
        </w:rPr>
        <w:tab/>
      </w:r>
      <w:r w:rsidRPr="00E14E10">
        <w:rPr>
          <w:rFonts w:asciiTheme="majorHAnsi" w:hAnsiTheme="majorHAnsi"/>
          <w:bCs/>
          <w:sz w:val="28"/>
          <w:szCs w:val="32"/>
        </w:rPr>
        <w:tab/>
      </w:r>
      <w:r w:rsidRPr="00E14E10">
        <w:rPr>
          <w:rFonts w:asciiTheme="majorHAnsi" w:hAnsiTheme="majorHAnsi"/>
          <w:bCs/>
          <w:sz w:val="28"/>
          <w:szCs w:val="32"/>
        </w:rPr>
        <w:tab/>
        <w:t xml:space="preserve"> </w:t>
      </w:r>
      <w:r w:rsidRPr="00E14E10">
        <w:rPr>
          <w:rFonts w:asciiTheme="majorHAnsi" w:hAnsiTheme="majorHAnsi"/>
          <w:bCs/>
          <w:sz w:val="28"/>
          <w:szCs w:val="32"/>
        </w:rPr>
        <w:tab/>
        <w:t xml:space="preserve">    Other Grains</w:t>
      </w:r>
    </w:p>
    <w:p w:rsidR="00E14E10" w:rsidRDefault="00E14E10">
      <w:pPr>
        <w:spacing w:line="240" w:lineRule="auto"/>
        <w:rPr>
          <w:rFonts w:asciiTheme="majorHAnsi" w:hAnsiTheme="majorHAnsi"/>
          <w:b/>
          <w:bCs/>
          <w:sz w:val="28"/>
          <w:szCs w:val="32"/>
        </w:rPr>
      </w:pPr>
    </w:p>
    <w:p w:rsidR="00314929" w:rsidRDefault="00314929" w:rsidP="00314929">
      <w:pPr>
        <w:jc w:val="both"/>
        <w:rPr>
          <w:b/>
        </w:rPr>
      </w:pPr>
      <w:r>
        <w:rPr>
          <w:b/>
        </w:rPr>
        <w:t>Fig</w:t>
      </w:r>
      <w:r w:rsidR="00E34348">
        <w:rPr>
          <w:b/>
        </w:rPr>
        <w:t>ure 4.33:</w:t>
      </w:r>
      <w:r>
        <w:rPr>
          <w:b/>
        </w:rPr>
        <w:t xml:space="preserve"> Grain size distribution for clay grains (left) and other grains (right) from </w:t>
      </w:r>
      <w:r w:rsidR="00F3616C">
        <w:rPr>
          <w:b/>
        </w:rPr>
        <w:t>g</w:t>
      </w:r>
      <w:r w:rsidR="00485EEE">
        <w:rPr>
          <w:b/>
        </w:rPr>
        <w:t>roup CCl</w:t>
      </w:r>
      <w:r w:rsidR="00E14E10">
        <w:rPr>
          <w:b/>
        </w:rPr>
        <w:t xml:space="preserve"> of seven samples. </w:t>
      </w:r>
      <w:bookmarkStart w:id="134" w:name="OLE_LINK121"/>
      <w:bookmarkStart w:id="135" w:name="OLE_LINK122"/>
      <w:r w:rsidR="00E14E10">
        <w:rPr>
          <w:b/>
        </w:rPr>
        <w:t>Average radius of clay is less than of other grains</w:t>
      </w:r>
      <w:bookmarkEnd w:id="134"/>
      <w:bookmarkEnd w:id="135"/>
      <w:r w:rsidR="00E14E10">
        <w:rPr>
          <w:b/>
        </w:rPr>
        <w:t>.</w:t>
      </w:r>
    </w:p>
    <w:p w:rsidR="00314929" w:rsidRDefault="00314929" w:rsidP="00314929">
      <w:pPr>
        <w:jc w:val="both"/>
        <w:rPr>
          <w:b/>
        </w:rPr>
      </w:pPr>
    </w:p>
    <w:p w:rsidR="00314929" w:rsidRDefault="00314929" w:rsidP="00314929">
      <w:pPr>
        <w:jc w:val="both"/>
        <w:rPr>
          <w:rFonts w:ascii="Times New Roman" w:hAnsi="Times New Roman"/>
        </w:rPr>
      </w:pPr>
      <w:r>
        <w:rPr>
          <w:rFonts w:ascii="Times New Roman" w:hAnsi="Times New Roman"/>
        </w:rPr>
        <w:t>Similar to pore and organic matter, grain size distribution</w:t>
      </w:r>
      <w:r w:rsidR="00665FAD">
        <w:rPr>
          <w:rFonts w:ascii="Times New Roman" w:hAnsi="Times New Roman"/>
        </w:rPr>
        <w:t>s</w:t>
      </w:r>
      <w:r>
        <w:rPr>
          <w:rFonts w:ascii="Times New Roman" w:hAnsi="Times New Roman"/>
        </w:rPr>
        <w:t xml:space="preserve"> for each sample </w:t>
      </w:r>
      <w:r w:rsidR="00665FAD">
        <w:rPr>
          <w:rFonts w:ascii="Times New Roman" w:hAnsi="Times New Roman"/>
        </w:rPr>
        <w:t>are</w:t>
      </w:r>
      <w:r>
        <w:rPr>
          <w:rFonts w:ascii="Times New Roman" w:hAnsi="Times New Roman"/>
        </w:rPr>
        <w:t xml:space="preserve"> studied at different scales. Three sub-maps of 30% scale (273 </w:t>
      </w:r>
      <w:r>
        <w:rPr>
          <w:rFonts w:ascii="Calibri" w:hAnsi="Calibri"/>
        </w:rPr>
        <w:t>µ</w:t>
      </w:r>
      <w:r>
        <w:rPr>
          <w:rFonts w:ascii="Times New Roman" w:hAnsi="Times New Roman"/>
        </w:rPr>
        <w:t xml:space="preserve">m x 1,713 </w:t>
      </w:r>
      <w:r>
        <w:rPr>
          <w:rFonts w:ascii="Calibri" w:hAnsi="Calibri"/>
        </w:rPr>
        <w:t>µ</w:t>
      </w:r>
      <w:r>
        <w:rPr>
          <w:rFonts w:ascii="Times New Roman" w:hAnsi="Times New Roman"/>
        </w:rPr>
        <w:t>m) which totally cover 90% area of the who</w:t>
      </w:r>
      <w:r w:rsidRPr="00A66AF6">
        <w:rPr>
          <w:rFonts w:ascii="Times New Roman" w:hAnsi="Times New Roman"/>
        </w:rPr>
        <w:t xml:space="preserve">le map of sample #1 are random selected. </w:t>
      </w:r>
      <w:r w:rsidR="00DC1817" w:rsidRPr="00662D86">
        <w:rPr>
          <w:rFonts w:ascii="Times New Roman" w:hAnsi="Times New Roman"/>
          <w:b/>
        </w:rPr>
        <w:t xml:space="preserve">Fig </w:t>
      </w:r>
      <w:r w:rsidR="00A66AF6" w:rsidRPr="00662D86">
        <w:rPr>
          <w:rFonts w:ascii="Times New Roman" w:hAnsi="Times New Roman"/>
          <w:b/>
        </w:rPr>
        <w:t>4.34</w:t>
      </w:r>
      <w:r w:rsidRPr="00A66AF6">
        <w:rPr>
          <w:rFonts w:ascii="Times New Roman" w:hAnsi="Times New Roman"/>
        </w:rPr>
        <w:t xml:space="preserve"> shows the grain size distribution of </w:t>
      </w:r>
      <w:r w:rsidR="00951A71">
        <w:rPr>
          <w:rFonts w:ascii="Times New Roman" w:hAnsi="Times New Roman"/>
        </w:rPr>
        <w:t>m</w:t>
      </w:r>
      <w:r w:rsidR="004621CD">
        <w:rPr>
          <w:rFonts w:ascii="Times New Roman" w:hAnsi="Times New Roman"/>
        </w:rPr>
        <w:t>ineral</w:t>
      </w:r>
      <w:r w:rsidR="00CC4D77">
        <w:rPr>
          <w:rFonts w:ascii="Times New Roman" w:hAnsi="Times New Roman"/>
        </w:rPr>
        <w:t xml:space="preserve"> group</w:t>
      </w:r>
      <w:r w:rsidR="00485EEE">
        <w:rPr>
          <w:rFonts w:ascii="Times New Roman" w:hAnsi="Times New Roman"/>
        </w:rPr>
        <w:t xml:space="preserve"> </w:t>
      </w:r>
      <w:r w:rsidR="003D3BD4">
        <w:rPr>
          <w:rFonts w:ascii="Times New Roman" w:hAnsi="Times New Roman"/>
        </w:rPr>
        <w:t>SCl</w:t>
      </w:r>
      <w:r w:rsidR="004621CD">
        <w:rPr>
          <w:rFonts w:ascii="Times New Roman" w:hAnsi="Times New Roman"/>
        </w:rPr>
        <w:t xml:space="preserve"> </w:t>
      </w:r>
      <w:r w:rsidR="004621CD" w:rsidRPr="004621CD">
        <w:rPr>
          <w:rFonts w:ascii="Times New Roman" w:hAnsi="Times New Roman"/>
        </w:rPr>
        <w:t>(silica, clays, Mg-dol., feldspar)</w:t>
      </w:r>
      <w:r w:rsidRPr="00A66AF6">
        <w:rPr>
          <w:rFonts w:ascii="Times New Roman" w:hAnsi="Times New Roman"/>
        </w:rPr>
        <w:t xml:space="preserve"> for the three sub-maps. As with the previous grain size distribution (</w:t>
      </w:r>
      <w:r w:rsidR="00DC1817" w:rsidRPr="00662D86">
        <w:rPr>
          <w:rFonts w:ascii="Times New Roman" w:hAnsi="Times New Roman"/>
          <w:b/>
        </w:rPr>
        <w:t xml:space="preserve">Fig </w:t>
      </w:r>
      <w:r w:rsidR="00A66AF6" w:rsidRPr="00662D86">
        <w:rPr>
          <w:rFonts w:ascii="Times New Roman" w:hAnsi="Times New Roman"/>
          <w:b/>
        </w:rPr>
        <w:t>4.28</w:t>
      </w:r>
      <w:r w:rsidRPr="00A66AF6">
        <w:rPr>
          <w:rFonts w:ascii="Times New Roman" w:hAnsi="Times New Roman"/>
        </w:rPr>
        <w:t xml:space="preserve">), the same trend is observed in that number of grains is inversely proportional to equivalent spherical grain radius on the log-log scale. </w:t>
      </w:r>
      <w:r w:rsidR="00AB078F">
        <w:rPr>
          <w:rFonts w:ascii="Times New Roman" w:hAnsi="Times New Roman"/>
        </w:rPr>
        <w:t>T</w:t>
      </w:r>
      <w:r w:rsidRPr="00A66AF6">
        <w:rPr>
          <w:rFonts w:ascii="Times New Roman" w:hAnsi="Times New Roman"/>
        </w:rPr>
        <w:t xml:space="preserve">here is a nice consistency that those three plots almost overlay each other and contain an almost similar total number of </w:t>
      </w:r>
      <w:r w:rsidR="004621CD">
        <w:rPr>
          <w:rFonts w:ascii="Times New Roman" w:hAnsi="Times New Roman"/>
        </w:rPr>
        <w:t>mineral</w:t>
      </w:r>
      <w:r w:rsidRPr="00A66AF6">
        <w:rPr>
          <w:rFonts w:ascii="Times New Roman" w:hAnsi="Times New Roman"/>
        </w:rPr>
        <w:t xml:space="preserve"> grains. The grain size distribution thus is very consistent at this sub-map scale. Breaking down into smaller scale, grain size distribution plots of six sub-maps of 20% scale (273 </w:t>
      </w:r>
      <w:bookmarkStart w:id="136" w:name="OLE_LINK3"/>
      <w:bookmarkStart w:id="137" w:name="OLE_LINK4"/>
      <w:r w:rsidRPr="00A66AF6">
        <w:rPr>
          <w:rFonts w:ascii="Calibri" w:hAnsi="Calibri"/>
        </w:rPr>
        <w:t>µ</w:t>
      </w:r>
      <w:r w:rsidRPr="00A66AF6">
        <w:rPr>
          <w:rFonts w:ascii="Times New Roman" w:hAnsi="Times New Roman"/>
        </w:rPr>
        <w:t xml:space="preserve">m x </w:t>
      </w:r>
      <w:r w:rsidRPr="00A66AF6">
        <w:rPr>
          <w:rFonts w:ascii="Times New Roman" w:hAnsi="Times New Roman"/>
        </w:rPr>
        <w:lastRenderedPageBreak/>
        <w:t xml:space="preserve">1,429 </w:t>
      </w:r>
      <w:r w:rsidRPr="00A66AF6">
        <w:rPr>
          <w:rFonts w:ascii="Calibri" w:hAnsi="Calibri"/>
        </w:rPr>
        <w:t>µ</w:t>
      </w:r>
      <w:r w:rsidRPr="00A66AF6">
        <w:rPr>
          <w:rFonts w:ascii="Times New Roman" w:hAnsi="Times New Roman"/>
        </w:rPr>
        <w:t>m</w:t>
      </w:r>
      <w:bookmarkEnd w:id="136"/>
      <w:bookmarkEnd w:id="137"/>
      <w:r w:rsidRPr="00A66AF6">
        <w:rPr>
          <w:rFonts w:ascii="Times New Roman" w:hAnsi="Times New Roman"/>
        </w:rPr>
        <w:t xml:space="preserve">) which totally cover 80% area of the whole map of the same sample at random locations are shown in </w:t>
      </w:r>
      <w:r w:rsidR="00DC1817" w:rsidRPr="00662D86">
        <w:rPr>
          <w:rFonts w:ascii="Times New Roman" w:hAnsi="Times New Roman"/>
          <w:b/>
        </w:rPr>
        <w:t xml:space="preserve">Fig </w:t>
      </w:r>
      <w:r w:rsidR="00A66AF6" w:rsidRPr="00662D86">
        <w:rPr>
          <w:rFonts w:ascii="Times New Roman" w:hAnsi="Times New Roman"/>
          <w:b/>
        </w:rPr>
        <w:t>4.35</w:t>
      </w:r>
      <w:r w:rsidRPr="00A66AF6">
        <w:rPr>
          <w:rFonts w:ascii="Times New Roman" w:hAnsi="Times New Roman"/>
        </w:rPr>
        <w:t xml:space="preserve">.  A similar trend is observed for these plots. Compared to 30% scale, these lots show a little bit more variation, however the percentage deviation is still relatively small. </w:t>
      </w:r>
      <w:r w:rsidR="00DC1817" w:rsidRPr="00662D86">
        <w:rPr>
          <w:rFonts w:ascii="Times New Roman" w:hAnsi="Times New Roman"/>
          <w:b/>
        </w:rPr>
        <w:t xml:space="preserve">Fig </w:t>
      </w:r>
      <w:r w:rsidR="00A66AF6" w:rsidRPr="00662D86">
        <w:rPr>
          <w:rFonts w:ascii="Times New Roman" w:hAnsi="Times New Roman"/>
          <w:b/>
        </w:rPr>
        <w:t>4.36</w:t>
      </w:r>
      <w:r w:rsidR="00A66AF6" w:rsidRPr="00A66AF6">
        <w:rPr>
          <w:rFonts w:ascii="Times New Roman" w:hAnsi="Times New Roman"/>
        </w:rPr>
        <w:t xml:space="preserve"> and </w:t>
      </w:r>
      <w:r w:rsidR="00DC1817" w:rsidRPr="00662D86">
        <w:rPr>
          <w:rFonts w:ascii="Times New Roman" w:hAnsi="Times New Roman"/>
          <w:b/>
        </w:rPr>
        <w:t xml:space="preserve">Fig </w:t>
      </w:r>
      <w:r w:rsidR="00A66AF6" w:rsidRPr="00662D86">
        <w:rPr>
          <w:rFonts w:ascii="Times New Roman" w:hAnsi="Times New Roman"/>
          <w:b/>
        </w:rPr>
        <w:t>4.37</w:t>
      </w:r>
      <w:r w:rsidRPr="00A66AF6">
        <w:rPr>
          <w:rFonts w:ascii="Times New Roman" w:hAnsi="Times New Roman"/>
        </w:rPr>
        <w:t xml:space="preserve"> show the same interpretation for smaller scales including 10% scale (273 </w:t>
      </w:r>
      <w:r w:rsidRPr="00A66AF6">
        <w:rPr>
          <w:rFonts w:ascii="Calibri" w:hAnsi="Calibri"/>
        </w:rPr>
        <w:t>µ</w:t>
      </w:r>
      <w:r w:rsidRPr="00A66AF6">
        <w:rPr>
          <w:rFonts w:ascii="Times New Roman" w:hAnsi="Times New Roman"/>
        </w:rPr>
        <w:t xml:space="preserve">m x 571 </w:t>
      </w:r>
      <w:r w:rsidRPr="00A66AF6">
        <w:rPr>
          <w:rFonts w:ascii="Calibri" w:hAnsi="Calibri"/>
        </w:rPr>
        <w:t>µ</w:t>
      </w:r>
      <w:r w:rsidRPr="00A66AF6">
        <w:rPr>
          <w:rFonts w:ascii="Times New Roman" w:hAnsi="Times New Roman"/>
        </w:rPr>
        <w:t xml:space="preserve">m) which is approximately equivalent to REA scale for this group of this map and 5% scale </w:t>
      </w:r>
      <w:r>
        <w:rPr>
          <w:rFonts w:ascii="Times New Roman" w:hAnsi="Times New Roman"/>
        </w:rPr>
        <w:t xml:space="preserve">(273 </w:t>
      </w:r>
      <w:r>
        <w:rPr>
          <w:rFonts w:ascii="Calibri" w:hAnsi="Calibri"/>
        </w:rPr>
        <w:t>µ</w:t>
      </w:r>
      <w:r>
        <w:rPr>
          <w:rFonts w:ascii="Times New Roman" w:hAnsi="Times New Roman"/>
        </w:rPr>
        <w:t xml:space="preserve">m x 286 </w:t>
      </w:r>
      <w:r>
        <w:rPr>
          <w:rFonts w:ascii="Calibri" w:hAnsi="Calibri"/>
        </w:rPr>
        <w:t>µ</w:t>
      </w:r>
      <w:r w:rsidR="00AB078F">
        <w:rPr>
          <w:rFonts w:ascii="Times New Roman" w:hAnsi="Times New Roman"/>
        </w:rPr>
        <w:t>m)</w:t>
      </w:r>
      <w:r w:rsidR="00FD220C">
        <w:rPr>
          <w:rFonts w:ascii="Times New Roman" w:hAnsi="Times New Roman"/>
        </w:rPr>
        <w:t xml:space="preserve">.  </w:t>
      </w:r>
      <w:r>
        <w:rPr>
          <w:rFonts w:ascii="Times New Roman" w:hAnsi="Times New Roman"/>
        </w:rPr>
        <w:t xml:space="preserve">Although greater variations of the plots are observed as the scale gets smaller, the </w:t>
      </w:r>
      <w:r w:rsidR="00E14E10">
        <w:rPr>
          <w:rFonts w:ascii="Times New Roman" w:hAnsi="Times New Roman"/>
        </w:rPr>
        <w:t>difference</w:t>
      </w:r>
      <w:r>
        <w:rPr>
          <w:rFonts w:ascii="Times New Roman" w:hAnsi="Times New Roman"/>
        </w:rPr>
        <w:t xml:space="preserve"> </w:t>
      </w:r>
      <w:r w:rsidR="00665FAD">
        <w:rPr>
          <w:rFonts w:ascii="Times New Roman" w:hAnsi="Times New Roman"/>
        </w:rPr>
        <w:t>is always less than</w:t>
      </w:r>
      <w:r w:rsidR="00E14E10">
        <w:rPr>
          <w:rFonts w:ascii="Times New Roman" w:hAnsi="Times New Roman"/>
        </w:rPr>
        <w:t xml:space="preserve"> </w:t>
      </w:r>
      <w:r w:rsidR="00665FAD">
        <w:rPr>
          <w:rFonts w:ascii="Times New Roman" w:hAnsi="Times New Roman"/>
        </w:rPr>
        <w:t>5%</w:t>
      </w:r>
      <w:r w:rsidR="00E14E10">
        <w:rPr>
          <w:rFonts w:ascii="Times New Roman" w:hAnsi="Times New Roman"/>
        </w:rPr>
        <w:t>.</w:t>
      </w:r>
      <w:r>
        <w:rPr>
          <w:rFonts w:ascii="Times New Roman" w:hAnsi="Times New Roman"/>
        </w:rPr>
        <w:t xml:space="preserve"> Therefore, to study grain size distribution, only a small area of imaging is required. As for this 1 ft core section, the area needed for grain size distribution would be </w:t>
      </w:r>
      <w:r w:rsidR="00E14E10">
        <w:rPr>
          <w:rFonts w:ascii="Times New Roman" w:hAnsi="Times New Roman"/>
        </w:rPr>
        <w:t xml:space="preserve">two times </w:t>
      </w:r>
      <w:r>
        <w:rPr>
          <w:rFonts w:ascii="Times New Roman" w:hAnsi="Times New Roman"/>
        </w:rPr>
        <w:t xml:space="preserve">smaller than the area required to capture the representative </w:t>
      </w:r>
      <w:r w:rsidR="004621CD">
        <w:rPr>
          <w:rFonts w:ascii="Times New Roman" w:hAnsi="Times New Roman"/>
        </w:rPr>
        <w:t>mineral</w:t>
      </w:r>
      <w:r>
        <w:rPr>
          <w:rFonts w:ascii="Times New Roman" w:hAnsi="Times New Roman"/>
        </w:rPr>
        <w:t>ogy.</w:t>
      </w:r>
    </w:p>
    <w:p w:rsidR="00085615" w:rsidRDefault="00085615" w:rsidP="00B05E2E">
      <w:pPr>
        <w:spacing w:line="240" w:lineRule="auto"/>
        <w:jc w:val="center"/>
        <w:rPr>
          <w:rFonts w:asciiTheme="majorHAnsi" w:hAnsiTheme="majorHAnsi"/>
          <w:b/>
          <w:bCs/>
          <w:sz w:val="28"/>
          <w:szCs w:val="32"/>
        </w:rPr>
      </w:pPr>
      <w:r>
        <w:br w:type="page"/>
      </w:r>
      <w:r w:rsidR="00116EF8">
        <w:rPr>
          <w:noProof/>
          <w:lang w:bidi="ar-SA"/>
        </w:rPr>
        <w:lastRenderedPageBreak/>
        <w:drawing>
          <wp:inline distT="0" distB="0" distL="0" distR="0" wp14:anchorId="05E35100" wp14:editId="7CA711F0">
            <wp:extent cx="4207405" cy="260985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4212625" cy="2613088"/>
                    </a:xfrm>
                    <a:prstGeom prst="rect">
                      <a:avLst/>
                    </a:prstGeom>
                  </pic:spPr>
                </pic:pic>
              </a:graphicData>
            </a:graphic>
          </wp:inline>
        </w:drawing>
      </w:r>
    </w:p>
    <w:p w:rsidR="00085615" w:rsidRDefault="00116EF8" w:rsidP="00116EF8">
      <w:pPr>
        <w:jc w:val="both"/>
        <w:rPr>
          <w:b/>
        </w:rPr>
      </w:pPr>
      <w:r>
        <w:rPr>
          <w:b/>
        </w:rPr>
        <w:t>Fig</w:t>
      </w:r>
      <w:r w:rsidR="00E34348">
        <w:rPr>
          <w:b/>
        </w:rPr>
        <w:t>ure 4.34</w:t>
      </w:r>
      <w:r>
        <w:rPr>
          <w:b/>
        </w:rPr>
        <w:t>: All grain size distribution of three sub-maps of 30% scale</w:t>
      </w:r>
      <w:r w:rsidRPr="00116EF8">
        <w:rPr>
          <w:b/>
        </w:rPr>
        <w:t xml:space="preserve"> </w:t>
      </w:r>
      <w:r>
        <w:rPr>
          <w:b/>
        </w:rPr>
        <w:t xml:space="preserve">for </w:t>
      </w:r>
      <w:r w:rsidR="00F3616C">
        <w:rPr>
          <w:b/>
        </w:rPr>
        <w:t>g</w:t>
      </w:r>
      <w:r w:rsidR="00485EEE">
        <w:rPr>
          <w:b/>
        </w:rPr>
        <w:t>roup SCl</w:t>
      </w:r>
      <w:r w:rsidR="004621CD">
        <w:rPr>
          <w:b/>
        </w:rPr>
        <w:t xml:space="preserve"> </w:t>
      </w:r>
      <w:r w:rsidR="004621CD" w:rsidRPr="004621CD">
        <w:rPr>
          <w:b/>
        </w:rPr>
        <w:t>(silica, clays, Mg-dol., feldspar)</w:t>
      </w:r>
      <w:r>
        <w:rPr>
          <w:b/>
        </w:rPr>
        <w:t xml:space="preserve"> of sample #1. Note the similar trend of these sub-maps.</w:t>
      </w:r>
      <w:r w:rsidR="00B05E2E" w:rsidRPr="00B05E2E">
        <w:rPr>
          <w:b/>
        </w:rPr>
        <w:t xml:space="preserve"> </w:t>
      </w:r>
      <w:r w:rsidR="00665FAD">
        <w:rPr>
          <w:b/>
        </w:rPr>
        <w:t>Note we assume spherical grains</w:t>
      </w:r>
    </w:p>
    <w:p w:rsidR="00B05E2E" w:rsidRDefault="00B05E2E" w:rsidP="00116EF8">
      <w:pPr>
        <w:jc w:val="both"/>
        <w:rPr>
          <w:b/>
        </w:rPr>
      </w:pPr>
    </w:p>
    <w:p w:rsidR="00116EF8" w:rsidRDefault="00116EF8" w:rsidP="00116EF8">
      <w:pPr>
        <w:spacing w:line="240" w:lineRule="auto"/>
        <w:jc w:val="both"/>
        <w:rPr>
          <w:rFonts w:asciiTheme="majorHAnsi" w:hAnsiTheme="majorHAnsi"/>
          <w:b/>
          <w:bCs/>
          <w:sz w:val="28"/>
          <w:szCs w:val="32"/>
        </w:rPr>
      </w:pPr>
    </w:p>
    <w:p w:rsidR="00085615" w:rsidRDefault="00116EF8" w:rsidP="00B05E2E">
      <w:pPr>
        <w:spacing w:line="240" w:lineRule="auto"/>
        <w:jc w:val="center"/>
        <w:rPr>
          <w:rFonts w:asciiTheme="majorHAnsi" w:hAnsiTheme="majorHAnsi"/>
          <w:b/>
          <w:bCs/>
          <w:sz w:val="28"/>
          <w:szCs w:val="32"/>
        </w:rPr>
      </w:pPr>
      <w:r>
        <w:rPr>
          <w:noProof/>
          <w:lang w:bidi="ar-SA"/>
        </w:rPr>
        <w:drawing>
          <wp:inline distT="0" distB="0" distL="0" distR="0" wp14:anchorId="68FA2655" wp14:editId="5F9D817D">
            <wp:extent cx="4373251" cy="276225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4379243" cy="2766035"/>
                    </a:xfrm>
                    <a:prstGeom prst="rect">
                      <a:avLst/>
                    </a:prstGeom>
                  </pic:spPr>
                </pic:pic>
              </a:graphicData>
            </a:graphic>
          </wp:inline>
        </w:drawing>
      </w:r>
    </w:p>
    <w:p w:rsidR="00116EF8" w:rsidRDefault="00116EF8" w:rsidP="00116EF8">
      <w:pPr>
        <w:jc w:val="both"/>
        <w:rPr>
          <w:b/>
        </w:rPr>
      </w:pPr>
      <w:r>
        <w:rPr>
          <w:b/>
        </w:rPr>
        <w:t>Fig</w:t>
      </w:r>
      <w:r w:rsidR="00E34348">
        <w:rPr>
          <w:b/>
        </w:rPr>
        <w:t>ure 4.35</w:t>
      </w:r>
      <w:r>
        <w:rPr>
          <w:b/>
        </w:rPr>
        <w:t xml:space="preserve">: All grain size distribution of four sub-maps of 20% scale for </w:t>
      </w:r>
      <w:r w:rsidR="00F3616C">
        <w:rPr>
          <w:b/>
        </w:rPr>
        <w:t>g</w:t>
      </w:r>
      <w:r w:rsidR="00485EEE">
        <w:rPr>
          <w:b/>
        </w:rPr>
        <w:t>roup SCl</w:t>
      </w:r>
      <w:r w:rsidR="004621CD">
        <w:rPr>
          <w:b/>
        </w:rPr>
        <w:t xml:space="preserve"> </w:t>
      </w:r>
      <w:r w:rsidR="004621CD" w:rsidRPr="004621CD">
        <w:rPr>
          <w:b/>
        </w:rPr>
        <w:t>(silica, clays, Mg-dol., feldspar)</w:t>
      </w:r>
      <w:r>
        <w:rPr>
          <w:b/>
        </w:rPr>
        <w:t xml:space="preserve"> of sample #1. Note the similar trend of these sub-maps. </w:t>
      </w:r>
      <w:r w:rsidR="00665FAD">
        <w:rPr>
          <w:b/>
        </w:rPr>
        <w:t>Note we assume spherical grains</w:t>
      </w:r>
    </w:p>
    <w:p w:rsidR="00116EF8" w:rsidRDefault="00116EF8" w:rsidP="00116EF8">
      <w:pPr>
        <w:jc w:val="center"/>
      </w:pPr>
      <w:r>
        <w:rPr>
          <w:noProof/>
          <w:lang w:bidi="ar-SA"/>
        </w:rPr>
        <w:lastRenderedPageBreak/>
        <w:drawing>
          <wp:inline distT="0" distB="0" distL="0" distR="0" wp14:anchorId="387D86DB" wp14:editId="42AB4F5B">
            <wp:extent cx="4095412" cy="2600325"/>
            <wp:effectExtent l="0" t="0" r="63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4107974" cy="2608301"/>
                    </a:xfrm>
                    <a:prstGeom prst="rect">
                      <a:avLst/>
                    </a:prstGeom>
                  </pic:spPr>
                </pic:pic>
              </a:graphicData>
            </a:graphic>
          </wp:inline>
        </w:drawing>
      </w:r>
    </w:p>
    <w:p w:rsidR="00116EF8" w:rsidRDefault="00116EF8" w:rsidP="00116EF8">
      <w:pPr>
        <w:rPr>
          <w:b/>
        </w:rPr>
      </w:pPr>
      <w:r>
        <w:rPr>
          <w:b/>
        </w:rPr>
        <w:t>Fig</w:t>
      </w:r>
      <w:r w:rsidR="00E34348">
        <w:rPr>
          <w:b/>
        </w:rPr>
        <w:t>ure 4.36</w:t>
      </w:r>
      <w:r>
        <w:rPr>
          <w:b/>
        </w:rPr>
        <w:t xml:space="preserve">: All grain size distribution of six sub-maps of 10% scale for </w:t>
      </w:r>
      <w:r w:rsidR="00F3616C">
        <w:rPr>
          <w:b/>
        </w:rPr>
        <w:t>g</w:t>
      </w:r>
      <w:r w:rsidR="00485EEE">
        <w:rPr>
          <w:b/>
        </w:rPr>
        <w:t>roup SCl</w:t>
      </w:r>
      <w:r>
        <w:rPr>
          <w:b/>
        </w:rPr>
        <w:t xml:space="preserve"> </w:t>
      </w:r>
      <w:r w:rsidR="004621CD" w:rsidRPr="004621CD">
        <w:rPr>
          <w:b/>
        </w:rPr>
        <w:t>(silica, clays, Mg-dol., feldspar)</w:t>
      </w:r>
      <w:r w:rsidR="004621CD">
        <w:rPr>
          <w:b/>
        </w:rPr>
        <w:t xml:space="preserve"> </w:t>
      </w:r>
      <w:r>
        <w:rPr>
          <w:b/>
        </w:rPr>
        <w:t>of sample #1. Note the increase in variation between the plots</w:t>
      </w:r>
      <w:r w:rsidR="00E14E10">
        <w:rPr>
          <w:b/>
        </w:rPr>
        <w:t xml:space="preserve"> especially at large size.</w:t>
      </w:r>
      <w:r w:rsidR="00B05E2E" w:rsidRPr="00B05E2E">
        <w:rPr>
          <w:b/>
        </w:rPr>
        <w:t xml:space="preserve"> </w:t>
      </w:r>
      <w:r w:rsidR="00665FAD">
        <w:rPr>
          <w:b/>
        </w:rPr>
        <w:t>Note we assume spherical grains</w:t>
      </w:r>
    </w:p>
    <w:p w:rsidR="00116EF8" w:rsidRDefault="00116EF8" w:rsidP="00116EF8">
      <w:pPr>
        <w:rPr>
          <w:b/>
        </w:rPr>
      </w:pPr>
    </w:p>
    <w:p w:rsidR="00116EF8" w:rsidRDefault="00116EF8" w:rsidP="00B05E2E">
      <w:pPr>
        <w:jc w:val="center"/>
        <w:rPr>
          <w:b/>
        </w:rPr>
      </w:pPr>
      <w:r>
        <w:rPr>
          <w:noProof/>
          <w:lang w:bidi="ar-SA"/>
        </w:rPr>
        <w:drawing>
          <wp:inline distT="0" distB="0" distL="0" distR="0" wp14:anchorId="6BE7684D" wp14:editId="2799400B">
            <wp:extent cx="4342324" cy="2828542"/>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4382012" cy="2854394"/>
                    </a:xfrm>
                    <a:prstGeom prst="rect">
                      <a:avLst/>
                    </a:prstGeom>
                  </pic:spPr>
                </pic:pic>
              </a:graphicData>
            </a:graphic>
          </wp:inline>
        </w:drawing>
      </w:r>
    </w:p>
    <w:p w:rsidR="006204F6" w:rsidRDefault="00116EF8" w:rsidP="006204F6">
      <w:pPr>
        <w:jc w:val="both"/>
        <w:rPr>
          <w:b/>
        </w:rPr>
      </w:pPr>
      <w:r>
        <w:rPr>
          <w:b/>
        </w:rPr>
        <w:t>Fig</w:t>
      </w:r>
      <w:r w:rsidR="00E34348">
        <w:rPr>
          <w:b/>
        </w:rPr>
        <w:t>ure 4.37</w:t>
      </w:r>
      <w:r>
        <w:rPr>
          <w:b/>
        </w:rPr>
        <w:t xml:space="preserve">: All grain size distribution of six sub-maps of 5% scale for </w:t>
      </w:r>
      <w:r w:rsidR="00F3616C">
        <w:rPr>
          <w:b/>
        </w:rPr>
        <w:t>g</w:t>
      </w:r>
      <w:r w:rsidR="00485EEE">
        <w:rPr>
          <w:b/>
        </w:rPr>
        <w:t>roup SCl</w:t>
      </w:r>
      <w:r>
        <w:rPr>
          <w:b/>
        </w:rPr>
        <w:t xml:space="preserve"> </w:t>
      </w:r>
      <w:r w:rsidR="004621CD" w:rsidRPr="004621CD">
        <w:rPr>
          <w:b/>
        </w:rPr>
        <w:t>(silica, clays, Mg-dol., feldspar)</w:t>
      </w:r>
      <w:r w:rsidR="004621CD">
        <w:rPr>
          <w:b/>
        </w:rPr>
        <w:t xml:space="preserve"> </w:t>
      </w:r>
      <w:r>
        <w:rPr>
          <w:b/>
        </w:rPr>
        <w:t xml:space="preserve">of sample #1.  Note the increase in variation between the </w:t>
      </w:r>
      <w:r w:rsidR="00E14E10">
        <w:rPr>
          <w:b/>
        </w:rPr>
        <w:t>plots especially at large size.</w:t>
      </w:r>
      <w:r w:rsidR="00B05E2E" w:rsidRPr="00B05E2E">
        <w:rPr>
          <w:b/>
        </w:rPr>
        <w:t xml:space="preserve"> </w:t>
      </w:r>
      <w:r w:rsidR="00665FAD">
        <w:rPr>
          <w:b/>
        </w:rPr>
        <w:t>Note we assume spherical grains</w:t>
      </w:r>
      <w:r w:rsidR="00B05E2E" w:rsidRPr="00B05E2E">
        <w:rPr>
          <w:b/>
        </w:rPr>
        <w:t xml:space="preserve"> </w:t>
      </w:r>
    </w:p>
    <w:p w:rsidR="00B756DE" w:rsidRPr="002161A4" w:rsidRDefault="00B756DE" w:rsidP="002161A4">
      <w:pPr>
        <w:jc w:val="center"/>
      </w:pPr>
      <w:r w:rsidRPr="006204F6">
        <w:rPr>
          <w:b/>
          <w:i/>
        </w:rPr>
        <w:lastRenderedPageBreak/>
        <w:t>4.2.3 Clay Grains Alignment</w:t>
      </w:r>
    </w:p>
    <w:p w:rsidR="00356B45" w:rsidRDefault="00B756DE" w:rsidP="00B756DE">
      <w:pPr>
        <w:jc w:val="both"/>
        <w:rPr>
          <w:rFonts w:ascii="Times New Roman" w:hAnsi="Times New Roman"/>
        </w:rPr>
      </w:pPr>
      <w:r>
        <w:rPr>
          <w:rFonts w:ascii="Times New Roman" w:hAnsi="Times New Roman"/>
        </w:rPr>
        <w:t xml:space="preserve">Earlier study on New Albany Shale and Chattanooga Shale using X ray diffraction techniques suggests that anisotropy at elevated pressure is </w:t>
      </w:r>
      <w:r w:rsidRPr="00A66AF6">
        <w:rPr>
          <w:rFonts w:ascii="Times New Roman" w:hAnsi="Times New Roman"/>
        </w:rPr>
        <w:t xml:space="preserve">caused mainly by preferred orientation of clays parallel to bedding plane </w:t>
      </w:r>
      <w:bookmarkStart w:id="138" w:name="OLE_LINK86"/>
      <w:r w:rsidRPr="00A66AF6">
        <w:rPr>
          <w:rFonts w:ascii="Times New Roman" w:hAnsi="Times New Roman"/>
        </w:rPr>
        <w:t>(J</w:t>
      </w:r>
      <w:r w:rsidR="00356B45">
        <w:rPr>
          <w:rFonts w:ascii="Times New Roman" w:hAnsi="Times New Roman"/>
        </w:rPr>
        <w:t>ohnston and Christensen, 1995)</w:t>
      </w:r>
      <w:bookmarkEnd w:id="138"/>
      <w:r w:rsidR="00356B45">
        <w:rPr>
          <w:rFonts w:ascii="Times New Roman" w:hAnsi="Times New Roman"/>
        </w:rPr>
        <w:t xml:space="preserve">. </w:t>
      </w:r>
      <w:r w:rsidRPr="00A66AF6">
        <w:rPr>
          <w:rFonts w:ascii="Times New Roman" w:hAnsi="Times New Roman"/>
        </w:rPr>
        <w:t xml:space="preserve">Therefore, the clay orientation acquired </w:t>
      </w:r>
      <w:r w:rsidR="00665FAD">
        <w:rPr>
          <w:rFonts w:ascii="Times New Roman" w:hAnsi="Times New Roman"/>
        </w:rPr>
        <w:t>using</w:t>
      </w:r>
      <w:r w:rsidRPr="00A66AF6">
        <w:rPr>
          <w:rFonts w:ascii="Times New Roman" w:hAnsi="Times New Roman"/>
        </w:rPr>
        <w:t xml:space="preserve"> SEM imaging technique </w:t>
      </w:r>
      <w:r w:rsidR="00665FAD">
        <w:rPr>
          <w:rFonts w:ascii="Times New Roman" w:hAnsi="Times New Roman"/>
        </w:rPr>
        <w:t xml:space="preserve">might be </w:t>
      </w:r>
      <w:r w:rsidRPr="00A66AF6">
        <w:rPr>
          <w:rFonts w:ascii="Times New Roman" w:hAnsi="Times New Roman"/>
        </w:rPr>
        <w:t xml:space="preserve">useful to evaluate the anisotropy. </w:t>
      </w:r>
      <w:r w:rsidR="00DC1817" w:rsidRPr="00662D86">
        <w:rPr>
          <w:rFonts w:ascii="Times New Roman" w:hAnsi="Times New Roman"/>
          <w:b/>
        </w:rPr>
        <w:t xml:space="preserve">Fig </w:t>
      </w:r>
      <w:r w:rsidR="00A66AF6" w:rsidRPr="00662D86">
        <w:rPr>
          <w:rFonts w:ascii="Times New Roman" w:hAnsi="Times New Roman"/>
          <w:b/>
        </w:rPr>
        <w:t>4.38</w:t>
      </w:r>
      <w:r w:rsidR="00A66AF6" w:rsidRPr="00A66AF6">
        <w:rPr>
          <w:rFonts w:ascii="Times New Roman" w:hAnsi="Times New Roman"/>
        </w:rPr>
        <w:t xml:space="preserve"> </w:t>
      </w:r>
      <w:r w:rsidRPr="00A66AF6">
        <w:rPr>
          <w:rFonts w:ascii="Times New Roman" w:hAnsi="Times New Roman"/>
        </w:rPr>
        <w:t xml:space="preserve">shows the orientation plot for the clay particles separated from other </w:t>
      </w:r>
      <w:r w:rsidR="004621CD">
        <w:rPr>
          <w:rFonts w:ascii="Times New Roman" w:hAnsi="Times New Roman"/>
        </w:rPr>
        <w:t>mineral</w:t>
      </w:r>
      <w:r w:rsidRPr="00A66AF6">
        <w:rPr>
          <w:rFonts w:ascii="Times New Roman" w:hAnsi="Times New Roman"/>
        </w:rPr>
        <w:t xml:space="preserve"> grains in </w:t>
      </w:r>
      <w:r w:rsidR="00F3616C">
        <w:rPr>
          <w:rFonts w:ascii="Times New Roman" w:hAnsi="Times New Roman"/>
        </w:rPr>
        <w:t>g</w:t>
      </w:r>
      <w:r w:rsidR="00485EEE">
        <w:rPr>
          <w:rFonts w:ascii="Times New Roman" w:hAnsi="Times New Roman"/>
        </w:rPr>
        <w:t>roup CCl</w:t>
      </w:r>
      <w:r w:rsidR="00951A71">
        <w:rPr>
          <w:rFonts w:ascii="Times New Roman" w:hAnsi="Times New Roman"/>
        </w:rPr>
        <w:t xml:space="preserve"> </w:t>
      </w:r>
      <w:r w:rsidR="00951A71" w:rsidRPr="00951A71">
        <w:rPr>
          <w:rFonts w:ascii="Times New Roman" w:hAnsi="Times New Roman"/>
        </w:rPr>
        <w:t>(calcite, clays, Fe-dol., K-feldspar)</w:t>
      </w:r>
      <w:r w:rsidRPr="00A66AF6">
        <w:rPr>
          <w:rFonts w:ascii="Times New Roman" w:hAnsi="Times New Roman"/>
        </w:rPr>
        <w:t xml:space="preserve"> of sample #1.  </w:t>
      </w:r>
      <w:r w:rsidR="005270EA">
        <w:rPr>
          <w:rFonts w:ascii="Times New Roman" w:hAnsi="Times New Roman"/>
        </w:rPr>
        <w:t>On average, clays are 16</w:t>
      </w:r>
      <w:r w:rsidR="005270EA">
        <w:rPr>
          <w:rFonts w:ascii="Times New Roman" w:hAnsi="Times New Roman"/>
          <w:vertAlign w:val="superscript"/>
        </w:rPr>
        <w:t>0</w:t>
      </w:r>
      <w:r w:rsidR="005270EA">
        <w:rPr>
          <w:rFonts w:ascii="Times New Roman" w:hAnsi="Times New Roman"/>
        </w:rPr>
        <w:t xml:space="preserve"> to the bedding plane. </w:t>
      </w:r>
      <w:r w:rsidRPr="00A66AF6">
        <w:rPr>
          <w:rFonts w:ascii="Times New Roman" w:hAnsi="Times New Roman"/>
        </w:rPr>
        <w:t>Mo</w:t>
      </w:r>
      <w:r w:rsidR="00E14E10">
        <w:rPr>
          <w:rFonts w:ascii="Times New Roman" w:hAnsi="Times New Roman"/>
        </w:rPr>
        <w:t xml:space="preserve">re than </w:t>
      </w:r>
      <w:r w:rsidR="005270EA">
        <w:rPr>
          <w:rFonts w:ascii="Times New Roman" w:hAnsi="Times New Roman"/>
        </w:rPr>
        <w:t>6</w:t>
      </w:r>
      <w:r w:rsidR="00E14E10">
        <w:rPr>
          <w:rFonts w:ascii="Times New Roman" w:hAnsi="Times New Roman"/>
        </w:rPr>
        <w:t xml:space="preserve">0% of the </w:t>
      </w:r>
      <w:r w:rsidR="003D3BD4">
        <w:rPr>
          <w:rFonts w:ascii="Times New Roman" w:hAnsi="Times New Roman"/>
        </w:rPr>
        <w:t xml:space="preserve">elongated </w:t>
      </w:r>
      <w:r w:rsidR="00E14E10">
        <w:rPr>
          <w:rFonts w:ascii="Times New Roman" w:hAnsi="Times New Roman"/>
        </w:rPr>
        <w:t>particles lie</w:t>
      </w:r>
      <w:r w:rsidRPr="00A66AF6">
        <w:rPr>
          <w:rFonts w:ascii="Times New Roman" w:hAnsi="Times New Roman"/>
        </w:rPr>
        <w:t xml:space="preserve"> between 0</w:t>
      </w:r>
      <w:r w:rsidRPr="00A66AF6">
        <w:rPr>
          <w:rFonts w:ascii="Times New Roman" w:hAnsi="Times New Roman"/>
          <w:vertAlign w:val="superscript"/>
        </w:rPr>
        <w:t>0</w:t>
      </w:r>
      <w:r w:rsidRPr="00A66AF6">
        <w:rPr>
          <w:rFonts w:ascii="Times New Roman" w:hAnsi="Times New Roman"/>
        </w:rPr>
        <w:t xml:space="preserve"> and 10</w:t>
      </w:r>
      <w:r w:rsidRPr="00A66AF6">
        <w:rPr>
          <w:rFonts w:ascii="Times New Roman" w:hAnsi="Times New Roman"/>
          <w:vertAlign w:val="superscript"/>
        </w:rPr>
        <w:t xml:space="preserve">0 </w:t>
      </w:r>
      <w:r w:rsidRPr="00A66AF6">
        <w:rPr>
          <w:rFonts w:ascii="Times New Roman" w:hAnsi="Times New Roman"/>
        </w:rPr>
        <w:t>to the bedding plane. Most of the clay particles are oriented at larger angle (from 10</w:t>
      </w:r>
      <w:r w:rsidRPr="00A66AF6">
        <w:rPr>
          <w:rFonts w:ascii="Times New Roman" w:hAnsi="Times New Roman"/>
          <w:vertAlign w:val="superscript"/>
        </w:rPr>
        <w:t>0</w:t>
      </w:r>
      <w:r w:rsidRPr="00A66AF6">
        <w:rPr>
          <w:rFonts w:ascii="Times New Roman" w:hAnsi="Times New Roman"/>
        </w:rPr>
        <w:t xml:space="preserve"> to 60</w:t>
      </w:r>
      <w:r w:rsidRPr="00A66AF6">
        <w:rPr>
          <w:rFonts w:ascii="Times New Roman" w:hAnsi="Times New Roman"/>
          <w:vertAlign w:val="superscript"/>
        </w:rPr>
        <w:t>0</w:t>
      </w:r>
      <w:r w:rsidRPr="00A66AF6">
        <w:rPr>
          <w:rFonts w:ascii="Times New Roman" w:hAnsi="Times New Roman"/>
        </w:rPr>
        <w:t xml:space="preserve">); there are </w:t>
      </w:r>
      <w:r w:rsidR="00E14E10">
        <w:rPr>
          <w:rFonts w:ascii="Times New Roman" w:hAnsi="Times New Roman"/>
        </w:rPr>
        <w:t xml:space="preserve">very few particles </w:t>
      </w:r>
      <w:r w:rsidRPr="00A66AF6">
        <w:rPr>
          <w:rFonts w:ascii="Times New Roman" w:hAnsi="Times New Roman"/>
        </w:rPr>
        <w:t>at high angle to the bedding plane (70</w:t>
      </w:r>
      <w:r w:rsidRPr="00A66AF6">
        <w:rPr>
          <w:rFonts w:ascii="Times New Roman" w:hAnsi="Times New Roman"/>
          <w:vertAlign w:val="superscript"/>
        </w:rPr>
        <w:t>0</w:t>
      </w:r>
      <w:r w:rsidRPr="00A66AF6">
        <w:rPr>
          <w:rFonts w:ascii="Times New Roman" w:hAnsi="Times New Roman"/>
        </w:rPr>
        <w:t xml:space="preserve"> or more). Most of the clays are thus observed to be </w:t>
      </w:r>
      <w:r w:rsidR="00CA0320">
        <w:rPr>
          <w:rFonts w:ascii="Times New Roman" w:hAnsi="Times New Roman"/>
        </w:rPr>
        <w:t>sub-</w:t>
      </w:r>
      <w:r w:rsidRPr="00A66AF6">
        <w:rPr>
          <w:rFonts w:ascii="Times New Roman" w:hAnsi="Times New Roman"/>
        </w:rPr>
        <w:t>parallel to the bedding plane. According to the study of Johnston and Christensen</w:t>
      </w:r>
      <w:r w:rsidR="00CA0320">
        <w:rPr>
          <w:rFonts w:ascii="Times New Roman" w:hAnsi="Times New Roman"/>
        </w:rPr>
        <w:t xml:space="preserve"> (1995)</w:t>
      </w:r>
      <w:r w:rsidRPr="00A66AF6">
        <w:rPr>
          <w:rFonts w:ascii="Times New Roman" w:hAnsi="Times New Roman"/>
        </w:rPr>
        <w:t>, these samples can be conclu</w:t>
      </w:r>
      <w:r w:rsidR="00356B45">
        <w:rPr>
          <w:rFonts w:ascii="Times New Roman" w:hAnsi="Times New Roman"/>
        </w:rPr>
        <w:t>ded to be strongly anisotropic. The anisotropy of the samples</w:t>
      </w:r>
      <w:r w:rsidR="00511A67">
        <w:rPr>
          <w:rFonts w:ascii="Times New Roman" w:hAnsi="Times New Roman"/>
        </w:rPr>
        <w:t xml:space="preserve"> (%)</w:t>
      </w:r>
      <w:r w:rsidR="00356B45">
        <w:rPr>
          <w:rFonts w:ascii="Times New Roman" w:hAnsi="Times New Roman"/>
        </w:rPr>
        <w:t xml:space="preserve"> is defined as </w:t>
      </w:r>
      <w:r w:rsidR="00356B45" w:rsidRPr="00A66AF6">
        <w:rPr>
          <w:rFonts w:ascii="Times New Roman" w:hAnsi="Times New Roman"/>
        </w:rPr>
        <w:t>(J</w:t>
      </w:r>
      <w:r w:rsidR="00356B45">
        <w:rPr>
          <w:rFonts w:ascii="Times New Roman" w:hAnsi="Times New Roman"/>
        </w:rPr>
        <w:t>ohnston and Christensen, 1995):</w:t>
      </w:r>
    </w:p>
    <w:p w:rsidR="00356B45" w:rsidRDefault="001E1AF0" w:rsidP="00B756DE">
      <w:pPr>
        <w:jc w:val="both"/>
        <w:rPr>
          <w:rFonts w:ascii="Times New Roman" w:hAnsi="Times New Roman"/>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min</m:t>
                  </m:r>
                </m:sub>
              </m:sSub>
            </m:num>
            <m:den>
              <m:sSub>
                <m:sSubPr>
                  <m:ctrlPr>
                    <w:rPr>
                      <w:rFonts w:ascii="Cambria Math" w:hAnsi="Cambria Math"/>
                      <w:i/>
                    </w:rPr>
                  </m:ctrlPr>
                </m:sSubPr>
                <m:e>
                  <m:r>
                    <w:rPr>
                      <w:rFonts w:ascii="Cambria Math" w:hAnsi="Cambria Math"/>
                    </w:rPr>
                    <m:t>V</m:t>
                  </m:r>
                </m:e>
                <m:sub>
                  <m:r>
                    <w:rPr>
                      <w:rFonts w:ascii="Cambria Math" w:hAnsi="Cambria Math"/>
                    </w:rPr>
                    <m:t>max</m:t>
                  </m:r>
                </m:sub>
              </m:sSub>
            </m:den>
          </m:f>
        </m:oMath>
      </m:oMathPara>
    </w:p>
    <w:p w:rsidR="00B756DE" w:rsidRPr="00511A67" w:rsidRDefault="00356B45" w:rsidP="00B756DE">
      <w:pPr>
        <w:jc w:val="both"/>
        <w:rPr>
          <w:rFonts w:ascii="Times New Roman" w:hAnsi="Times New Roman"/>
        </w:rPr>
      </w:pPr>
      <w:r>
        <w:rPr>
          <w:rFonts w:ascii="Times New Roman" w:hAnsi="Times New Roman"/>
        </w:rPr>
        <w:t>The velocity</w:t>
      </w:r>
      <w:r w:rsidR="00B756DE" w:rsidRPr="00A66AF6">
        <w:rPr>
          <w:rFonts w:ascii="Times New Roman" w:hAnsi="Times New Roman"/>
        </w:rPr>
        <w:t xml:space="preserve"> </w:t>
      </w:r>
      <w:r>
        <w:rPr>
          <w:rFonts w:ascii="Times New Roman" w:hAnsi="Times New Roman"/>
        </w:rPr>
        <w:t>measurements were conducted on samples within a 195 ft interval in the same well with the 1 ft section.</w:t>
      </w:r>
      <w:r w:rsidR="00B756DE" w:rsidRPr="00A66AF6">
        <w:rPr>
          <w:rFonts w:ascii="Times New Roman" w:hAnsi="Times New Roman"/>
        </w:rPr>
        <w:t xml:space="preserve"> </w:t>
      </w:r>
      <w:r>
        <w:rPr>
          <w:rFonts w:ascii="Times New Roman" w:hAnsi="Times New Roman"/>
        </w:rPr>
        <w:t xml:space="preserve">The results show that </w:t>
      </w:r>
      <w:r w:rsidR="00511A67">
        <w:rPr>
          <w:rFonts w:ascii="Times New Roman" w:hAnsi="Times New Roman"/>
        </w:rPr>
        <w:t>those samples are highly anisotropy, approximately 24 ± 3% for V</w:t>
      </w:r>
      <w:r w:rsidR="00511A67">
        <w:rPr>
          <w:rFonts w:ascii="Times New Roman" w:hAnsi="Times New Roman"/>
          <w:vertAlign w:val="subscript"/>
        </w:rPr>
        <w:t>p</w:t>
      </w:r>
      <w:r w:rsidR="00511A67">
        <w:rPr>
          <w:rFonts w:ascii="Times New Roman" w:hAnsi="Times New Roman"/>
        </w:rPr>
        <w:t xml:space="preserve"> and 26 ± 5 % for V</w:t>
      </w:r>
      <w:r w:rsidR="00511A67">
        <w:rPr>
          <w:rFonts w:ascii="Times New Roman" w:hAnsi="Times New Roman"/>
          <w:vertAlign w:val="subscript"/>
        </w:rPr>
        <w:t>s</w:t>
      </w:r>
      <w:r w:rsidR="00CA6A23">
        <w:rPr>
          <w:rFonts w:ascii="Times New Roman" w:hAnsi="Times New Roman"/>
          <w:vertAlign w:val="subscript"/>
        </w:rPr>
        <w:t xml:space="preserve"> </w:t>
      </w:r>
      <w:r w:rsidR="00CA6A23">
        <w:rPr>
          <w:rFonts w:ascii="Times New Roman" w:hAnsi="Times New Roman"/>
        </w:rPr>
        <w:t>at 5,000 psia</w:t>
      </w:r>
      <w:r w:rsidR="00511A67">
        <w:rPr>
          <w:rFonts w:ascii="Times New Roman" w:hAnsi="Times New Roman"/>
        </w:rPr>
        <w:t>. This strongly agree with the conclusion made from clay alignment study.</w:t>
      </w:r>
    </w:p>
    <w:p w:rsidR="00B756DE" w:rsidRPr="005B7CC1" w:rsidRDefault="00DC1817" w:rsidP="00B756DE">
      <w:pPr>
        <w:jc w:val="both"/>
        <w:rPr>
          <w:rFonts w:ascii="Times New Roman" w:hAnsi="Times New Roman"/>
        </w:rPr>
      </w:pPr>
      <w:r w:rsidRPr="00662D86">
        <w:rPr>
          <w:rFonts w:ascii="Times New Roman" w:hAnsi="Times New Roman"/>
          <w:b/>
        </w:rPr>
        <w:t xml:space="preserve">Fig </w:t>
      </w:r>
      <w:r w:rsidR="00A66AF6" w:rsidRPr="00662D86">
        <w:rPr>
          <w:rFonts w:ascii="Times New Roman" w:hAnsi="Times New Roman"/>
          <w:b/>
        </w:rPr>
        <w:t>4.39</w:t>
      </w:r>
      <w:r w:rsidR="00B756DE" w:rsidRPr="00CA0320">
        <w:rPr>
          <w:rFonts w:ascii="Times New Roman" w:hAnsi="Times New Roman"/>
        </w:rPr>
        <w:t xml:space="preserve"> shows orienta</w:t>
      </w:r>
      <w:r w:rsidR="00CA0320">
        <w:rPr>
          <w:rFonts w:ascii="Times New Roman" w:hAnsi="Times New Roman"/>
        </w:rPr>
        <w:t xml:space="preserve">tion to the bedding plane </w:t>
      </w:r>
      <w:r w:rsidR="00B756DE" w:rsidRPr="00CA0320">
        <w:rPr>
          <w:rFonts w:ascii="Times New Roman" w:hAnsi="Times New Roman"/>
        </w:rPr>
        <w:t xml:space="preserve">for the clay particles separated from </w:t>
      </w:r>
      <w:r w:rsidR="00CC4D77">
        <w:rPr>
          <w:rFonts w:ascii="Times New Roman" w:hAnsi="Times New Roman"/>
        </w:rPr>
        <w:t>g</w:t>
      </w:r>
      <w:r w:rsidR="00485EEE">
        <w:rPr>
          <w:rFonts w:ascii="Times New Roman" w:hAnsi="Times New Roman"/>
        </w:rPr>
        <w:t>roup CCl</w:t>
      </w:r>
      <w:r w:rsidR="00951A71">
        <w:rPr>
          <w:rFonts w:ascii="Times New Roman" w:hAnsi="Times New Roman"/>
        </w:rPr>
        <w:t xml:space="preserve"> </w:t>
      </w:r>
      <w:r w:rsidR="00951A71" w:rsidRPr="00951A71">
        <w:rPr>
          <w:rFonts w:ascii="Times New Roman" w:hAnsi="Times New Roman"/>
        </w:rPr>
        <w:t>(calcite, clays, Fe-dol., K-feldspar)</w:t>
      </w:r>
      <w:r w:rsidR="00B756DE" w:rsidRPr="00CA0320">
        <w:rPr>
          <w:rFonts w:ascii="Times New Roman" w:hAnsi="Times New Roman"/>
        </w:rPr>
        <w:t xml:space="preserve"> of sample #1 at 100%, 30%, 10%, and 5% scale. Similar to the entire</w:t>
      </w:r>
      <w:r w:rsidR="00B756DE">
        <w:rPr>
          <w:rFonts w:ascii="Times New Roman" w:hAnsi="Times New Roman"/>
        </w:rPr>
        <w:t xml:space="preserve"> map (100% scale), sub-maps with smaller scales present the same trend that majority of the clay p</w:t>
      </w:r>
      <w:r w:rsidR="00CA0320">
        <w:rPr>
          <w:rFonts w:ascii="Times New Roman" w:hAnsi="Times New Roman"/>
        </w:rPr>
        <w:t xml:space="preserve">articles are oriented at </w:t>
      </w:r>
      <w:r w:rsidR="00B756DE">
        <w:rPr>
          <w:rFonts w:ascii="Times New Roman" w:hAnsi="Times New Roman"/>
        </w:rPr>
        <w:t xml:space="preserve">small angle between 0 </w:t>
      </w:r>
      <w:r w:rsidR="00B756DE">
        <w:rPr>
          <w:rFonts w:ascii="Times New Roman" w:hAnsi="Times New Roman"/>
        </w:rPr>
        <w:lastRenderedPageBreak/>
        <w:t>and 10</w:t>
      </w:r>
      <w:r w:rsidR="00B756DE">
        <w:rPr>
          <w:rFonts w:ascii="Times New Roman" w:hAnsi="Times New Roman"/>
          <w:vertAlign w:val="superscript"/>
        </w:rPr>
        <w:t>0</w:t>
      </w:r>
      <w:r w:rsidR="00B756DE">
        <w:rPr>
          <w:rFonts w:ascii="Times New Roman" w:hAnsi="Times New Roman"/>
        </w:rPr>
        <w:t>; most of the clay grains are parallel to the bedding plane. However, the trend for clay ali</w:t>
      </w:r>
      <w:r w:rsidR="00CA0320">
        <w:rPr>
          <w:rFonts w:ascii="Times New Roman" w:hAnsi="Times New Roman"/>
        </w:rPr>
        <w:t>gnment becomes clearer</w:t>
      </w:r>
      <w:r w:rsidR="00B756DE">
        <w:rPr>
          <w:rFonts w:ascii="Times New Roman" w:hAnsi="Times New Roman"/>
        </w:rPr>
        <w:t xml:space="preserve"> as the imaging sample size increases. At 5% scale (273 </w:t>
      </w:r>
      <w:r w:rsidR="00B756DE">
        <w:rPr>
          <w:rFonts w:ascii="Calibri" w:hAnsi="Calibri"/>
        </w:rPr>
        <w:t>µ</w:t>
      </w:r>
      <w:r w:rsidR="00B756DE">
        <w:rPr>
          <w:rFonts w:ascii="Times New Roman" w:hAnsi="Times New Roman"/>
        </w:rPr>
        <w:t xml:space="preserve">m x 286 </w:t>
      </w:r>
      <w:r w:rsidR="00B756DE">
        <w:rPr>
          <w:rFonts w:ascii="Calibri" w:hAnsi="Calibri"/>
        </w:rPr>
        <w:t>µ</w:t>
      </w:r>
      <w:r w:rsidR="00B756DE">
        <w:rPr>
          <w:rFonts w:ascii="Times New Roman" w:hAnsi="Times New Roman"/>
        </w:rPr>
        <w:t xml:space="preserve">m), the low angle peak flattens out and is more difficult to recognize than the peak for the entire map. </w:t>
      </w:r>
      <w:r w:rsidR="00CD2523">
        <w:rPr>
          <w:rFonts w:ascii="Times New Roman" w:hAnsi="Times New Roman"/>
        </w:rPr>
        <w:t>This</w:t>
      </w:r>
      <w:r w:rsidR="00B756DE">
        <w:rPr>
          <w:rFonts w:ascii="Times New Roman" w:hAnsi="Times New Roman"/>
        </w:rPr>
        <w:t xml:space="preserve"> suggests that a relatively large area needs to be acquire</w:t>
      </w:r>
      <w:r w:rsidR="00A66AF6">
        <w:rPr>
          <w:rFonts w:ascii="Times New Roman" w:hAnsi="Times New Roman"/>
        </w:rPr>
        <w:t>d</w:t>
      </w:r>
      <w:r w:rsidR="00B756DE">
        <w:rPr>
          <w:rFonts w:ascii="Times New Roman" w:hAnsi="Times New Roman"/>
        </w:rPr>
        <w:t xml:space="preserve"> for the anisotropy study.    </w:t>
      </w:r>
    </w:p>
    <w:p w:rsidR="00085615" w:rsidRDefault="00085615">
      <w:pPr>
        <w:spacing w:line="240" w:lineRule="auto"/>
        <w:rPr>
          <w:rFonts w:asciiTheme="majorHAnsi" w:hAnsiTheme="majorHAnsi"/>
          <w:b/>
          <w:bCs/>
          <w:sz w:val="28"/>
          <w:szCs w:val="32"/>
        </w:rPr>
      </w:pPr>
    </w:p>
    <w:p w:rsidR="00AD5AD8" w:rsidRDefault="00AD5AD8" w:rsidP="00AD5AD8">
      <w:pPr>
        <w:spacing w:line="240" w:lineRule="auto"/>
        <w:jc w:val="center"/>
        <w:rPr>
          <w:noProof/>
          <w:lang w:bidi="ar-SA"/>
        </w:rPr>
      </w:pPr>
      <w:r>
        <w:rPr>
          <w:noProof/>
          <w:lang w:bidi="ar-SA"/>
        </w:rPr>
        <w:drawing>
          <wp:inline distT="0" distB="0" distL="0" distR="0" wp14:anchorId="0BCA7256" wp14:editId="7090FC85">
            <wp:extent cx="3952875" cy="2160905"/>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3989332" cy="2180835"/>
                    </a:xfrm>
                    <a:prstGeom prst="rect">
                      <a:avLst/>
                    </a:prstGeom>
                  </pic:spPr>
                </pic:pic>
              </a:graphicData>
            </a:graphic>
          </wp:inline>
        </w:drawing>
      </w:r>
    </w:p>
    <w:p w:rsidR="006A78AE" w:rsidRPr="00854CF6" w:rsidRDefault="00AD5AD8" w:rsidP="00AD5AD8">
      <w:pPr>
        <w:rPr>
          <w:b/>
          <w:vertAlign w:val="superscript"/>
        </w:rPr>
      </w:pPr>
      <w:r>
        <w:rPr>
          <w:b/>
        </w:rPr>
        <w:t>Fig</w:t>
      </w:r>
      <w:r w:rsidR="00E34348">
        <w:rPr>
          <w:b/>
        </w:rPr>
        <w:t>ure 4.38</w:t>
      </w:r>
      <w:r>
        <w:rPr>
          <w:b/>
        </w:rPr>
        <w:t>: Clay particle orientation</w:t>
      </w:r>
      <w:r w:rsidR="00B05E2E">
        <w:rPr>
          <w:b/>
        </w:rPr>
        <w:t xml:space="preserve"> relative</w:t>
      </w:r>
      <w:r>
        <w:rPr>
          <w:b/>
        </w:rPr>
        <w:t xml:space="preserve"> to the bedding plane (</w:t>
      </w:r>
      <w:r w:rsidR="00F3616C">
        <w:rPr>
          <w:b/>
        </w:rPr>
        <w:t>g</w:t>
      </w:r>
      <w:r w:rsidR="00485EEE">
        <w:rPr>
          <w:b/>
        </w:rPr>
        <w:t>roup CCl</w:t>
      </w:r>
      <w:r>
        <w:rPr>
          <w:b/>
        </w:rPr>
        <w:t xml:space="preserve"> </w:t>
      </w:r>
      <w:r w:rsidR="00951A71" w:rsidRPr="00951A71">
        <w:rPr>
          <w:b/>
        </w:rPr>
        <w:t>(calcite, clays, Fe-dol., K-feldspar)</w:t>
      </w:r>
      <w:r w:rsidR="00951A71">
        <w:rPr>
          <w:b/>
        </w:rPr>
        <w:t xml:space="preserve"> </w:t>
      </w:r>
      <w:r>
        <w:rPr>
          <w:b/>
        </w:rPr>
        <w:t>– sample #1). Majority of clays are oriented at 0</w:t>
      </w:r>
      <w:r>
        <w:rPr>
          <w:b/>
          <w:vertAlign w:val="superscript"/>
        </w:rPr>
        <w:t>0</w:t>
      </w:r>
      <w:r>
        <w:rPr>
          <w:b/>
        </w:rPr>
        <w:t xml:space="preserve"> to 10</w:t>
      </w:r>
      <w:r>
        <w:rPr>
          <w:b/>
          <w:vertAlign w:val="superscript"/>
        </w:rPr>
        <w:t>0</w:t>
      </w:r>
    </w:p>
    <w:p w:rsidR="00AD5AD8" w:rsidRDefault="00AD5AD8" w:rsidP="00AD5AD8">
      <w:pPr>
        <w:jc w:val="center"/>
      </w:pPr>
      <w:r>
        <w:rPr>
          <w:noProof/>
          <w:lang w:bidi="ar-SA"/>
        </w:rPr>
        <w:drawing>
          <wp:inline distT="0" distB="0" distL="0" distR="0" wp14:anchorId="05346BC3" wp14:editId="4716CB9D">
            <wp:extent cx="3945890" cy="18954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3946367" cy="1895704"/>
                    </a:xfrm>
                    <a:prstGeom prst="rect">
                      <a:avLst/>
                    </a:prstGeom>
                  </pic:spPr>
                </pic:pic>
              </a:graphicData>
            </a:graphic>
          </wp:inline>
        </w:drawing>
      </w:r>
    </w:p>
    <w:p w:rsidR="006A78AE" w:rsidRPr="0003074B" w:rsidRDefault="00AD5AD8" w:rsidP="00AD5AD8">
      <w:pPr>
        <w:rPr>
          <w:b/>
        </w:rPr>
      </w:pPr>
      <w:r>
        <w:rPr>
          <w:b/>
        </w:rPr>
        <w:t>Fig</w:t>
      </w:r>
      <w:r w:rsidR="00E34348">
        <w:rPr>
          <w:b/>
        </w:rPr>
        <w:t>ure 4.39</w:t>
      </w:r>
      <w:r>
        <w:rPr>
          <w:b/>
        </w:rPr>
        <w:t>: Clay particle orientation to the bedding plane at different scale (</w:t>
      </w:r>
      <w:r w:rsidR="00F3616C">
        <w:rPr>
          <w:b/>
        </w:rPr>
        <w:t>g</w:t>
      </w:r>
      <w:r w:rsidR="00485EEE">
        <w:rPr>
          <w:b/>
        </w:rPr>
        <w:t>roup CCl</w:t>
      </w:r>
      <w:r>
        <w:rPr>
          <w:b/>
        </w:rPr>
        <w:t xml:space="preserve"> </w:t>
      </w:r>
      <w:r w:rsidR="00951A71" w:rsidRPr="00951A71">
        <w:rPr>
          <w:b/>
        </w:rPr>
        <w:t>(calcite, clays, Fe-dol., K-feldspar)</w:t>
      </w:r>
      <w:r w:rsidR="00951A71">
        <w:rPr>
          <w:b/>
        </w:rPr>
        <w:t xml:space="preserve"> </w:t>
      </w:r>
      <w:r>
        <w:rPr>
          <w:b/>
        </w:rPr>
        <w:t>– sample #1). Note the trend gets better as the scale increases</w:t>
      </w:r>
    </w:p>
    <w:p w:rsidR="00AD5AD8" w:rsidRDefault="00AD5AD8" w:rsidP="00F63BF0">
      <w:pPr>
        <w:pStyle w:val="Heading1"/>
      </w:pPr>
      <w:r w:rsidRPr="000F56FF">
        <w:lastRenderedPageBreak/>
        <w:t xml:space="preserve">Chapter </w:t>
      </w:r>
      <w:r>
        <w:t>5: Conclusion</w:t>
      </w:r>
    </w:p>
    <w:p w:rsidR="00AB078F" w:rsidRDefault="00930862" w:rsidP="006204F6">
      <w:pPr>
        <w:pStyle w:val="Heading3"/>
      </w:pPr>
      <w:r>
        <w:t>5.1 Significance and Contribution</w:t>
      </w:r>
    </w:p>
    <w:p w:rsidR="00AB078F" w:rsidRPr="00AB078F" w:rsidRDefault="00AB078F" w:rsidP="00AB078F"/>
    <w:p w:rsidR="005270EA" w:rsidRPr="007A2EC2" w:rsidRDefault="005270EA" w:rsidP="005270EA">
      <w:pPr>
        <w:jc w:val="both"/>
        <w:rPr>
          <w:b/>
        </w:rPr>
      </w:pPr>
      <w:r w:rsidRPr="007A2EC2">
        <w:t>Within the 1 ft interval of Wolfcamp shale, large variations of REA to measure porosity, organic matter, and grain size indicate a high degree of microstructural and mineralogical heterogeneity. Thus, to successfully characterize this interval, representative sample size needs to be studied for each depth interval.  At high resolution (10 nm), the reported REA values are large; especially for organic matter and mineral Group RA (rutile and apatite), and Group P (pyrite) REAs are almost as large as the area of the original map (1.56 mm</w:t>
      </w:r>
      <w:r w:rsidRPr="007A2EC2">
        <w:rPr>
          <w:vertAlign w:val="superscript"/>
        </w:rPr>
        <w:t>2</w:t>
      </w:r>
      <w:r w:rsidRPr="007A2EC2">
        <w:t xml:space="preserve">). </w:t>
      </w:r>
      <w:r w:rsidRPr="007A2EC2">
        <w:rPr>
          <w:b/>
        </w:rPr>
        <w:t>This makes the idea of extracting petrophysical information from either a large SEM image with low resolution or a small SEM image with high resolution statistically unrepresentative.</w:t>
      </w:r>
    </w:p>
    <w:p w:rsidR="005270EA" w:rsidRPr="007A2EC2" w:rsidRDefault="005270EA" w:rsidP="005270EA">
      <w:pPr>
        <w:jc w:val="both"/>
      </w:pPr>
      <w:r w:rsidRPr="007A2EC2">
        <w:t>Excluding the factor of viewing angle, clays are proved in SEM images to have slit-like shape. By selecting appropriate aspect ratio cut-off, majority clays can be effectively separated from other grains in a mineral group of nearly similar density. This improves grain size distribution and grain alignment study.</w:t>
      </w:r>
    </w:p>
    <w:p w:rsidR="005270EA" w:rsidRPr="007A2EC2" w:rsidRDefault="005270EA" w:rsidP="005270EA">
      <w:pPr>
        <w:jc w:val="both"/>
      </w:pPr>
      <w:r w:rsidRPr="007A2EC2">
        <w:t xml:space="preserve">Strong agreement between derived SEM and NMR pore size data indicates that both </w:t>
      </w:r>
      <w:r w:rsidR="00143150" w:rsidRPr="007A2EC2">
        <w:t>represent</w:t>
      </w:r>
      <w:r w:rsidRPr="007A2EC2">
        <w:t xml:space="preserve"> the pore body distribution. Compared to previous works that match MICP with NMR pore size data (Sulucarnain et al., 2012; Ghomeshi et al., 2013; Fiorelli et al., 2015 etc.), effective surface relaxation </w:t>
      </w:r>
      <w:bookmarkStart w:id="139" w:name="OLE_LINK108"/>
      <w:bookmarkStart w:id="140" w:name="OLE_LINK109"/>
      <w:bookmarkStart w:id="141" w:name="OLE_LINK111"/>
      <w:r w:rsidRPr="007A2EC2">
        <w:t>ρ</w:t>
      </w:r>
      <w:r w:rsidRPr="007A2EC2">
        <w:rPr>
          <w:vertAlign w:val="subscript"/>
        </w:rPr>
        <w:t>e</w:t>
      </w:r>
      <w:bookmarkEnd w:id="139"/>
      <w:bookmarkEnd w:id="140"/>
      <w:bookmarkEnd w:id="141"/>
      <w:r w:rsidRPr="007A2EC2">
        <w:t xml:space="preserve"> for SEM – NMR matching is larger (41 ± 3 µm/sec). This ρ</w:t>
      </w:r>
      <w:r w:rsidRPr="007A2EC2">
        <w:rPr>
          <w:vertAlign w:val="subscript"/>
        </w:rPr>
        <w:t>e</w:t>
      </w:r>
      <w:r w:rsidRPr="007A2EC2">
        <w:t xml:space="preserve"> is more reasonable compare to ρ</w:t>
      </w:r>
      <w:r w:rsidRPr="007A2EC2">
        <w:rPr>
          <w:vertAlign w:val="subscript"/>
        </w:rPr>
        <w:t xml:space="preserve">e </w:t>
      </w:r>
      <w:r w:rsidRPr="007A2EC2">
        <w:t>values</w:t>
      </w:r>
      <w:r w:rsidRPr="007A2EC2">
        <w:rPr>
          <w:sz w:val="26"/>
        </w:rPr>
        <w:t xml:space="preserve"> </w:t>
      </w:r>
      <w:r w:rsidRPr="007A2EC2">
        <w:t>for MICP – NMR matching.</w:t>
      </w:r>
    </w:p>
    <w:p w:rsidR="005270EA" w:rsidRPr="007A2EC2" w:rsidRDefault="005270EA" w:rsidP="005270EA">
      <w:pPr>
        <w:jc w:val="both"/>
      </w:pPr>
    </w:p>
    <w:p w:rsidR="00930862" w:rsidRDefault="005270EA" w:rsidP="005270EA">
      <w:pPr>
        <w:jc w:val="both"/>
      </w:pPr>
      <w:r w:rsidRPr="007A2EC2">
        <w:lastRenderedPageBreak/>
        <w:t>Besides REA and pore size distribution, FEI SEM mapping technique allows the determination of grain size in shale. For seven sample distributed in the 1 ft Woflcamp core section, average grain size ranges from 288 nm to 321 nm. The average grain size for the whole section is 307 ± 12 nm; this indicates that grain size is consistent throughout this interval</w:t>
      </w:r>
      <w:r w:rsidR="004901C1">
        <w:t>.</w:t>
      </w:r>
    </w:p>
    <w:p w:rsidR="00930862" w:rsidRDefault="00930862" w:rsidP="00930862">
      <w:pPr>
        <w:jc w:val="both"/>
        <w:rPr>
          <w:noProof/>
          <w:lang w:bidi="ar-SA"/>
        </w:rPr>
      </w:pPr>
    </w:p>
    <w:p w:rsidR="00AD5AD8" w:rsidRDefault="00AD5AD8" w:rsidP="00CD2523">
      <w:pPr>
        <w:jc w:val="both"/>
      </w:pPr>
    </w:p>
    <w:p w:rsidR="00AD5AD8" w:rsidRDefault="00873477" w:rsidP="006204F6">
      <w:pPr>
        <w:pStyle w:val="Heading3"/>
      </w:pPr>
      <w:r>
        <w:t>5.2</w:t>
      </w:r>
      <w:r w:rsidR="00CD2523">
        <w:t xml:space="preserve"> Conclusion</w:t>
      </w:r>
    </w:p>
    <w:p w:rsidR="00AD5AD8" w:rsidRDefault="00AD5AD8" w:rsidP="00CD2523">
      <w:pPr>
        <w:jc w:val="both"/>
      </w:pPr>
      <w:r>
        <w:t xml:space="preserve">The main conclusions of this study are summarized below: </w:t>
      </w:r>
    </w:p>
    <w:p w:rsidR="00D71CAA" w:rsidRDefault="00D71CAA" w:rsidP="00CD2523">
      <w:pPr>
        <w:jc w:val="both"/>
      </w:pPr>
    </w:p>
    <w:p w:rsidR="00CD2523" w:rsidRDefault="00CD2523" w:rsidP="00D71CAA">
      <w:pPr>
        <w:pStyle w:val="ListParagraph"/>
        <w:numPr>
          <w:ilvl w:val="0"/>
          <w:numId w:val="10"/>
        </w:numPr>
        <w:jc w:val="both"/>
      </w:pPr>
      <w:r>
        <w:t>Representative Elementary Area</w:t>
      </w:r>
      <w:r w:rsidR="00143150">
        <w:t>s</w:t>
      </w:r>
      <w:r>
        <w:t xml:space="preserve"> (REA) </w:t>
      </w:r>
      <w:r w:rsidR="00012545">
        <w:t>are determined over</w:t>
      </w:r>
      <w:r w:rsidR="00CA0320">
        <w:t xml:space="preserve"> a 1 ft Wo</w:t>
      </w:r>
      <w:r w:rsidR="00175313">
        <w:t>lfcamp core to be</w:t>
      </w:r>
      <w:r>
        <w:t xml:space="preserve"> 0.8 mm</w:t>
      </w:r>
      <w:r w:rsidRPr="00D71CAA">
        <w:rPr>
          <w:vertAlign w:val="superscript"/>
        </w:rPr>
        <w:t>2</w:t>
      </w:r>
      <w:r>
        <w:t xml:space="preserve"> for porosity and 1.2 mm</w:t>
      </w:r>
      <w:r w:rsidRPr="00D71CAA">
        <w:rPr>
          <w:vertAlign w:val="superscript"/>
        </w:rPr>
        <w:t>2</w:t>
      </w:r>
      <w:r>
        <w:t xml:space="preserve"> for organic matter.</w:t>
      </w:r>
    </w:p>
    <w:p w:rsidR="00CD2523" w:rsidRPr="00CD2523" w:rsidRDefault="00CD2523" w:rsidP="00CD2523">
      <w:pPr>
        <w:jc w:val="both"/>
      </w:pPr>
    </w:p>
    <w:p w:rsidR="00CD2523" w:rsidRDefault="00143150" w:rsidP="00FB0418">
      <w:pPr>
        <w:pStyle w:val="ListParagraph"/>
        <w:numPr>
          <w:ilvl w:val="0"/>
          <w:numId w:val="10"/>
        </w:numPr>
        <w:jc w:val="both"/>
      </w:pPr>
      <w:r w:rsidRPr="007A2EC2">
        <w:t>Pore and organic size distribution were derived from MAPS SEM images. Pore size distributions are consistent for samples taken throughout the 1ft section.</w:t>
      </w:r>
      <w:r>
        <w:t xml:space="preserve"> </w:t>
      </w:r>
      <w:r w:rsidRPr="007A2EC2">
        <w:t>Thus, only one MAP sample is required to characterize the pore size distribution in this interval. For each depth interval, pore size distribution is consistent at different scales. REA needed to capture pore size distribution is smaller than REA to measure porosity</w:t>
      </w:r>
      <w:r w:rsidR="00175313">
        <w:t>.</w:t>
      </w:r>
    </w:p>
    <w:p w:rsidR="00175313" w:rsidRDefault="00175313" w:rsidP="00175313">
      <w:pPr>
        <w:jc w:val="both"/>
      </w:pPr>
    </w:p>
    <w:p w:rsidR="00CD2523" w:rsidRDefault="00175313" w:rsidP="00D71CAA">
      <w:pPr>
        <w:pStyle w:val="ListParagraph"/>
        <w:numPr>
          <w:ilvl w:val="0"/>
          <w:numId w:val="10"/>
        </w:numPr>
        <w:jc w:val="both"/>
      </w:pPr>
      <w:r>
        <w:t>T</w:t>
      </w:r>
      <w:r w:rsidR="00CD2523">
        <w:t xml:space="preserve">here </w:t>
      </w:r>
      <w:r w:rsidR="009D511C">
        <w:t>is</w:t>
      </w:r>
      <w:r w:rsidR="00CD2523">
        <w:t xml:space="preserve"> good correlatio</w:t>
      </w:r>
      <w:r>
        <w:t xml:space="preserve">n between porosity estimations from imaging data and </w:t>
      </w:r>
      <w:r w:rsidR="00012545">
        <w:t>crushed helium porosity</w:t>
      </w:r>
      <w:r>
        <w:t xml:space="preserve"> measurement</w:t>
      </w:r>
      <w:r w:rsidR="00CD2523">
        <w:t xml:space="preserve"> (1.0% difference)</w:t>
      </w:r>
      <w:r>
        <w:t xml:space="preserve">. There is good </w:t>
      </w:r>
      <w:r>
        <w:lastRenderedPageBreak/>
        <w:t xml:space="preserve">agreement between </w:t>
      </w:r>
      <w:r w:rsidR="00CD2523">
        <w:t xml:space="preserve">organic measurements from imaging data and </w:t>
      </w:r>
      <w:r w:rsidR="00012545">
        <w:t>LECO</w:t>
      </w:r>
      <w:r w:rsidR="00012545">
        <w:rPr>
          <w:rFonts w:cstheme="minorHAnsi"/>
        </w:rPr>
        <w:t>™</w:t>
      </w:r>
      <w:r w:rsidR="00012545">
        <w:t xml:space="preserve"> </w:t>
      </w:r>
      <w:r w:rsidR="00CD2523">
        <w:t>TOC data (0.6% difference).</w:t>
      </w:r>
    </w:p>
    <w:p w:rsidR="00D71CAA" w:rsidRDefault="00D71CAA" w:rsidP="00CD2523">
      <w:pPr>
        <w:jc w:val="both"/>
      </w:pPr>
    </w:p>
    <w:p w:rsidR="00D71CAA" w:rsidRDefault="00D71CAA" w:rsidP="00D71CAA">
      <w:pPr>
        <w:pStyle w:val="ListParagraph"/>
        <w:numPr>
          <w:ilvl w:val="0"/>
          <w:numId w:val="10"/>
        </w:numPr>
        <w:jc w:val="both"/>
      </w:pPr>
      <w:r>
        <w:t xml:space="preserve">NMR data and SEM </w:t>
      </w:r>
      <w:r w:rsidR="00175313">
        <w:t xml:space="preserve">pore size </w:t>
      </w:r>
      <w:r w:rsidR="00012545">
        <w:t>distributions are very similar</w:t>
      </w:r>
      <w:r>
        <w:t xml:space="preserve">. </w:t>
      </w:r>
      <w:r w:rsidR="00873477">
        <w:t>Average e</w:t>
      </w:r>
      <w:r w:rsidR="00A1452E">
        <w:t xml:space="preserve">ffective surface relaxation </w:t>
      </w:r>
      <w:r w:rsidR="00175313" w:rsidRPr="00175313">
        <w:rPr>
          <w:rFonts w:cstheme="minorHAnsi"/>
        </w:rPr>
        <w:t>ρ</w:t>
      </w:r>
      <w:r w:rsidR="00175313">
        <w:rPr>
          <w:rFonts w:cstheme="minorHAnsi"/>
          <w:vertAlign w:val="subscript"/>
        </w:rPr>
        <w:t>e</w:t>
      </w:r>
      <w:r w:rsidR="00175313">
        <w:t xml:space="preserve"> </w:t>
      </w:r>
      <w:r w:rsidR="00A1452E" w:rsidRPr="00175313">
        <w:t>values</w:t>
      </w:r>
      <w:r w:rsidR="00A1452E">
        <w:t xml:space="preserve"> </w:t>
      </w:r>
      <w:r w:rsidR="00012545">
        <w:t>derived from</w:t>
      </w:r>
      <w:r w:rsidR="00A1452E">
        <w:t xml:space="preserve"> matc</w:t>
      </w:r>
      <w:r w:rsidR="00873477">
        <w:t xml:space="preserve">hing SEM </w:t>
      </w:r>
      <w:r w:rsidR="00012545">
        <w:t>and</w:t>
      </w:r>
      <w:r w:rsidR="00873477">
        <w:t xml:space="preserve"> NMR</w:t>
      </w:r>
      <w:r w:rsidR="00012545">
        <w:t xml:space="preserve"> pore size distribution</w:t>
      </w:r>
      <w:r w:rsidR="00873477">
        <w:t xml:space="preserve"> is 41 </w:t>
      </w:r>
      <w:r w:rsidR="00873477">
        <w:rPr>
          <w:rFonts w:cstheme="minorHAnsi"/>
        </w:rPr>
        <w:t>±</w:t>
      </w:r>
      <w:r w:rsidR="00873477">
        <w:t xml:space="preserve"> 3 </w:t>
      </w:r>
      <w:r w:rsidR="00873477">
        <w:rPr>
          <w:rFonts w:cstheme="minorHAnsi"/>
        </w:rPr>
        <w:t>µ</w:t>
      </w:r>
      <w:r w:rsidR="005270EA">
        <w:t>m/sec.</w:t>
      </w:r>
      <w:r w:rsidR="00A1452E">
        <w:t xml:space="preserve"> </w:t>
      </w:r>
      <w:r w:rsidR="005270EA">
        <w:t xml:space="preserve">Compared to </w:t>
      </w:r>
      <w:r w:rsidR="005270EA" w:rsidRPr="00175313">
        <w:rPr>
          <w:rFonts w:cstheme="minorHAnsi"/>
        </w:rPr>
        <w:t>ρ</w:t>
      </w:r>
      <w:r w:rsidR="005270EA">
        <w:rPr>
          <w:rFonts w:cstheme="minorHAnsi"/>
          <w:vertAlign w:val="subscript"/>
        </w:rPr>
        <w:t>e</w:t>
      </w:r>
      <w:r w:rsidR="005270EA">
        <w:t xml:space="preserve"> values from matching MICP and NMR distribution, this value is recommended as both SEM and NMR represent pore body distribution while MICP data represents pore throat distribution.  </w:t>
      </w:r>
    </w:p>
    <w:p w:rsidR="00D71CAA" w:rsidRDefault="00D71CAA" w:rsidP="00D71CAA">
      <w:pPr>
        <w:pStyle w:val="ListParagraph"/>
      </w:pPr>
    </w:p>
    <w:p w:rsidR="00D71CAA" w:rsidRDefault="00D71CAA" w:rsidP="00D71CAA">
      <w:pPr>
        <w:jc w:val="both"/>
      </w:pPr>
    </w:p>
    <w:p w:rsidR="00AD5AD8" w:rsidRDefault="00012545" w:rsidP="00644C76">
      <w:pPr>
        <w:pStyle w:val="ListParagraph"/>
        <w:numPr>
          <w:ilvl w:val="0"/>
          <w:numId w:val="10"/>
        </w:numPr>
        <w:jc w:val="both"/>
      </w:pPr>
      <w:bookmarkStart w:id="142" w:name="OLE_LINK58"/>
      <w:bookmarkStart w:id="143" w:name="OLE_LINK59"/>
      <w:bookmarkStart w:id="144" w:name="OLE_LINK60"/>
      <w:r>
        <w:t>We</w:t>
      </w:r>
      <w:r w:rsidR="00CD2523">
        <w:t xml:space="preserve"> derive grain size distribution from SEM images</w:t>
      </w:r>
      <w:r>
        <w:t xml:space="preserve"> of shale</w:t>
      </w:r>
      <w:r w:rsidR="00CD2523">
        <w:t xml:space="preserve">. </w:t>
      </w:r>
      <w:r>
        <w:t>M</w:t>
      </w:r>
      <w:r w:rsidR="004621CD">
        <w:t>ineral</w:t>
      </w:r>
      <w:r w:rsidR="00CD2523">
        <w:t xml:space="preserve"> </w:t>
      </w:r>
      <w:r w:rsidR="00175313">
        <w:t>grains can be segmented into four grou</w:t>
      </w:r>
      <w:r w:rsidR="00784E64">
        <w:t>ps based on gray scale</w:t>
      </w:r>
      <w:r>
        <w:t xml:space="preserve"> which reflects atomic number</w:t>
      </w:r>
      <w:r w:rsidR="00784E64">
        <w:t xml:space="preserve">. </w:t>
      </w:r>
      <w:r w:rsidR="00485EEE">
        <w:t>Group SCl</w:t>
      </w:r>
      <w:r w:rsidR="00784E64">
        <w:t xml:space="preserve"> includes silica, clay (kaolinite and illite), magnesium dolomite, and feldspar. </w:t>
      </w:r>
      <w:r w:rsidR="00485EEE">
        <w:t>Group CCl</w:t>
      </w:r>
      <w:r w:rsidR="00784E64">
        <w:t xml:space="preserve"> includes calcite, clay (chlorite), iron rich dolomite, and potassium feldspar. </w:t>
      </w:r>
      <w:r w:rsidR="00485EEE">
        <w:t>Group RA</w:t>
      </w:r>
      <w:r w:rsidR="00784E64">
        <w:t xml:space="preserve"> includes rutile and apatite. </w:t>
      </w:r>
      <w:r w:rsidR="00485EEE">
        <w:t>Group P</w:t>
      </w:r>
      <w:r w:rsidR="00784E64">
        <w:t xml:space="preserve"> includes pyrite. </w:t>
      </w:r>
      <w:r w:rsidR="00CD2523">
        <w:t>Watershed segmentation allows mixing grains from the same group to be separated and thus improves grain size distribution calculation</w:t>
      </w:r>
      <w:bookmarkEnd w:id="142"/>
      <w:bookmarkEnd w:id="143"/>
      <w:bookmarkEnd w:id="144"/>
      <w:r w:rsidR="00CD2523">
        <w:t>.</w:t>
      </w:r>
      <w:bookmarkStart w:id="145" w:name="OLE_LINK55"/>
      <w:bookmarkStart w:id="146" w:name="OLE_LINK56"/>
      <w:bookmarkStart w:id="147" w:name="OLE_LINK57"/>
      <w:r w:rsidR="00644C76">
        <w:t xml:space="preserve"> </w:t>
      </w:r>
      <w:r w:rsidR="00FB0418">
        <w:t xml:space="preserve">REAs </w:t>
      </w:r>
      <w:r w:rsidR="00175313">
        <w:t xml:space="preserve">for different </w:t>
      </w:r>
      <w:bookmarkEnd w:id="145"/>
      <w:bookmarkEnd w:id="146"/>
      <w:bookmarkEnd w:id="147"/>
      <w:r w:rsidR="00951A71">
        <w:t>m</w:t>
      </w:r>
      <w:r w:rsidR="00C74138">
        <w:t>ineral groups</w:t>
      </w:r>
      <w:r w:rsidR="00FB0418">
        <w:t xml:space="preserve"> </w:t>
      </w:r>
      <w:r w:rsidR="00644C76">
        <w:t xml:space="preserve">are determined using a workflow similar to those used for porosity and organic matter REA determinations. Mineral REAs are </w:t>
      </w:r>
      <w:r w:rsidR="00FB0418">
        <w:t>0.16 mm</w:t>
      </w:r>
      <w:r w:rsidR="00FB0418" w:rsidRPr="00644C76">
        <w:rPr>
          <w:vertAlign w:val="superscript"/>
        </w:rPr>
        <w:t>2</w:t>
      </w:r>
      <w:r w:rsidR="00FB0418">
        <w:t xml:space="preserve"> for </w:t>
      </w:r>
      <w:r w:rsidR="00CC4D77">
        <w:t>g</w:t>
      </w:r>
      <w:r w:rsidR="00485EEE">
        <w:t>roup SCl</w:t>
      </w:r>
      <w:r w:rsidR="00FB0418">
        <w:t xml:space="preserve">, </w:t>
      </w:r>
      <w:r w:rsidR="009D511C">
        <w:t>1.13 mm</w:t>
      </w:r>
      <w:r w:rsidR="009D511C" w:rsidRPr="00644C76">
        <w:rPr>
          <w:vertAlign w:val="superscript"/>
        </w:rPr>
        <w:t>2</w:t>
      </w:r>
      <w:r w:rsidR="009D511C">
        <w:t xml:space="preserve"> for </w:t>
      </w:r>
      <w:r w:rsidR="00CC4D77">
        <w:t>g</w:t>
      </w:r>
      <w:r w:rsidR="00485EEE">
        <w:t>roup CCl</w:t>
      </w:r>
      <w:r w:rsidR="009D511C">
        <w:t>, 1.20 mm</w:t>
      </w:r>
      <w:r w:rsidR="009D511C" w:rsidRPr="00644C76">
        <w:rPr>
          <w:vertAlign w:val="superscript"/>
        </w:rPr>
        <w:t>2</w:t>
      </w:r>
      <w:r w:rsidR="009D511C">
        <w:t xml:space="preserve"> for </w:t>
      </w:r>
      <w:r w:rsidR="00CC4D77">
        <w:t>g</w:t>
      </w:r>
      <w:r w:rsidR="00485EEE">
        <w:t>roup RA</w:t>
      </w:r>
      <w:r w:rsidR="009D511C">
        <w:t>, and 1.30 mm</w:t>
      </w:r>
      <w:r w:rsidR="009D511C" w:rsidRPr="00644C76">
        <w:rPr>
          <w:vertAlign w:val="superscript"/>
        </w:rPr>
        <w:t>2</w:t>
      </w:r>
      <w:r w:rsidR="009D511C">
        <w:t xml:space="preserve"> for </w:t>
      </w:r>
      <w:r w:rsidR="00CC4D77">
        <w:t>g</w:t>
      </w:r>
      <w:r w:rsidR="00485EEE">
        <w:t>roup P</w:t>
      </w:r>
      <w:r w:rsidR="009D511C">
        <w:t>.</w:t>
      </w:r>
    </w:p>
    <w:p w:rsidR="00CD2523" w:rsidRDefault="00CD2523" w:rsidP="00CD2523">
      <w:pPr>
        <w:jc w:val="both"/>
        <w:rPr>
          <w:noProof/>
          <w:lang w:bidi="ar-SA"/>
        </w:rPr>
      </w:pPr>
    </w:p>
    <w:p w:rsidR="006A78AE" w:rsidRDefault="00CD2523" w:rsidP="00941F3F">
      <w:pPr>
        <w:pStyle w:val="ListParagraph"/>
        <w:numPr>
          <w:ilvl w:val="0"/>
          <w:numId w:val="10"/>
        </w:numPr>
        <w:jc w:val="both"/>
        <w:rPr>
          <w:noProof/>
          <w:lang w:bidi="ar-SA"/>
        </w:rPr>
      </w:pPr>
      <w:r>
        <w:rPr>
          <w:noProof/>
          <w:lang w:bidi="ar-SA"/>
        </w:rPr>
        <w:lastRenderedPageBreak/>
        <w:t>Clays are oriented mostl</w:t>
      </w:r>
      <w:r w:rsidR="005270EA">
        <w:rPr>
          <w:noProof/>
          <w:lang w:bidi="ar-SA"/>
        </w:rPr>
        <w:t>y parallel to the bedding plane (16</w:t>
      </w:r>
      <w:r w:rsidR="005270EA">
        <w:rPr>
          <w:noProof/>
          <w:vertAlign w:val="superscript"/>
          <w:lang w:bidi="ar-SA"/>
        </w:rPr>
        <w:t>0</w:t>
      </w:r>
      <w:r w:rsidR="005270EA">
        <w:rPr>
          <w:noProof/>
          <w:lang w:bidi="ar-SA"/>
        </w:rPr>
        <w:t xml:space="preserve"> to the bedding plane on average), </w:t>
      </w:r>
      <w:r>
        <w:rPr>
          <w:noProof/>
          <w:lang w:bidi="ar-SA"/>
        </w:rPr>
        <w:t xml:space="preserve">suggesting anisotropy </w:t>
      </w:r>
      <w:r w:rsidR="009D511C">
        <w:rPr>
          <w:noProof/>
          <w:lang w:bidi="ar-SA"/>
        </w:rPr>
        <w:t>should be strong in</w:t>
      </w:r>
      <w:r>
        <w:rPr>
          <w:noProof/>
          <w:lang w:bidi="ar-SA"/>
        </w:rPr>
        <w:t xml:space="preserve"> these samples.</w:t>
      </w:r>
    </w:p>
    <w:p w:rsidR="00AD2140" w:rsidRDefault="00AD2140" w:rsidP="00AD2140">
      <w:pPr>
        <w:pStyle w:val="ListParagraph"/>
        <w:rPr>
          <w:noProof/>
          <w:lang w:bidi="ar-SA"/>
        </w:rPr>
      </w:pPr>
    </w:p>
    <w:p w:rsidR="00AD2140" w:rsidRDefault="00AD2140" w:rsidP="00AD2140">
      <w:pPr>
        <w:pStyle w:val="ListParagraph"/>
        <w:jc w:val="both"/>
        <w:rPr>
          <w:noProof/>
          <w:lang w:bidi="ar-SA"/>
        </w:rPr>
      </w:pPr>
    </w:p>
    <w:p w:rsidR="00873477" w:rsidRDefault="00873477" w:rsidP="006204F6">
      <w:pPr>
        <w:pStyle w:val="Heading3"/>
      </w:pPr>
      <w:r>
        <w:t xml:space="preserve">5.3 Limitation of the </w:t>
      </w:r>
      <w:r w:rsidR="006D7069">
        <w:t>S</w:t>
      </w:r>
      <w:r>
        <w:t>tudy</w:t>
      </w:r>
    </w:p>
    <w:p w:rsidR="00D71CAA" w:rsidRDefault="00873477" w:rsidP="00D71CAA">
      <w:pPr>
        <w:jc w:val="both"/>
        <w:rPr>
          <w:noProof/>
          <w:lang w:bidi="ar-SA"/>
        </w:rPr>
      </w:pPr>
      <w:r>
        <w:rPr>
          <w:noProof/>
          <w:lang w:bidi="ar-SA"/>
        </w:rPr>
        <w:t>The results and conclusions from the study</w:t>
      </w:r>
      <w:r w:rsidR="00644C76">
        <w:rPr>
          <w:noProof/>
          <w:lang w:bidi="ar-SA"/>
        </w:rPr>
        <w:t xml:space="preserve"> are</w:t>
      </w:r>
      <w:r>
        <w:rPr>
          <w:noProof/>
          <w:lang w:bidi="ar-SA"/>
        </w:rPr>
        <w:t xml:space="preserve"> constrained by following limitations and assumptions :</w:t>
      </w:r>
    </w:p>
    <w:p w:rsidR="000700BB" w:rsidRDefault="00644C76" w:rsidP="00AB078F">
      <w:pPr>
        <w:pStyle w:val="ListParagraph"/>
        <w:numPr>
          <w:ilvl w:val="0"/>
          <w:numId w:val="17"/>
        </w:numPr>
        <w:jc w:val="both"/>
        <w:rPr>
          <w:noProof/>
          <w:lang w:bidi="ar-SA"/>
        </w:rPr>
      </w:pPr>
      <w:r w:rsidRPr="007A2EC2">
        <w:rPr>
          <w:noProof/>
        </w:rPr>
        <w:t>The study is conducted over a limited 1 ft interval of Wolfcamp shale. All of the results are legitimate only for this interval of investigation. Different results are predicted when working on extended Wolfcamp sections or different formations</w:t>
      </w:r>
      <w:r w:rsidR="000700BB">
        <w:rPr>
          <w:noProof/>
          <w:lang w:bidi="ar-SA"/>
        </w:rPr>
        <w:t>.</w:t>
      </w:r>
    </w:p>
    <w:p w:rsidR="00AB078F" w:rsidRDefault="00AB078F" w:rsidP="00AB078F">
      <w:pPr>
        <w:ind w:left="360"/>
        <w:jc w:val="both"/>
        <w:rPr>
          <w:noProof/>
          <w:lang w:bidi="ar-SA"/>
        </w:rPr>
      </w:pPr>
    </w:p>
    <w:p w:rsidR="007C2E1D" w:rsidRDefault="00644C76" w:rsidP="00AB078F">
      <w:pPr>
        <w:pStyle w:val="ListParagraph"/>
        <w:numPr>
          <w:ilvl w:val="0"/>
          <w:numId w:val="17"/>
        </w:numPr>
        <w:jc w:val="both"/>
        <w:rPr>
          <w:noProof/>
          <w:lang w:bidi="ar-SA"/>
        </w:rPr>
      </w:pPr>
      <w:r w:rsidRPr="007A2EC2">
        <w:rPr>
          <w:noProof/>
        </w:rPr>
        <w:t>Size distribution analysis is under assumption that all pore, organic matter, or grain particles are spherical. The radius of a particle for this study is the equivalent radius of a sphere which has same area</w:t>
      </w:r>
      <w:r w:rsidR="007C2E1D">
        <w:rPr>
          <w:noProof/>
          <w:lang w:bidi="ar-SA"/>
        </w:rPr>
        <w:t>.</w:t>
      </w:r>
    </w:p>
    <w:p w:rsidR="00AB078F" w:rsidRDefault="00AB078F" w:rsidP="00AB078F">
      <w:pPr>
        <w:jc w:val="both"/>
        <w:rPr>
          <w:noProof/>
          <w:lang w:bidi="ar-SA"/>
        </w:rPr>
      </w:pPr>
    </w:p>
    <w:p w:rsidR="00D070DD" w:rsidRDefault="00644C76" w:rsidP="00AB078F">
      <w:pPr>
        <w:pStyle w:val="ListParagraph"/>
        <w:numPr>
          <w:ilvl w:val="0"/>
          <w:numId w:val="17"/>
        </w:numPr>
        <w:jc w:val="both"/>
        <w:rPr>
          <w:noProof/>
          <w:lang w:bidi="ar-SA"/>
        </w:rPr>
      </w:pPr>
      <w:r w:rsidRPr="007A2EC2">
        <w:rPr>
          <w:noProof/>
        </w:rPr>
        <w:t>The imaging surface in the study is parallel to bedding plane. Different results may be expected at the surface perpendicular to bedding plane</w:t>
      </w:r>
      <w:r w:rsidR="00D070DD">
        <w:rPr>
          <w:noProof/>
          <w:lang w:bidi="ar-SA"/>
        </w:rPr>
        <w:t xml:space="preserve">. </w:t>
      </w:r>
    </w:p>
    <w:p w:rsidR="00AB078F" w:rsidRDefault="00AB078F" w:rsidP="00AB078F">
      <w:pPr>
        <w:jc w:val="both"/>
        <w:rPr>
          <w:noProof/>
          <w:lang w:bidi="ar-SA"/>
        </w:rPr>
      </w:pPr>
    </w:p>
    <w:p w:rsidR="00D070DD" w:rsidRDefault="00143150" w:rsidP="00AB078F">
      <w:pPr>
        <w:pStyle w:val="ListParagraph"/>
        <w:numPr>
          <w:ilvl w:val="0"/>
          <w:numId w:val="17"/>
        </w:numPr>
        <w:jc w:val="both"/>
        <w:rPr>
          <w:noProof/>
          <w:lang w:bidi="ar-SA"/>
        </w:rPr>
      </w:pPr>
      <w:r w:rsidRPr="007A2EC2">
        <w:rPr>
          <w:noProof/>
        </w:rPr>
        <w:t>NMR measurements were conducted on native state samples; a significant amount of free water in these samplesis missing as can be observed from the NMR spectra. Experiments on saturated samp</w:t>
      </w:r>
      <w:r>
        <w:rPr>
          <w:noProof/>
        </w:rPr>
        <w:t>les would yield a better result</w:t>
      </w:r>
      <w:r w:rsidR="00983B30">
        <w:rPr>
          <w:noProof/>
          <w:lang w:bidi="ar-SA"/>
        </w:rPr>
        <w:t>.</w:t>
      </w:r>
    </w:p>
    <w:p w:rsidR="00AB078F" w:rsidRDefault="00AB078F" w:rsidP="00AB078F">
      <w:pPr>
        <w:jc w:val="both"/>
        <w:rPr>
          <w:noProof/>
          <w:lang w:bidi="ar-SA"/>
        </w:rPr>
      </w:pPr>
    </w:p>
    <w:p w:rsidR="007C2E1D" w:rsidRDefault="00644C76" w:rsidP="00AB078F">
      <w:pPr>
        <w:pStyle w:val="ListParagraph"/>
        <w:numPr>
          <w:ilvl w:val="0"/>
          <w:numId w:val="17"/>
        </w:numPr>
        <w:jc w:val="both"/>
        <w:rPr>
          <w:noProof/>
          <w:lang w:bidi="ar-SA"/>
        </w:rPr>
      </w:pPr>
      <w:r w:rsidRPr="007A2EC2">
        <w:rPr>
          <w:noProof/>
        </w:rPr>
        <w:lastRenderedPageBreak/>
        <w:t>8-bit SEM images result in limited intensity histogram. The gray values only range from 0 to 255. Thus it is challenging to diffrentiate a particular mineral from the others. It is worth considering using 16-bit images for FEI SEM Mapping; this will give a much better intensity histogram where the gray values range from 0 to 65,535</w:t>
      </w:r>
      <w:r w:rsidR="007C2E1D">
        <w:rPr>
          <w:noProof/>
          <w:lang w:bidi="ar-SA"/>
        </w:rPr>
        <w:t>.</w:t>
      </w:r>
    </w:p>
    <w:p w:rsidR="00AB078F" w:rsidRDefault="00AB078F" w:rsidP="00AB078F">
      <w:pPr>
        <w:jc w:val="both"/>
        <w:rPr>
          <w:noProof/>
          <w:lang w:bidi="ar-SA"/>
        </w:rPr>
      </w:pPr>
    </w:p>
    <w:p w:rsidR="00D070DD" w:rsidRDefault="00644C76" w:rsidP="00AB078F">
      <w:pPr>
        <w:pStyle w:val="ListParagraph"/>
        <w:numPr>
          <w:ilvl w:val="0"/>
          <w:numId w:val="17"/>
        </w:numPr>
        <w:jc w:val="both"/>
        <w:rPr>
          <w:noProof/>
          <w:lang w:bidi="ar-SA"/>
        </w:rPr>
      </w:pPr>
      <w:r w:rsidRPr="007A2EC2">
        <w:rPr>
          <w:noProof/>
        </w:rPr>
        <w:t>Watershed is observed to not perform very well on mineral Group SCl (silica, clay, magnesium dolomite, and potassium feldspar), where most grains mix together</w:t>
      </w:r>
      <w:r w:rsidR="00D070DD">
        <w:rPr>
          <w:noProof/>
          <w:lang w:bidi="ar-SA"/>
        </w:rPr>
        <w:t xml:space="preserve">. </w:t>
      </w:r>
    </w:p>
    <w:p w:rsidR="00870928" w:rsidRDefault="00D070DD" w:rsidP="002C49D8">
      <w:pPr>
        <w:jc w:val="both"/>
        <w:rPr>
          <w:noProof/>
          <w:lang w:bidi="ar-SA"/>
        </w:rPr>
      </w:pPr>
      <w:r>
        <w:rPr>
          <w:noProof/>
          <w:lang w:bidi="ar-SA"/>
        </w:rPr>
        <w:t xml:space="preserve"> </w:t>
      </w:r>
    </w:p>
    <w:p w:rsidR="00413E6A" w:rsidRDefault="00413E6A" w:rsidP="006204F6">
      <w:pPr>
        <w:pStyle w:val="Heading3"/>
      </w:pPr>
      <w:r>
        <w:t>5.</w:t>
      </w:r>
      <w:r w:rsidR="00304DD5">
        <w:t>4</w:t>
      </w:r>
      <w:r>
        <w:t xml:space="preserve"> Acknowledgements</w:t>
      </w:r>
    </w:p>
    <w:p w:rsidR="006A78AE" w:rsidRPr="006A78AE" w:rsidRDefault="006A78AE" w:rsidP="006A78AE"/>
    <w:p w:rsidR="00413E6A" w:rsidRDefault="00413E6A" w:rsidP="00413E6A">
      <w:r>
        <w:t>I would like to thank:</w:t>
      </w:r>
    </w:p>
    <w:p w:rsidR="00CA0320" w:rsidRDefault="00CA0320" w:rsidP="00CA0320">
      <w:pPr>
        <w:pStyle w:val="ListParagraph"/>
        <w:numPr>
          <w:ilvl w:val="0"/>
          <w:numId w:val="11"/>
        </w:numPr>
      </w:pPr>
      <w:r w:rsidRPr="00413E6A">
        <w:t xml:space="preserve">FEI and Thermo </w:t>
      </w:r>
      <w:r>
        <w:t xml:space="preserve">Fisher </w:t>
      </w:r>
      <w:r w:rsidRPr="00413E6A">
        <w:t>Scientific</w:t>
      </w:r>
      <w:r>
        <w:t xml:space="preserve"> for providing me with the graduate fellowship as well as laboratory equipment to conduct the study. </w:t>
      </w:r>
    </w:p>
    <w:p w:rsidR="00413E6A" w:rsidRDefault="00413E6A" w:rsidP="00E34348">
      <w:pPr>
        <w:pStyle w:val="ListParagraph"/>
        <w:numPr>
          <w:ilvl w:val="0"/>
          <w:numId w:val="11"/>
        </w:numPr>
      </w:pPr>
      <w:r>
        <w:t>Pioneer Natural Resources for their donation of the Wolfcamp shale samples used in this study</w:t>
      </w:r>
    </w:p>
    <w:p w:rsidR="00413E6A" w:rsidRDefault="00413E6A" w:rsidP="00E34348">
      <w:pPr>
        <w:pStyle w:val="ListParagraph"/>
        <w:numPr>
          <w:ilvl w:val="0"/>
          <w:numId w:val="11"/>
        </w:numPr>
      </w:pPr>
      <w:r>
        <w:t>Unconventional Gas Shale Consortium for their continued support and feedback</w:t>
      </w:r>
    </w:p>
    <w:p w:rsidR="00413E6A" w:rsidRPr="00413E6A" w:rsidRDefault="00413E6A" w:rsidP="00413E6A"/>
    <w:p w:rsidR="00AD5AD8" w:rsidRDefault="00AD5AD8" w:rsidP="002C49D8">
      <w:pPr>
        <w:jc w:val="both"/>
        <w:rPr>
          <w:noProof/>
          <w:lang w:bidi="ar-SA"/>
        </w:rPr>
      </w:pPr>
    </w:p>
    <w:p w:rsidR="005270EA" w:rsidRDefault="005270EA" w:rsidP="002C49D8">
      <w:pPr>
        <w:jc w:val="both"/>
        <w:rPr>
          <w:noProof/>
          <w:lang w:bidi="ar-SA"/>
        </w:rPr>
      </w:pPr>
    </w:p>
    <w:p w:rsidR="00AD5AD8" w:rsidRDefault="00AD5AD8" w:rsidP="00CD2523">
      <w:pPr>
        <w:jc w:val="both"/>
        <w:rPr>
          <w:noProof/>
          <w:lang w:bidi="ar-SA"/>
        </w:rPr>
      </w:pPr>
    </w:p>
    <w:p w:rsidR="005270EA" w:rsidRPr="005270EA" w:rsidRDefault="005270EA" w:rsidP="005270EA">
      <w:pPr>
        <w:rPr>
          <w:lang w:bidi="ar-SA"/>
        </w:rPr>
      </w:pPr>
    </w:p>
    <w:p w:rsidR="00593D10" w:rsidRDefault="002B50A6" w:rsidP="00F63BF0">
      <w:pPr>
        <w:pStyle w:val="Heading1"/>
      </w:pPr>
      <w:r>
        <w:lastRenderedPageBreak/>
        <w:t>References</w:t>
      </w:r>
    </w:p>
    <w:p w:rsidR="00C17477" w:rsidRDefault="00C17477" w:rsidP="00941F3F">
      <w:pPr>
        <w:spacing w:line="240" w:lineRule="auto"/>
        <w:ind w:left="360" w:hanging="360"/>
      </w:pPr>
      <w:r>
        <w:t>Bakhtiary, E., and Arson, C. 2013. Towards a Thermodynamic Framework to Model Particle Crushing and Sieving. Paper ARMA 13-348 presented at the 47</w:t>
      </w:r>
      <w:r w:rsidRPr="00C17477">
        <w:rPr>
          <w:vertAlign w:val="superscript"/>
        </w:rPr>
        <w:t>th</w:t>
      </w:r>
      <w:r>
        <w:t xml:space="preserve"> US Rock Mechanics/ Geomechanics Symposium, San Francisco, CA, 23-26 June. </w:t>
      </w:r>
    </w:p>
    <w:p w:rsidR="00CB2BAD" w:rsidRDefault="00CB2BAD" w:rsidP="00941F3F">
      <w:pPr>
        <w:spacing w:line="240" w:lineRule="auto"/>
        <w:ind w:left="360" w:hanging="360"/>
      </w:pPr>
    </w:p>
    <w:p w:rsidR="00C17477" w:rsidRDefault="00C17477" w:rsidP="00941F3F">
      <w:pPr>
        <w:spacing w:line="240" w:lineRule="auto"/>
        <w:ind w:left="360" w:hanging="360"/>
      </w:pPr>
      <w:r>
        <w:t xml:space="preserve">Ballard, T., and Beare, S. 2013. Particle Size Analysis for Sand Control Applications. Paper SPE 165119 presented at the SPE European Formation Damage Conference and </w:t>
      </w:r>
      <w:r w:rsidR="00182E7D">
        <w:t>Exhibition,</w:t>
      </w:r>
      <w:r>
        <w:t xml:space="preserve"> Noordwijk, the Netherlands, 5-7 June.</w:t>
      </w:r>
    </w:p>
    <w:p w:rsidR="00CB2BAD" w:rsidRPr="00C17477" w:rsidRDefault="00CB2BAD" w:rsidP="00941F3F">
      <w:pPr>
        <w:spacing w:line="240" w:lineRule="auto"/>
        <w:ind w:left="360" w:hanging="360"/>
      </w:pPr>
    </w:p>
    <w:p w:rsidR="00593D10" w:rsidRDefault="002B50A6" w:rsidP="00941F3F">
      <w:pPr>
        <w:spacing w:line="240" w:lineRule="auto"/>
        <w:ind w:left="360" w:hanging="360"/>
        <w:jc w:val="both"/>
        <w:rPr>
          <w:rFonts w:ascii="Times New Roman" w:hAnsi="Times New Roman"/>
        </w:rPr>
      </w:pPr>
      <w:r>
        <w:rPr>
          <w:rFonts w:ascii="Times New Roman" w:hAnsi="Times New Roman"/>
        </w:rPr>
        <w:t>Bachmann, J., Stuart, P., Corales, B., Fernandez, B., Kissel, P., Stewart, H., Amoss, D., Angelico, B., Garcia, A.G., Handcock, K.B., Roberts, R., Sanchez, B. 2014. The “New” Horizontal Permian Basin. Howard Weil, 27 January.</w:t>
      </w:r>
    </w:p>
    <w:p w:rsidR="00593D10" w:rsidRDefault="00593D10" w:rsidP="00941F3F">
      <w:pPr>
        <w:spacing w:line="240" w:lineRule="auto"/>
        <w:ind w:left="360" w:hanging="360"/>
        <w:jc w:val="both"/>
        <w:rPr>
          <w:rFonts w:ascii="Times New Roman" w:hAnsi="Times New Roman"/>
        </w:rPr>
      </w:pPr>
      <w:r>
        <w:rPr>
          <w:rFonts w:ascii="Times New Roman" w:hAnsi="Times New Roman"/>
        </w:rPr>
        <w:t>Bocangel, W. 2013. Acoustic and Topological Characterization of Organic Matter in Shales. Master’s Thesis. University of Oklahoma, Norman.</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Bocangel, W., Sondergeld, C.H., and Rai, C.S., 2013. Acoustic Mapping and Characterization of Organic Matter in Shales. Paper SPE 166331 to be presented at the SPE Annual Technical Conference and Exhibition, New Orleans, LA, September 30-October 2.</w:t>
      </w:r>
    </w:p>
    <w:p w:rsidR="00CB2BAD" w:rsidRDefault="00CB2BAD" w:rsidP="00941F3F">
      <w:pPr>
        <w:spacing w:line="240" w:lineRule="auto"/>
        <w:ind w:left="360" w:hanging="360"/>
        <w:jc w:val="both"/>
        <w:rPr>
          <w:rFonts w:ascii="Times New Roman" w:hAnsi="Times New Roman"/>
        </w:rPr>
      </w:pPr>
    </w:p>
    <w:p w:rsidR="00DC6173" w:rsidRDefault="00DC6173" w:rsidP="00941F3F">
      <w:pPr>
        <w:spacing w:line="240" w:lineRule="auto"/>
        <w:ind w:left="360" w:hanging="360"/>
      </w:pPr>
      <w:r>
        <w:t>Bishop, D. L. 1934. A Sedimentation Method for the Determination of the Particle Size of Finely Divided Materials (such as Hydrated Lime). Part of Bureau of Standards Journal of Research, Vol. 12.</w:t>
      </w:r>
    </w:p>
    <w:p w:rsidR="00CB2BAD" w:rsidRPr="00AE398A" w:rsidRDefault="00CB2BAD" w:rsidP="00941F3F">
      <w:pPr>
        <w:spacing w:line="240" w:lineRule="auto"/>
        <w:ind w:left="360" w:hanging="360"/>
      </w:pPr>
    </w:p>
    <w:p w:rsidR="00593D10" w:rsidRDefault="00593D10" w:rsidP="00941F3F">
      <w:pPr>
        <w:spacing w:line="240" w:lineRule="auto"/>
        <w:ind w:left="360" w:hanging="360"/>
        <w:jc w:val="both"/>
        <w:rPr>
          <w:rFonts w:ascii="Times New Roman" w:hAnsi="Times New Roman"/>
        </w:rPr>
      </w:pPr>
      <w:r>
        <w:rPr>
          <w:rFonts w:ascii="Times New Roman" w:hAnsi="Times New Roman"/>
        </w:rPr>
        <w:t>Curtis, M.E., Ambrose, R.J., Sondergeld, C.H., and Rai C.S.,</w:t>
      </w:r>
      <w:r>
        <w:rPr>
          <w:rFonts w:ascii="Times New Roman" w:hAnsi="Times New Roman"/>
          <w:b/>
        </w:rPr>
        <w:t xml:space="preserve"> </w:t>
      </w:r>
      <w:r>
        <w:rPr>
          <w:rFonts w:ascii="Times New Roman" w:hAnsi="Times New Roman"/>
        </w:rPr>
        <w:t>2010. Structural Characterization of Gas Shales on the Mirco- and Nano- Scales. Paper SPE 137693 to be presented at the Canadian Unconventional Resources &amp; International Petroleum Conference, Calgary, Alberta, Canada, 19-21 October.</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Curtis, M.E., Goergen, E.T., Jernigen J.D., Sondergeld, C.H., and Rai, C.S., 2014. High-Resolution Mapping of the Distribution and Connectivity of Organic Matter in Shales. Paper SPE 170787 to be presented at the SPE Annual Technical Conference and Exhibition, Amsterdam, The Netherlands, 27-29 October.</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 xml:space="preserve">Dow, W.G., 1977. Kerogen Studies and Geological Interpretations. </w:t>
      </w:r>
      <w:r>
        <w:rPr>
          <w:rFonts w:ascii="Times New Roman" w:hAnsi="Times New Roman"/>
          <w:i/>
        </w:rPr>
        <w:t xml:space="preserve">Journal of Geochemical Exploration. </w:t>
      </w:r>
      <w:r>
        <w:rPr>
          <w:rFonts w:ascii="Times New Roman" w:hAnsi="Times New Roman"/>
          <w:b/>
        </w:rPr>
        <w:t>7</w:t>
      </w:r>
      <w:r>
        <w:rPr>
          <w:rFonts w:ascii="Times New Roman" w:hAnsi="Times New Roman"/>
        </w:rPr>
        <w:t>, pp. 79-99.</w:t>
      </w:r>
    </w:p>
    <w:p w:rsidR="00CB2BAD" w:rsidRDefault="00CB2BAD" w:rsidP="00941F3F">
      <w:pPr>
        <w:spacing w:line="240" w:lineRule="auto"/>
        <w:ind w:left="360" w:hanging="360"/>
        <w:jc w:val="both"/>
        <w:rPr>
          <w:rFonts w:ascii="Times New Roman" w:hAnsi="Times New Roman"/>
        </w:rPr>
      </w:pPr>
    </w:p>
    <w:p w:rsidR="001B3E8B" w:rsidRDefault="001B3E8B" w:rsidP="00941F3F">
      <w:pPr>
        <w:spacing w:line="240" w:lineRule="auto"/>
        <w:ind w:left="360" w:hanging="360"/>
        <w:jc w:val="both"/>
        <w:rPr>
          <w:rFonts w:ascii="Times New Roman" w:hAnsi="Times New Roman"/>
        </w:rPr>
      </w:pPr>
      <w:r>
        <w:rPr>
          <w:rFonts w:ascii="Times New Roman" w:hAnsi="Times New Roman"/>
        </w:rPr>
        <w:t>Dunn, K.J.</w:t>
      </w:r>
      <w:r w:rsidR="00E91D3E">
        <w:rPr>
          <w:rFonts w:ascii="Times New Roman" w:hAnsi="Times New Roman"/>
        </w:rPr>
        <w:t>, Bergman, D. J., and Latorraca, G. A. 2002</w:t>
      </w:r>
      <w:r w:rsidR="008B2709">
        <w:rPr>
          <w:rFonts w:ascii="Times New Roman" w:hAnsi="Times New Roman"/>
        </w:rPr>
        <w:t>. Nuclear Magnetic Resonance: Petrophysical and Logging Applications, Pegamon Press, New York, pp. 293.</w:t>
      </w:r>
    </w:p>
    <w:p w:rsidR="00CB2BAD" w:rsidRDefault="00CB2BAD" w:rsidP="00941F3F">
      <w:pPr>
        <w:spacing w:line="240" w:lineRule="auto"/>
        <w:ind w:left="360" w:hanging="360"/>
        <w:jc w:val="both"/>
        <w:rPr>
          <w:rFonts w:ascii="Times New Roman" w:hAnsi="Times New Roman"/>
        </w:rPr>
      </w:pPr>
    </w:p>
    <w:p w:rsidR="00D04C4A" w:rsidRDefault="00D04C4A" w:rsidP="00941F3F">
      <w:pPr>
        <w:spacing w:line="240" w:lineRule="auto"/>
        <w:ind w:left="360" w:hanging="360"/>
        <w:jc w:val="both"/>
        <w:rPr>
          <w:rFonts w:ascii="Times New Roman" w:hAnsi="Times New Roman"/>
        </w:rPr>
      </w:pPr>
      <w:r>
        <w:rPr>
          <w:rFonts w:ascii="Times New Roman" w:hAnsi="Times New Roman"/>
        </w:rPr>
        <w:t xml:space="preserve">EIA. 2016. Trends in U.S. Oil and Natural Gas Upstream Costs. </w:t>
      </w:r>
      <w:hyperlink r:id="rId138" w:history="1">
        <w:r w:rsidR="00CB2BAD" w:rsidRPr="00926110">
          <w:rPr>
            <w:rStyle w:val="Hyperlink"/>
            <w:rFonts w:ascii="Times New Roman" w:hAnsi="Times New Roman"/>
          </w:rPr>
          <w:t>https://www.eia.gov/analysis/studies/drilling/pdf/upstream.pdf. March 2016</w:t>
        </w:r>
      </w:hyperlink>
    </w:p>
    <w:p w:rsidR="00CB2BAD" w:rsidRDefault="00CB2BAD" w:rsidP="00941F3F">
      <w:pPr>
        <w:spacing w:line="240" w:lineRule="auto"/>
        <w:ind w:left="360" w:hanging="360"/>
        <w:jc w:val="both"/>
        <w:rPr>
          <w:rFonts w:ascii="Times New Roman" w:hAnsi="Times New Roman"/>
        </w:rPr>
      </w:pPr>
    </w:p>
    <w:p w:rsidR="00D04C4A" w:rsidRDefault="00D04C4A" w:rsidP="00941F3F">
      <w:pPr>
        <w:spacing w:line="240" w:lineRule="auto"/>
        <w:ind w:left="360" w:hanging="360"/>
        <w:jc w:val="both"/>
        <w:rPr>
          <w:rFonts w:ascii="Times New Roman" w:hAnsi="Times New Roman"/>
        </w:rPr>
      </w:pPr>
      <w:r>
        <w:rPr>
          <w:rFonts w:ascii="Times New Roman" w:hAnsi="Times New Roman"/>
        </w:rPr>
        <w:lastRenderedPageBreak/>
        <w:t xml:space="preserve">EIA. 2016. Future U.S. Tight Oil and Shale Gas Production Depends on Resources, Technology, Markets. </w:t>
      </w:r>
      <w:hyperlink r:id="rId139" w:history="1">
        <w:r w:rsidRPr="00C053F8">
          <w:rPr>
            <w:rStyle w:val="Hyperlink"/>
            <w:rFonts w:ascii="Times New Roman" w:hAnsi="Times New Roman"/>
          </w:rPr>
          <w:t>https://www.eia.gov/todayinenergy/detail.php?id=27612</w:t>
        </w:r>
      </w:hyperlink>
      <w:r>
        <w:rPr>
          <w:rFonts w:ascii="Times New Roman" w:hAnsi="Times New Roman"/>
        </w:rPr>
        <w:t xml:space="preserve">. 22 August </w:t>
      </w:r>
    </w:p>
    <w:p w:rsidR="00CB2BAD" w:rsidRDefault="00CB2BAD" w:rsidP="00941F3F">
      <w:pPr>
        <w:spacing w:line="240" w:lineRule="auto"/>
        <w:ind w:left="360" w:hanging="360"/>
        <w:jc w:val="both"/>
        <w:rPr>
          <w:rFonts w:ascii="Times New Roman" w:hAnsi="Times New Roman"/>
        </w:rPr>
      </w:pPr>
    </w:p>
    <w:p w:rsidR="00A84175" w:rsidRDefault="00A84175" w:rsidP="00941F3F">
      <w:pPr>
        <w:spacing w:line="240" w:lineRule="auto"/>
        <w:ind w:left="360" w:hanging="360"/>
        <w:jc w:val="both"/>
        <w:rPr>
          <w:rFonts w:ascii="Times New Roman" w:hAnsi="Times New Roman"/>
        </w:rPr>
      </w:pPr>
      <w:r>
        <w:rPr>
          <w:rFonts w:ascii="Times New Roman" w:hAnsi="Times New Roman"/>
        </w:rPr>
        <w:t xml:space="preserve">Fiorelli, G.L., Winter, A., Koroishi, E.T., and Trevisan, O.V. 2015. Characterization of Coquinas and Dolomites Integrating Electrical Resistivity, Nuclear Magnetic Resonance (NMR), and Porosimetry by Mercury Intrusion (MICP). Paper SPE 175657 to be presented at the SPE Reservoir Characterization and Simulation Conference and Exhibition, Abu Dhabi, UAE, 14-16 September. </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 xml:space="preserve">Giffin, S., Littke, R., Klaver, J., and Urai, J.L., 2013. Application of BIB-SEM technology to characterize macropore morphology in coal. </w:t>
      </w:r>
      <w:r>
        <w:rPr>
          <w:rFonts w:ascii="Times New Roman" w:hAnsi="Times New Roman"/>
          <w:i/>
        </w:rPr>
        <w:t>Internal Journal of Coal Geology</w:t>
      </w:r>
      <w:r>
        <w:rPr>
          <w:rFonts w:ascii="Times New Roman" w:hAnsi="Times New Roman"/>
        </w:rPr>
        <w:t>. pp. 11</w:t>
      </w:r>
    </w:p>
    <w:p w:rsidR="00CB2BAD" w:rsidRDefault="00CB2BAD" w:rsidP="00941F3F">
      <w:pPr>
        <w:spacing w:line="240" w:lineRule="auto"/>
        <w:ind w:left="360" w:hanging="360"/>
        <w:jc w:val="both"/>
        <w:rPr>
          <w:rFonts w:ascii="Times New Roman" w:hAnsi="Times New Roman"/>
        </w:rPr>
      </w:pPr>
    </w:p>
    <w:p w:rsidR="00AE398A" w:rsidRDefault="00AE398A" w:rsidP="00941F3F">
      <w:pPr>
        <w:spacing w:line="240" w:lineRule="auto"/>
        <w:ind w:left="360" w:hanging="360"/>
        <w:jc w:val="both"/>
        <w:rPr>
          <w:rFonts w:ascii="Times New Roman" w:hAnsi="Times New Roman"/>
        </w:rPr>
      </w:pPr>
      <w:r>
        <w:rPr>
          <w:rFonts w:ascii="Times New Roman" w:hAnsi="Times New Roman"/>
        </w:rPr>
        <w:t>Gladkikh, M., Chen, J., and Chen, S. 2008. Method of Determining Formation Grain Size Distribution from Acoustic Velocities and NMR Relaxation Time Spectrum. Paper presented at the SPWLA 49</w:t>
      </w:r>
      <w:r w:rsidRPr="00AE398A">
        <w:rPr>
          <w:rFonts w:ascii="Times New Roman" w:hAnsi="Times New Roman"/>
          <w:vertAlign w:val="superscript"/>
        </w:rPr>
        <w:t>th</w:t>
      </w:r>
      <w:r>
        <w:rPr>
          <w:rFonts w:ascii="Times New Roman" w:hAnsi="Times New Roman"/>
        </w:rPr>
        <w:t xml:space="preserve"> Annual Logging Sym</w:t>
      </w:r>
      <w:r w:rsidR="00A177F9">
        <w:rPr>
          <w:rFonts w:ascii="Times New Roman" w:hAnsi="Times New Roman"/>
        </w:rPr>
        <w:t>posium, Edinburg, Scotland, 25-28 May.</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Goergen, E.T., Curtis, M.E., Jernigen, J.D., Sondergeld, C.H., and Rai, C.S., 2014. Integrated Petrophysical Properties and Multi-Scaled SEM Microstructural Characterization. Paper URTeC 1922739 to be presented at the Unconventional Resources Technology Conference, Denver, Colorado, USA, 25-27 August.</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Goral, J., Miskovic, I., Gelb, J., and Andrew, M. 2015. Correlative XRM and FIB-SEM for (Non)Organic Pore Network Modeling in Woodford Shale Rock Matrix. Paper presented at the International Petroleum Technology Conference, Doha, Qatar, 6-9 December.</w:t>
      </w:r>
    </w:p>
    <w:p w:rsidR="00CB2BAD" w:rsidRDefault="00CB2BAD" w:rsidP="00941F3F">
      <w:pPr>
        <w:spacing w:line="240" w:lineRule="auto"/>
        <w:ind w:left="360" w:hanging="360"/>
        <w:jc w:val="both"/>
        <w:rPr>
          <w:rFonts w:ascii="Times New Roman" w:hAnsi="Times New Roman"/>
        </w:rPr>
      </w:pPr>
    </w:p>
    <w:p w:rsidR="00A84175" w:rsidRDefault="00A84175" w:rsidP="00941F3F">
      <w:pPr>
        <w:spacing w:line="240" w:lineRule="auto"/>
        <w:ind w:left="360" w:hanging="360"/>
        <w:jc w:val="both"/>
        <w:rPr>
          <w:rFonts w:ascii="Times New Roman" w:hAnsi="Times New Roman"/>
        </w:rPr>
      </w:pPr>
      <w:r>
        <w:rPr>
          <w:rFonts w:ascii="Times New Roman" w:hAnsi="Times New Roman"/>
        </w:rPr>
        <w:t xml:space="preserve">Hafner, B. 2007. Scanning Electron Microscopy Primer. University of Minnesota, Characterization Facility. </w:t>
      </w:r>
    </w:p>
    <w:p w:rsidR="00CB2BAD" w:rsidRDefault="00CB2BAD" w:rsidP="00941F3F">
      <w:pPr>
        <w:spacing w:line="240" w:lineRule="auto"/>
        <w:ind w:left="360" w:hanging="360"/>
        <w:jc w:val="both"/>
        <w:rPr>
          <w:rFonts w:ascii="Times New Roman" w:hAnsi="Times New Roman"/>
        </w:rPr>
      </w:pPr>
    </w:p>
    <w:p w:rsidR="009D6861" w:rsidRDefault="008B2709" w:rsidP="00941F3F">
      <w:pPr>
        <w:spacing w:line="240" w:lineRule="auto"/>
        <w:ind w:left="360" w:hanging="360"/>
        <w:jc w:val="both"/>
        <w:rPr>
          <w:rFonts w:ascii="Times New Roman" w:hAnsi="Times New Roman"/>
        </w:rPr>
      </w:pPr>
      <w:r>
        <w:rPr>
          <w:rFonts w:ascii="Times New Roman" w:hAnsi="Times New Roman"/>
        </w:rPr>
        <w:t xml:space="preserve">Howard, J.J. 1994. Wettability and Fluid Saturations Determined from NMR T1 Distributions. Mgn. Reson. Imaging </w:t>
      </w:r>
      <w:r w:rsidRPr="008B2709">
        <w:rPr>
          <w:rFonts w:ascii="Times New Roman" w:hAnsi="Times New Roman"/>
          <w:b/>
        </w:rPr>
        <w:t>12</w:t>
      </w:r>
      <w:r>
        <w:rPr>
          <w:rFonts w:ascii="Times New Roman" w:hAnsi="Times New Roman"/>
        </w:rPr>
        <w:t xml:space="preserve"> (2), pp. 197-200</w:t>
      </w:r>
    </w:p>
    <w:p w:rsidR="00CB2BAD" w:rsidRDefault="00CB2BAD" w:rsidP="00941F3F">
      <w:pPr>
        <w:spacing w:line="240" w:lineRule="auto"/>
        <w:ind w:left="360" w:hanging="360"/>
        <w:jc w:val="both"/>
        <w:rPr>
          <w:rFonts w:ascii="Times New Roman" w:hAnsi="Times New Roman"/>
        </w:rPr>
      </w:pPr>
    </w:p>
    <w:p w:rsidR="009D6861" w:rsidRDefault="009D6861" w:rsidP="00941F3F">
      <w:pPr>
        <w:spacing w:line="240" w:lineRule="auto"/>
        <w:ind w:left="360" w:hanging="360"/>
        <w:jc w:val="both"/>
        <w:rPr>
          <w:rFonts w:ascii="Times New Roman" w:hAnsi="Times New Roman"/>
        </w:rPr>
      </w:pPr>
      <w:r>
        <w:rPr>
          <w:rFonts w:ascii="Times New Roman" w:hAnsi="Times New Roman"/>
        </w:rPr>
        <w:t xml:space="preserve">Johnston, J.E. and Christensen, N.I. 1995. Seismic Anisotropy of Shales. Journal of Geophysical Research, </w:t>
      </w:r>
      <w:r w:rsidRPr="009D6861">
        <w:rPr>
          <w:rFonts w:ascii="Times New Roman" w:hAnsi="Times New Roman"/>
          <w:b/>
        </w:rPr>
        <w:t>100</w:t>
      </w:r>
      <w:r>
        <w:rPr>
          <w:rFonts w:ascii="Times New Roman" w:hAnsi="Times New Roman"/>
          <w:b/>
        </w:rPr>
        <w:t xml:space="preserve">, </w:t>
      </w:r>
      <w:r>
        <w:rPr>
          <w:rFonts w:ascii="Times New Roman" w:hAnsi="Times New Roman"/>
        </w:rPr>
        <w:t>pp. 5991-6003.</w:t>
      </w:r>
    </w:p>
    <w:p w:rsidR="00CB2BAD" w:rsidRPr="009D6861" w:rsidRDefault="00CB2BAD" w:rsidP="00941F3F">
      <w:pPr>
        <w:spacing w:line="240" w:lineRule="auto"/>
        <w:ind w:left="360" w:hanging="360"/>
        <w:jc w:val="both"/>
        <w:rPr>
          <w:rFonts w:ascii="Times New Roman" w:hAnsi="Times New Roman"/>
        </w:rPr>
      </w:pPr>
    </w:p>
    <w:p w:rsidR="000179F1" w:rsidRDefault="000179F1" w:rsidP="00941F3F">
      <w:pPr>
        <w:spacing w:line="240" w:lineRule="auto"/>
        <w:ind w:left="360" w:hanging="360"/>
        <w:jc w:val="both"/>
        <w:rPr>
          <w:rFonts w:ascii="Times New Roman" w:hAnsi="Times New Roman"/>
        </w:rPr>
      </w:pPr>
      <w:r>
        <w:rPr>
          <w:rFonts w:ascii="Times New Roman" w:hAnsi="Times New Roman"/>
        </w:rPr>
        <w:t>Kelly, L., Bachmann</w:t>
      </w:r>
      <w:r w:rsidR="002B50A6">
        <w:rPr>
          <w:rFonts w:ascii="Times New Roman" w:hAnsi="Times New Roman"/>
        </w:rPr>
        <w:t>, J., Amoss, D., Angelico, B., Corales, B., Fernandez, B., Kissel, P., Roberts, R., and Stewart, H. 2012. Permian Basin: Easy to Oversimplify, Hard to Overlook. Exploration &amp; Production Journal, Howard Weil, 19 January.</w:t>
      </w:r>
    </w:p>
    <w:p w:rsidR="00CB2BAD" w:rsidRDefault="00CB2BAD" w:rsidP="00941F3F">
      <w:pPr>
        <w:spacing w:line="240" w:lineRule="auto"/>
        <w:ind w:left="360" w:hanging="360"/>
        <w:jc w:val="both"/>
        <w:rPr>
          <w:rFonts w:ascii="Times New Roman" w:hAnsi="Times New Roman"/>
        </w:rPr>
      </w:pPr>
    </w:p>
    <w:p w:rsidR="008B2709" w:rsidRDefault="008B2709" w:rsidP="00941F3F">
      <w:pPr>
        <w:spacing w:line="240" w:lineRule="auto"/>
        <w:ind w:left="360" w:hanging="360"/>
        <w:jc w:val="both"/>
        <w:rPr>
          <w:rFonts w:ascii="Times New Roman" w:hAnsi="Times New Roman"/>
        </w:rPr>
      </w:pPr>
      <w:r>
        <w:rPr>
          <w:rFonts w:ascii="Times New Roman" w:hAnsi="Times New Roman"/>
        </w:rPr>
        <w:t>Kleinberg, R. L., Straley, C., Kenyon W.E., Akkurt, R., and Fraooqui, S. A. 1993. Nuclear Magnetic Resonance of Rocks: T1 vs. T2. Paper SPE 26470 presented at the SPE Annual Technical Conference and Exhibition, Houston, Texas, 3-6 October.</w:t>
      </w:r>
    </w:p>
    <w:p w:rsidR="00593D10" w:rsidRDefault="00593D10" w:rsidP="00941F3F">
      <w:pPr>
        <w:spacing w:line="240" w:lineRule="auto"/>
        <w:ind w:left="360" w:hanging="360"/>
        <w:jc w:val="both"/>
        <w:rPr>
          <w:rFonts w:ascii="Times New Roman" w:hAnsi="Times New Roman"/>
        </w:rPr>
      </w:pPr>
      <w:r>
        <w:rPr>
          <w:rFonts w:ascii="Times New Roman" w:hAnsi="Times New Roman"/>
        </w:rPr>
        <w:lastRenderedPageBreak/>
        <w:t>Ko, L.T., Loucks, R.G., Ruppel, S.C., Zhang, T., and Peng, S. 2017. Origin and characterization of Eagle Ford pore networks in the south Texas Upper Cretaceous shelf, AAPG Bull., 101, 3, 387-418.</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Loucks, R.G., Reed, R.M., Ruppel, S.C., and Jarvie, D.M.., 2009. Morphology, Genesis and Distribution of Nanometer-Scaled Pores in Siliceous Mudstones of the Mississippian Barnett Shale. Journal of Sedimentary Research. 79, pp. 848-861.</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Odusina, E. O. 2011. An NMR Study of Shale Wettability. Master’s Thesis, University of Oklahoma, Norman.</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Pommer, M., and Milliken, K., 2015 Pore Types and Pore-Size Distributions across Thermal Maturity, Eagle Ford Formation, Southern Texas. AAPG Bulletin, v. 99, no. 9, pp. 1713-1744.</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 xml:space="preserve">Prasad, M.., 2002. Mapping Impedance Microstructures in Rocks with Acoustic Microscopy. </w:t>
      </w:r>
      <w:r>
        <w:rPr>
          <w:rFonts w:ascii="Times New Roman" w:hAnsi="Times New Roman"/>
          <w:i/>
        </w:rPr>
        <w:t>The Landing Edge</w:t>
      </w:r>
      <w:r>
        <w:rPr>
          <w:rFonts w:ascii="Times New Roman" w:hAnsi="Times New Roman"/>
        </w:rPr>
        <w:t xml:space="preserve">, </w:t>
      </w:r>
      <w:r>
        <w:rPr>
          <w:rFonts w:ascii="Times New Roman" w:hAnsi="Times New Roman"/>
          <w:b/>
        </w:rPr>
        <w:t>20</w:t>
      </w:r>
      <w:r>
        <w:rPr>
          <w:rFonts w:ascii="Times New Roman" w:hAnsi="Times New Roman"/>
        </w:rPr>
        <w:t xml:space="preserve">(2): 172-179.  </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 xml:space="preserve">Prasad. M., Mukerji, T., Reinstaedler, M., and Arnold, W.,2009. Acoustic Signatures, Impedance Microstructure, Textural Scales, and Anisotropy of Kerogen-Rich Shale. Paper SPE 124840 presented at the SPE Annual Technical Conference and Exhibition, New Orleans, LA, 4-7 October. </w:t>
      </w:r>
    </w:p>
    <w:p w:rsidR="00CB2BAD" w:rsidRDefault="00CB2BAD" w:rsidP="00941F3F">
      <w:pPr>
        <w:spacing w:line="240" w:lineRule="auto"/>
        <w:ind w:left="360" w:hanging="360"/>
        <w:jc w:val="both"/>
        <w:rPr>
          <w:rFonts w:ascii="Times New Roman" w:hAnsi="Times New Roman"/>
        </w:rPr>
      </w:pPr>
    </w:p>
    <w:p w:rsidR="0097101B" w:rsidRDefault="0097101B" w:rsidP="00941F3F">
      <w:pPr>
        <w:spacing w:line="240" w:lineRule="auto"/>
        <w:ind w:left="360" w:hanging="360"/>
        <w:jc w:val="both"/>
        <w:rPr>
          <w:rFonts w:ascii="Times New Roman" w:hAnsi="Times New Roman"/>
        </w:rPr>
      </w:pPr>
      <w:r>
        <w:rPr>
          <w:rFonts w:ascii="Times New Roman" w:hAnsi="Times New Roman"/>
        </w:rPr>
        <w:t>Shellenberger, M., Nordhaus, T., Trembath, A., and Jenkins, J. 2012. Where the Shale Gas Revolution Came from – Government’s Role in the Development of Hydraulic Fracture in Shale. Breakthrough Institute Energy &amp; Climate Program. May 2012.</w:t>
      </w:r>
    </w:p>
    <w:p w:rsidR="00CB2BAD" w:rsidRDefault="00CB2BAD" w:rsidP="00941F3F">
      <w:pPr>
        <w:spacing w:line="240" w:lineRule="auto"/>
        <w:ind w:left="360" w:hanging="360"/>
        <w:jc w:val="both"/>
        <w:rPr>
          <w:rFonts w:ascii="Times New Roman" w:hAnsi="Times New Roman"/>
        </w:rPr>
      </w:pPr>
    </w:p>
    <w:p w:rsidR="00A84175" w:rsidRDefault="00A84175" w:rsidP="00941F3F">
      <w:pPr>
        <w:spacing w:line="240" w:lineRule="auto"/>
        <w:ind w:left="360" w:hanging="360"/>
        <w:jc w:val="both"/>
        <w:rPr>
          <w:rFonts w:ascii="Times New Roman" w:hAnsi="Times New Roman"/>
        </w:rPr>
      </w:pPr>
      <w:bookmarkStart w:id="148" w:name="OLE_LINK77"/>
      <w:bookmarkStart w:id="149" w:name="OLE_LINK78"/>
      <w:r>
        <w:rPr>
          <w:rFonts w:ascii="Times New Roman" w:hAnsi="Times New Roman"/>
        </w:rPr>
        <w:t>Sulucarnain</w:t>
      </w:r>
      <w:bookmarkEnd w:id="148"/>
      <w:bookmarkEnd w:id="149"/>
      <w:r>
        <w:rPr>
          <w:rFonts w:ascii="Times New Roman" w:hAnsi="Times New Roman"/>
        </w:rPr>
        <w:t xml:space="preserve">, I.D., Sondergeld, C.H., and Rai, C. S. 2012. </w:t>
      </w:r>
      <w:bookmarkStart w:id="150" w:name="OLE_LINK72"/>
      <w:r>
        <w:rPr>
          <w:rFonts w:ascii="Times New Roman" w:hAnsi="Times New Roman"/>
        </w:rPr>
        <w:t>An NMR Study of Shale Wettability and Effective Surface Relaxivity</w:t>
      </w:r>
      <w:bookmarkEnd w:id="150"/>
      <w:r>
        <w:rPr>
          <w:rFonts w:ascii="Times New Roman" w:hAnsi="Times New Roman"/>
        </w:rPr>
        <w:t xml:space="preserve">. Paper SPE 162236 to be presented at the SPE Canadian Unconventional Resources Conference, Calgary, Alberta, Canada, 30 October – 1 Novemvber. </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Suri, Y. 2011. Predicting Petro-physical Properties using SEM Image. Paper SPE 144434 to be presented at the SPE Reservoir Characterization and Simulation Conference and Exhibition, Abu Dhabi, UAE, 9-11 October.</w:t>
      </w:r>
    </w:p>
    <w:p w:rsidR="00CB2BAD" w:rsidRDefault="00CB2BAD" w:rsidP="00941F3F">
      <w:pPr>
        <w:spacing w:line="240" w:lineRule="auto"/>
        <w:ind w:left="360" w:hanging="360"/>
        <w:jc w:val="both"/>
        <w:rPr>
          <w:rFonts w:ascii="Times New Roman" w:hAnsi="Times New Roman"/>
        </w:rPr>
      </w:pPr>
    </w:p>
    <w:p w:rsidR="00593D10" w:rsidRDefault="00593D10" w:rsidP="00941F3F">
      <w:pPr>
        <w:spacing w:line="240" w:lineRule="auto"/>
        <w:ind w:left="360" w:hanging="360"/>
        <w:jc w:val="both"/>
        <w:rPr>
          <w:rFonts w:ascii="Times New Roman" w:hAnsi="Times New Roman"/>
        </w:rPr>
      </w:pPr>
      <w:r>
        <w:rPr>
          <w:rFonts w:ascii="Times New Roman" w:hAnsi="Times New Roman"/>
        </w:rPr>
        <w:t>UNG. 2012. Unconventional Oil and Gas Report. Technical Report 49, Hart Energy LLC.</w:t>
      </w:r>
    </w:p>
    <w:p w:rsidR="00CB2BAD" w:rsidRDefault="00CB2BAD" w:rsidP="00941F3F">
      <w:pPr>
        <w:spacing w:line="240" w:lineRule="auto"/>
        <w:ind w:left="360" w:hanging="360"/>
        <w:jc w:val="both"/>
        <w:rPr>
          <w:rFonts w:ascii="Times New Roman" w:hAnsi="Times New Roman"/>
        </w:rPr>
      </w:pPr>
    </w:p>
    <w:p w:rsidR="006204F6" w:rsidRDefault="006204F6" w:rsidP="00941F3F">
      <w:pPr>
        <w:spacing w:line="240" w:lineRule="auto"/>
        <w:ind w:left="360" w:hanging="360"/>
        <w:jc w:val="both"/>
        <w:rPr>
          <w:rFonts w:ascii="Times New Roman" w:hAnsi="Times New Roman"/>
        </w:rPr>
      </w:pPr>
      <w:r>
        <w:rPr>
          <w:rFonts w:ascii="Times New Roman" w:hAnsi="Times New Roman"/>
        </w:rPr>
        <w:t>Vahrenkamp, C. V., Zhao, W., and Hurley, N. 2011. Determination and Upscaling of Rock Properties in Heterogeneous Carbonates Using Digital Rock Physics: from Nano-Meter to Grid Block Scale. Paper SPWLA present at SPWLA Conference, Abu Dhabi, March 2011.</w:t>
      </w:r>
    </w:p>
    <w:p w:rsidR="00CB2BAD" w:rsidRDefault="00CB2BAD" w:rsidP="00941F3F">
      <w:pPr>
        <w:spacing w:line="240" w:lineRule="auto"/>
        <w:ind w:left="360" w:hanging="360"/>
        <w:jc w:val="both"/>
        <w:rPr>
          <w:rFonts w:ascii="Times New Roman" w:hAnsi="Times New Roman"/>
        </w:rPr>
      </w:pPr>
    </w:p>
    <w:p w:rsidR="00DC6173" w:rsidRDefault="00DC6173" w:rsidP="00941F3F">
      <w:pPr>
        <w:spacing w:line="240" w:lineRule="auto"/>
        <w:ind w:left="360" w:hanging="360"/>
        <w:jc w:val="both"/>
        <w:rPr>
          <w:rFonts w:ascii="Times New Roman" w:hAnsi="Times New Roman"/>
        </w:rPr>
      </w:pPr>
      <w:r>
        <w:rPr>
          <w:rFonts w:ascii="Times New Roman" w:hAnsi="Times New Roman"/>
        </w:rPr>
        <w:t xml:space="preserve">Varfolomeev, I., Yakimchuk, I., Denisenko, A., Khasanov, I., Osinceva, N., and Rahmattulina, A. 2016. Integrated Study of Thin Sections: Optical Petrography and </w:t>
      </w:r>
      <w:r>
        <w:rPr>
          <w:rFonts w:ascii="Times New Roman" w:hAnsi="Times New Roman"/>
        </w:rPr>
        <w:lastRenderedPageBreak/>
        <w:t>Electron Microscopy.</w:t>
      </w:r>
      <w:r w:rsidR="00C17477">
        <w:rPr>
          <w:rFonts w:ascii="Times New Roman" w:hAnsi="Times New Roman"/>
        </w:rPr>
        <w:t xml:space="preserve"> Paper SPE 182071 presented at the SPE Russian Petroleum Technology Conference and Exhibition, Moscow, Russia, 24-26 October.</w:t>
      </w:r>
    </w:p>
    <w:p w:rsidR="00CB2BAD" w:rsidRDefault="00CB2BAD" w:rsidP="00941F3F">
      <w:pPr>
        <w:spacing w:line="240" w:lineRule="auto"/>
        <w:ind w:left="360" w:hanging="360"/>
        <w:jc w:val="both"/>
        <w:rPr>
          <w:rFonts w:ascii="Times New Roman" w:hAnsi="Times New Roman"/>
        </w:rPr>
      </w:pPr>
    </w:p>
    <w:p w:rsidR="009D6861" w:rsidRDefault="009D6861" w:rsidP="00941F3F">
      <w:pPr>
        <w:spacing w:line="240" w:lineRule="auto"/>
        <w:ind w:left="360" w:hanging="360"/>
        <w:jc w:val="both"/>
        <w:rPr>
          <w:rFonts w:ascii="Times New Roman" w:hAnsi="Times New Roman"/>
        </w:rPr>
      </w:pPr>
      <w:r>
        <w:rPr>
          <w:rFonts w:ascii="Times New Roman" w:hAnsi="Times New Roman"/>
        </w:rPr>
        <w:t>Wardlaw, N.C., and McKellar, M. 1981. Mercury Porosimetry and the Interpretation of Pore Geometry in Sedimentary Rocks and Artificial Models. Powder Technology, 29: 127 -143.</w:t>
      </w:r>
    </w:p>
    <w:p w:rsidR="00CB2BAD" w:rsidRDefault="00CB2BAD" w:rsidP="00941F3F">
      <w:pPr>
        <w:spacing w:line="240" w:lineRule="auto"/>
        <w:ind w:left="360" w:hanging="360"/>
        <w:jc w:val="both"/>
        <w:rPr>
          <w:rFonts w:ascii="Times New Roman" w:hAnsi="Times New Roman"/>
        </w:rPr>
      </w:pPr>
    </w:p>
    <w:p w:rsidR="00313E14" w:rsidRDefault="00313E14" w:rsidP="00941F3F">
      <w:pPr>
        <w:spacing w:line="240" w:lineRule="auto"/>
        <w:ind w:left="360" w:hanging="360"/>
        <w:jc w:val="both"/>
        <w:rPr>
          <w:rFonts w:ascii="Times New Roman" w:hAnsi="Times New Roman"/>
        </w:rPr>
      </w:pPr>
      <w:r>
        <w:rPr>
          <w:rFonts w:ascii="Times New Roman" w:hAnsi="Times New Roman"/>
        </w:rPr>
        <w:t>Xu, S. and White, R. E. 1995. A New Velocity Model for Clay-Sand Mixtures, Geophysical Prospecting, v.43, pp. 91-118.</w:t>
      </w:r>
    </w:p>
    <w:p w:rsidR="00CB2BAD" w:rsidRDefault="00CB2BAD" w:rsidP="00941F3F">
      <w:pPr>
        <w:spacing w:line="240" w:lineRule="auto"/>
        <w:ind w:left="360" w:hanging="360"/>
        <w:jc w:val="both"/>
        <w:rPr>
          <w:rFonts w:ascii="Times New Roman" w:hAnsi="Times New Roman"/>
        </w:rPr>
      </w:pPr>
    </w:p>
    <w:p w:rsidR="00AA0B13" w:rsidRPr="00AA0B13" w:rsidRDefault="00593D10" w:rsidP="00941F3F">
      <w:pPr>
        <w:spacing w:line="240" w:lineRule="auto"/>
        <w:ind w:left="360" w:hanging="360"/>
        <w:jc w:val="both"/>
      </w:pPr>
      <w:r>
        <w:t>Zhou, W., Apkarian, R.P., Wang, Z.L., and Joy, D. 2007. Fundamental of Scanning Electron Microscopy. Scanning Microscopy of Nanotechnology.</w:t>
      </w:r>
    </w:p>
    <w:sectPr w:rsidR="00AA0B13" w:rsidRPr="00AA0B13" w:rsidSect="00F22D00">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AF0" w:rsidRDefault="001E1AF0" w:rsidP="008E1C26">
      <w:pPr>
        <w:spacing w:line="240" w:lineRule="auto"/>
      </w:pPr>
      <w:r>
        <w:separator/>
      </w:r>
    </w:p>
  </w:endnote>
  <w:endnote w:type="continuationSeparator" w:id="0">
    <w:p w:rsidR="001E1AF0" w:rsidRDefault="001E1AF0"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DD5" w:rsidRDefault="00304DD5" w:rsidP="008E1C26">
    <w:pPr>
      <w:pStyle w:val="Footer"/>
      <w:jc w:val="center"/>
    </w:pPr>
    <w:r>
      <w:fldChar w:fldCharType="begin"/>
    </w:r>
    <w:r>
      <w:instrText xml:space="preserve"> PAGE   \* MERGEFORMAT </w:instrText>
    </w:r>
    <w:r>
      <w:fldChar w:fldCharType="separate"/>
    </w:r>
    <w:r w:rsidR="00ED1C65">
      <w:rPr>
        <w:noProof/>
      </w:rPr>
      <w:t>64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AF0" w:rsidRDefault="001E1AF0" w:rsidP="008E1C26">
      <w:pPr>
        <w:spacing w:line="240" w:lineRule="auto"/>
      </w:pPr>
      <w:r>
        <w:separator/>
      </w:r>
    </w:p>
  </w:footnote>
  <w:footnote w:type="continuationSeparator" w:id="0">
    <w:p w:rsidR="001E1AF0" w:rsidRDefault="001E1AF0"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31.7pt;height:29.55pt;visibility:visible;mso-wrap-style:square" o:bullet="t">
        <v:imagedata r:id="rId1" o:title=""/>
      </v:shape>
    </w:pict>
  </w:numPicBullet>
  <w:numPicBullet w:numPicBulletId="1">
    <w:pict>
      <v:shape id="_x0000_i1068" type="#_x0000_t75" style="width:20.4pt;height:15.6pt;visibility:visible;mso-wrap-style:square" o:bullet="t">
        <v:imagedata r:id="rId2" o:title=""/>
      </v:shape>
    </w:pict>
  </w:numPicBullet>
  <w:abstractNum w:abstractNumId="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CE3C8D"/>
    <w:multiLevelType w:val="hybridMultilevel"/>
    <w:tmpl w:val="7C9E4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F87194"/>
    <w:multiLevelType w:val="hybridMultilevel"/>
    <w:tmpl w:val="377E5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9241F1"/>
    <w:multiLevelType w:val="hybridMultilevel"/>
    <w:tmpl w:val="E0B29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7065C3F"/>
    <w:multiLevelType w:val="hybridMultilevel"/>
    <w:tmpl w:val="367A6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F8A0551"/>
    <w:multiLevelType w:val="hybridMultilevel"/>
    <w:tmpl w:val="CE02C0A6"/>
    <w:lvl w:ilvl="0" w:tplc="36CA6C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686E1438"/>
    <w:multiLevelType w:val="hybridMultilevel"/>
    <w:tmpl w:val="C67AB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160851"/>
    <w:multiLevelType w:val="hybridMultilevel"/>
    <w:tmpl w:val="5C324F52"/>
    <w:lvl w:ilvl="0" w:tplc="3ADEBF0A">
      <w:start w:val="1"/>
      <w:numFmt w:val="upperLetter"/>
      <w:lvlText w:val="(%1)"/>
      <w:lvlJc w:val="left"/>
      <w:pPr>
        <w:ind w:left="6480" w:hanging="43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DA33282"/>
    <w:multiLevelType w:val="hybridMultilevel"/>
    <w:tmpl w:val="D1B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4"/>
  </w:num>
  <w:num w:numId="4">
    <w:abstractNumId w:val="7"/>
  </w:num>
  <w:num w:numId="5">
    <w:abstractNumId w:val="6"/>
  </w:num>
  <w:num w:numId="6">
    <w:abstractNumId w:val="8"/>
  </w:num>
  <w:num w:numId="7">
    <w:abstractNumId w:val="14"/>
  </w:num>
  <w:num w:numId="8">
    <w:abstractNumId w:val="5"/>
  </w:num>
  <w:num w:numId="9">
    <w:abstractNumId w:val="10"/>
  </w:num>
  <w:num w:numId="10">
    <w:abstractNumId w:val="9"/>
  </w:num>
  <w:num w:numId="11">
    <w:abstractNumId w:val="12"/>
  </w:num>
  <w:num w:numId="12">
    <w:abstractNumId w:val="11"/>
  </w:num>
  <w:num w:numId="13">
    <w:abstractNumId w:val="13"/>
  </w:num>
  <w:num w:numId="14">
    <w:abstractNumId w:val="3"/>
  </w:num>
  <w:num w:numId="15">
    <w:abstractNumId w:val="2"/>
  </w:num>
  <w:num w:numId="16">
    <w:abstractNumId w:val="1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16C7"/>
    <w:rsid w:val="00012545"/>
    <w:rsid w:val="00014DC4"/>
    <w:rsid w:val="00016107"/>
    <w:rsid w:val="000175C4"/>
    <w:rsid w:val="000179F1"/>
    <w:rsid w:val="00021015"/>
    <w:rsid w:val="000221FF"/>
    <w:rsid w:val="00025A12"/>
    <w:rsid w:val="0003074B"/>
    <w:rsid w:val="00041638"/>
    <w:rsid w:val="00041FAD"/>
    <w:rsid w:val="00045239"/>
    <w:rsid w:val="00052D47"/>
    <w:rsid w:val="0006020F"/>
    <w:rsid w:val="000626AB"/>
    <w:rsid w:val="000700BB"/>
    <w:rsid w:val="00076B36"/>
    <w:rsid w:val="00077F0A"/>
    <w:rsid w:val="0008066B"/>
    <w:rsid w:val="00081575"/>
    <w:rsid w:val="0008176F"/>
    <w:rsid w:val="000844F6"/>
    <w:rsid w:val="00085615"/>
    <w:rsid w:val="0009340D"/>
    <w:rsid w:val="000A112F"/>
    <w:rsid w:val="000A7844"/>
    <w:rsid w:val="000B0CA3"/>
    <w:rsid w:val="000C18E6"/>
    <w:rsid w:val="000C24B8"/>
    <w:rsid w:val="000C2F8B"/>
    <w:rsid w:val="000C4CD9"/>
    <w:rsid w:val="000D0CE4"/>
    <w:rsid w:val="000D17E1"/>
    <w:rsid w:val="000E5C7C"/>
    <w:rsid w:val="000E6FB9"/>
    <w:rsid w:val="000F0B5A"/>
    <w:rsid w:val="000F56FF"/>
    <w:rsid w:val="001007D8"/>
    <w:rsid w:val="001010E8"/>
    <w:rsid w:val="00105BBB"/>
    <w:rsid w:val="00106C83"/>
    <w:rsid w:val="00111915"/>
    <w:rsid w:val="00116EF8"/>
    <w:rsid w:val="001315CA"/>
    <w:rsid w:val="00137000"/>
    <w:rsid w:val="001403C3"/>
    <w:rsid w:val="00143150"/>
    <w:rsid w:val="00144B35"/>
    <w:rsid w:val="00146E9C"/>
    <w:rsid w:val="001547D3"/>
    <w:rsid w:val="00155676"/>
    <w:rsid w:val="00155835"/>
    <w:rsid w:val="00160581"/>
    <w:rsid w:val="0016123A"/>
    <w:rsid w:val="00166004"/>
    <w:rsid w:val="00172240"/>
    <w:rsid w:val="00174266"/>
    <w:rsid w:val="00175313"/>
    <w:rsid w:val="00177E36"/>
    <w:rsid w:val="00180428"/>
    <w:rsid w:val="001815E0"/>
    <w:rsid w:val="00182E7D"/>
    <w:rsid w:val="00187691"/>
    <w:rsid w:val="0018785F"/>
    <w:rsid w:val="001A6903"/>
    <w:rsid w:val="001B12EF"/>
    <w:rsid w:val="001B13F5"/>
    <w:rsid w:val="001B3E8B"/>
    <w:rsid w:val="001B7189"/>
    <w:rsid w:val="001C0C7F"/>
    <w:rsid w:val="001C3B63"/>
    <w:rsid w:val="001C6FF7"/>
    <w:rsid w:val="001D701A"/>
    <w:rsid w:val="001E1AF0"/>
    <w:rsid w:val="001E2404"/>
    <w:rsid w:val="001E5296"/>
    <w:rsid w:val="00206753"/>
    <w:rsid w:val="002127B7"/>
    <w:rsid w:val="002147D8"/>
    <w:rsid w:val="002161A4"/>
    <w:rsid w:val="00222256"/>
    <w:rsid w:val="0023375C"/>
    <w:rsid w:val="00246210"/>
    <w:rsid w:val="00252A68"/>
    <w:rsid w:val="00253B7D"/>
    <w:rsid w:val="002570AB"/>
    <w:rsid w:val="00260BB7"/>
    <w:rsid w:val="00260F9A"/>
    <w:rsid w:val="00271ED6"/>
    <w:rsid w:val="00272CAD"/>
    <w:rsid w:val="00274926"/>
    <w:rsid w:val="002817B8"/>
    <w:rsid w:val="00291EF5"/>
    <w:rsid w:val="00296EE5"/>
    <w:rsid w:val="00297413"/>
    <w:rsid w:val="002A64A7"/>
    <w:rsid w:val="002B50A6"/>
    <w:rsid w:val="002C49D8"/>
    <w:rsid w:val="002C4C6C"/>
    <w:rsid w:val="002C4D04"/>
    <w:rsid w:val="002C7B78"/>
    <w:rsid w:val="002D228A"/>
    <w:rsid w:val="002D6BB5"/>
    <w:rsid w:val="002D6E20"/>
    <w:rsid w:val="002E157F"/>
    <w:rsid w:val="002E4AAD"/>
    <w:rsid w:val="002F044A"/>
    <w:rsid w:val="002F1C3E"/>
    <w:rsid w:val="003015C6"/>
    <w:rsid w:val="00301A5F"/>
    <w:rsid w:val="00304DD5"/>
    <w:rsid w:val="0030639F"/>
    <w:rsid w:val="00306DED"/>
    <w:rsid w:val="00306FF7"/>
    <w:rsid w:val="0030767B"/>
    <w:rsid w:val="00312F09"/>
    <w:rsid w:val="00313E14"/>
    <w:rsid w:val="00314929"/>
    <w:rsid w:val="00314F3F"/>
    <w:rsid w:val="003218D0"/>
    <w:rsid w:val="003240AA"/>
    <w:rsid w:val="00336C40"/>
    <w:rsid w:val="00340051"/>
    <w:rsid w:val="00343673"/>
    <w:rsid w:val="003450B1"/>
    <w:rsid w:val="00354201"/>
    <w:rsid w:val="00356B45"/>
    <w:rsid w:val="003635D6"/>
    <w:rsid w:val="003728F0"/>
    <w:rsid w:val="00385E9D"/>
    <w:rsid w:val="00386E26"/>
    <w:rsid w:val="00393159"/>
    <w:rsid w:val="003945A8"/>
    <w:rsid w:val="00396207"/>
    <w:rsid w:val="00397ACF"/>
    <w:rsid w:val="003A060D"/>
    <w:rsid w:val="003A3C6B"/>
    <w:rsid w:val="003A4A70"/>
    <w:rsid w:val="003B0446"/>
    <w:rsid w:val="003B73A8"/>
    <w:rsid w:val="003B763D"/>
    <w:rsid w:val="003C3B4E"/>
    <w:rsid w:val="003D30E3"/>
    <w:rsid w:val="003D3BD4"/>
    <w:rsid w:val="003D3F21"/>
    <w:rsid w:val="003E19CE"/>
    <w:rsid w:val="003E22B5"/>
    <w:rsid w:val="003E23E0"/>
    <w:rsid w:val="003E379C"/>
    <w:rsid w:val="003F1757"/>
    <w:rsid w:val="00407842"/>
    <w:rsid w:val="00413E6A"/>
    <w:rsid w:val="00414381"/>
    <w:rsid w:val="00415849"/>
    <w:rsid w:val="0041769D"/>
    <w:rsid w:val="004176B3"/>
    <w:rsid w:val="00425618"/>
    <w:rsid w:val="0043594E"/>
    <w:rsid w:val="00441287"/>
    <w:rsid w:val="004431F8"/>
    <w:rsid w:val="00444FEE"/>
    <w:rsid w:val="004514EF"/>
    <w:rsid w:val="00461AA9"/>
    <w:rsid w:val="004621CD"/>
    <w:rsid w:val="0046233B"/>
    <w:rsid w:val="00472B7F"/>
    <w:rsid w:val="0048125B"/>
    <w:rsid w:val="00485EEE"/>
    <w:rsid w:val="004901C1"/>
    <w:rsid w:val="004A3B35"/>
    <w:rsid w:val="004A6535"/>
    <w:rsid w:val="004B55DC"/>
    <w:rsid w:val="004C44D8"/>
    <w:rsid w:val="004C59E2"/>
    <w:rsid w:val="004D5015"/>
    <w:rsid w:val="004D58D4"/>
    <w:rsid w:val="004E0996"/>
    <w:rsid w:val="004E0B71"/>
    <w:rsid w:val="004E27FC"/>
    <w:rsid w:val="00501C40"/>
    <w:rsid w:val="00511A67"/>
    <w:rsid w:val="00517567"/>
    <w:rsid w:val="00525C3B"/>
    <w:rsid w:val="005267CF"/>
    <w:rsid w:val="005270EA"/>
    <w:rsid w:val="005278AA"/>
    <w:rsid w:val="0053028C"/>
    <w:rsid w:val="005354E8"/>
    <w:rsid w:val="00547C9C"/>
    <w:rsid w:val="005625E4"/>
    <w:rsid w:val="0057229F"/>
    <w:rsid w:val="00575135"/>
    <w:rsid w:val="0057775C"/>
    <w:rsid w:val="00577975"/>
    <w:rsid w:val="00582EBC"/>
    <w:rsid w:val="00583F4F"/>
    <w:rsid w:val="005861E2"/>
    <w:rsid w:val="00593D10"/>
    <w:rsid w:val="00596960"/>
    <w:rsid w:val="005A2B79"/>
    <w:rsid w:val="005A38F5"/>
    <w:rsid w:val="005A71D8"/>
    <w:rsid w:val="005A7ECD"/>
    <w:rsid w:val="005B0705"/>
    <w:rsid w:val="005B2B7F"/>
    <w:rsid w:val="005B6110"/>
    <w:rsid w:val="005C333B"/>
    <w:rsid w:val="005C67D8"/>
    <w:rsid w:val="005D1F27"/>
    <w:rsid w:val="005D32A6"/>
    <w:rsid w:val="005D7AC2"/>
    <w:rsid w:val="005E7BAD"/>
    <w:rsid w:val="005F74E0"/>
    <w:rsid w:val="00615B57"/>
    <w:rsid w:val="00616A57"/>
    <w:rsid w:val="006204F6"/>
    <w:rsid w:val="00620555"/>
    <w:rsid w:val="00620F0E"/>
    <w:rsid w:val="006273C0"/>
    <w:rsid w:val="00633C74"/>
    <w:rsid w:val="00634CA3"/>
    <w:rsid w:val="00642928"/>
    <w:rsid w:val="00643D93"/>
    <w:rsid w:val="00644C76"/>
    <w:rsid w:val="006459A1"/>
    <w:rsid w:val="00645A8F"/>
    <w:rsid w:val="00653C73"/>
    <w:rsid w:val="006552A8"/>
    <w:rsid w:val="00660B74"/>
    <w:rsid w:val="006619F2"/>
    <w:rsid w:val="00661C13"/>
    <w:rsid w:val="00662D86"/>
    <w:rsid w:val="00665FAD"/>
    <w:rsid w:val="0066657C"/>
    <w:rsid w:val="00680490"/>
    <w:rsid w:val="0068056B"/>
    <w:rsid w:val="00680B1E"/>
    <w:rsid w:val="00690D5C"/>
    <w:rsid w:val="0069415A"/>
    <w:rsid w:val="006A15CF"/>
    <w:rsid w:val="006A16BA"/>
    <w:rsid w:val="006A6340"/>
    <w:rsid w:val="006A78AE"/>
    <w:rsid w:val="006B1B2D"/>
    <w:rsid w:val="006B1D41"/>
    <w:rsid w:val="006B2580"/>
    <w:rsid w:val="006B5145"/>
    <w:rsid w:val="006B5C7A"/>
    <w:rsid w:val="006C6C96"/>
    <w:rsid w:val="006D14DF"/>
    <w:rsid w:val="006D277F"/>
    <w:rsid w:val="006D7069"/>
    <w:rsid w:val="006E18C9"/>
    <w:rsid w:val="006E3332"/>
    <w:rsid w:val="006E6C3A"/>
    <w:rsid w:val="006F10CE"/>
    <w:rsid w:val="006F1DF3"/>
    <w:rsid w:val="006F7E97"/>
    <w:rsid w:val="0070017B"/>
    <w:rsid w:val="00700247"/>
    <w:rsid w:val="00700306"/>
    <w:rsid w:val="00705086"/>
    <w:rsid w:val="00730F0A"/>
    <w:rsid w:val="00746E16"/>
    <w:rsid w:val="007478E4"/>
    <w:rsid w:val="007510EC"/>
    <w:rsid w:val="007559B1"/>
    <w:rsid w:val="00756FFB"/>
    <w:rsid w:val="00761FAA"/>
    <w:rsid w:val="00761FDB"/>
    <w:rsid w:val="00764BD2"/>
    <w:rsid w:val="007739FB"/>
    <w:rsid w:val="007756A4"/>
    <w:rsid w:val="00775701"/>
    <w:rsid w:val="00777E64"/>
    <w:rsid w:val="00784E64"/>
    <w:rsid w:val="0078679A"/>
    <w:rsid w:val="00786CCB"/>
    <w:rsid w:val="007933E1"/>
    <w:rsid w:val="007A3C32"/>
    <w:rsid w:val="007A6198"/>
    <w:rsid w:val="007B0767"/>
    <w:rsid w:val="007B13C2"/>
    <w:rsid w:val="007B3298"/>
    <w:rsid w:val="007C1012"/>
    <w:rsid w:val="007C2E1D"/>
    <w:rsid w:val="007C34E3"/>
    <w:rsid w:val="007C6DD4"/>
    <w:rsid w:val="007C6EC1"/>
    <w:rsid w:val="007D572C"/>
    <w:rsid w:val="007E1F26"/>
    <w:rsid w:val="007E2609"/>
    <w:rsid w:val="007E4264"/>
    <w:rsid w:val="007E5847"/>
    <w:rsid w:val="007F2648"/>
    <w:rsid w:val="007F4503"/>
    <w:rsid w:val="007F6E9A"/>
    <w:rsid w:val="007F794E"/>
    <w:rsid w:val="007F7A84"/>
    <w:rsid w:val="0080054D"/>
    <w:rsid w:val="00813FAF"/>
    <w:rsid w:val="00827851"/>
    <w:rsid w:val="00831C7B"/>
    <w:rsid w:val="008358A9"/>
    <w:rsid w:val="00843F73"/>
    <w:rsid w:val="00844477"/>
    <w:rsid w:val="00851C56"/>
    <w:rsid w:val="00854CF6"/>
    <w:rsid w:val="008573C1"/>
    <w:rsid w:val="00861BB5"/>
    <w:rsid w:val="0086523C"/>
    <w:rsid w:val="00870928"/>
    <w:rsid w:val="00873477"/>
    <w:rsid w:val="00877D4E"/>
    <w:rsid w:val="008823E8"/>
    <w:rsid w:val="00891841"/>
    <w:rsid w:val="00895DD5"/>
    <w:rsid w:val="008A4233"/>
    <w:rsid w:val="008A4F22"/>
    <w:rsid w:val="008B2709"/>
    <w:rsid w:val="008B39DA"/>
    <w:rsid w:val="008B5116"/>
    <w:rsid w:val="008C0782"/>
    <w:rsid w:val="008C1BA9"/>
    <w:rsid w:val="008C3774"/>
    <w:rsid w:val="008E1C26"/>
    <w:rsid w:val="008E1CF0"/>
    <w:rsid w:val="008E4CD5"/>
    <w:rsid w:val="008E64A9"/>
    <w:rsid w:val="008E6FBB"/>
    <w:rsid w:val="008F0671"/>
    <w:rsid w:val="008F1822"/>
    <w:rsid w:val="00914869"/>
    <w:rsid w:val="00917519"/>
    <w:rsid w:val="00917D6C"/>
    <w:rsid w:val="0092173C"/>
    <w:rsid w:val="009245C5"/>
    <w:rsid w:val="00927233"/>
    <w:rsid w:val="00930862"/>
    <w:rsid w:val="00931DF6"/>
    <w:rsid w:val="00941261"/>
    <w:rsid w:val="00941CCD"/>
    <w:rsid w:val="00941F3F"/>
    <w:rsid w:val="009501BE"/>
    <w:rsid w:val="00951A71"/>
    <w:rsid w:val="009671ED"/>
    <w:rsid w:val="0097101B"/>
    <w:rsid w:val="0097123F"/>
    <w:rsid w:val="00972039"/>
    <w:rsid w:val="009809CD"/>
    <w:rsid w:val="00981B1B"/>
    <w:rsid w:val="00983B30"/>
    <w:rsid w:val="00984F1A"/>
    <w:rsid w:val="00992C28"/>
    <w:rsid w:val="00992DBF"/>
    <w:rsid w:val="0099555B"/>
    <w:rsid w:val="009967CA"/>
    <w:rsid w:val="009B1098"/>
    <w:rsid w:val="009B49FC"/>
    <w:rsid w:val="009C4FEF"/>
    <w:rsid w:val="009D511C"/>
    <w:rsid w:val="009D5314"/>
    <w:rsid w:val="009D6861"/>
    <w:rsid w:val="009E3C12"/>
    <w:rsid w:val="00A0094B"/>
    <w:rsid w:val="00A0269F"/>
    <w:rsid w:val="00A03AB8"/>
    <w:rsid w:val="00A07FBA"/>
    <w:rsid w:val="00A1452E"/>
    <w:rsid w:val="00A177F9"/>
    <w:rsid w:val="00A25E21"/>
    <w:rsid w:val="00A319D1"/>
    <w:rsid w:val="00A325FE"/>
    <w:rsid w:val="00A3602D"/>
    <w:rsid w:val="00A37F89"/>
    <w:rsid w:val="00A40497"/>
    <w:rsid w:val="00A4377D"/>
    <w:rsid w:val="00A460F3"/>
    <w:rsid w:val="00A4650A"/>
    <w:rsid w:val="00A4664A"/>
    <w:rsid w:val="00A50007"/>
    <w:rsid w:val="00A5099D"/>
    <w:rsid w:val="00A5626C"/>
    <w:rsid w:val="00A65893"/>
    <w:rsid w:val="00A66AF6"/>
    <w:rsid w:val="00A67A37"/>
    <w:rsid w:val="00A7496E"/>
    <w:rsid w:val="00A74EDA"/>
    <w:rsid w:val="00A7526B"/>
    <w:rsid w:val="00A75A9C"/>
    <w:rsid w:val="00A76121"/>
    <w:rsid w:val="00A76D67"/>
    <w:rsid w:val="00A773AA"/>
    <w:rsid w:val="00A84175"/>
    <w:rsid w:val="00A859E1"/>
    <w:rsid w:val="00A90647"/>
    <w:rsid w:val="00A9132C"/>
    <w:rsid w:val="00A96143"/>
    <w:rsid w:val="00AA0B13"/>
    <w:rsid w:val="00AA1B3B"/>
    <w:rsid w:val="00AA1BF1"/>
    <w:rsid w:val="00AA2EFE"/>
    <w:rsid w:val="00AA389A"/>
    <w:rsid w:val="00AA4AED"/>
    <w:rsid w:val="00AA5D15"/>
    <w:rsid w:val="00AB078F"/>
    <w:rsid w:val="00AB5520"/>
    <w:rsid w:val="00AC1CC1"/>
    <w:rsid w:val="00AC540E"/>
    <w:rsid w:val="00AC5E50"/>
    <w:rsid w:val="00AC7676"/>
    <w:rsid w:val="00AD16CF"/>
    <w:rsid w:val="00AD2140"/>
    <w:rsid w:val="00AD44CD"/>
    <w:rsid w:val="00AD5AD8"/>
    <w:rsid w:val="00AD6B2B"/>
    <w:rsid w:val="00AE398A"/>
    <w:rsid w:val="00AE3C91"/>
    <w:rsid w:val="00AF0BB2"/>
    <w:rsid w:val="00AF1DB0"/>
    <w:rsid w:val="00B024F8"/>
    <w:rsid w:val="00B042BA"/>
    <w:rsid w:val="00B05E2E"/>
    <w:rsid w:val="00B13AC0"/>
    <w:rsid w:val="00B1417A"/>
    <w:rsid w:val="00B14808"/>
    <w:rsid w:val="00B17778"/>
    <w:rsid w:val="00B242CA"/>
    <w:rsid w:val="00B25F91"/>
    <w:rsid w:val="00B26394"/>
    <w:rsid w:val="00B27FEB"/>
    <w:rsid w:val="00B302D5"/>
    <w:rsid w:val="00B35247"/>
    <w:rsid w:val="00B35B16"/>
    <w:rsid w:val="00B35E12"/>
    <w:rsid w:val="00B36426"/>
    <w:rsid w:val="00B36856"/>
    <w:rsid w:val="00B43928"/>
    <w:rsid w:val="00B44140"/>
    <w:rsid w:val="00B47768"/>
    <w:rsid w:val="00B5433F"/>
    <w:rsid w:val="00B72958"/>
    <w:rsid w:val="00B74AFF"/>
    <w:rsid w:val="00B756DE"/>
    <w:rsid w:val="00B76B45"/>
    <w:rsid w:val="00B824B2"/>
    <w:rsid w:val="00B91E22"/>
    <w:rsid w:val="00B96A4C"/>
    <w:rsid w:val="00B97723"/>
    <w:rsid w:val="00BA1A3A"/>
    <w:rsid w:val="00BA1CFA"/>
    <w:rsid w:val="00BB1DD7"/>
    <w:rsid w:val="00BB2DDE"/>
    <w:rsid w:val="00BB3F72"/>
    <w:rsid w:val="00BB678C"/>
    <w:rsid w:val="00BC049C"/>
    <w:rsid w:val="00BC0DC9"/>
    <w:rsid w:val="00BD1142"/>
    <w:rsid w:val="00BD2769"/>
    <w:rsid w:val="00BD45C8"/>
    <w:rsid w:val="00BD6CA1"/>
    <w:rsid w:val="00BF061F"/>
    <w:rsid w:val="00BF31A4"/>
    <w:rsid w:val="00BF3E74"/>
    <w:rsid w:val="00C16C66"/>
    <w:rsid w:val="00C17477"/>
    <w:rsid w:val="00C30CCE"/>
    <w:rsid w:val="00C33384"/>
    <w:rsid w:val="00C36E17"/>
    <w:rsid w:val="00C3745C"/>
    <w:rsid w:val="00C378FA"/>
    <w:rsid w:val="00C37D11"/>
    <w:rsid w:val="00C4062A"/>
    <w:rsid w:val="00C43660"/>
    <w:rsid w:val="00C4480F"/>
    <w:rsid w:val="00C574F7"/>
    <w:rsid w:val="00C57EA5"/>
    <w:rsid w:val="00C63C23"/>
    <w:rsid w:val="00C66AA8"/>
    <w:rsid w:val="00C74138"/>
    <w:rsid w:val="00C75D7E"/>
    <w:rsid w:val="00C81ADB"/>
    <w:rsid w:val="00C8326D"/>
    <w:rsid w:val="00C90020"/>
    <w:rsid w:val="00C92079"/>
    <w:rsid w:val="00CA0320"/>
    <w:rsid w:val="00CA38B3"/>
    <w:rsid w:val="00CA6A23"/>
    <w:rsid w:val="00CB0D92"/>
    <w:rsid w:val="00CB2BAD"/>
    <w:rsid w:val="00CC1981"/>
    <w:rsid w:val="00CC2D8E"/>
    <w:rsid w:val="00CC4D77"/>
    <w:rsid w:val="00CC553A"/>
    <w:rsid w:val="00CC76A4"/>
    <w:rsid w:val="00CD0846"/>
    <w:rsid w:val="00CD2523"/>
    <w:rsid w:val="00CD5D04"/>
    <w:rsid w:val="00CE1629"/>
    <w:rsid w:val="00CE1C55"/>
    <w:rsid w:val="00CF2D46"/>
    <w:rsid w:val="00D00054"/>
    <w:rsid w:val="00D020E5"/>
    <w:rsid w:val="00D04C4A"/>
    <w:rsid w:val="00D070DD"/>
    <w:rsid w:val="00D13B01"/>
    <w:rsid w:val="00D163A1"/>
    <w:rsid w:val="00D23514"/>
    <w:rsid w:val="00D268E5"/>
    <w:rsid w:val="00D272FA"/>
    <w:rsid w:val="00D3125C"/>
    <w:rsid w:val="00D33252"/>
    <w:rsid w:val="00D332B1"/>
    <w:rsid w:val="00D417E2"/>
    <w:rsid w:val="00D418C5"/>
    <w:rsid w:val="00D47DC3"/>
    <w:rsid w:val="00D54BBA"/>
    <w:rsid w:val="00D54D30"/>
    <w:rsid w:val="00D63958"/>
    <w:rsid w:val="00D63C75"/>
    <w:rsid w:val="00D67764"/>
    <w:rsid w:val="00D71CAA"/>
    <w:rsid w:val="00D72088"/>
    <w:rsid w:val="00D72ED4"/>
    <w:rsid w:val="00D734A8"/>
    <w:rsid w:val="00D778D7"/>
    <w:rsid w:val="00D81ABF"/>
    <w:rsid w:val="00D87375"/>
    <w:rsid w:val="00D937BB"/>
    <w:rsid w:val="00D97EBD"/>
    <w:rsid w:val="00DA0169"/>
    <w:rsid w:val="00DA10D5"/>
    <w:rsid w:val="00DA1971"/>
    <w:rsid w:val="00DA31C4"/>
    <w:rsid w:val="00DB664C"/>
    <w:rsid w:val="00DC1817"/>
    <w:rsid w:val="00DC6173"/>
    <w:rsid w:val="00DD4961"/>
    <w:rsid w:val="00DE1EF7"/>
    <w:rsid w:val="00DE430B"/>
    <w:rsid w:val="00DE50F8"/>
    <w:rsid w:val="00DF18F8"/>
    <w:rsid w:val="00DF5C72"/>
    <w:rsid w:val="00DF7412"/>
    <w:rsid w:val="00E0355B"/>
    <w:rsid w:val="00E04840"/>
    <w:rsid w:val="00E0501B"/>
    <w:rsid w:val="00E05CF1"/>
    <w:rsid w:val="00E06662"/>
    <w:rsid w:val="00E13792"/>
    <w:rsid w:val="00E14E10"/>
    <w:rsid w:val="00E20B9A"/>
    <w:rsid w:val="00E2171A"/>
    <w:rsid w:val="00E252B0"/>
    <w:rsid w:val="00E34348"/>
    <w:rsid w:val="00E37953"/>
    <w:rsid w:val="00E43B0B"/>
    <w:rsid w:val="00E43D89"/>
    <w:rsid w:val="00E453E8"/>
    <w:rsid w:val="00E53D7E"/>
    <w:rsid w:val="00E55666"/>
    <w:rsid w:val="00E6062A"/>
    <w:rsid w:val="00E65316"/>
    <w:rsid w:val="00E77477"/>
    <w:rsid w:val="00E915E0"/>
    <w:rsid w:val="00E91D3E"/>
    <w:rsid w:val="00E948D0"/>
    <w:rsid w:val="00EA7E4F"/>
    <w:rsid w:val="00EB1AE0"/>
    <w:rsid w:val="00EB7843"/>
    <w:rsid w:val="00EC4472"/>
    <w:rsid w:val="00ED1C65"/>
    <w:rsid w:val="00ED2563"/>
    <w:rsid w:val="00ED503F"/>
    <w:rsid w:val="00EE3797"/>
    <w:rsid w:val="00EE7BCA"/>
    <w:rsid w:val="00EF6EF1"/>
    <w:rsid w:val="00F01ABC"/>
    <w:rsid w:val="00F061D4"/>
    <w:rsid w:val="00F212CA"/>
    <w:rsid w:val="00F21E7E"/>
    <w:rsid w:val="00F22AEE"/>
    <w:rsid w:val="00F22D00"/>
    <w:rsid w:val="00F27248"/>
    <w:rsid w:val="00F3616C"/>
    <w:rsid w:val="00F36BC8"/>
    <w:rsid w:val="00F46A49"/>
    <w:rsid w:val="00F47126"/>
    <w:rsid w:val="00F562AA"/>
    <w:rsid w:val="00F6021C"/>
    <w:rsid w:val="00F63BF0"/>
    <w:rsid w:val="00F70714"/>
    <w:rsid w:val="00F73AA5"/>
    <w:rsid w:val="00F74601"/>
    <w:rsid w:val="00F81BA5"/>
    <w:rsid w:val="00FA0D92"/>
    <w:rsid w:val="00FA2425"/>
    <w:rsid w:val="00FA69C7"/>
    <w:rsid w:val="00FB0418"/>
    <w:rsid w:val="00FC0B89"/>
    <w:rsid w:val="00FC5804"/>
    <w:rsid w:val="00FC5D6F"/>
    <w:rsid w:val="00FC6A58"/>
    <w:rsid w:val="00FD220C"/>
    <w:rsid w:val="00FD2633"/>
    <w:rsid w:val="00FD3028"/>
    <w:rsid w:val="00FE648C"/>
    <w:rsid w:val="00FF3ABC"/>
    <w:rsid w:val="00FF7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A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92173C"/>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F63BF0"/>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0054D"/>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6204F6"/>
    <w:pPr>
      <w:keepNext/>
      <w:spacing w:line="480" w:lineRule="auto"/>
      <w:jc w:val="center"/>
      <w:outlineLvl w:val="2"/>
    </w:pPr>
    <w:rPr>
      <w:rFonts w:asciiTheme="majorHAnsi" w:hAnsiTheme="majorHAnsi"/>
      <w:b/>
      <w:bCs/>
      <w:i/>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BF0"/>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0054D"/>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6204F6"/>
    <w:rPr>
      <w:rFonts w:asciiTheme="majorHAnsi" w:hAnsiTheme="majorHAnsi"/>
      <w:b/>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customStyle="1" w:styleId="AbstractSectionHeading">
    <w:name w:val="Abstract_Section_Heading"/>
    <w:basedOn w:val="Normal"/>
    <w:rsid w:val="00085615"/>
    <w:pPr>
      <w:tabs>
        <w:tab w:val="left" w:pos="504"/>
      </w:tabs>
      <w:spacing w:line="240" w:lineRule="auto"/>
    </w:pPr>
    <w:rPr>
      <w:rFonts w:ascii="Times New Roman" w:hAnsi="Times New Roman"/>
      <w:b/>
      <w:sz w:val="18"/>
      <w:szCs w:val="20"/>
      <w:lang w:bidi="ar-SA"/>
    </w:rPr>
  </w:style>
  <w:style w:type="paragraph" w:styleId="NormalWeb">
    <w:name w:val="Normal (Web)"/>
    <w:basedOn w:val="Normal"/>
    <w:uiPriority w:val="99"/>
    <w:unhideWhenUsed/>
    <w:rsid w:val="008C3774"/>
    <w:pPr>
      <w:spacing w:before="100" w:beforeAutospacing="1" w:after="100" w:afterAutospacing="1" w:line="240" w:lineRule="auto"/>
    </w:pPr>
    <w:rPr>
      <w:rFonts w:ascii="Times New Roman" w:eastAsiaTheme="minorEastAsia" w:hAnsi="Times New Roman"/>
      <w:lang w:bidi="ar-SA"/>
    </w:rPr>
  </w:style>
  <w:style w:type="paragraph" w:customStyle="1" w:styleId="AbstractNormalText">
    <w:name w:val="Abstract_Normal_Text"/>
    <w:basedOn w:val="Normal"/>
    <w:rsid w:val="00EB1AE0"/>
    <w:pPr>
      <w:tabs>
        <w:tab w:val="left" w:pos="504"/>
      </w:tabs>
      <w:spacing w:line="240" w:lineRule="auto"/>
      <w:jc w:val="both"/>
    </w:pPr>
    <w:rPr>
      <w:rFonts w:ascii="Times New Roman" w:hAnsi="Times New Roman"/>
      <w:sz w:val="18"/>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92173C"/>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F63BF0"/>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80054D"/>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6204F6"/>
    <w:pPr>
      <w:keepNext/>
      <w:spacing w:line="480" w:lineRule="auto"/>
      <w:jc w:val="center"/>
      <w:outlineLvl w:val="2"/>
    </w:pPr>
    <w:rPr>
      <w:rFonts w:asciiTheme="majorHAnsi" w:hAnsiTheme="majorHAnsi"/>
      <w:b/>
      <w:bCs/>
      <w:i/>
      <w:sz w:val="24"/>
      <w:szCs w:val="24"/>
      <w:lang w:bidi="en-US"/>
    </w:rPr>
  </w:style>
  <w:style w:type="paragraph" w:styleId="Heading4">
    <w:name w:val="heading 4"/>
    <w:basedOn w:val="Normal"/>
    <w:next w:val="Normal"/>
    <w:link w:val="Heading4Char"/>
    <w:uiPriority w:val="9"/>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BF0"/>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80054D"/>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6204F6"/>
    <w:rPr>
      <w:rFonts w:asciiTheme="majorHAnsi" w:hAnsiTheme="majorHAnsi"/>
      <w:b/>
      <w:bCs/>
      <w:i/>
      <w:sz w:val="24"/>
      <w:szCs w:val="24"/>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customStyle="1" w:styleId="AbstractSectionHeading">
    <w:name w:val="Abstract_Section_Heading"/>
    <w:basedOn w:val="Normal"/>
    <w:rsid w:val="00085615"/>
    <w:pPr>
      <w:tabs>
        <w:tab w:val="left" w:pos="504"/>
      </w:tabs>
      <w:spacing w:line="240" w:lineRule="auto"/>
    </w:pPr>
    <w:rPr>
      <w:rFonts w:ascii="Times New Roman" w:hAnsi="Times New Roman"/>
      <w:b/>
      <w:sz w:val="18"/>
      <w:szCs w:val="20"/>
      <w:lang w:bidi="ar-SA"/>
    </w:rPr>
  </w:style>
  <w:style w:type="paragraph" w:styleId="NormalWeb">
    <w:name w:val="Normal (Web)"/>
    <w:basedOn w:val="Normal"/>
    <w:uiPriority w:val="99"/>
    <w:unhideWhenUsed/>
    <w:rsid w:val="008C3774"/>
    <w:pPr>
      <w:spacing w:before="100" w:beforeAutospacing="1" w:after="100" w:afterAutospacing="1" w:line="240" w:lineRule="auto"/>
    </w:pPr>
    <w:rPr>
      <w:rFonts w:ascii="Times New Roman" w:eastAsiaTheme="minorEastAsia" w:hAnsi="Times New Roman"/>
      <w:lang w:bidi="ar-SA"/>
    </w:rPr>
  </w:style>
  <w:style w:type="paragraph" w:customStyle="1" w:styleId="AbstractNormalText">
    <w:name w:val="Abstract_Normal_Text"/>
    <w:basedOn w:val="Normal"/>
    <w:rsid w:val="00EB1AE0"/>
    <w:pPr>
      <w:tabs>
        <w:tab w:val="left" w:pos="504"/>
      </w:tabs>
      <w:spacing w:line="240" w:lineRule="auto"/>
      <w:jc w:val="both"/>
    </w:pPr>
    <w:rPr>
      <w:rFonts w:ascii="Times New Roman" w:hAnsi="Times New Roman"/>
      <w:sz w:val="18"/>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6465">
      <w:bodyDiv w:val="1"/>
      <w:marLeft w:val="0"/>
      <w:marRight w:val="0"/>
      <w:marTop w:val="0"/>
      <w:marBottom w:val="0"/>
      <w:divBdr>
        <w:top w:val="none" w:sz="0" w:space="0" w:color="auto"/>
        <w:left w:val="none" w:sz="0" w:space="0" w:color="auto"/>
        <w:bottom w:val="none" w:sz="0" w:space="0" w:color="auto"/>
        <w:right w:val="none" w:sz="0" w:space="0" w:color="auto"/>
      </w:divBdr>
    </w:div>
    <w:div w:id="101339662">
      <w:bodyDiv w:val="1"/>
      <w:marLeft w:val="0"/>
      <w:marRight w:val="0"/>
      <w:marTop w:val="0"/>
      <w:marBottom w:val="0"/>
      <w:divBdr>
        <w:top w:val="none" w:sz="0" w:space="0" w:color="auto"/>
        <w:left w:val="none" w:sz="0" w:space="0" w:color="auto"/>
        <w:bottom w:val="none" w:sz="0" w:space="0" w:color="auto"/>
        <w:right w:val="none" w:sz="0" w:space="0" w:color="auto"/>
      </w:divBdr>
    </w:div>
    <w:div w:id="234822551">
      <w:bodyDiv w:val="1"/>
      <w:marLeft w:val="0"/>
      <w:marRight w:val="0"/>
      <w:marTop w:val="0"/>
      <w:marBottom w:val="0"/>
      <w:divBdr>
        <w:top w:val="none" w:sz="0" w:space="0" w:color="auto"/>
        <w:left w:val="none" w:sz="0" w:space="0" w:color="auto"/>
        <w:bottom w:val="none" w:sz="0" w:space="0" w:color="auto"/>
        <w:right w:val="none" w:sz="0" w:space="0" w:color="auto"/>
      </w:divBdr>
    </w:div>
    <w:div w:id="243301464">
      <w:bodyDiv w:val="1"/>
      <w:marLeft w:val="0"/>
      <w:marRight w:val="0"/>
      <w:marTop w:val="0"/>
      <w:marBottom w:val="0"/>
      <w:divBdr>
        <w:top w:val="none" w:sz="0" w:space="0" w:color="auto"/>
        <w:left w:val="none" w:sz="0" w:space="0" w:color="auto"/>
        <w:bottom w:val="none" w:sz="0" w:space="0" w:color="auto"/>
        <w:right w:val="none" w:sz="0" w:space="0" w:color="auto"/>
      </w:divBdr>
    </w:div>
    <w:div w:id="266276503">
      <w:bodyDiv w:val="1"/>
      <w:marLeft w:val="0"/>
      <w:marRight w:val="0"/>
      <w:marTop w:val="0"/>
      <w:marBottom w:val="0"/>
      <w:divBdr>
        <w:top w:val="none" w:sz="0" w:space="0" w:color="auto"/>
        <w:left w:val="none" w:sz="0" w:space="0" w:color="auto"/>
        <w:bottom w:val="none" w:sz="0" w:space="0" w:color="auto"/>
        <w:right w:val="none" w:sz="0" w:space="0" w:color="auto"/>
      </w:divBdr>
    </w:div>
    <w:div w:id="269515664">
      <w:bodyDiv w:val="1"/>
      <w:marLeft w:val="0"/>
      <w:marRight w:val="0"/>
      <w:marTop w:val="0"/>
      <w:marBottom w:val="0"/>
      <w:divBdr>
        <w:top w:val="none" w:sz="0" w:space="0" w:color="auto"/>
        <w:left w:val="none" w:sz="0" w:space="0" w:color="auto"/>
        <w:bottom w:val="none" w:sz="0" w:space="0" w:color="auto"/>
        <w:right w:val="none" w:sz="0" w:space="0" w:color="auto"/>
      </w:divBdr>
    </w:div>
    <w:div w:id="274140993">
      <w:bodyDiv w:val="1"/>
      <w:marLeft w:val="0"/>
      <w:marRight w:val="0"/>
      <w:marTop w:val="0"/>
      <w:marBottom w:val="0"/>
      <w:divBdr>
        <w:top w:val="none" w:sz="0" w:space="0" w:color="auto"/>
        <w:left w:val="none" w:sz="0" w:space="0" w:color="auto"/>
        <w:bottom w:val="none" w:sz="0" w:space="0" w:color="auto"/>
        <w:right w:val="none" w:sz="0" w:space="0" w:color="auto"/>
      </w:divBdr>
    </w:div>
    <w:div w:id="397017267">
      <w:bodyDiv w:val="1"/>
      <w:marLeft w:val="0"/>
      <w:marRight w:val="0"/>
      <w:marTop w:val="0"/>
      <w:marBottom w:val="0"/>
      <w:divBdr>
        <w:top w:val="none" w:sz="0" w:space="0" w:color="auto"/>
        <w:left w:val="none" w:sz="0" w:space="0" w:color="auto"/>
        <w:bottom w:val="none" w:sz="0" w:space="0" w:color="auto"/>
        <w:right w:val="none" w:sz="0" w:space="0" w:color="auto"/>
      </w:divBdr>
    </w:div>
    <w:div w:id="442726318">
      <w:bodyDiv w:val="1"/>
      <w:marLeft w:val="0"/>
      <w:marRight w:val="0"/>
      <w:marTop w:val="0"/>
      <w:marBottom w:val="0"/>
      <w:divBdr>
        <w:top w:val="none" w:sz="0" w:space="0" w:color="auto"/>
        <w:left w:val="none" w:sz="0" w:space="0" w:color="auto"/>
        <w:bottom w:val="none" w:sz="0" w:space="0" w:color="auto"/>
        <w:right w:val="none" w:sz="0" w:space="0" w:color="auto"/>
      </w:divBdr>
    </w:div>
    <w:div w:id="589462747">
      <w:bodyDiv w:val="1"/>
      <w:marLeft w:val="0"/>
      <w:marRight w:val="0"/>
      <w:marTop w:val="0"/>
      <w:marBottom w:val="0"/>
      <w:divBdr>
        <w:top w:val="none" w:sz="0" w:space="0" w:color="auto"/>
        <w:left w:val="none" w:sz="0" w:space="0" w:color="auto"/>
        <w:bottom w:val="none" w:sz="0" w:space="0" w:color="auto"/>
        <w:right w:val="none" w:sz="0" w:space="0" w:color="auto"/>
      </w:divBdr>
    </w:div>
    <w:div w:id="655497454">
      <w:bodyDiv w:val="1"/>
      <w:marLeft w:val="0"/>
      <w:marRight w:val="0"/>
      <w:marTop w:val="0"/>
      <w:marBottom w:val="0"/>
      <w:divBdr>
        <w:top w:val="none" w:sz="0" w:space="0" w:color="auto"/>
        <w:left w:val="none" w:sz="0" w:space="0" w:color="auto"/>
        <w:bottom w:val="none" w:sz="0" w:space="0" w:color="auto"/>
        <w:right w:val="none" w:sz="0" w:space="0" w:color="auto"/>
      </w:divBdr>
    </w:div>
    <w:div w:id="710614207">
      <w:bodyDiv w:val="1"/>
      <w:marLeft w:val="0"/>
      <w:marRight w:val="0"/>
      <w:marTop w:val="0"/>
      <w:marBottom w:val="0"/>
      <w:divBdr>
        <w:top w:val="none" w:sz="0" w:space="0" w:color="auto"/>
        <w:left w:val="none" w:sz="0" w:space="0" w:color="auto"/>
        <w:bottom w:val="none" w:sz="0" w:space="0" w:color="auto"/>
        <w:right w:val="none" w:sz="0" w:space="0" w:color="auto"/>
      </w:divBdr>
    </w:div>
    <w:div w:id="757092666">
      <w:bodyDiv w:val="1"/>
      <w:marLeft w:val="0"/>
      <w:marRight w:val="0"/>
      <w:marTop w:val="0"/>
      <w:marBottom w:val="0"/>
      <w:divBdr>
        <w:top w:val="none" w:sz="0" w:space="0" w:color="auto"/>
        <w:left w:val="none" w:sz="0" w:space="0" w:color="auto"/>
        <w:bottom w:val="none" w:sz="0" w:space="0" w:color="auto"/>
        <w:right w:val="none" w:sz="0" w:space="0" w:color="auto"/>
      </w:divBdr>
    </w:div>
    <w:div w:id="768310717">
      <w:bodyDiv w:val="1"/>
      <w:marLeft w:val="0"/>
      <w:marRight w:val="0"/>
      <w:marTop w:val="0"/>
      <w:marBottom w:val="0"/>
      <w:divBdr>
        <w:top w:val="none" w:sz="0" w:space="0" w:color="auto"/>
        <w:left w:val="none" w:sz="0" w:space="0" w:color="auto"/>
        <w:bottom w:val="none" w:sz="0" w:space="0" w:color="auto"/>
        <w:right w:val="none" w:sz="0" w:space="0" w:color="auto"/>
      </w:divBdr>
    </w:div>
    <w:div w:id="776025543">
      <w:bodyDiv w:val="1"/>
      <w:marLeft w:val="0"/>
      <w:marRight w:val="0"/>
      <w:marTop w:val="0"/>
      <w:marBottom w:val="0"/>
      <w:divBdr>
        <w:top w:val="none" w:sz="0" w:space="0" w:color="auto"/>
        <w:left w:val="none" w:sz="0" w:space="0" w:color="auto"/>
        <w:bottom w:val="none" w:sz="0" w:space="0" w:color="auto"/>
        <w:right w:val="none" w:sz="0" w:space="0" w:color="auto"/>
      </w:divBdr>
    </w:div>
    <w:div w:id="792941654">
      <w:bodyDiv w:val="1"/>
      <w:marLeft w:val="0"/>
      <w:marRight w:val="0"/>
      <w:marTop w:val="0"/>
      <w:marBottom w:val="0"/>
      <w:divBdr>
        <w:top w:val="none" w:sz="0" w:space="0" w:color="auto"/>
        <w:left w:val="none" w:sz="0" w:space="0" w:color="auto"/>
        <w:bottom w:val="none" w:sz="0" w:space="0" w:color="auto"/>
        <w:right w:val="none" w:sz="0" w:space="0" w:color="auto"/>
      </w:divBdr>
    </w:div>
    <w:div w:id="937178226">
      <w:bodyDiv w:val="1"/>
      <w:marLeft w:val="0"/>
      <w:marRight w:val="0"/>
      <w:marTop w:val="0"/>
      <w:marBottom w:val="0"/>
      <w:divBdr>
        <w:top w:val="none" w:sz="0" w:space="0" w:color="auto"/>
        <w:left w:val="none" w:sz="0" w:space="0" w:color="auto"/>
        <w:bottom w:val="none" w:sz="0" w:space="0" w:color="auto"/>
        <w:right w:val="none" w:sz="0" w:space="0" w:color="auto"/>
      </w:divBdr>
    </w:div>
    <w:div w:id="1021709318">
      <w:bodyDiv w:val="1"/>
      <w:marLeft w:val="0"/>
      <w:marRight w:val="0"/>
      <w:marTop w:val="0"/>
      <w:marBottom w:val="0"/>
      <w:divBdr>
        <w:top w:val="none" w:sz="0" w:space="0" w:color="auto"/>
        <w:left w:val="none" w:sz="0" w:space="0" w:color="auto"/>
        <w:bottom w:val="none" w:sz="0" w:space="0" w:color="auto"/>
        <w:right w:val="none" w:sz="0" w:space="0" w:color="auto"/>
      </w:divBdr>
    </w:div>
    <w:div w:id="1025784778">
      <w:bodyDiv w:val="1"/>
      <w:marLeft w:val="0"/>
      <w:marRight w:val="0"/>
      <w:marTop w:val="0"/>
      <w:marBottom w:val="0"/>
      <w:divBdr>
        <w:top w:val="none" w:sz="0" w:space="0" w:color="auto"/>
        <w:left w:val="none" w:sz="0" w:space="0" w:color="auto"/>
        <w:bottom w:val="none" w:sz="0" w:space="0" w:color="auto"/>
        <w:right w:val="none" w:sz="0" w:space="0" w:color="auto"/>
      </w:divBdr>
    </w:div>
    <w:div w:id="1044406500">
      <w:bodyDiv w:val="1"/>
      <w:marLeft w:val="0"/>
      <w:marRight w:val="0"/>
      <w:marTop w:val="0"/>
      <w:marBottom w:val="0"/>
      <w:divBdr>
        <w:top w:val="none" w:sz="0" w:space="0" w:color="auto"/>
        <w:left w:val="none" w:sz="0" w:space="0" w:color="auto"/>
        <w:bottom w:val="none" w:sz="0" w:space="0" w:color="auto"/>
        <w:right w:val="none" w:sz="0" w:space="0" w:color="auto"/>
      </w:divBdr>
    </w:div>
    <w:div w:id="1196119329">
      <w:bodyDiv w:val="1"/>
      <w:marLeft w:val="0"/>
      <w:marRight w:val="0"/>
      <w:marTop w:val="0"/>
      <w:marBottom w:val="0"/>
      <w:divBdr>
        <w:top w:val="none" w:sz="0" w:space="0" w:color="auto"/>
        <w:left w:val="none" w:sz="0" w:space="0" w:color="auto"/>
        <w:bottom w:val="none" w:sz="0" w:space="0" w:color="auto"/>
        <w:right w:val="none" w:sz="0" w:space="0" w:color="auto"/>
      </w:divBdr>
    </w:div>
    <w:div w:id="1226986095">
      <w:bodyDiv w:val="1"/>
      <w:marLeft w:val="0"/>
      <w:marRight w:val="0"/>
      <w:marTop w:val="0"/>
      <w:marBottom w:val="0"/>
      <w:divBdr>
        <w:top w:val="none" w:sz="0" w:space="0" w:color="auto"/>
        <w:left w:val="none" w:sz="0" w:space="0" w:color="auto"/>
        <w:bottom w:val="none" w:sz="0" w:space="0" w:color="auto"/>
        <w:right w:val="none" w:sz="0" w:space="0" w:color="auto"/>
      </w:divBdr>
    </w:div>
    <w:div w:id="1262764717">
      <w:bodyDiv w:val="1"/>
      <w:marLeft w:val="0"/>
      <w:marRight w:val="0"/>
      <w:marTop w:val="0"/>
      <w:marBottom w:val="0"/>
      <w:divBdr>
        <w:top w:val="none" w:sz="0" w:space="0" w:color="auto"/>
        <w:left w:val="none" w:sz="0" w:space="0" w:color="auto"/>
        <w:bottom w:val="none" w:sz="0" w:space="0" w:color="auto"/>
        <w:right w:val="none" w:sz="0" w:space="0" w:color="auto"/>
      </w:divBdr>
    </w:div>
    <w:div w:id="1295140624">
      <w:bodyDiv w:val="1"/>
      <w:marLeft w:val="0"/>
      <w:marRight w:val="0"/>
      <w:marTop w:val="0"/>
      <w:marBottom w:val="0"/>
      <w:divBdr>
        <w:top w:val="none" w:sz="0" w:space="0" w:color="auto"/>
        <w:left w:val="none" w:sz="0" w:space="0" w:color="auto"/>
        <w:bottom w:val="none" w:sz="0" w:space="0" w:color="auto"/>
        <w:right w:val="none" w:sz="0" w:space="0" w:color="auto"/>
      </w:divBdr>
    </w:div>
    <w:div w:id="1426341680">
      <w:bodyDiv w:val="1"/>
      <w:marLeft w:val="0"/>
      <w:marRight w:val="0"/>
      <w:marTop w:val="0"/>
      <w:marBottom w:val="0"/>
      <w:divBdr>
        <w:top w:val="none" w:sz="0" w:space="0" w:color="auto"/>
        <w:left w:val="none" w:sz="0" w:space="0" w:color="auto"/>
        <w:bottom w:val="none" w:sz="0" w:space="0" w:color="auto"/>
        <w:right w:val="none" w:sz="0" w:space="0" w:color="auto"/>
      </w:divBdr>
    </w:div>
    <w:div w:id="1657227247">
      <w:bodyDiv w:val="1"/>
      <w:marLeft w:val="0"/>
      <w:marRight w:val="0"/>
      <w:marTop w:val="0"/>
      <w:marBottom w:val="0"/>
      <w:divBdr>
        <w:top w:val="none" w:sz="0" w:space="0" w:color="auto"/>
        <w:left w:val="none" w:sz="0" w:space="0" w:color="auto"/>
        <w:bottom w:val="none" w:sz="0" w:space="0" w:color="auto"/>
        <w:right w:val="none" w:sz="0" w:space="0" w:color="auto"/>
      </w:divBdr>
    </w:div>
    <w:div w:id="1665235078">
      <w:bodyDiv w:val="1"/>
      <w:marLeft w:val="0"/>
      <w:marRight w:val="0"/>
      <w:marTop w:val="0"/>
      <w:marBottom w:val="0"/>
      <w:divBdr>
        <w:top w:val="none" w:sz="0" w:space="0" w:color="auto"/>
        <w:left w:val="none" w:sz="0" w:space="0" w:color="auto"/>
        <w:bottom w:val="none" w:sz="0" w:space="0" w:color="auto"/>
        <w:right w:val="none" w:sz="0" w:space="0" w:color="auto"/>
      </w:divBdr>
    </w:div>
    <w:div w:id="1735933553">
      <w:bodyDiv w:val="1"/>
      <w:marLeft w:val="0"/>
      <w:marRight w:val="0"/>
      <w:marTop w:val="0"/>
      <w:marBottom w:val="0"/>
      <w:divBdr>
        <w:top w:val="none" w:sz="0" w:space="0" w:color="auto"/>
        <w:left w:val="none" w:sz="0" w:space="0" w:color="auto"/>
        <w:bottom w:val="none" w:sz="0" w:space="0" w:color="auto"/>
        <w:right w:val="none" w:sz="0" w:space="0" w:color="auto"/>
      </w:divBdr>
    </w:div>
    <w:div w:id="1886983867">
      <w:bodyDiv w:val="1"/>
      <w:marLeft w:val="0"/>
      <w:marRight w:val="0"/>
      <w:marTop w:val="0"/>
      <w:marBottom w:val="0"/>
      <w:divBdr>
        <w:top w:val="none" w:sz="0" w:space="0" w:color="auto"/>
        <w:left w:val="none" w:sz="0" w:space="0" w:color="auto"/>
        <w:bottom w:val="none" w:sz="0" w:space="0" w:color="auto"/>
        <w:right w:val="none" w:sz="0" w:space="0" w:color="auto"/>
      </w:divBdr>
    </w:div>
    <w:div w:id="2016105068">
      <w:bodyDiv w:val="1"/>
      <w:marLeft w:val="0"/>
      <w:marRight w:val="0"/>
      <w:marTop w:val="0"/>
      <w:marBottom w:val="0"/>
      <w:divBdr>
        <w:top w:val="none" w:sz="0" w:space="0" w:color="auto"/>
        <w:left w:val="none" w:sz="0" w:space="0" w:color="auto"/>
        <w:bottom w:val="none" w:sz="0" w:space="0" w:color="auto"/>
        <w:right w:val="none" w:sz="0" w:space="0" w:color="auto"/>
      </w:divBdr>
    </w:div>
    <w:div w:id="2083484448">
      <w:bodyDiv w:val="1"/>
      <w:marLeft w:val="0"/>
      <w:marRight w:val="0"/>
      <w:marTop w:val="0"/>
      <w:marBottom w:val="0"/>
      <w:divBdr>
        <w:top w:val="none" w:sz="0" w:space="0" w:color="auto"/>
        <w:left w:val="none" w:sz="0" w:space="0" w:color="auto"/>
        <w:bottom w:val="none" w:sz="0" w:space="0" w:color="auto"/>
        <w:right w:val="none" w:sz="0" w:space="0" w:color="auto"/>
      </w:divBdr>
    </w:div>
    <w:div w:id="2108190254">
      <w:bodyDiv w:val="1"/>
      <w:marLeft w:val="0"/>
      <w:marRight w:val="0"/>
      <w:marTop w:val="0"/>
      <w:marBottom w:val="0"/>
      <w:divBdr>
        <w:top w:val="none" w:sz="0" w:space="0" w:color="auto"/>
        <w:left w:val="none" w:sz="0" w:space="0" w:color="auto"/>
        <w:bottom w:val="none" w:sz="0" w:space="0" w:color="auto"/>
        <w:right w:val="none" w:sz="0" w:space="0" w:color="auto"/>
      </w:divBdr>
    </w:div>
    <w:div w:id="21201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6.png"/><Relationship Id="rId21" Type="http://schemas.openxmlformats.org/officeDocument/2006/relationships/hyperlink" Target="file:///I:\Wolfcamp%20Upscaling\thesis\Thesis%20draft.docx" TargetMode="External"/><Relationship Id="rId42" Type="http://schemas.openxmlformats.org/officeDocument/2006/relationships/hyperlink" Target="file:///I:\Wolfcamp%20Upscaling\thesis\Thesis%20draft.docx" TargetMode="External"/><Relationship Id="rId63" Type="http://schemas.openxmlformats.org/officeDocument/2006/relationships/hyperlink" Target="file:///I:\Wolfcamp%20Upscaling\thesis\Thesis%20draft.docx" TargetMode="External"/><Relationship Id="rId84" Type="http://schemas.openxmlformats.org/officeDocument/2006/relationships/image" Target="media/image17.png"/><Relationship Id="rId138" Type="http://schemas.openxmlformats.org/officeDocument/2006/relationships/hyperlink" Target="https://www.eia.gov/analysis/studies/drilling/pdf/upstream.pdf.%20March%202016" TargetMode="External"/><Relationship Id="rId107" Type="http://schemas.openxmlformats.org/officeDocument/2006/relationships/image" Target="media/image38.png"/><Relationship Id="rId11" Type="http://schemas.openxmlformats.org/officeDocument/2006/relationships/hyperlink" Target="file:///I:\Wolfcamp%20Upscaling\thesis\Thesis%20draft.docx" TargetMode="External"/><Relationship Id="rId32" Type="http://schemas.openxmlformats.org/officeDocument/2006/relationships/hyperlink" Target="file:///I:\Wolfcamp%20Upscaling\thesis\Thesis%20draft.docx" TargetMode="External"/><Relationship Id="rId37" Type="http://schemas.openxmlformats.org/officeDocument/2006/relationships/hyperlink" Target="file:///I:\Wolfcamp%20Upscaling\thesis\Thesis%20draft.docx" TargetMode="External"/><Relationship Id="rId53" Type="http://schemas.openxmlformats.org/officeDocument/2006/relationships/hyperlink" Target="file:///I:\Wolfcamp%20Upscaling\thesis\Thesis%20draft.docx" TargetMode="External"/><Relationship Id="rId58" Type="http://schemas.openxmlformats.org/officeDocument/2006/relationships/hyperlink" Target="file:///I:\Wolfcamp%20Upscaling\thesis\Thesis%20draft.docx" TargetMode="External"/><Relationship Id="rId74" Type="http://schemas.openxmlformats.org/officeDocument/2006/relationships/image" Target="media/image7.png"/><Relationship Id="rId79" Type="http://schemas.openxmlformats.org/officeDocument/2006/relationships/image" Target="media/image12.png"/><Relationship Id="rId102" Type="http://schemas.openxmlformats.org/officeDocument/2006/relationships/image" Target="media/image33.png"/><Relationship Id="rId123" Type="http://schemas.openxmlformats.org/officeDocument/2006/relationships/image" Target="media/image52.png"/><Relationship Id="rId128" Type="http://schemas.openxmlformats.org/officeDocument/2006/relationships/image" Target="media/image57.png"/><Relationship Id="rId5" Type="http://schemas.openxmlformats.org/officeDocument/2006/relationships/settings" Target="settings.xml"/><Relationship Id="rId90" Type="http://schemas.openxmlformats.org/officeDocument/2006/relationships/chart" Target="charts/chart2.xml"/><Relationship Id="rId95" Type="http://schemas.openxmlformats.org/officeDocument/2006/relationships/image" Target="media/image26.png"/><Relationship Id="rId22" Type="http://schemas.openxmlformats.org/officeDocument/2006/relationships/hyperlink" Target="file:///I:\Wolfcamp%20Upscaling\thesis\Thesis%20draft.docx" TargetMode="External"/><Relationship Id="rId27" Type="http://schemas.openxmlformats.org/officeDocument/2006/relationships/hyperlink" Target="file:///I:\Wolfcamp%20Upscaling\thesis\Thesis%20draft.docx" TargetMode="External"/><Relationship Id="rId43" Type="http://schemas.openxmlformats.org/officeDocument/2006/relationships/hyperlink" Target="file:///I:\Wolfcamp%20Upscaling\thesis\Thesis%20draft.docx" TargetMode="External"/><Relationship Id="rId48" Type="http://schemas.openxmlformats.org/officeDocument/2006/relationships/hyperlink" Target="file:///I:\Wolfcamp%20Upscaling\thesis\Thesis%20draft.docx" TargetMode="External"/><Relationship Id="rId64" Type="http://schemas.openxmlformats.org/officeDocument/2006/relationships/hyperlink" Target="file:///I:\Wolfcamp%20Upscaling\thesis\Thesis%20draft.docx" TargetMode="External"/><Relationship Id="rId69" Type="http://schemas.openxmlformats.org/officeDocument/2006/relationships/image" Target="media/image3.png"/><Relationship Id="rId113" Type="http://schemas.openxmlformats.org/officeDocument/2006/relationships/image" Target="media/image43.png"/><Relationship Id="rId118" Type="http://schemas.openxmlformats.org/officeDocument/2006/relationships/image" Target="media/image47.png"/><Relationship Id="rId134" Type="http://schemas.openxmlformats.org/officeDocument/2006/relationships/image" Target="media/image63.png"/><Relationship Id="rId139" Type="http://schemas.openxmlformats.org/officeDocument/2006/relationships/hyperlink" Target="https://www.eia.gov/todayinenergy/detail.php?id=27612" TargetMode="External"/><Relationship Id="rId80" Type="http://schemas.openxmlformats.org/officeDocument/2006/relationships/image" Target="media/image13.png"/><Relationship Id="rId85" Type="http://schemas.openxmlformats.org/officeDocument/2006/relationships/image" Target="media/image18.png"/><Relationship Id="rId12" Type="http://schemas.openxmlformats.org/officeDocument/2006/relationships/hyperlink" Target="file:///I:\Wolfcamp%20Upscaling\thesis\Thesis%20draft.docx" TargetMode="External"/><Relationship Id="rId17" Type="http://schemas.openxmlformats.org/officeDocument/2006/relationships/hyperlink" Target="file:///I:\Wolfcamp%20Upscaling\thesis\Thesis%20draft.docx" TargetMode="External"/><Relationship Id="rId33" Type="http://schemas.openxmlformats.org/officeDocument/2006/relationships/hyperlink" Target="file:///I:\Wolfcamp%20Upscaling\thesis\Thesis%20draft.docx" TargetMode="External"/><Relationship Id="rId38" Type="http://schemas.openxmlformats.org/officeDocument/2006/relationships/hyperlink" Target="file:///I:\Wolfcamp%20Upscaling\thesis\Thesis%20draft.docx" TargetMode="External"/><Relationship Id="rId59" Type="http://schemas.openxmlformats.org/officeDocument/2006/relationships/hyperlink" Target="file:///I:\Wolfcamp%20Upscaling\thesis\Thesis%20draft.docx" TargetMode="External"/><Relationship Id="rId103" Type="http://schemas.openxmlformats.org/officeDocument/2006/relationships/image" Target="media/image34.png"/><Relationship Id="rId108" Type="http://schemas.openxmlformats.org/officeDocument/2006/relationships/image" Target="media/image39.png"/><Relationship Id="rId124" Type="http://schemas.openxmlformats.org/officeDocument/2006/relationships/image" Target="media/image53.png"/><Relationship Id="rId129" Type="http://schemas.openxmlformats.org/officeDocument/2006/relationships/image" Target="media/image58.png"/><Relationship Id="rId54" Type="http://schemas.openxmlformats.org/officeDocument/2006/relationships/hyperlink" Target="file:///I:\Wolfcamp%20Upscaling\thesis\Thesis%20draft.docx" TargetMode="External"/><Relationship Id="rId70" Type="http://schemas.openxmlformats.org/officeDocument/2006/relationships/hyperlink" Target="http://www.eia.gov" TargetMode="External"/><Relationship Id="rId75" Type="http://schemas.openxmlformats.org/officeDocument/2006/relationships/image" Target="media/image8.png"/><Relationship Id="rId91" Type="http://schemas.openxmlformats.org/officeDocument/2006/relationships/image" Target="media/image22.png"/><Relationship Id="rId96" Type="http://schemas.openxmlformats.org/officeDocument/2006/relationships/image" Target="media/image27.pn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file:///I:\Wolfcamp%20Upscaling\thesis\Thesis%20draft.docx" TargetMode="External"/><Relationship Id="rId28" Type="http://schemas.openxmlformats.org/officeDocument/2006/relationships/hyperlink" Target="file:///I:\Wolfcamp%20Upscaling\thesis\Thesis%20draft.docx" TargetMode="External"/><Relationship Id="rId49" Type="http://schemas.openxmlformats.org/officeDocument/2006/relationships/hyperlink" Target="file:///I:\Wolfcamp%20Upscaling\thesis\Thesis%20draft.docx" TargetMode="External"/><Relationship Id="rId114" Type="http://schemas.openxmlformats.org/officeDocument/2006/relationships/chart" Target="charts/chart4.xml"/><Relationship Id="rId119" Type="http://schemas.openxmlformats.org/officeDocument/2006/relationships/image" Target="media/image48.png"/><Relationship Id="rId44" Type="http://schemas.openxmlformats.org/officeDocument/2006/relationships/hyperlink" Target="file:///I:\Wolfcamp%20Upscaling\thesis\Thesis%20draft.docx" TargetMode="External"/><Relationship Id="rId60" Type="http://schemas.openxmlformats.org/officeDocument/2006/relationships/hyperlink" Target="file:///I:\Wolfcamp%20Upscaling\thesis\Thesis%20draft.docx" TargetMode="External"/><Relationship Id="rId65" Type="http://schemas.openxmlformats.org/officeDocument/2006/relationships/hyperlink" Target="file:///I:\Wolfcamp%20Upscaling\thesis\Thesis%20draft.docx" TargetMode="External"/><Relationship Id="rId81" Type="http://schemas.openxmlformats.org/officeDocument/2006/relationships/image" Target="media/image14.png"/><Relationship Id="rId86" Type="http://schemas.openxmlformats.org/officeDocument/2006/relationships/image" Target="media/image19.png"/><Relationship Id="rId130" Type="http://schemas.openxmlformats.org/officeDocument/2006/relationships/image" Target="media/image59.png"/><Relationship Id="rId135" Type="http://schemas.openxmlformats.org/officeDocument/2006/relationships/image" Target="media/image64.png"/><Relationship Id="rId13" Type="http://schemas.openxmlformats.org/officeDocument/2006/relationships/hyperlink" Target="file:///I:\Wolfcamp%20Upscaling\thesis\Thesis%20draft.docx" TargetMode="External"/><Relationship Id="rId18" Type="http://schemas.openxmlformats.org/officeDocument/2006/relationships/hyperlink" Target="file:///I:\Wolfcamp%20Upscaling\thesis\Thesis%20draft.docx" TargetMode="External"/><Relationship Id="rId39" Type="http://schemas.openxmlformats.org/officeDocument/2006/relationships/hyperlink" Target="file:///I:\Wolfcamp%20Upscaling\thesis\Thesis%20draft.docx" TargetMode="External"/><Relationship Id="rId109" Type="http://schemas.openxmlformats.org/officeDocument/2006/relationships/chart" Target="charts/chart3.xml"/><Relationship Id="rId34" Type="http://schemas.openxmlformats.org/officeDocument/2006/relationships/hyperlink" Target="file:///I:\Wolfcamp%20Upscaling\thesis\Thesis%20draft.docx" TargetMode="External"/><Relationship Id="rId50" Type="http://schemas.openxmlformats.org/officeDocument/2006/relationships/hyperlink" Target="file:///I:\Wolfcamp%20Upscaling\thesis\Thesis%20draft.docx" TargetMode="External"/><Relationship Id="rId55" Type="http://schemas.openxmlformats.org/officeDocument/2006/relationships/hyperlink" Target="file:///I:\Wolfcamp%20Upscaling\thesis\Thesis%20draft.docx" TargetMode="External"/><Relationship Id="rId76" Type="http://schemas.openxmlformats.org/officeDocument/2006/relationships/image" Target="media/image9.png"/><Relationship Id="rId97" Type="http://schemas.openxmlformats.org/officeDocument/2006/relationships/image" Target="media/image28.png"/><Relationship Id="rId104" Type="http://schemas.openxmlformats.org/officeDocument/2006/relationships/image" Target="media/image35.png"/><Relationship Id="rId120" Type="http://schemas.openxmlformats.org/officeDocument/2006/relationships/image" Target="media/image49.png"/><Relationship Id="rId125" Type="http://schemas.openxmlformats.org/officeDocument/2006/relationships/image" Target="media/image54.png"/><Relationship Id="rId141"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image" Target="media/image4.png"/><Relationship Id="rId92" Type="http://schemas.openxmlformats.org/officeDocument/2006/relationships/image" Target="media/image23.png"/><Relationship Id="rId2" Type="http://schemas.openxmlformats.org/officeDocument/2006/relationships/numbering" Target="numbering.xml"/><Relationship Id="rId29" Type="http://schemas.openxmlformats.org/officeDocument/2006/relationships/hyperlink" Target="file:///I:\Wolfcamp%20Upscaling\thesis\Thesis%20draft.docx" TargetMode="External"/><Relationship Id="rId24" Type="http://schemas.openxmlformats.org/officeDocument/2006/relationships/hyperlink" Target="file:///I:\Wolfcamp%20Upscaling\thesis\Thesis%20draft.docx" TargetMode="External"/><Relationship Id="rId40" Type="http://schemas.openxmlformats.org/officeDocument/2006/relationships/hyperlink" Target="file:///I:\Wolfcamp%20Upscaling\thesis\Thesis%20draft.docx" TargetMode="External"/><Relationship Id="rId45" Type="http://schemas.openxmlformats.org/officeDocument/2006/relationships/hyperlink" Target="file:///I:\Wolfcamp%20Upscaling\thesis\Thesis%20draft.docx" TargetMode="External"/><Relationship Id="rId66" Type="http://schemas.openxmlformats.org/officeDocument/2006/relationships/hyperlink" Target="file:///I:\Wolfcamp%20Upscaling\thesis\Thesis%20draft.docx" TargetMode="External"/><Relationship Id="rId87" Type="http://schemas.openxmlformats.org/officeDocument/2006/relationships/image" Target="media/image20.png"/><Relationship Id="rId110" Type="http://schemas.openxmlformats.org/officeDocument/2006/relationships/image" Target="media/image40.png"/><Relationship Id="rId115" Type="http://schemas.openxmlformats.org/officeDocument/2006/relationships/image" Target="media/image44.png"/><Relationship Id="rId131" Type="http://schemas.openxmlformats.org/officeDocument/2006/relationships/image" Target="media/image60.png"/><Relationship Id="rId136" Type="http://schemas.openxmlformats.org/officeDocument/2006/relationships/image" Target="media/image65.png"/><Relationship Id="rId61" Type="http://schemas.openxmlformats.org/officeDocument/2006/relationships/hyperlink" Target="file:///I:\Wolfcamp%20Upscaling\thesis\Thesis%20draft.docx" TargetMode="External"/><Relationship Id="rId82" Type="http://schemas.openxmlformats.org/officeDocument/2006/relationships/image" Target="media/image15.png"/><Relationship Id="rId19" Type="http://schemas.openxmlformats.org/officeDocument/2006/relationships/hyperlink" Target="file:///I:\Wolfcamp%20Upscaling\thesis\Thesis%20draft.docx" TargetMode="External"/><Relationship Id="rId14" Type="http://schemas.openxmlformats.org/officeDocument/2006/relationships/hyperlink" Target="file:///I:\Wolfcamp%20Upscaling\thesis\Thesis%20draft.docx" TargetMode="External"/><Relationship Id="rId30" Type="http://schemas.openxmlformats.org/officeDocument/2006/relationships/hyperlink" Target="file:///I:\Wolfcamp%20Upscaling\thesis\Thesis%20draft.docx" TargetMode="External"/><Relationship Id="rId35" Type="http://schemas.openxmlformats.org/officeDocument/2006/relationships/hyperlink" Target="file:///I:\Wolfcamp%20Upscaling\thesis\Thesis%20draft.docx" TargetMode="External"/><Relationship Id="rId56" Type="http://schemas.openxmlformats.org/officeDocument/2006/relationships/hyperlink" Target="file:///I:\Wolfcamp%20Upscaling\thesis\Thesis%20draft.docx" TargetMode="External"/><Relationship Id="rId77" Type="http://schemas.openxmlformats.org/officeDocument/2006/relationships/image" Target="media/image10.png"/><Relationship Id="rId100" Type="http://schemas.openxmlformats.org/officeDocument/2006/relationships/image" Target="media/image31.png"/><Relationship Id="rId105" Type="http://schemas.openxmlformats.org/officeDocument/2006/relationships/image" Target="media/image36.png"/><Relationship Id="rId126"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hyperlink" Target="file:///I:\Wolfcamp%20Upscaling\thesis\Thesis%20draft.docx" TargetMode="External"/><Relationship Id="rId72" Type="http://schemas.openxmlformats.org/officeDocument/2006/relationships/image" Target="media/image5.png"/><Relationship Id="rId93" Type="http://schemas.openxmlformats.org/officeDocument/2006/relationships/image" Target="media/image24.png"/><Relationship Id="rId98" Type="http://schemas.openxmlformats.org/officeDocument/2006/relationships/image" Target="media/image29.png"/><Relationship Id="rId121" Type="http://schemas.openxmlformats.org/officeDocument/2006/relationships/image" Target="media/image50.png"/><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file:///I:\Wolfcamp%20Upscaling\thesis\Thesis%20draft.docx" TargetMode="External"/><Relationship Id="rId46" Type="http://schemas.openxmlformats.org/officeDocument/2006/relationships/hyperlink" Target="file:///I:\Wolfcamp%20Upscaling\thesis\Thesis%20draft.docx" TargetMode="External"/><Relationship Id="rId67" Type="http://schemas.openxmlformats.org/officeDocument/2006/relationships/hyperlink" Target="file:///I:\Wolfcamp%20Upscaling\thesis\Thesis%20draft.docx" TargetMode="External"/><Relationship Id="rId116" Type="http://schemas.openxmlformats.org/officeDocument/2006/relationships/image" Target="media/image45.png"/><Relationship Id="rId137" Type="http://schemas.openxmlformats.org/officeDocument/2006/relationships/image" Target="media/image66.png"/><Relationship Id="rId20" Type="http://schemas.openxmlformats.org/officeDocument/2006/relationships/hyperlink" Target="file:///I:\Wolfcamp%20Upscaling\thesis\Thesis%20draft.docx" TargetMode="External"/><Relationship Id="rId41" Type="http://schemas.openxmlformats.org/officeDocument/2006/relationships/hyperlink" Target="file:///I:\Wolfcamp%20Upscaling\thesis\Thesis%20draft.docx" TargetMode="External"/><Relationship Id="rId62" Type="http://schemas.openxmlformats.org/officeDocument/2006/relationships/hyperlink" Target="file:///I:\Wolfcamp%20Upscaling\thesis\Thesis%20draft.docx" TargetMode="External"/><Relationship Id="rId83" Type="http://schemas.openxmlformats.org/officeDocument/2006/relationships/image" Target="media/image16.png"/><Relationship Id="rId88" Type="http://schemas.openxmlformats.org/officeDocument/2006/relationships/image" Target="media/image21.png"/><Relationship Id="rId111" Type="http://schemas.openxmlformats.org/officeDocument/2006/relationships/image" Target="media/image41.png"/><Relationship Id="rId132" Type="http://schemas.openxmlformats.org/officeDocument/2006/relationships/image" Target="media/image61.png"/><Relationship Id="rId15" Type="http://schemas.openxmlformats.org/officeDocument/2006/relationships/hyperlink" Target="file:///I:\Wolfcamp%20Upscaling\thesis\Thesis%20draft.docx" TargetMode="External"/><Relationship Id="rId36" Type="http://schemas.openxmlformats.org/officeDocument/2006/relationships/hyperlink" Target="file:///I:\Wolfcamp%20Upscaling\thesis\Thesis%20draft.docx" TargetMode="External"/><Relationship Id="rId57" Type="http://schemas.openxmlformats.org/officeDocument/2006/relationships/hyperlink" Target="file:///I:\Wolfcamp%20Upscaling\thesis\Thesis%20draft.docx" TargetMode="External"/><Relationship Id="rId106" Type="http://schemas.openxmlformats.org/officeDocument/2006/relationships/image" Target="media/image37.png"/><Relationship Id="rId127" Type="http://schemas.openxmlformats.org/officeDocument/2006/relationships/image" Target="media/image56.png"/><Relationship Id="rId10" Type="http://schemas.openxmlformats.org/officeDocument/2006/relationships/hyperlink" Target="file:///I:\Wolfcamp%20Upscaling\thesis\Thesis%20draft.docx" TargetMode="External"/><Relationship Id="rId31" Type="http://schemas.openxmlformats.org/officeDocument/2006/relationships/hyperlink" Target="file:///I:\Wolfcamp%20Upscaling\thesis\Thesis%20draft.docx" TargetMode="External"/><Relationship Id="rId52" Type="http://schemas.openxmlformats.org/officeDocument/2006/relationships/hyperlink" Target="file:///I:\Wolfcamp%20Upscaling\thesis\Thesis%20draft.docx" TargetMode="External"/><Relationship Id="rId73" Type="http://schemas.openxmlformats.org/officeDocument/2006/relationships/image" Target="media/image6.png"/><Relationship Id="rId78" Type="http://schemas.openxmlformats.org/officeDocument/2006/relationships/image" Target="media/image11.png"/><Relationship Id="rId94" Type="http://schemas.openxmlformats.org/officeDocument/2006/relationships/image" Target="media/image25.png"/><Relationship Id="rId99" Type="http://schemas.openxmlformats.org/officeDocument/2006/relationships/image" Target="media/image30.png"/><Relationship Id="rId101" Type="http://schemas.openxmlformats.org/officeDocument/2006/relationships/image" Target="media/image32.png"/><Relationship Id="rId122" Type="http://schemas.openxmlformats.org/officeDocument/2006/relationships/image" Target="media/image51.png"/><Relationship Id="rId4" Type="http://schemas.microsoft.com/office/2007/relationships/stylesWithEffects" Target="stylesWithEffects.xml"/><Relationship Id="rId9" Type="http://schemas.openxmlformats.org/officeDocument/2006/relationships/hyperlink" Target="http://www.eia.gov" TargetMode="External"/><Relationship Id="rId26" Type="http://schemas.openxmlformats.org/officeDocument/2006/relationships/hyperlink" Target="file:///I:\Wolfcamp%20Upscaling\thesis\Thesis%20draft.docx" TargetMode="External"/><Relationship Id="rId47" Type="http://schemas.openxmlformats.org/officeDocument/2006/relationships/hyperlink" Target="file:///I:\Wolfcamp%20Upscaling\thesis\Thesis%20draft.docx" TargetMode="External"/><Relationship Id="rId68" Type="http://schemas.openxmlformats.org/officeDocument/2006/relationships/footer" Target="footer1.xml"/><Relationship Id="rId89" Type="http://schemas.openxmlformats.org/officeDocument/2006/relationships/chart" Target="charts/chart1.xml"/><Relationship Id="rId112" Type="http://schemas.openxmlformats.org/officeDocument/2006/relationships/image" Target="media/image42.png"/><Relationship Id="rId133" Type="http://schemas.openxmlformats.org/officeDocument/2006/relationships/image" Target="media/image62.png"/><Relationship Id="rId16" Type="http://schemas.openxmlformats.org/officeDocument/2006/relationships/hyperlink" Target="file:///I:\Wolfcamp%20Upscaling\thesis\Thesis%20draft.docx"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Sam\Downloads\Carbonat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m\Downloads\Carbonate.xlsx" TargetMode="Externa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0161854768154"/>
          <c:y val="5.1400554097404488E-2"/>
          <c:w val="0.72681714785651796"/>
          <c:h val="0.72312882764654418"/>
        </c:manualLayout>
      </c:layout>
      <c:scatterChart>
        <c:scatterStyle val="smoothMarker"/>
        <c:varyColors val="0"/>
        <c:ser>
          <c:idx val="0"/>
          <c:order val="0"/>
          <c:spPr>
            <a:ln w="19050" cap="rnd">
              <a:solidFill>
                <a:schemeClr val="accent1"/>
              </a:solidFill>
              <a:round/>
            </a:ln>
            <a:effectLst/>
          </c:spPr>
          <c:marker>
            <c:symbol val="none"/>
          </c:marker>
          <c:xVal>
            <c:numRef>
              <c:f>'AR&lt;0.4'!$G$25:$G$41</c:f>
              <c:numCache>
                <c:formatCode>General</c:formatCode>
                <c:ptCount val="17"/>
                <c:pt idx="0">
                  <c:v>125.89254117941677</c:v>
                </c:pt>
                <c:pt idx="1">
                  <c:v>158.48931924611153</c:v>
                </c:pt>
                <c:pt idx="2">
                  <c:v>199.52623149688802</c:v>
                </c:pt>
                <c:pt idx="3">
                  <c:v>251.18864315095806</c:v>
                </c:pt>
                <c:pt idx="4">
                  <c:v>316.22776601683825</c:v>
                </c:pt>
                <c:pt idx="5">
                  <c:v>398.10717055349761</c:v>
                </c:pt>
                <c:pt idx="6">
                  <c:v>501.18723362727269</c:v>
                </c:pt>
                <c:pt idx="7">
                  <c:v>630.95734448019323</c:v>
                </c:pt>
                <c:pt idx="8">
                  <c:v>794.32823472428208</c:v>
                </c:pt>
                <c:pt idx="9">
                  <c:v>1000</c:v>
                </c:pt>
                <c:pt idx="10">
                  <c:v>1258.925411794168</c:v>
                </c:pt>
                <c:pt idx="11">
                  <c:v>1584.8931924611156</c:v>
                </c:pt>
                <c:pt idx="12">
                  <c:v>1995.2623149688804</c:v>
                </c:pt>
                <c:pt idx="13">
                  <c:v>2511.8864315095811</c:v>
                </c:pt>
                <c:pt idx="14">
                  <c:v>3162.2776601683804</c:v>
                </c:pt>
                <c:pt idx="15">
                  <c:v>3981.0717055349769</c:v>
                </c:pt>
                <c:pt idx="16">
                  <c:v>5011.8723362727324</c:v>
                </c:pt>
              </c:numCache>
            </c:numRef>
          </c:xVal>
          <c:yVal>
            <c:numRef>
              <c:f>'AR&lt;0.4'!$H$25:$H$41</c:f>
              <c:numCache>
                <c:formatCode>General</c:formatCode>
                <c:ptCount val="17"/>
                <c:pt idx="0">
                  <c:v>38452.308080808078</c:v>
                </c:pt>
                <c:pt idx="1">
                  <c:v>35309.474747474749</c:v>
                </c:pt>
                <c:pt idx="2">
                  <c:v>31021.171717171717</c:v>
                </c:pt>
                <c:pt idx="3">
                  <c:v>25172.373737373739</c:v>
                </c:pt>
                <c:pt idx="4">
                  <c:v>17931.71212121212</c:v>
                </c:pt>
                <c:pt idx="5">
                  <c:v>11621.580808080807</c:v>
                </c:pt>
                <c:pt idx="6">
                  <c:v>6858.8383838383843</c:v>
                </c:pt>
                <c:pt idx="7">
                  <c:v>3679.3080808080808</c:v>
                </c:pt>
                <c:pt idx="8">
                  <c:v>1837.469696969697</c:v>
                </c:pt>
                <c:pt idx="9">
                  <c:v>858.88383838383834</c:v>
                </c:pt>
                <c:pt idx="10">
                  <c:v>339.88383838383839</c:v>
                </c:pt>
                <c:pt idx="11">
                  <c:v>171.25252525252526</c:v>
                </c:pt>
                <c:pt idx="12">
                  <c:v>52.424242424242422</c:v>
                </c:pt>
                <c:pt idx="13">
                  <c:v>16.6010101010101</c:v>
                </c:pt>
                <c:pt idx="14">
                  <c:v>5.2424242424242422</c:v>
                </c:pt>
                <c:pt idx="15">
                  <c:v>1.7474747474747474</c:v>
                </c:pt>
                <c:pt idx="16">
                  <c:v>0.8737373737373737</c:v>
                </c:pt>
              </c:numCache>
            </c:numRef>
          </c:yVal>
          <c:smooth val="1"/>
          <c:extLst xmlns:c16r2="http://schemas.microsoft.com/office/drawing/2015/06/chart">
            <c:ext xmlns:c16="http://schemas.microsoft.com/office/drawing/2014/chart" uri="{C3380CC4-5D6E-409C-BE32-E72D297353CC}">
              <c16:uniqueId val="{00000000-A8E9-4688-B41F-9A4BC4ACFB75}"/>
            </c:ext>
          </c:extLst>
        </c:ser>
        <c:dLbls>
          <c:showLegendKey val="0"/>
          <c:showVal val="0"/>
          <c:showCatName val="0"/>
          <c:showSerName val="0"/>
          <c:showPercent val="0"/>
          <c:showBubbleSize val="0"/>
        </c:dLbls>
        <c:axId val="108408192"/>
        <c:axId val="108408768"/>
      </c:scatterChart>
      <c:valAx>
        <c:axId val="108408192"/>
        <c:scaling>
          <c:logBase val="10"/>
          <c:orientation val="minMax"/>
          <c:min val="1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Radius, nm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08408768"/>
        <c:crosses val="autoZero"/>
        <c:crossBetween val="midCat"/>
      </c:valAx>
      <c:valAx>
        <c:axId val="108408768"/>
        <c:scaling>
          <c:logBase val="10"/>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Frequency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0840819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accent1"/>
              </a:solidFill>
              <a:round/>
            </a:ln>
            <a:effectLst/>
          </c:spPr>
          <c:marker>
            <c:symbol val="none"/>
          </c:marker>
          <c:xVal>
            <c:numRef>
              <c:f>'AR&lt;0.5'!$G$25:$G$41</c:f>
              <c:numCache>
                <c:formatCode>General</c:formatCode>
                <c:ptCount val="17"/>
                <c:pt idx="0">
                  <c:v>125.89254117941677</c:v>
                </c:pt>
                <c:pt idx="1">
                  <c:v>158.48931924611153</c:v>
                </c:pt>
                <c:pt idx="2">
                  <c:v>199.52623149688802</c:v>
                </c:pt>
                <c:pt idx="3">
                  <c:v>251.18864315095806</c:v>
                </c:pt>
                <c:pt idx="4">
                  <c:v>316.22776601683825</c:v>
                </c:pt>
                <c:pt idx="5">
                  <c:v>398.10717055349761</c:v>
                </c:pt>
                <c:pt idx="6">
                  <c:v>501.18723362727269</c:v>
                </c:pt>
                <c:pt idx="7">
                  <c:v>630.95734448019323</c:v>
                </c:pt>
                <c:pt idx="8">
                  <c:v>794.32823472428208</c:v>
                </c:pt>
                <c:pt idx="9">
                  <c:v>1000</c:v>
                </c:pt>
                <c:pt idx="10">
                  <c:v>1258.925411794168</c:v>
                </c:pt>
                <c:pt idx="11">
                  <c:v>1584.8931924611156</c:v>
                </c:pt>
                <c:pt idx="12">
                  <c:v>1995.2623149688804</c:v>
                </c:pt>
                <c:pt idx="13">
                  <c:v>2511.8864315095811</c:v>
                </c:pt>
                <c:pt idx="14">
                  <c:v>3162.2776601683804</c:v>
                </c:pt>
                <c:pt idx="15">
                  <c:v>3981.0717055349769</c:v>
                </c:pt>
                <c:pt idx="16">
                  <c:v>5011.8723362727324</c:v>
                </c:pt>
              </c:numCache>
            </c:numRef>
          </c:xVal>
          <c:yVal>
            <c:numRef>
              <c:f>'AR&lt;0.5'!$D$25:$D$41</c:f>
              <c:numCache>
                <c:formatCode>General</c:formatCode>
                <c:ptCount val="17"/>
                <c:pt idx="0">
                  <c:v>57710</c:v>
                </c:pt>
                <c:pt idx="1">
                  <c:v>52497</c:v>
                </c:pt>
                <c:pt idx="2">
                  <c:v>46209</c:v>
                </c:pt>
                <c:pt idx="3">
                  <c:v>38466</c:v>
                </c:pt>
                <c:pt idx="4">
                  <c:v>27892</c:v>
                </c:pt>
                <c:pt idx="5">
                  <c:v>18411</c:v>
                </c:pt>
                <c:pt idx="6">
                  <c:v>10808</c:v>
                </c:pt>
                <c:pt idx="7">
                  <c:v>5888</c:v>
                </c:pt>
                <c:pt idx="8">
                  <c:v>3010</c:v>
                </c:pt>
                <c:pt idx="9">
                  <c:v>1415</c:v>
                </c:pt>
                <c:pt idx="10">
                  <c:v>577</c:v>
                </c:pt>
                <c:pt idx="11">
                  <c:v>270</c:v>
                </c:pt>
                <c:pt idx="12">
                  <c:v>86</c:v>
                </c:pt>
                <c:pt idx="13">
                  <c:v>24</c:v>
                </c:pt>
                <c:pt idx="14">
                  <c:v>7</c:v>
                </c:pt>
                <c:pt idx="15">
                  <c:v>2</c:v>
                </c:pt>
                <c:pt idx="16">
                  <c:v>1</c:v>
                </c:pt>
              </c:numCache>
            </c:numRef>
          </c:yVal>
          <c:smooth val="1"/>
          <c:extLst xmlns:c16r2="http://schemas.microsoft.com/office/drawing/2015/06/chart">
            <c:ext xmlns:c16="http://schemas.microsoft.com/office/drawing/2014/chart" uri="{C3380CC4-5D6E-409C-BE32-E72D297353CC}">
              <c16:uniqueId val="{00000000-21B6-48D7-A562-44099CAE4AC9}"/>
            </c:ext>
          </c:extLst>
        </c:ser>
        <c:dLbls>
          <c:showLegendKey val="0"/>
          <c:showVal val="0"/>
          <c:showCatName val="0"/>
          <c:showSerName val="0"/>
          <c:showPercent val="0"/>
          <c:showBubbleSize val="0"/>
        </c:dLbls>
        <c:axId val="108410496"/>
        <c:axId val="138182656"/>
      </c:scatterChart>
      <c:valAx>
        <c:axId val="108410496"/>
        <c:scaling>
          <c:logBase val="10"/>
          <c:orientation val="minMax"/>
          <c:min val="100"/>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Radius, nm</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38182656"/>
        <c:crosses val="autoZero"/>
        <c:crossBetween val="midCat"/>
      </c:valAx>
      <c:valAx>
        <c:axId val="138182656"/>
        <c:scaling>
          <c:logBase val="10"/>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US" sz="1200" b="1"/>
                  <a:t>Frequency</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08410496"/>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smoothMarker"/>
        <c:varyColors val="0"/>
        <c:ser>
          <c:idx val="0"/>
          <c:order val="0"/>
          <c:tx>
            <c:v>Intrusion</c:v>
          </c:tx>
          <c:marker>
            <c:symbol val="none"/>
          </c:marker>
          <c:xVal>
            <c:numRef>
              <c:f>'1'!$P$26:$P$188</c:f>
              <c:numCache>
                <c:formatCode>General</c:formatCode>
                <c:ptCount val="163"/>
                <c:pt idx="0">
                  <c:v>4.4792289733886719</c:v>
                </c:pt>
                <c:pt idx="1">
                  <c:v>4.9882326126098633</c:v>
                </c:pt>
                <c:pt idx="2">
                  <c:v>5.2916922569274902</c:v>
                </c:pt>
                <c:pt idx="3">
                  <c:v>5.6030826568603516</c:v>
                </c:pt>
                <c:pt idx="4">
                  <c:v>5.9440908432006836</c:v>
                </c:pt>
                <c:pt idx="5">
                  <c:v>6.3012018203735352</c:v>
                </c:pt>
                <c:pt idx="6">
                  <c:v>6.6677818298339844</c:v>
                </c:pt>
                <c:pt idx="7">
                  <c:v>7.0685105323791504</c:v>
                </c:pt>
                <c:pt idx="8">
                  <c:v>7.4906835556030273</c:v>
                </c:pt>
                <c:pt idx="9">
                  <c:v>7.9311456680297852</c:v>
                </c:pt>
                <c:pt idx="10">
                  <c:v>8.4080219268798828</c:v>
                </c:pt>
                <c:pt idx="11">
                  <c:v>8.907557487487793</c:v>
                </c:pt>
                <c:pt idx="12">
                  <c:v>9.4376010894775391</c:v>
                </c:pt>
                <c:pt idx="13">
                  <c:v>10.002683639526367</c:v>
                </c:pt>
                <c:pt idx="14">
                  <c:v>10.593904495239258</c:v>
                </c:pt>
                <c:pt idx="15">
                  <c:v>11.225262641906738</c:v>
                </c:pt>
                <c:pt idx="16">
                  <c:v>11.896111488342285</c:v>
                </c:pt>
                <c:pt idx="17">
                  <c:v>12.596092224121094</c:v>
                </c:pt>
                <c:pt idx="18">
                  <c:v>13.35198974609375</c:v>
                </c:pt>
                <c:pt idx="19">
                  <c:v>14.143817901611328</c:v>
                </c:pt>
                <c:pt idx="20">
                  <c:v>14.988569259643555</c:v>
                </c:pt>
                <c:pt idx="21">
                  <c:v>15.868036270141602</c:v>
                </c:pt>
                <c:pt idx="22">
                  <c:v>16.809490203857422</c:v>
                </c:pt>
                <c:pt idx="23">
                  <c:v>17.802976608276367</c:v>
                </c:pt>
                <c:pt idx="24">
                  <c:v>18.868000030517578</c:v>
                </c:pt>
                <c:pt idx="25">
                  <c:v>19.975994110107422</c:v>
                </c:pt>
                <c:pt idx="26">
                  <c:v>21.166282653808594</c:v>
                </c:pt>
                <c:pt idx="27">
                  <c:v>22.416458129882812</c:v>
                </c:pt>
                <c:pt idx="28">
                  <c:v>23.745773315429688</c:v>
                </c:pt>
                <c:pt idx="29">
                  <c:v>25.156011581420898</c:v>
                </c:pt>
                <c:pt idx="30">
                  <c:v>26.651058197021484</c:v>
                </c:pt>
                <c:pt idx="31">
                  <c:v>28.731700897216797</c:v>
                </c:pt>
                <c:pt idx="32">
                  <c:v>30.070655822753906</c:v>
                </c:pt>
                <c:pt idx="33">
                  <c:v>32.293567657470703</c:v>
                </c:pt>
                <c:pt idx="34">
                  <c:v>34.436164855957031</c:v>
                </c:pt>
                <c:pt idx="35">
                  <c:v>36.47674560546875</c:v>
                </c:pt>
                <c:pt idx="36">
                  <c:v>38.628574371337891</c:v>
                </c:pt>
                <c:pt idx="37">
                  <c:v>40.677417755126953</c:v>
                </c:pt>
                <c:pt idx="38">
                  <c:v>43.321125030517578</c:v>
                </c:pt>
                <c:pt idx="39">
                  <c:v>46.655418395996094</c:v>
                </c:pt>
                <c:pt idx="40">
                  <c:v>48.716102600097656</c:v>
                </c:pt>
                <c:pt idx="41">
                  <c:v>51.818244934082031</c:v>
                </c:pt>
                <c:pt idx="42">
                  <c:v>55.403598785400391</c:v>
                </c:pt>
                <c:pt idx="43">
                  <c:v>58.224094390869141</c:v>
                </c:pt>
                <c:pt idx="44">
                  <c:v>62.226753234863281</c:v>
                </c:pt>
                <c:pt idx="45">
                  <c:v>65.757415771484375</c:v>
                </c:pt>
                <c:pt idx="46">
                  <c:v>69.396392822265625</c:v>
                </c:pt>
                <c:pt idx="47">
                  <c:v>74.098663330078125</c:v>
                </c:pt>
                <c:pt idx="48">
                  <c:v>77.876556396484375</c:v>
                </c:pt>
                <c:pt idx="49">
                  <c:v>83.087532043457031</c:v>
                </c:pt>
                <c:pt idx="50">
                  <c:v>87.927017211914063</c:v>
                </c:pt>
                <c:pt idx="51">
                  <c:v>93.529197692871094</c:v>
                </c:pt>
                <c:pt idx="52">
                  <c:v>99.166938781738281</c:v>
                </c:pt>
                <c:pt idx="53">
                  <c:v>104.95072174072266</c:v>
                </c:pt>
                <c:pt idx="54">
                  <c:v>111.74113464355469</c:v>
                </c:pt>
                <c:pt idx="55">
                  <c:v>117.55551147460937</c:v>
                </c:pt>
                <c:pt idx="56">
                  <c:v>125.23140716552734</c:v>
                </c:pt>
                <c:pt idx="57">
                  <c:v>132.37380981445312</c:v>
                </c:pt>
                <c:pt idx="58">
                  <c:v>140.60650634765625</c:v>
                </c:pt>
                <c:pt idx="59">
                  <c:v>148.82060241699219</c:v>
                </c:pt>
                <c:pt idx="60">
                  <c:v>157.87623596191406</c:v>
                </c:pt>
                <c:pt idx="61">
                  <c:v>166.59996032714844</c:v>
                </c:pt>
                <c:pt idx="62">
                  <c:v>176.49758911132812</c:v>
                </c:pt>
                <c:pt idx="63">
                  <c:v>187.15815734863281</c:v>
                </c:pt>
                <c:pt idx="64">
                  <c:v>198.61648559570312</c:v>
                </c:pt>
                <c:pt idx="65">
                  <c:v>210.215576171875</c:v>
                </c:pt>
                <c:pt idx="66">
                  <c:v>222.11793518066406</c:v>
                </c:pt>
                <c:pt idx="67">
                  <c:v>235.55416870117187</c:v>
                </c:pt>
                <c:pt idx="68">
                  <c:v>250.03550720214844</c:v>
                </c:pt>
                <c:pt idx="69">
                  <c:v>265.03494262695312</c:v>
                </c:pt>
                <c:pt idx="70">
                  <c:v>280.4615478515625</c:v>
                </c:pt>
                <c:pt idx="71">
                  <c:v>298.2030029296875</c:v>
                </c:pt>
                <c:pt idx="72">
                  <c:v>314.9317626953125</c:v>
                </c:pt>
                <c:pt idx="73">
                  <c:v>333.95785522460937</c:v>
                </c:pt>
                <c:pt idx="74">
                  <c:v>353.33135986328125</c:v>
                </c:pt>
                <c:pt idx="75">
                  <c:v>375.91766357421875</c:v>
                </c:pt>
                <c:pt idx="76">
                  <c:v>396.87042236328125</c:v>
                </c:pt>
                <c:pt idx="77">
                  <c:v>420.25357055664062</c:v>
                </c:pt>
                <c:pt idx="78">
                  <c:v>445.46868896484375</c:v>
                </c:pt>
                <c:pt idx="79">
                  <c:v>471.9617919921875</c:v>
                </c:pt>
                <c:pt idx="80">
                  <c:v>500.0601806640625</c:v>
                </c:pt>
                <c:pt idx="81">
                  <c:v>529.48370361328125</c:v>
                </c:pt>
                <c:pt idx="82">
                  <c:v>561.16998291015625</c:v>
                </c:pt>
                <c:pt idx="83">
                  <c:v>594.3048095703125</c:v>
                </c:pt>
                <c:pt idx="84">
                  <c:v>629.62359619140625</c:v>
                </c:pt>
                <c:pt idx="85">
                  <c:v>667.28680419921875</c:v>
                </c:pt>
                <c:pt idx="86">
                  <c:v>706.98211669921875</c:v>
                </c:pt>
                <c:pt idx="87">
                  <c:v>748.2967529296875</c:v>
                </c:pt>
                <c:pt idx="88">
                  <c:v>792.71124267578125</c:v>
                </c:pt>
                <c:pt idx="89">
                  <c:v>839.87774658203125</c:v>
                </c:pt>
                <c:pt idx="90">
                  <c:v>890.20233154296875</c:v>
                </c:pt>
                <c:pt idx="91">
                  <c:v>942.02349853515625</c:v>
                </c:pt>
                <c:pt idx="92">
                  <c:v>998.64532470703125</c:v>
                </c:pt>
                <c:pt idx="93">
                  <c:v>1058.1280517578125</c:v>
                </c:pt>
                <c:pt idx="94">
                  <c:v>1120.379638671875</c:v>
                </c:pt>
                <c:pt idx="95">
                  <c:v>1187.2288818359375</c:v>
                </c:pt>
                <c:pt idx="96">
                  <c:v>1257.4200439453125</c:v>
                </c:pt>
                <c:pt idx="97">
                  <c:v>1332.2574462890625</c:v>
                </c:pt>
                <c:pt idx="98">
                  <c:v>1411.3619384765625</c:v>
                </c:pt>
                <c:pt idx="99">
                  <c:v>1494.6273193359375</c:v>
                </c:pt>
                <c:pt idx="100">
                  <c:v>1582.4947509765625</c:v>
                </c:pt>
                <c:pt idx="101">
                  <c:v>1676.495361328125</c:v>
                </c:pt>
                <c:pt idx="102">
                  <c:v>1777.0711669921875</c:v>
                </c:pt>
                <c:pt idx="103">
                  <c:v>1882.2874755859375</c:v>
                </c:pt>
                <c:pt idx="104">
                  <c:v>1993.1817626953125</c:v>
                </c:pt>
                <c:pt idx="105">
                  <c:v>2111.576171875</c:v>
                </c:pt>
                <c:pt idx="106">
                  <c:v>2237.068115234375</c:v>
                </c:pt>
                <c:pt idx="107">
                  <c:v>2369.137451171875</c:v>
                </c:pt>
                <c:pt idx="108">
                  <c:v>2510.3583984375</c:v>
                </c:pt>
                <c:pt idx="109">
                  <c:v>2658.74609375</c:v>
                </c:pt>
                <c:pt idx="110">
                  <c:v>2816.30859375</c:v>
                </c:pt>
                <c:pt idx="111">
                  <c:v>2982.569580078125</c:v>
                </c:pt>
                <c:pt idx="112">
                  <c:v>3160.2666015625</c:v>
                </c:pt>
                <c:pt idx="113">
                  <c:v>3345.15283203125</c:v>
                </c:pt>
                <c:pt idx="114">
                  <c:v>3546.582275390625</c:v>
                </c:pt>
                <c:pt idx="115">
                  <c:v>3756.755126953125</c:v>
                </c:pt>
                <c:pt idx="116">
                  <c:v>3979.489013671875</c:v>
                </c:pt>
                <c:pt idx="117">
                  <c:v>4213.0908203125</c:v>
                </c:pt>
                <c:pt idx="118">
                  <c:v>4465.79296875</c:v>
                </c:pt>
                <c:pt idx="119">
                  <c:v>4727.6650390625</c:v>
                </c:pt>
                <c:pt idx="120">
                  <c:v>5006.12646484375</c:v>
                </c:pt>
                <c:pt idx="121">
                  <c:v>5303.908203125</c:v>
                </c:pt>
                <c:pt idx="122">
                  <c:v>5619.06298828125</c:v>
                </c:pt>
                <c:pt idx="123">
                  <c:v>5951.0244140625</c:v>
                </c:pt>
                <c:pt idx="124">
                  <c:v>6303.8798828125</c:v>
                </c:pt>
                <c:pt idx="125">
                  <c:v>6679.72998046875</c:v>
                </c:pt>
                <c:pt idx="126">
                  <c:v>7073.44970703125</c:v>
                </c:pt>
                <c:pt idx="127">
                  <c:v>7495.71533203125</c:v>
                </c:pt>
                <c:pt idx="128">
                  <c:v>7938.5244140625</c:v>
                </c:pt>
                <c:pt idx="129">
                  <c:v>8410.2109375</c:v>
                </c:pt>
                <c:pt idx="130">
                  <c:v>8907.1484375</c:v>
                </c:pt>
                <c:pt idx="131">
                  <c:v>9435.0263671875</c:v>
                </c:pt>
                <c:pt idx="132">
                  <c:v>9995.33984375</c:v>
                </c:pt>
                <c:pt idx="133">
                  <c:v>11217.515625</c:v>
                </c:pt>
                <c:pt idx="134">
                  <c:v>11880.4853515625</c:v>
                </c:pt>
                <c:pt idx="135">
                  <c:v>12584.3125</c:v>
                </c:pt>
                <c:pt idx="136">
                  <c:v>13329.103515625</c:v>
                </c:pt>
                <c:pt idx="137">
                  <c:v>14119.5322265625</c:v>
                </c:pt>
                <c:pt idx="138">
                  <c:v>14957.3388671875</c:v>
                </c:pt>
                <c:pt idx="139">
                  <c:v>15843.7255859375</c:v>
                </c:pt>
                <c:pt idx="140">
                  <c:v>16782.443359375</c:v>
                </c:pt>
                <c:pt idx="141">
                  <c:v>17788.126953125</c:v>
                </c:pt>
                <c:pt idx="142">
                  <c:v>18830.537109375</c:v>
                </c:pt>
                <c:pt idx="143">
                  <c:v>19947.958984375</c:v>
                </c:pt>
                <c:pt idx="144">
                  <c:v>21129.9296875</c:v>
                </c:pt>
                <c:pt idx="145">
                  <c:v>22382.66796875</c:v>
                </c:pt>
                <c:pt idx="146">
                  <c:v>23709.919921875</c:v>
                </c:pt>
                <c:pt idx="147">
                  <c:v>25114.9296875</c:v>
                </c:pt>
                <c:pt idx="148">
                  <c:v>26603.431640625</c:v>
                </c:pt>
                <c:pt idx="149">
                  <c:v>28180.064453125</c:v>
                </c:pt>
                <c:pt idx="150">
                  <c:v>29851.51171875</c:v>
                </c:pt>
                <c:pt idx="151">
                  <c:v>31619.765625</c:v>
                </c:pt>
                <c:pt idx="152">
                  <c:v>33493.1484375</c:v>
                </c:pt>
                <c:pt idx="153">
                  <c:v>35479.42578125</c:v>
                </c:pt>
                <c:pt idx="154">
                  <c:v>37582.17578125</c:v>
                </c:pt>
                <c:pt idx="155">
                  <c:v>39809.0234375</c:v>
                </c:pt>
                <c:pt idx="156">
                  <c:v>42166.66796875</c:v>
                </c:pt>
                <c:pt idx="157">
                  <c:v>44666.5</c:v>
                </c:pt>
                <c:pt idx="158">
                  <c:v>47313.19140625</c:v>
                </c:pt>
                <c:pt idx="159">
                  <c:v>50117.3125</c:v>
                </c:pt>
                <c:pt idx="160">
                  <c:v>53084.4140625</c:v>
                </c:pt>
                <c:pt idx="161">
                  <c:v>56226.37109375</c:v>
                </c:pt>
                <c:pt idx="162">
                  <c:v>59554.8359375</c:v>
                </c:pt>
              </c:numCache>
            </c:numRef>
          </c:xVal>
          <c:yVal>
            <c:numRef>
              <c:f>'1'!$Q$26:$Q$188</c:f>
              <c:numCache>
                <c:formatCode>General</c:formatCode>
                <c:ptCount val="16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6.3226807469618507E-6</c:v>
                </c:pt>
                <c:pt idx="25">
                  <c:v>1.4485470273939427E-5</c:v>
                </c:pt>
                <c:pt idx="26">
                  <c:v>4.637324673240073E-5</c:v>
                </c:pt>
                <c:pt idx="27">
                  <c:v>4.637324673240073E-5</c:v>
                </c:pt>
                <c:pt idx="28">
                  <c:v>7.5469150033313781E-5</c:v>
                </c:pt>
                <c:pt idx="29">
                  <c:v>9.1162823082413524E-5</c:v>
                </c:pt>
                <c:pt idx="30">
                  <c:v>9.1162823082413524E-5</c:v>
                </c:pt>
                <c:pt idx="31">
                  <c:v>9.1162823082413524E-5</c:v>
                </c:pt>
                <c:pt idx="32">
                  <c:v>9.1162823082413524E-5</c:v>
                </c:pt>
                <c:pt idx="33">
                  <c:v>9.1162823082413524E-5</c:v>
                </c:pt>
                <c:pt idx="34">
                  <c:v>9.1162823082413524E-5</c:v>
                </c:pt>
                <c:pt idx="35">
                  <c:v>9.1162823082413524E-5</c:v>
                </c:pt>
                <c:pt idx="36">
                  <c:v>9.1162823082413524E-5</c:v>
                </c:pt>
                <c:pt idx="37">
                  <c:v>9.1162823082413524E-5</c:v>
                </c:pt>
                <c:pt idx="38">
                  <c:v>9.1162823082413524E-5</c:v>
                </c:pt>
                <c:pt idx="39">
                  <c:v>9.1162823082413524E-5</c:v>
                </c:pt>
                <c:pt idx="40">
                  <c:v>9.1162823082413524E-5</c:v>
                </c:pt>
                <c:pt idx="41">
                  <c:v>1.2368262105155736E-4</c:v>
                </c:pt>
                <c:pt idx="42">
                  <c:v>1.7499439127277583E-4</c:v>
                </c:pt>
                <c:pt idx="43">
                  <c:v>2.2512598661705852E-4</c:v>
                </c:pt>
                <c:pt idx="44">
                  <c:v>2.5912423734553158E-4</c:v>
                </c:pt>
                <c:pt idx="45">
                  <c:v>2.8969105915166438E-4</c:v>
                </c:pt>
                <c:pt idx="46">
                  <c:v>3.3565689227543771E-4</c:v>
                </c:pt>
                <c:pt idx="47">
                  <c:v>4.3146521784365177E-4</c:v>
                </c:pt>
                <c:pt idx="48">
                  <c:v>4.884221707470715E-4</c:v>
                </c:pt>
                <c:pt idx="49">
                  <c:v>5.1085388986393809E-4</c:v>
                </c:pt>
                <c:pt idx="50">
                  <c:v>5.6149775628000498E-4</c:v>
                </c:pt>
                <c:pt idx="51">
                  <c:v>5.9182813856750727E-4</c:v>
                </c:pt>
                <c:pt idx="52">
                  <c:v>6.2524690292775631E-4</c:v>
                </c:pt>
                <c:pt idx="53">
                  <c:v>6.5591977909207344E-4</c:v>
                </c:pt>
                <c:pt idx="54">
                  <c:v>6.7023152951151133E-4</c:v>
                </c:pt>
                <c:pt idx="55">
                  <c:v>7.1296666283160448E-4</c:v>
                </c:pt>
                <c:pt idx="56">
                  <c:v>7.4599176878109574E-4</c:v>
                </c:pt>
                <c:pt idx="57">
                  <c:v>7.9716002801433206E-4</c:v>
                </c:pt>
                <c:pt idx="58">
                  <c:v>8.1822159700095654E-4</c:v>
                </c:pt>
                <c:pt idx="59">
                  <c:v>8.869707235135138E-4</c:v>
                </c:pt>
                <c:pt idx="60">
                  <c:v>9.1482966672629118E-4</c:v>
                </c:pt>
                <c:pt idx="61">
                  <c:v>9.5180736389011145E-4</c:v>
                </c:pt>
                <c:pt idx="62">
                  <c:v>9.927842766046524E-4</c:v>
                </c:pt>
                <c:pt idx="63">
                  <c:v>1.022941549308598E-3</c:v>
                </c:pt>
                <c:pt idx="64">
                  <c:v>1.060373499058187E-3</c:v>
                </c:pt>
                <c:pt idx="65">
                  <c:v>1.0784169426187873E-3</c:v>
                </c:pt>
                <c:pt idx="66">
                  <c:v>1.1179448338225484E-3</c:v>
                </c:pt>
                <c:pt idx="67">
                  <c:v>1.1584723833948374E-3</c:v>
                </c:pt>
                <c:pt idx="68">
                  <c:v>1.1862160172313452E-3</c:v>
                </c:pt>
                <c:pt idx="69">
                  <c:v>1.231874106451869E-3</c:v>
                </c:pt>
                <c:pt idx="70">
                  <c:v>1.2828124454244971E-3</c:v>
                </c:pt>
                <c:pt idx="71">
                  <c:v>1.3113418826833367E-3</c:v>
                </c:pt>
                <c:pt idx="72">
                  <c:v>1.3529382413253188E-3</c:v>
                </c:pt>
                <c:pt idx="73">
                  <c:v>1.4044685522094369E-3</c:v>
                </c:pt>
                <c:pt idx="74">
                  <c:v>1.4161550207063556E-3</c:v>
                </c:pt>
                <c:pt idx="75">
                  <c:v>1.4757340541109443E-3</c:v>
                </c:pt>
                <c:pt idx="76">
                  <c:v>1.5120822936296463E-3</c:v>
                </c:pt>
                <c:pt idx="77">
                  <c:v>1.534602721221745E-3</c:v>
                </c:pt>
                <c:pt idx="78">
                  <c:v>1.5829562908038497E-3</c:v>
                </c:pt>
                <c:pt idx="79">
                  <c:v>1.6177580691874027E-3</c:v>
                </c:pt>
                <c:pt idx="80">
                  <c:v>1.6580400988459587E-3</c:v>
                </c:pt>
                <c:pt idx="81">
                  <c:v>1.708208816125989E-3</c:v>
                </c:pt>
                <c:pt idx="82">
                  <c:v>1.7491742037236691E-3</c:v>
                </c:pt>
                <c:pt idx="83">
                  <c:v>1.7809905111789703E-3</c:v>
                </c:pt>
                <c:pt idx="84">
                  <c:v>1.8196497112512589E-3</c:v>
                </c:pt>
                <c:pt idx="85">
                  <c:v>1.8773531774058938E-3</c:v>
                </c:pt>
                <c:pt idx="86">
                  <c:v>1.9114782335236669E-3</c:v>
                </c:pt>
                <c:pt idx="87">
                  <c:v>1.9480601185932755E-3</c:v>
                </c:pt>
                <c:pt idx="88">
                  <c:v>2.0093230996280909E-3</c:v>
                </c:pt>
                <c:pt idx="89">
                  <c:v>2.0529956091195345E-3</c:v>
                </c:pt>
                <c:pt idx="90">
                  <c:v>2.0979009568691254E-3</c:v>
                </c:pt>
                <c:pt idx="91">
                  <c:v>2.1673650480806828E-3</c:v>
                </c:pt>
                <c:pt idx="92">
                  <c:v>2.2211936302483082E-3</c:v>
                </c:pt>
                <c:pt idx="93">
                  <c:v>2.2864977363497019E-3</c:v>
                </c:pt>
                <c:pt idx="94">
                  <c:v>2.329123904928565E-3</c:v>
                </c:pt>
                <c:pt idx="95">
                  <c:v>2.4034264497458935E-3</c:v>
                </c:pt>
                <c:pt idx="96">
                  <c:v>2.4682155344635248E-3</c:v>
                </c:pt>
                <c:pt idx="97">
                  <c:v>2.5191640015691519E-3</c:v>
                </c:pt>
                <c:pt idx="98">
                  <c:v>2.5819537695497274E-3</c:v>
                </c:pt>
                <c:pt idx="99">
                  <c:v>2.6358780451118946E-3</c:v>
                </c:pt>
                <c:pt idx="100">
                  <c:v>2.721286378800869E-3</c:v>
                </c:pt>
                <c:pt idx="101">
                  <c:v>2.778724767267704E-3</c:v>
                </c:pt>
                <c:pt idx="102">
                  <c:v>2.8516959864646196E-3</c:v>
                </c:pt>
                <c:pt idx="103">
                  <c:v>2.9269314836710691E-3</c:v>
                </c:pt>
                <c:pt idx="104">
                  <c:v>2.9996815137565136E-3</c:v>
                </c:pt>
                <c:pt idx="105">
                  <c:v>3.0836272053420544E-3</c:v>
                </c:pt>
                <c:pt idx="106">
                  <c:v>3.1686986330896616E-3</c:v>
                </c:pt>
                <c:pt idx="107">
                  <c:v>3.2558238599449396E-3</c:v>
                </c:pt>
                <c:pt idx="108">
                  <c:v>3.3540383446961641E-3</c:v>
                </c:pt>
                <c:pt idx="109">
                  <c:v>3.440892556682229E-3</c:v>
                </c:pt>
                <c:pt idx="110">
                  <c:v>3.5276408307254314E-3</c:v>
                </c:pt>
                <c:pt idx="111">
                  <c:v>3.6265926901251078E-3</c:v>
                </c:pt>
                <c:pt idx="112">
                  <c:v>3.7231277674436569E-3</c:v>
                </c:pt>
                <c:pt idx="113">
                  <c:v>3.8162295240908861E-3</c:v>
                </c:pt>
                <c:pt idx="114">
                  <c:v>3.9275661110877991E-3</c:v>
                </c:pt>
                <c:pt idx="115">
                  <c:v>4.0330407209694386E-3</c:v>
                </c:pt>
                <c:pt idx="116">
                  <c:v>4.1575152426958084E-3</c:v>
                </c:pt>
                <c:pt idx="117">
                  <c:v>4.2434618808329105E-3</c:v>
                </c:pt>
                <c:pt idx="118">
                  <c:v>4.3466701172292233E-3</c:v>
                </c:pt>
                <c:pt idx="119">
                  <c:v>4.4528148137032986E-3</c:v>
                </c:pt>
                <c:pt idx="120">
                  <c:v>4.5714373700320721E-3</c:v>
                </c:pt>
                <c:pt idx="121">
                  <c:v>4.6902298927307129E-3</c:v>
                </c:pt>
                <c:pt idx="122">
                  <c:v>4.8174392431974411E-3</c:v>
                </c:pt>
                <c:pt idx="123">
                  <c:v>4.9170181155204773E-3</c:v>
                </c:pt>
                <c:pt idx="124">
                  <c:v>5.0714793615043163E-3</c:v>
                </c:pt>
                <c:pt idx="125">
                  <c:v>5.2067022770643234E-3</c:v>
                </c:pt>
                <c:pt idx="126">
                  <c:v>5.3251688368618488E-3</c:v>
                </c:pt>
                <c:pt idx="127">
                  <c:v>5.4495818912982941E-3</c:v>
                </c:pt>
                <c:pt idx="128">
                  <c:v>5.637267604470253E-3</c:v>
                </c:pt>
                <c:pt idx="129">
                  <c:v>5.7587381452322006E-3</c:v>
                </c:pt>
                <c:pt idx="130">
                  <c:v>5.9151509776711464E-3</c:v>
                </c:pt>
                <c:pt idx="131">
                  <c:v>6.0829990543425083E-3</c:v>
                </c:pt>
                <c:pt idx="132">
                  <c:v>6.2337061390280724E-3</c:v>
                </c:pt>
                <c:pt idx="133">
                  <c:v>6.5972572192549706E-3</c:v>
                </c:pt>
                <c:pt idx="134">
                  <c:v>6.8026627413928509E-3</c:v>
                </c:pt>
                <c:pt idx="135">
                  <c:v>7.0483237504959106E-3</c:v>
                </c:pt>
                <c:pt idx="136">
                  <c:v>7.2330748662352562E-3</c:v>
                </c:pt>
                <c:pt idx="137">
                  <c:v>7.4752033688127995E-3</c:v>
                </c:pt>
                <c:pt idx="138">
                  <c:v>7.7436501160264015E-3</c:v>
                </c:pt>
                <c:pt idx="139">
                  <c:v>8.0237649381160736E-3</c:v>
                </c:pt>
                <c:pt idx="140">
                  <c:v>8.3079766482114792E-3</c:v>
                </c:pt>
                <c:pt idx="141">
                  <c:v>8.6497552692890167E-3</c:v>
                </c:pt>
                <c:pt idx="142">
                  <c:v>9.0180058032274246E-3</c:v>
                </c:pt>
                <c:pt idx="143">
                  <c:v>9.4383535906672478E-3</c:v>
                </c:pt>
                <c:pt idx="144">
                  <c:v>9.8632089793682098E-3</c:v>
                </c:pt>
                <c:pt idx="145">
                  <c:v>1.0400630533695221E-2</c:v>
                </c:pt>
                <c:pt idx="146">
                  <c:v>1.096018124371767E-2</c:v>
                </c:pt>
                <c:pt idx="147">
                  <c:v>1.1671374551951885E-2</c:v>
                </c:pt>
                <c:pt idx="148">
                  <c:v>1.2465618550777435E-2</c:v>
                </c:pt>
                <c:pt idx="149">
                  <c:v>1.3372495770454407E-2</c:v>
                </c:pt>
                <c:pt idx="150">
                  <c:v>1.4427878893911839E-2</c:v>
                </c:pt>
                <c:pt idx="151">
                  <c:v>1.5633240342140198E-2</c:v>
                </c:pt>
                <c:pt idx="152">
                  <c:v>1.6896268352866173E-2</c:v>
                </c:pt>
                <c:pt idx="153">
                  <c:v>1.8414853140711784E-2</c:v>
                </c:pt>
                <c:pt idx="154">
                  <c:v>1.9825464114546776E-2</c:v>
                </c:pt>
                <c:pt idx="155">
                  <c:v>2.1295281127095222E-2</c:v>
                </c:pt>
                <c:pt idx="156">
                  <c:v>2.2682012990117073E-2</c:v>
                </c:pt>
                <c:pt idx="157">
                  <c:v>2.4059977382421494E-2</c:v>
                </c:pt>
                <c:pt idx="158">
                  <c:v>2.5199536234140396E-2</c:v>
                </c:pt>
                <c:pt idx="159">
                  <c:v>2.6296420022845268E-2</c:v>
                </c:pt>
                <c:pt idx="160">
                  <c:v>2.7124132961034775E-2</c:v>
                </c:pt>
                <c:pt idx="161">
                  <c:v>2.7842054143548012E-2</c:v>
                </c:pt>
                <c:pt idx="162">
                  <c:v>2.8272319585084915E-2</c:v>
                </c:pt>
              </c:numCache>
            </c:numRef>
          </c:yVal>
          <c:smooth val="1"/>
          <c:extLst xmlns:c16r2="http://schemas.microsoft.com/office/drawing/2015/06/chart">
            <c:ext xmlns:c16="http://schemas.microsoft.com/office/drawing/2014/chart" uri="{C3380CC4-5D6E-409C-BE32-E72D297353CC}">
              <c16:uniqueId val="{00000000-0818-4BE9-93DE-38D56B53A481}"/>
            </c:ext>
          </c:extLst>
        </c:ser>
        <c:ser>
          <c:idx val="1"/>
          <c:order val="1"/>
          <c:tx>
            <c:v>Extrusion</c:v>
          </c:tx>
          <c:marker>
            <c:symbol val="none"/>
          </c:marker>
          <c:xVal>
            <c:numRef>
              <c:f>'1'!$R$26:$R$59</c:f>
              <c:numCache>
                <c:formatCode>General</c:formatCode>
                <c:ptCount val="34"/>
                <c:pt idx="0">
                  <c:v>59554.8359375</c:v>
                </c:pt>
                <c:pt idx="1">
                  <c:v>47318.67578125</c:v>
                </c:pt>
                <c:pt idx="2">
                  <c:v>29856.197265625</c:v>
                </c:pt>
                <c:pt idx="3">
                  <c:v>23714.923828125</c:v>
                </c:pt>
                <c:pt idx="4">
                  <c:v>18837.49609375</c:v>
                </c:pt>
                <c:pt idx="5">
                  <c:v>14962.8037109375</c:v>
                </c:pt>
                <c:pt idx="6">
                  <c:v>11886.369140625</c:v>
                </c:pt>
                <c:pt idx="7">
                  <c:v>9999.8203125</c:v>
                </c:pt>
                <c:pt idx="8">
                  <c:v>7943.662109375</c:v>
                </c:pt>
                <c:pt idx="9">
                  <c:v>5857.322265625</c:v>
                </c:pt>
                <c:pt idx="10">
                  <c:v>4731.7802734375</c:v>
                </c:pt>
                <c:pt idx="11">
                  <c:v>3759.80908203125</c:v>
                </c:pt>
                <c:pt idx="12">
                  <c:v>2987.934326171875</c:v>
                </c:pt>
                <c:pt idx="13">
                  <c:v>2367.398193359375</c:v>
                </c:pt>
                <c:pt idx="14">
                  <c:v>1882.684814453125</c:v>
                </c:pt>
                <c:pt idx="15">
                  <c:v>1497.017578125</c:v>
                </c:pt>
                <c:pt idx="16">
                  <c:v>1191.203857421875</c:v>
                </c:pt>
                <c:pt idx="17">
                  <c:v>1001.6812133789062</c:v>
                </c:pt>
                <c:pt idx="18">
                  <c:v>794.95294189453125</c:v>
                </c:pt>
                <c:pt idx="19">
                  <c:v>597.1396484375</c:v>
                </c:pt>
                <c:pt idx="20">
                  <c:v>474.81094360351562</c:v>
                </c:pt>
                <c:pt idx="21">
                  <c:v>374.98251342773437</c:v>
                </c:pt>
                <c:pt idx="22">
                  <c:v>299.35055541992187</c:v>
                </c:pt>
                <c:pt idx="23">
                  <c:v>237.65574645996094</c:v>
                </c:pt>
                <c:pt idx="24">
                  <c:v>188.90658569335937</c:v>
                </c:pt>
                <c:pt idx="25">
                  <c:v>151.20193481445312</c:v>
                </c:pt>
                <c:pt idx="26">
                  <c:v>119.57271575927734</c:v>
                </c:pt>
                <c:pt idx="27">
                  <c:v>100.68929290771484</c:v>
                </c:pt>
                <c:pt idx="28">
                  <c:v>79.695892333984375</c:v>
                </c:pt>
                <c:pt idx="29">
                  <c:v>60.393733978271484</c:v>
                </c:pt>
                <c:pt idx="30">
                  <c:v>48.335700988769531</c:v>
                </c:pt>
                <c:pt idx="31">
                  <c:v>30.413101196289063</c:v>
                </c:pt>
                <c:pt idx="32">
                  <c:v>23.867725372314453</c:v>
                </c:pt>
                <c:pt idx="33">
                  <c:v>19.787878036499023</c:v>
                </c:pt>
              </c:numCache>
            </c:numRef>
          </c:xVal>
          <c:yVal>
            <c:numRef>
              <c:f>'1'!$S$26:$S$59</c:f>
              <c:numCache>
                <c:formatCode>General</c:formatCode>
                <c:ptCount val="34"/>
                <c:pt idx="0">
                  <c:v>2.8272319585084915E-2</c:v>
                </c:pt>
                <c:pt idx="1">
                  <c:v>2.8242260217666626E-2</c:v>
                </c:pt>
                <c:pt idx="2">
                  <c:v>2.7545204386115074E-2</c:v>
                </c:pt>
                <c:pt idx="3">
                  <c:v>2.721739187836647E-2</c:v>
                </c:pt>
                <c:pt idx="4">
                  <c:v>2.6875954121351242E-2</c:v>
                </c:pt>
                <c:pt idx="5">
                  <c:v>2.6465862989425659E-2</c:v>
                </c:pt>
                <c:pt idx="6">
                  <c:v>2.6063280180096626E-2</c:v>
                </c:pt>
                <c:pt idx="7">
                  <c:v>2.5779109448194504E-2</c:v>
                </c:pt>
                <c:pt idx="8">
                  <c:v>2.5377528741955757E-2</c:v>
                </c:pt>
                <c:pt idx="9">
                  <c:v>2.4854138493537903E-2</c:v>
                </c:pt>
                <c:pt idx="10">
                  <c:v>2.4525495246052742E-2</c:v>
                </c:pt>
                <c:pt idx="11">
                  <c:v>2.4229204282164574E-2</c:v>
                </c:pt>
                <c:pt idx="12">
                  <c:v>2.3924229666590691E-2</c:v>
                </c:pt>
                <c:pt idx="13">
                  <c:v>2.3598847910761833E-2</c:v>
                </c:pt>
                <c:pt idx="14">
                  <c:v>2.3278625681996346E-2</c:v>
                </c:pt>
                <c:pt idx="15">
                  <c:v>2.2985739633440971E-2</c:v>
                </c:pt>
                <c:pt idx="16">
                  <c:v>2.2688329219818115E-2</c:v>
                </c:pt>
                <c:pt idx="17">
                  <c:v>2.2399649024009705E-2</c:v>
                </c:pt>
                <c:pt idx="18">
                  <c:v>2.2199276834726334E-2</c:v>
                </c:pt>
                <c:pt idx="19">
                  <c:v>2.1981313824653625E-2</c:v>
                </c:pt>
                <c:pt idx="20">
                  <c:v>2.1809486672282219E-2</c:v>
                </c:pt>
                <c:pt idx="21">
                  <c:v>2.164999395608902E-2</c:v>
                </c:pt>
                <c:pt idx="22">
                  <c:v>2.1518774330615997E-2</c:v>
                </c:pt>
                <c:pt idx="23">
                  <c:v>2.1393977105617523E-2</c:v>
                </c:pt>
                <c:pt idx="24">
                  <c:v>2.1286994218826294E-2</c:v>
                </c:pt>
                <c:pt idx="25">
                  <c:v>2.1179148927330971E-2</c:v>
                </c:pt>
                <c:pt idx="26">
                  <c:v>2.1101897582411766E-2</c:v>
                </c:pt>
                <c:pt idx="27">
                  <c:v>2.1026300266385078E-2</c:v>
                </c:pt>
                <c:pt idx="28">
                  <c:v>2.0933421328663826E-2</c:v>
                </c:pt>
                <c:pt idx="29">
                  <c:v>2.0849145948886871E-2</c:v>
                </c:pt>
                <c:pt idx="30">
                  <c:v>2.079010009765625E-2</c:v>
                </c:pt>
                <c:pt idx="31">
                  <c:v>2.066856250166893E-2</c:v>
                </c:pt>
                <c:pt idx="32">
                  <c:v>2.0608937367796898E-2</c:v>
                </c:pt>
                <c:pt idx="33">
                  <c:v>2.0551184192299843E-2</c:v>
                </c:pt>
              </c:numCache>
            </c:numRef>
          </c:yVal>
          <c:smooth val="1"/>
          <c:extLst xmlns:c16r2="http://schemas.microsoft.com/office/drawing/2015/06/chart">
            <c:ext xmlns:c16="http://schemas.microsoft.com/office/drawing/2014/chart" uri="{C3380CC4-5D6E-409C-BE32-E72D297353CC}">
              <c16:uniqueId val="{00000001-0818-4BE9-93DE-38D56B53A481}"/>
            </c:ext>
          </c:extLst>
        </c:ser>
        <c:dLbls>
          <c:showLegendKey val="0"/>
          <c:showVal val="0"/>
          <c:showCatName val="0"/>
          <c:showSerName val="0"/>
          <c:showPercent val="0"/>
          <c:showBubbleSize val="0"/>
        </c:dLbls>
        <c:axId val="138184960"/>
        <c:axId val="138185536"/>
      </c:scatterChart>
      <c:valAx>
        <c:axId val="138184960"/>
        <c:scaling>
          <c:orientation val="minMax"/>
          <c:max val="60000"/>
        </c:scaling>
        <c:delete val="0"/>
        <c:axPos val="b"/>
        <c:majorGridlines/>
        <c:title>
          <c:tx>
            <c:rich>
              <a:bodyPr/>
              <a:lstStyle/>
              <a:p>
                <a:pPr>
                  <a:defRPr sz="1400" b="1"/>
                </a:pPr>
                <a:r>
                  <a:rPr lang="en-US" sz="1400" b="1"/>
                  <a:t>Pressure, psi</a:t>
                </a:r>
              </a:p>
            </c:rich>
          </c:tx>
          <c:overlay val="0"/>
        </c:title>
        <c:numFmt formatCode="General" sourceLinked="1"/>
        <c:majorTickMark val="out"/>
        <c:minorTickMark val="none"/>
        <c:tickLblPos val="nextTo"/>
        <c:txPr>
          <a:bodyPr rot="0" vert="horz"/>
          <a:lstStyle/>
          <a:p>
            <a:pPr>
              <a:defRPr sz="1400" b="1" i="0" u="none" strike="noStrike" baseline="0">
                <a:solidFill>
                  <a:srgbClr val="000000"/>
                </a:solidFill>
                <a:latin typeface="Calibri"/>
                <a:ea typeface="Calibri"/>
                <a:cs typeface="Calibri"/>
              </a:defRPr>
            </a:pPr>
            <a:endParaRPr lang="en-US"/>
          </a:p>
        </c:txPr>
        <c:crossAx val="138185536"/>
        <c:crosses val="autoZero"/>
        <c:crossBetween val="midCat"/>
      </c:valAx>
      <c:valAx>
        <c:axId val="138185536"/>
        <c:scaling>
          <c:orientation val="minMax"/>
          <c:min val="0"/>
        </c:scaling>
        <c:delete val="0"/>
        <c:axPos val="l"/>
        <c:majorGridlines/>
        <c:title>
          <c:tx>
            <c:rich>
              <a:bodyPr rot="-5400000" vert="horz"/>
              <a:lstStyle/>
              <a:p>
                <a:pPr>
                  <a:defRPr sz="1400" b="1"/>
                </a:pPr>
                <a:r>
                  <a:rPr lang="en-US" sz="1400" b="1"/>
                  <a:t>Cumulative Hg volume, ml/g</a:t>
                </a:r>
              </a:p>
            </c:rich>
          </c:tx>
          <c:overlay val="0"/>
        </c:title>
        <c:numFmt formatCode="#,##0.000" sourceLinked="0"/>
        <c:majorTickMark val="out"/>
        <c:minorTickMark val="none"/>
        <c:tickLblPos val="nextTo"/>
        <c:txPr>
          <a:bodyPr rot="0" vert="horz"/>
          <a:lstStyle/>
          <a:p>
            <a:pPr>
              <a:defRPr sz="1400" b="1" i="0" u="none" strike="noStrike" baseline="0">
                <a:solidFill>
                  <a:srgbClr val="000000"/>
                </a:solidFill>
                <a:latin typeface="Calibri"/>
                <a:ea typeface="Calibri"/>
                <a:cs typeface="Calibri"/>
              </a:defRPr>
            </a:pPr>
            <a:endParaRPr lang="en-US"/>
          </a:p>
        </c:txPr>
        <c:crossAx val="138184960"/>
        <c:crosses val="autoZero"/>
        <c:crossBetween val="midCat"/>
      </c:valAx>
    </c:plotArea>
    <c:legend>
      <c:legendPos val="r"/>
      <c:overlay val="0"/>
      <c:txPr>
        <a:bodyPr/>
        <a:lstStyle/>
        <a:p>
          <a:pPr>
            <a:defRPr sz="1400" b="0" i="0" u="none" strike="noStrike" baseline="0">
              <a:solidFill>
                <a:srgbClr val="000000"/>
              </a:solidFill>
              <a:latin typeface="Calibri"/>
              <a:ea typeface="Calibri"/>
              <a:cs typeface="Calibri"/>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spPr>
            <a:ln w="28575">
              <a:noFill/>
            </a:ln>
          </c:spPr>
          <c:trendline>
            <c:trendlineType val="linear"/>
            <c:dispRSqr val="1"/>
            <c:dispEq val="0"/>
            <c:trendlineLbl>
              <c:layout>
                <c:manualLayout>
                  <c:x val="-6.6184980523357001E-2"/>
                  <c:y val="-1.1575886528015413E-5"/>
                </c:manualLayout>
              </c:layout>
              <c:numFmt formatCode="General" sourceLinked="0"/>
              <c:txPr>
                <a:bodyPr/>
                <a:lstStyle/>
                <a:p>
                  <a:pPr>
                    <a:defRPr sz="1400"/>
                  </a:pPr>
                  <a:endParaRPr lang="en-US"/>
                </a:p>
              </c:txPr>
            </c:trendlineLbl>
          </c:trendline>
          <c:xVal>
            <c:numRef>
              <c:f>'MICP SEM 1'!$D$3:$D$26</c:f>
              <c:numCache>
                <c:formatCode>General</c:formatCode>
                <c:ptCount val="24"/>
                <c:pt idx="0">
                  <c:v>98.549755106013706</c:v>
                </c:pt>
                <c:pt idx="1">
                  <c:v>65.8633071733626</c:v>
                </c:pt>
                <c:pt idx="3">
                  <c:v>29.418821608666736</c:v>
                </c:pt>
                <c:pt idx="4">
                  <c:v>49.388782349684384</c:v>
                </c:pt>
                <c:pt idx="5">
                  <c:v>33.011868992456336</c:v>
                </c:pt>
                <c:pt idx="7">
                  <c:v>34.963970528340759</c:v>
                </c:pt>
                <c:pt idx="9">
                  <c:v>55.411029881205408</c:v>
                </c:pt>
                <c:pt idx="10">
                  <c:v>46.623356512153308</c:v>
                </c:pt>
                <c:pt idx="11">
                  <c:v>58.695328296288821</c:v>
                </c:pt>
                <c:pt idx="12">
                  <c:v>29.418359406650147</c:v>
                </c:pt>
                <c:pt idx="15">
                  <c:v>41.55610536932199</c:v>
                </c:pt>
                <c:pt idx="16">
                  <c:v>52.316037064635537</c:v>
                </c:pt>
                <c:pt idx="17">
                  <c:v>37.037081636602373</c:v>
                </c:pt>
                <c:pt idx="18">
                  <c:v>46.618457884439373</c:v>
                </c:pt>
                <c:pt idx="19">
                  <c:v>31.158020831513479</c:v>
                </c:pt>
                <c:pt idx="20">
                  <c:v>39.225624206004383</c:v>
                </c:pt>
                <c:pt idx="21">
                  <c:v>65.86088136202946</c:v>
                </c:pt>
                <c:pt idx="22">
                  <c:v>65.86088136202946</c:v>
                </c:pt>
                <c:pt idx="23">
                  <c:v>37.040855829384697</c:v>
                </c:pt>
              </c:numCache>
            </c:numRef>
          </c:xVal>
          <c:yVal>
            <c:numRef>
              <c:f>'MICP SEM 1'!$C$3:$C$26</c:f>
              <c:numCache>
                <c:formatCode>General</c:formatCode>
                <c:ptCount val="24"/>
                <c:pt idx="0">
                  <c:v>2.0544861511552881E-2</c:v>
                </c:pt>
                <c:pt idx="1">
                  <c:v>2.0003087563964073E-2</c:v>
                </c:pt>
                <c:pt idx="3">
                  <c:v>1.8585765641432772E-2</c:v>
                </c:pt>
                <c:pt idx="5">
                  <c:v>1.8816686690319301E-2</c:v>
                </c:pt>
                <c:pt idx="7">
                  <c:v>1.9104273756965995E-2</c:v>
                </c:pt>
                <c:pt idx="9">
                  <c:v>1.98188691505502E-2</c:v>
                </c:pt>
                <c:pt idx="10">
                  <c:v>1.95236036777496E-2</c:v>
                </c:pt>
                <c:pt idx="11">
                  <c:v>1.95236036777496E-2</c:v>
                </c:pt>
                <c:pt idx="12">
                  <c:v>1.9107900559902191E-2</c:v>
                </c:pt>
                <c:pt idx="15">
                  <c:v>1.9370590627659112E-2</c:v>
                </c:pt>
                <c:pt idx="16">
                  <c:v>1.9370590627659112E-2</c:v>
                </c:pt>
                <c:pt idx="17">
                  <c:v>1.9110451747531343E-2</c:v>
                </c:pt>
                <c:pt idx="18">
                  <c:v>1.90889317499577E-2</c:v>
                </c:pt>
                <c:pt idx="19">
                  <c:v>1.8527738404998217E-2</c:v>
                </c:pt>
                <c:pt idx="20">
                  <c:v>1.8527738404998217E-2</c:v>
                </c:pt>
                <c:pt idx="21">
                  <c:v>1.9817140207147501E-2</c:v>
                </c:pt>
                <c:pt idx="22">
                  <c:v>1.9817140207147501E-2</c:v>
                </c:pt>
                <c:pt idx="23">
                  <c:v>1.8664009292592709E-2</c:v>
                </c:pt>
              </c:numCache>
            </c:numRef>
          </c:yVal>
          <c:smooth val="0"/>
          <c:extLst xmlns:c16r2="http://schemas.microsoft.com/office/drawing/2015/06/chart">
            <c:ext xmlns:c16="http://schemas.microsoft.com/office/drawing/2014/chart" uri="{C3380CC4-5D6E-409C-BE32-E72D297353CC}">
              <c16:uniqueId val="{00000001-B2E9-4E07-85C2-9787877F5561}"/>
            </c:ext>
          </c:extLst>
        </c:ser>
        <c:dLbls>
          <c:showLegendKey val="0"/>
          <c:showVal val="0"/>
          <c:showCatName val="0"/>
          <c:showSerName val="0"/>
          <c:showPercent val="0"/>
          <c:showBubbleSize val="0"/>
        </c:dLbls>
        <c:axId val="138190144"/>
        <c:axId val="138190848"/>
      </c:scatterChart>
      <c:valAx>
        <c:axId val="138190144"/>
        <c:scaling>
          <c:orientation val="minMax"/>
          <c:max val="100"/>
          <c:min val="20"/>
        </c:scaling>
        <c:delete val="0"/>
        <c:axPos val="b"/>
        <c:majorGridlines/>
        <c:title>
          <c:tx>
            <c:rich>
              <a:bodyPr/>
              <a:lstStyle/>
              <a:p>
                <a:pPr>
                  <a:defRPr sz="1400"/>
                </a:pPr>
                <a:r>
                  <a:rPr lang="en-US" sz="1400" dirty="0"/>
                  <a:t>Pore</a:t>
                </a:r>
                <a:r>
                  <a:rPr lang="en-US" sz="1400" baseline="0" dirty="0"/>
                  <a:t> Body/Pore Throat</a:t>
                </a:r>
                <a:endParaRPr lang="en-US" sz="1400" dirty="0"/>
              </a:p>
            </c:rich>
          </c:tx>
          <c:overlay val="0"/>
        </c:title>
        <c:numFmt formatCode="General" sourceLinked="1"/>
        <c:majorTickMark val="out"/>
        <c:minorTickMark val="none"/>
        <c:tickLblPos val="nextTo"/>
        <c:txPr>
          <a:bodyPr/>
          <a:lstStyle/>
          <a:p>
            <a:pPr>
              <a:defRPr sz="1400" b="1"/>
            </a:pPr>
            <a:endParaRPr lang="en-US"/>
          </a:p>
        </c:txPr>
        <c:crossAx val="138190848"/>
        <c:crosses val="autoZero"/>
        <c:crossBetween val="midCat"/>
      </c:valAx>
      <c:valAx>
        <c:axId val="138190848"/>
        <c:scaling>
          <c:orientation val="minMax"/>
        </c:scaling>
        <c:delete val="0"/>
        <c:axPos val="l"/>
        <c:majorGridlines/>
        <c:title>
          <c:tx>
            <c:rich>
              <a:bodyPr rot="-5400000" vert="horz"/>
              <a:lstStyle/>
              <a:p>
                <a:pPr>
                  <a:defRPr sz="1400"/>
                </a:pPr>
                <a:r>
                  <a:rPr lang="en-US" sz="1400"/>
                  <a:t>Difference between Intrusion and Extrusion</a:t>
                </a:r>
              </a:p>
            </c:rich>
          </c:tx>
          <c:overlay val="0"/>
        </c:title>
        <c:numFmt formatCode="#,##0.000" sourceLinked="0"/>
        <c:majorTickMark val="out"/>
        <c:minorTickMark val="none"/>
        <c:tickLblPos val="nextTo"/>
        <c:txPr>
          <a:bodyPr/>
          <a:lstStyle/>
          <a:p>
            <a:pPr>
              <a:defRPr sz="1400" b="1"/>
            </a:pPr>
            <a:endParaRPr lang="en-US"/>
          </a:p>
        </c:txPr>
        <c:crossAx val="138190144"/>
        <c:crosses val="autoZero"/>
        <c:crossBetween val="midCat"/>
        <c:minorUnit val="1.0000000000000002E-3"/>
      </c:valAx>
    </c:plotArea>
    <c:plotVisOnly val="1"/>
    <c:dispBlanksAs val="gap"/>
    <c:showDLblsOverMax val="0"/>
  </c:chart>
  <c:spPr>
    <a:ln>
      <a:noFill/>
    </a:ln>
  </c:sp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B19A4C3954384B5D889FD6EE689D1C7C"/>
        <w:category>
          <w:name w:val="General"/>
          <w:gallery w:val="placeholder"/>
        </w:category>
        <w:types>
          <w:type w:val="bbPlcHdr"/>
        </w:types>
        <w:behaviors>
          <w:behavior w:val="content"/>
        </w:behaviors>
        <w:guid w:val="{FC665A85-B667-467C-8CF9-DF35DE87800D}"/>
      </w:docPartPr>
      <w:docPartBody>
        <w:p w:rsidR="00943D0F" w:rsidRDefault="00DD17ED" w:rsidP="00DD17ED">
          <w:pPr>
            <w:pStyle w:val="B19A4C3954384B5D889FD6EE689D1C7C"/>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45235"/>
    <w:rsid w:val="00045235"/>
    <w:rsid w:val="00063D21"/>
    <w:rsid w:val="00151A9E"/>
    <w:rsid w:val="00185013"/>
    <w:rsid w:val="001924A2"/>
    <w:rsid w:val="001D26AE"/>
    <w:rsid w:val="001F1822"/>
    <w:rsid w:val="00260D6B"/>
    <w:rsid w:val="002B150C"/>
    <w:rsid w:val="002C67AF"/>
    <w:rsid w:val="002F2904"/>
    <w:rsid w:val="00303490"/>
    <w:rsid w:val="003153C5"/>
    <w:rsid w:val="00327900"/>
    <w:rsid w:val="00426967"/>
    <w:rsid w:val="00427CCB"/>
    <w:rsid w:val="004A7F1B"/>
    <w:rsid w:val="004F10EE"/>
    <w:rsid w:val="00531E93"/>
    <w:rsid w:val="0053599A"/>
    <w:rsid w:val="005B1D4A"/>
    <w:rsid w:val="005C08FC"/>
    <w:rsid w:val="005E5DB9"/>
    <w:rsid w:val="00617A9D"/>
    <w:rsid w:val="00662307"/>
    <w:rsid w:val="006D495C"/>
    <w:rsid w:val="00713126"/>
    <w:rsid w:val="007332C0"/>
    <w:rsid w:val="007838FE"/>
    <w:rsid w:val="007A15F9"/>
    <w:rsid w:val="007D11E5"/>
    <w:rsid w:val="0086030F"/>
    <w:rsid w:val="008809FC"/>
    <w:rsid w:val="008B7CFD"/>
    <w:rsid w:val="008C0287"/>
    <w:rsid w:val="008C532B"/>
    <w:rsid w:val="008D1845"/>
    <w:rsid w:val="00943536"/>
    <w:rsid w:val="00943D0F"/>
    <w:rsid w:val="009969A2"/>
    <w:rsid w:val="009A0D67"/>
    <w:rsid w:val="009A2AC3"/>
    <w:rsid w:val="009A7815"/>
    <w:rsid w:val="00A4381C"/>
    <w:rsid w:val="00A61758"/>
    <w:rsid w:val="00AD7AA9"/>
    <w:rsid w:val="00AF4E52"/>
    <w:rsid w:val="00B12DA6"/>
    <w:rsid w:val="00C10572"/>
    <w:rsid w:val="00CD4CDB"/>
    <w:rsid w:val="00DD17ED"/>
    <w:rsid w:val="00E13FE4"/>
    <w:rsid w:val="00E5448F"/>
    <w:rsid w:val="00E567F7"/>
    <w:rsid w:val="00E637F6"/>
    <w:rsid w:val="00F10572"/>
    <w:rsid w:val="00F77A20"/>
    <w:rsid w:val="00F86305"/>
    <w:rsid w:val="00FF5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0572"/>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B19A4C3954384B5D889FD6EE689D1C7C">
    <w:name w:val="B19A4C3954384B5D889FD6EE689D1C7C"/>
    <w:rsid w:val="00DD17ED"/>
  </w:style>
  <w:style w:type="paragraph" w:customStyle="1" w:styleId="039098CB4DE946F4B1275E80459572E7">
    <w:name w:val="039098CB4DE946F4B1275E80459572E7"/>
    <w:rsid w:val="00185013"/>
  </w:style>
  <w:style w:type="paragraph" w:customStyle="1" w:styleId="D22ED30D42424651908FB530B9D83938">
    <w:name w:val="D22ED30D42424651908FB530B9D83938"/>
    <w:rsid w:val="00C10572"/>
  </w:style>
  <w:style w:type="paragraph" w:customStyle="1" w:styleId="94929343131E4C9FA35999EEBE160B0B">
    <w:name w:val="94929343131E4C9FA35999EEBE160B0B"/>
    <w:rsid w:val="00C1057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Them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Them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069ECD-CE03-4C20-9842-6FD3354FC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106</Pages>
  <Words>17769</Words>
  <Characters>101289</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118821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Helios</cp:lastModifiedBy>
  <cp:revision>26</cp:revision>
  <cp:lastPrinted>2017-07-31T16:04:00Z</cp:lastPrinted>
  <dcterms:created xsi:type="dcterms:W3CDTF">2017-08-01T16:14:00Z</dcterms:created>
  <dcterms:modified xsi:type="dcterms:W3CDTF">2017-08-11T15:52:00Z</dcterms:modified>
</cp:coreProperties>
</file>