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34544" w14:textId="77777777" w:rsidR="007D7606" w:rsidRDefault="007D7606" w:rsidP="007D7606">
      <w:pPr>
        <w:jc w:val="center"/>
        <w:rPr>
          <w:sz w:val="24"/>
          <w:szCs w:val="24"/>
        </w:rPr>
      </w:pPr>
      <w:r>
        <w:rPr>
          <w:sz w:val="24"/>
          <w:szCs w:val="24"/>
        </w:rPr>
        <w:t>UNIVERSITY OF OKLAHOMA</w:t>
      </w:r>
    </w:p>
    <w:p w14:paraId="40B524C2" w14:textId="77777777" w:rsidR="007D7606" w:rsidRDefault="007D7606" w:rsidP="007D7606">
      <w:pPr>
        <w:jc w:val="center"/>
        <w:rPr>
          <w:sz w:val="24"/>
          <w:szCs w:val="24"/>
        </w:rPr>
      </w:pPr>
      <w:r>
        <w:rPr>
          <w:sz w:val="24"/>
          <w:szCs w:val="24"/>
        </w:rPr>
        <w:t>GRADUATE COLLEGE</w:t>
      </w:r>
    </w:p>
    <w:p w14:paraId="00500544" w14:textId="77777777" w:rsidR="007D7606" w:rsidRDefault="007D7606" w:rsidP="007D7606">
      <w:pPr>
        <w:jc w:val="center"/>
        <w:rPr>
          <w:sz w:val="24"/>
          <w:szCs w:val="24"/>
        </w:rPr>
      </w:pPr>
    </w:p>
    <w:p w14:paraId="18E6AC91" w14:textId="77777777" w:rsidR="007D7606" w:rsidRDefault="007D7606" w:rsidP="007D7606">
      <w:pPr>
        <w:jc w:val="center"/>
        <w:rPr>
          <w:sz w:val="24"/>
          <w:szCs w:val="24"/>
        </w:rPr>
      </w:pPr>
    </w:p>
    <w:p w14:paraId="6476E641" w14:textId="77777777" w:rsidR="007D7606" w:rsidRDefault="007D7606" w:rsidP="007D7606">
      <w:pPr>
        <w:rPr>
          <w:sz w:val="24"/>
          <w:szCs w:val="24"/>
        </w:rPr>
      </w:pPr>
    </w:p>
    <w:p w14:paraId="406C40EF" w14:textId="77777777" w:rsidR="007D7606" w:rsidRDefault="007D7606" w:rsidP="007D7606">
      <w:pPr>
        <w:jc w:val="center"/>
        <w:rPr>
          <w:sz w:val="24"/>
          <w:szCs w:val="24"/>
        </w:rPr>
      </w:pPr>
    </w:p>
    <w:p w14:paraId="1403DD67" w14:textId="77777777" w:rsidR="007D7606" w:rsidRDefault="007D7606" w:rsidP="007D7606">
      <w:pPr>
        <w:jc w:val="center"/>
        <w:rPr>
          <w:sz w:val="24"/>
          <w:szCs w:val="24"/>
        </w:rPr>
      </w:pPr>
    </w:p>
    <w:p w14:paraId="73518451" w14:textId="293FE80A" w:rsidR="007D7606" w:rsidRPr="00F37783" w:rsidRDefault="007D7606" w:rsidP="007D7606">
      <w:pPr>
        <w:jc w:val="center"/>
        <w:rPr>
          <w:caps/>
          <w:color w:val="000000"/>
          <w:sz w:val="27"/>
          <w:szCs w:val="27"/>
        </w:rPr>
      </w:pPr>
      <w:r>
        <w:rPr>
          <w:caps/>
          <w:color w:val="000000"/>
          <w:sz w:val="27"/>
          <w:szCs w:val="27"/>
        </w:rPr>
        <w:t xml:space="preserve">EVALUATION OF </w:t>
      </w:r>
      <w:r w:rsidR="007D3DBA">
        <w:rPr>
          <w:caps/>
          <w:color w:val="000000"/>
          <w:sz w:val="27"/>
          <w:szCs w:val="27"/>
        </w:rPr>
        <w:t>METHANE-OXIDIZING</w:t>
      </w:r>
      <w:r>
        <w:rPr>
          <w:caps/>
          <w:color w:val="000000"/>
          <w:sz w:val="27"/>
          <w:szCs w:val="27"/>
        </w:rPr>
        <w:t xml:space="preserve"> BACTERIA PHYSIOLOGICAL RESPO</w:t>
      </w:r>
      <w:r w:rsidR="00C93714">
        <w:rPr>
          <w:caps/>
          <w:color w:val="000000"/>
          <w:sz w:val="27"/>
          <w:szCs w:val="27"/>
        </w:rPr>
        <w:t>NSES</w:t>
      </w:r>
      <w:r>
        <w:rPr>
          <w:caps/>
          <w:color w:val="000000"/>
          <w:sz w:val="27"/>
          <w:szCs w:val="27"/>
        </w:rPr>
        <w:t xml:space="preserve"> TO CHANGES IN OXYGEN CONCENTRATION, INTERACTIONS WITH NON-</w:t>
      </w:r>
      <w:r w:rsidR="007D3DBA">
        <w:rPr>
          <w:caps/>
          <w:color w:val="000000"/>
          <w:sz w:val="27"/>
          <w:szCs w:val="27"/>
        </w:rPr>
        <w:t>METHANE-OXIDIZING</w:t>
      </w:r>
      <w:r>
        <w:rPr>
          <w:caps/>
          <w:color w:val="000000"/>
          <w:sz w:val="27"/>
          <w:szCs w:val="27"/>
        </w:rPr>
        <w:t xml:space="preserve"> HETEROTROPHIC BACTERIA, AND THE TAXONOMIC CLASSIFICATION OF METHYLOCYSTIS SUFLITAE SP. NOV.</w:t>
      </w:r>
    </w:p>
    <w:p w14:paraId="194E17B5" w14:textId="77777777" w:rsidR="007D7606" w:rsidRDefault="007D7606" w:rsidP="007D7606">
      <w:pPr>
        <w:jc w:val="center"/>
        <w:rPr>
          <w:sz w:val="24"/>
          <w:szCs w:val="24"/>
        </w:rPr>
      </w:pPr>
    </w:p>
    <w:p w14:paraId="63F02D07" w14:textId="77777777" w:rsidR="007D7606" w:rsidRDefault="007D7606" w:rsidP="007D7606">
      <w:pPr>
        <w:jc w:val="center"/>
        <w:rPr>
          <w:sz w:val="24"/>
          <w:szCs w:val="24"/>
        </w:rPr>
      </w:pPr>
    </w:p>
    <w:p w14:paraId="0FFC612E" w14:textId="77777777" w:rsidR="007D7606" w:rsidRDefault="007D7606" w:rsidP="007D7606">
      <w:pPr>
        <w:jc w:val="center"/>
        <w:rPr>
          <w:sz w:val="24"/>
          <w:szCs w:val="24"/>
        </w:rPr>
      </w:pPr>
    </w:p>
    <w:p w14:paraId="6028C9F2" w14:textId="77777777" w:rsidR="007D7606" w:rsidRDefault="007D7606" w:rsidP="007D7606">
      <w:pPr>
        <w:jc w:val="center"/>
        <w:rPr>
          <w:sz w:val="24"/>
          <w:szCs w:val="24"/>
        </w:rPr>
      </w:pPr>
    </w:p>
    <w:p w14:paraId="17D83783" w14:textId="77777777" w:rsidR="007D7606" w:rsidRDefault="007D7606" w:rsidP="007D7606">
      <w:pPr>
        <w:jc w:val="center"/>
        <w:rPr>
          <w:sz w:val="24"/>
          <w:szCs w:val="24"/>
        </w:rPr>
      </w:pPr>
    </w:p>
    <w:p w14:paraId="5CD653F6" w14:textId="77777777" w:rsidR="007D7606" w:rsidRDefault="007D7606" w:rsidP="007D7606">
      <w:pPr>
        <w:jc w:val="center"/>
        <w:rPr>
          <w:sz w:val="24"/>
          <w:szCs w:val="24"/>
        </w:rPr>
      </w:pPr>
    </w:p>
    <w:p w14:paraId="255FE720" w14:textId="3C361945" w:rsidR="007D7606" w:rsidRDefault="007D7606" w:rsidP="007D7606">
      <w:pPr>
        <w:jc w:val="center"/>
        <w:rPr>
          <w:sz w:val="24"/>
          <w:szCs w:val="24"/>
        </w:rPr>
      </w:pPr>
      <w:r>
        <w:rPr>
          <w:sz w:val="24"/>
          <w:szCs w:val="24"/>
        </w:rPr>
        <w:t>A DISSERTATION</w:t>
      </w:r>
    </w:p>
    <w:p w14:paraId="6B327989" w14:textId="77777777" w:rsidR="007D7606" w:rsidRDefault="007D7606" w:rsidP="007D7606">
      <w:pPr>
        <w:jc w:val="center"/>
        <w:rPr>
          <w:sz w:val="24"/>
          <w:szCs w:val="24"/>
        </w:rPr>
      </w:pPr>
      <w:r>
        <w:rPr>
          <w:sz w:val="24"/>
          <w:szCs w:val="24"/>
        </w:rPr>
        <w:t xml:space="preserve">SUBMITTED TO THE GRADUATE FACULTY </w:t>
      </w:r>
    </w:p>
    <w:p w14:paraId="0A6D5E7B" w14:textId="77777777" w:rsidR="007D7606" w:rsidRDefault="007D7606" w:rsidP="007D7606">
      <w:pPr>
        <w:jc w:val="center"/>
        <w:rPr>
          <w:sz w:val="24"/>
          <w:szCs w:val="24"/>
        </w:rPr>
      </w:pPr>
      <w:r>
        <w:rPr>
          <w:sz w:val="24"/>
          <w:szCs w:val="24"/>
        </w:rPr>
        <w:t>in partial fulfillment of the requirements for the</w:t>
      </w:r>
    </w:p>
    <w:p w14:paraId="20CE42C4" w14:textId="77777777" w:rsidR="007D7606" w:rsidRDefault="007D7606" w:rsidP="007D7606">
      <w:pPr>
        <w:jc w:val="center"/>
        <w:rPr>
          <w:sz w:val="24"/>
          <w:szCs w:val="24"/>
        </w:rPr>
      </w:pPr>
      <w:r>
        <w:rPr>
          <w:sz w:val="24"/>
          <w:szCs w:val="24"/>
        </w:rPr>
        <w:t>Degree of</w:t>
      </w:r>
    </w:p>
    <w:p w14:paraId="23E427E1" w14:textId="4EA83FD4" w:rsidR="007D7606" w:rsidRDefault="007D7606" w:rsidP="007D7606">
      <w:pPr>
        <w:jc w:val="center"/>
        <w:rPr>
          <w:sz w:val="24"/>
          <w:szCs w:val="24"/>
        </w:rPr>
      </w:pPr>
      <w:r>
        <w:rPr>
          <w:sz w:val="24"/>
          <w:szCs w:val="24"/>
        </w:rPr>
        <w:t>Doctor of Philosophy</w:t>
      </w:r>
    </w:p>
    <w:p w14:paraId="02DAB1F1" w14:textId="77777777" w:rsidR="007D7606" w:rsidRDefault="007D7606" w:rsidP="007D7606">
      <w:pPr>
        <w:jc w:val="center"/>
        <w:rPr>
          <w:sz w:val="24"/>
          <w:szCs w:val="24"/>
        </w:rPr>
      </w:pPr>
    </w:p>
    <w:p w14:paraId="1AE91DCE" w14:textId="77777777" w:rsidR="007D7606" w:rsidRDefault="007D7606" w:rsidP="007D7606">
      <w:pPr>
        <w:jc w:val="center"/>
        <w:rPr>
          <w:sz w:val="24"/>
          <w:szCs w:val="24"/>
        </w:rPr>
      </w:pPr>
    </w:p>
    <w:p w14:paraId="7C29249A" w14:textId="77777777" w:rsidR="007D7606" w:rsidRDefault="007D7606" w:rsidP="007D7606">
      <w:pPr>
        <w:jc w:val="center"/>
        <w:rPr>
          <w:sz w:val="24"/>
          <w:szCs w:val="24"/>
        </w:rPr>
      </w:pPr>
    </w:p>
    <w:p w14:paraId="0982D181" w14:textId="77777777" w:rsidR="007D7606" w:rsidRDefault="007D7606" w:rsidP="007D7606">
      <w:pPr>
        <w:jc w:val="center"/>
        <w:rPr>
          <w:sz w:val="24"/>
          <w:szCs w:val="24"/>
        </w:rPr>
      </w:pPr>
      <w:r>
        <w:rPr>
          <w:sz w:val="24"/>
          <w:szCs w:val="24"/>
        </w:rPr>
        <w:t>By</w:t>
      </w:r>
    </w:p>
    <w:p w14:paraId="7AABF99B" w14:textId="5067ECA6" w:rsidR="007D7606" w:rsidRDefault="007D7606" w:rsidP="007D7606">
      <w:pPr>
        <w:jc w:val="center"/>
        <w:rPr>
          <w:sz w:val="24"/>
          <w:szCs w:val="24"/>
        </w:rPr>
      </w:pPr>
      <w:r>
        <w:rPr>
          <w:sz w:val="24"/>
          <w:szCs w:val="24"/>
        </w:rPr>
        <w:t>CHRISTOPHER THOMAS GARNER</w:t>
      </w:r>
    </w:p>
    <w:p w14:paraId="3293B4E8" w14:textId="77777777" w:rsidR="007D7606" w:rsidRDefault="007D7606" w:rsidP="007D7606">
      <w:pPr>
        <w:jc w:val="center"/>
        <w:rPr>
          <w:sz w:val="24"/>
          <w:szCs w:val="24"/>
        </w:rPr>
      </w:pPr>
      <w:r>
        <w:rPr>
          <w:sz w:val="24"/>
          <w:szCs w:val="24"/>
        </w:rPr>
        <w:t xml:space="preserve">Norman, Oklahoma </w:t>
      </w:r>
    </w:p>
    <w:p w14:paraId="678FFD06" w14:textId="7E710F8B" w:rsidR="007D7606" w:rsidRDefault="007D7606" w:rsidP="007D7606">
      <w:pPr>
        <w:jc w:val="center"/>
        <w:rPr>
          <w:sz w:val="24"/>
          <w:szCs w:val="24"/>
        </w:rPr>
      </w:pPr>
      <w:r>
        <w:rPr>
          <w:sz w:val="24"/>
          <w:szCs w:val="24"/>
        </w:rPr>
        <w:t>2024</w:t>
      </w:r>
    </w:p>
    <w:p w14:paraId="1086D8A2" w14:textId="12277FAE" w:rsidR="007D7606" w:rsidRPr="00F37783" w:rsidRDefault="007D7606" w:rsidP="007D7606">
      <w:pPr>
        <w:jc w:val="center"/>
        <w:rPr>
          <w:caps/>
          <w:color w:val="000000"/>
          <w:sz w:val="27"/>
          <w:szCs w:val="27"/>
        </w:rPr>
      </w:pPr>
      <w:r>
        <w:rPr>
          <w:caps/>
          <w:color w:val="000000"/>
          <w:sz w:val="27"/>
          <w:szCs w:val="27"/>
        </w:rPr>
        <w:lastRenderedPageBreak/>
        <w:t xml:space="preserve">EVALUATION OF </w:t>
      </w:r>
      <w:r w:rsidR="007D3DBA">
        <w:rPr>
          <w:caps/>
          <w:color w:val="000000"/>
          <w:sz w:val="27"/>
          <w:szCs w:val="27"/>
        </w:rPr>
        <w:t>METHANE-OXIDIZING</w:t>
      </w:r>
      <w:r>
        <w:rPr>
          <w:caps/>
          <w:color w:val="000000"/>
          <w:sz w:val="27"/>
          <w:szCs w:val="27"/>
        </w:rPr>
        <w:t xml:space="preserve"> BACTERIA PHYSIOLOGICAL RESPON</w:t>
      </w:r>
      <w:r w:rsidR="00C93714">
        <w:rPr>
          <w:caps/>
          <w:color w:val="000000"/>
          <w:sz w:val="27"/>
          <w:szCs w:val="27"/>
        </w:rPr>
        <w:t>S</w:t>
      </w:r>
      <w:r>
        <w:rPr>
          <w:caps/>
          <w:color w:val="000000"/>
          <w:sz w:val="27"/>
          <w:szCs w:val="27"/>
        </w:rPr>
        <w:t>ES TO CHANGES IN OXYGEN CONCENTRATION, INTERACTIONS WITH NON-</w:t>
      </w:r>
      <w:r w:rsidR="007D3DBA">
        <w:rPr>
          <w:caps/>
          <w:color w:val="000000"/>
          <w:sz w:val="27"/>
          <w:szCs w:val="27"/>
        </w:rPr>
        <w:t>METHANE-OXIDIZING</w:t>
      </w:r>
      <w:r>
        <w:rPr>
          <w:caps/>
          <w:color w:val="000000"/>
          <w:sz w:val="27"/>
          <w:szCs w:val="27"/>
        </w:rPr>
        <w:t xml:space="preserve"> HETEROTROPHIC BACTERIA, AND THE TAXONOMIC CLASSIFICATION OF METHYLOCYSTIS SUFLITAE SP. NOV.</w:t>
      </w:r>
    </w:p>
    <w:p w14:paraId="5CE3F9A6" w14:textId="77777777" w:rsidR="007D7606" w:rsidRPr="009B271B" w:rsidRDefault="007D7606" w:rsidP="007D7606">
      <w:pPr>
        <w:jc w:val="center"/>
        <w:rPr>
          <w:color w:val="FF0000"/>
          <w:sz w:val="24"/>
          <w:szCs w:val="24"/>
        </w:rPr>
      </w:pPr>
    </w:p>
    <w:p w14:paraId="30ED306B" w14:textId="77777777" w:rsidR="007D7606" w:rsidRDefault="007D7606" w:rsidP="007D7606">
      <w:pPr>
        <w:jc w:val="center"/>
        <w:rPr>
          <w:sz w:val="24"/>
          <w:szCs w:val="24"/>
        </w:rPr>
      </w:pPr>
    </w:p>
    <w:p w14:paraId="16674DEB" w14:textId="77777777" w:rsidR="007D7606" w:rsidRDefault="007D7606" w:rsidP="007D7606">
      <w:pPr>
        <w:jc w:val="center"/>
        <w:rPr>
          <w:sz w:val="24"/>
          <w:szCs w:val="24"/>
        </w:rPr>
      </w:pPr>
    </w:p>
    <w:p w14:paraId="1424EA12" w14:textId="77777777" w:rsidR="007D7606" w:rsidRDefault="007D7606" w:rsidP="007D7606">
      <w:pPr>
        <w:jc w:val="center"/>
        <w:rPr>
          <w:sz w:val="24"/>
          <w:szCs w:val="24"/>
        </w:rPr>
      </w:pPr>
    </w:p>
    <w:p w14:paraId="673462C5" w14:textId="77777777" w:rsidR="007D7606" w:rsidRDefault="007D7606" w:rsidP="007D7606">
      <w:pPr>
        <w:jc w:val="center"/>
        <w:rPr>
          <w:sz w:val="24"/>
          <w:szCs w:val="24"/>
        </w:rPr>
      </w:pPr>
    </w:p>
    <w:p w14:paraId="5FBDFC2D" w14:textId="77777777" w:rsidR="007D7606" w:rsidRDefault="007D7606" w:rsidP="007D7606">
      <w:pPr>
        <w:jc w:val="center"/>
        <w:rPr>
          <w:sz w:val="24"/>
          <w:szCs w:val="24"/>
        </w:rPr>
      </w:pPr>
    </w:p>
    <w:p w14:paraId="168037AC" w14:textId="4CF02DB1" w:rsidR="007D7606" w:rsidRDefault="007D7606" w:rsidP="007D7606">
      <w:pPr>
        <w:jc w:val="center"/>
        <w:rPr>
          <w:sz w:val="24"/>
          <w:szCs w:val="24"/>
        </w:rPr>
      </w:pPr>
      <w:r>
        <w:rPr>
          <w:sz w:val="24"/>
          <w:szCs w:val="24"/>
        </w:rPr>
        <w:t xml:space="preserve">A DISSERTATION APPROVED FOR THE </w:t>
      </w:r>
    </w:p>
    <w:p w14:paraId="263D9832" w14:textId="0EE4D6D1" w:rsidR="007D7606" w:rsidRDefault="007D7606" w:rsidP="007D7606">
      <w:pPr>
        <w:jc w:val="center"/>
        <w:rPr>
          <w:sz w:val="24"/>
          <w:szCs w:val="24"/>
        </w:rPr>
      </w:pPr>
      <w:r>
        <w:rPr>
          <w:sz w:val="24"/>
          <w:szCs w:val="24"/>
        </w:rPr>
        <w:t>SCHOOL OF BIOLOGICAL SCIENCES</w:t>
      </w:r>
    </w:p>
    <w:p w14:paraId="0A7BF223" w14:textId="77777777" w:rsidR="007D7606" w:rsidRDefault="007D7606" w:rsidP="007D7606">
      <w:pPr>
        <w:jc w:val="center"/>
        <w:rPr>
          <w:sz w:val="24"/>
          <w:szCs w:val="24"/>
        </w:rPr>
      </w:pPr>
    </w:p>
    <w:p w14:paraId="5004E542" w14:textId="77777777" w:rsidR="007D7606" w:rsidRDefault="007D7606" w:rsidP="007D7606">
      <w:pPr>
        <w:jc w:val="center"/>
        <w:rPr>
          <w:sz w:val="24"/>
          <w:szCs w:val="24"/>
        </w:rPr>
      </w:pPr>
    </w:p>
    <w:p w14:paraId="66DBE5D2" w14:textId="77777777" w:rsidR="007D7606" w:rsidRDefault="007D7606" w:rsidP="007D7606">
      <w:pPr>
        <w:jc w:val="center"/>
        <w:rPr>
          <w:sz w:val="24"/>
          <w:szCs w:val="24"/>
        </w:rPr>
      </w:pPr>
    </w:p>
    <w:p w14:paraId="1D0CA91F" w14:textId="77777777" w:rsidR="007D7606" w:rsidRDefault="007D7606" w:rsidP="007D7606">
      <w:pPr>
        <w:jc w:val="center"/>
        <w:rPr>
          <w:sz w:val="24"/>
          <w:szCs w:val="24"/>
        </w:rPr>
      </w:pPr>
    </w:p>
    <w:p w14:paraId="5AD434C7" w14:textId="77777777" w:rsidR="007D7606" w:rsidRDefault="007D7606" w:rsidP="007D7606">
      <w:pPr>
        <w:rPr>
          <w:sz w:val="24"/>
          <w:szCs w:val="24"/>
        </w:rPr>
      </w:pPr>
    </w:p>
    <w:p w14:paraId="19F99621" w14:textId="77777777" w:rsidR="007D7606" w:rsidRDefault="007D7606" w:rsidP="007D7606">
      <w:pPr>
        <w:jc w:val="center"/>
        <w:rPr>
          <w:sz w:val="24"/>
          <w:szCs w:val="24"/>
        </w:rPr>
      </w:pPr>
      <w:r>
        <w:rPr>
          <w:sz w:val="24"/>
          <w:szCs w:val="24"/>
        </w:rPr>
        <w:t>BY THE COMMITTEE CONSISTING OF</w:t>
      </w:r>
    </w:p>
    <w:p w14:paraId="17012FAE" w14:textId="77777777" w:rsidR="007D7606" w:rsidRDefault="007D7606" w:rsidP="007D7606">
      <w:pPr>
        <w:jc w:val="center"/>
        <w:rPr>
          <w:sz w:val="24"/>
          <w:szCs w:val="24"/>
        </w:rPr>
      </w:pPr>
    </w:p>
    <w:p w14:paraId="238EE8D3" w14:textId="77777777" w:rsidR="007D7606" w:rsidRDefault="007D7606" w:rsidP="007D7606">
      <w:pPr>
        <w:jc w:val="center"/>
        <w:rPr>
          <w:sz w:val="24"/>
          <w:szCs w:val="24"/>
        </w:rPr>
      </w:pPr>
    </w:p>
    <w:p w14:paraId="3C86AC7C" w14:textId="77777777" w:rsidR="007D7606" w:rsidRDefault="007D7606" w:rsidP="007D7606">
      <w:pPr>
        <w:jc w:val="center"/>
        <w:rPr>
          <w:sz w:val="24"/>
          <w:szCs w:val="24"/>
        </w:rPr>
      </w:pPr>
    </w:p>
    <w:p w14:paraId="1593F5FA" w14:textId="77777777" w:rsidR="007D7606" w:rsidRDefault="007D7606" w:rsidP="007D7606">
      <w:pPr>
        <w:jc w:val="center"/>
        <w:rPr>
          <w:sz w:val="24"/>
          <w:szCs w:val="24"/>
        </w:rPr>
      </w:pPr>
    </w:p>
    <w:p w14:paraId="685044FF" w14:textId="243CF75E" w:rsidR="007D7606" w:rsidRDefault="007D7606" w:rsidP="007D7606">
      <w:pPr>
        <w:jc w:val="right"/>
        <w:rPr>
          <w:sz w:val="24"/>
          <w:szCs w:val="24"/>
        </w:rPr>
      </w:pPr>
      <w:r>
        <w:rPr>
          <w:sz w:val="24"/>
          <w:szCs w:val="24"/>
        </w:rPr>
        <w:t>Dr. Kara De</w:t>
      </w:r>
      <w:r w:rsidR="00C66A21">
        <w:rPr>
          <w:sz w:val="24"/>
          <w:szCs w:val="24"/>
        </w:rPr>
        <w:t xml:space="preserve"> L</w:t>
      </w:r>
      <w:r>
        <w:rPr>
          <w:sz w:val="24"/>
          <w:szCs w:val="24"/>
        </w:rPr>
        <w:t>e</w:t>
      </w:r>
      <w:r w:rsidR="00C66A21">
        <w:rPr>
          <w:sz w:val="24"/>
          <w:szCs w:val="24"/>
        </w:rPr>
        <w:t>ó</w:t>
      </w:r>
      <w:r>
        <w:rPr>
          <w:sz w:val="24"/>
          <w:szCs w:val="24"/>
        </w:rPr>
        <w:t>n, Chair</w:t>
      </w:r>
    </w:p>
    <w:p w14:paraId="6A73C7EC" w14:textId="45186D3C" w:rsidR="007D7606" w:rsidRDefault="007D7606" w:rsidP="007D7606">
      <w:pPr>
        <w:jc w:val="right"/>
        <w:rPr>
          <w:sz w:val="24"/>
          <w:szCs w:val="24"/>
        </w:rPr>
      </w:pPr>
      <w:r>
        <w:rPr>
          <w:sz w:val="24"/>
          <w:szCs w:val="24"/>
        </w:rPr>
        <w:t>Dr. Lee Krumholz</w:t>
      </w:r>
    </w:p>
    <w:p w14:paraId="76C9880A" w14:textId="7428C5A1" w:rsidR="007D7606" w:rsidRDefault="007D7606" w:rsidP="007D7606">
      <w:pPr>
        <w:jc w:val="right"/>
        <w:rPr>
          <w:sz w:val="24"/>
          <w:szCs w:val="24"/>
        </w:rPr>
      </w:pPr>
      <w:r>
        <w:rPr>
          <w:sz w:val="24"/>
          <w:szCs w:val="24"/>
        </w:rPr>
        <w:t>Dr. Paul Lawson</w:t>
      </w:r>
    </w:p>
    <w:p w14:paraId="42E044BC" w14:textId="07370255" w:rsidR="007D7606" w:rsidRDefault="007D7606" w:rsidP="007D7606">
      <w:pPr>
        <w:jc w:val="right"/>
        <w:rPr>
          <w:sz w:val="24"/>
          <w:szCs w:val="24"/>
        </w:rPr>
      </w:pPr>
      <w:r>
        <w:rPr>
          <w:sz w:val="24"/>
          <w:szCs w:val="24"/>
        </w:rPr>
        <w:t xml:space="preserve">Dr. </w:t>
      </w:r>
      <w:r w:rsidRPr="007D7606">
        <w:rPr>
          <w:sz w:val="24"/>
          <w:szCs w:val="24"/>
        </w:rPr>
        <w:t>Krithivasan</w:t>
      </w:r>
      <w:r>
        <w:rPr>
          <w:sz w:val="24"/>
          <w:szCs w:val="24"/>
        </w:rPr>
        <w:t xml:space="preserve"> </w:t>
      </w:r>
      <w:r w:rsidRPr="007D7606">
        <w:rPr>
          <w:sz w:val="24"/>
          <w:szCs w:val="24"/>
        </w:rPr>
        <w:t>Sankaranarayanan</w:t>
      </w:r>
    </w:p>
    <w:p w14:paraId="1B10B555" w14:textId="3C91BECE" w:rsidR="007D7606" w:rsidRDefault="007D7606" w:rsidP="007D7606">
      <w:pPr>
        <w:jc w:val="right"/>
        <w:rPr>
          <w:sz w:val="24"/>
          <w:szCs w:val="24"/>
        </w:rPr>
      </w:pPr>
      <w:r>
        <w:rPr>
          <w:sz w:val="24"/>
          <w:szCs w:val="24"/>
        </w:rPr>
        <w:t>Dr. Andrew</w:t>
      </w:r>
      <w:r w:rsidR="00440C70">
        <w:rPr>
          <w:sz w:val="24"/>
          <w:szCs w:val="24"/>
        </w:rPr>
        <w:t xml:space="preserve"> Elwood</w:t>
      </w:r>
      <w:r>
        <w:rPr>
          <w:sz w:val="24"/>
          <w:szCs w:val="24"/>
        </w:rPr>
        <w:t xml:space="preserve"> Madden</w:t>
      </w:r>
    </w:p>
    <w:p w14:paraId="2C74E9A3" w14:textId="77777777" w:rsidR="007D7606" w:rsidRDefault="007D7606" w:rsidP="007D7606">
      <w:pPr>
        <w:jc w:val="right"/>
        <w:rPr>
          <w:sz w:val="24"/>
          <w:szCs w:val="24"/>
        </w:rPr>
      </w:pPr>
    </w:p>
    <w:p w14:paraId="1C33CB63" w14:textId="77777777" w:rsidR="007D7606" w:rsidRDefault="007D7606" w:rsidP="007D7606">
      <w:pPr>
        <w:jc w:val="right"/>
        <w:rPr>
          <w:sz w:val="24"/>
          <w:szCs w:val="24"/>
        </w:rPr>
      </w:pPr>
    </w:p>
    <w:p w14:paraId="0A0E5F26" w14:textId="77777777" w:rsidR="007D7606" w:rsidRDefault="007D7606" w:rsidP="007D7606">
      <w:pPr>
        <w:jc w:val="center"/>
        <w:rPr>
          <w:sz w:val="24"/>
          <w:szCs w:val="24"/>
        </w:rPr>
      </w:pPr>
    </w:p>
    <w:p w14:paraId="6464E189" w14:textId="77777777" w:rsidR="007D7606" w:rsidRDefault="007D7606" w:rsidP="007D7606">
      <w:pPr>
        <w:jc w:val="center"/>
        <w:rPr>
          <w:sz w:val="24"/>
          <w:szCs w:val="24"/>
        </w:rPr>
      </w:pPr>
    </w:p>
    <w:p w14:paraId="0D2D2F79" w14:textId="77777777" w:rsidR="007D7606" w:rsidRDefault="007D7606" w:rsidP="007D7606">
      <w:pPr>
        <w:jc w:val="center"/>
        <w:rPr>
          <w:sz w:val="24"/>
          <w:szCs w:val="24"/>
        </w:rPr>
      </w:pPr>
    </w:p>
    <w:p w14:paraId="1982DB40" w14:textId="77777777" w:rsidR="007D7606" w:rsidRDefault="007D7606" w:rsidP="007D7606">
      <w:pPr>
        <w:jc w:val="center"/>
        <w:rPr>
          <w:sz w:val="24"/>
          <w:szCs w:val="24"/>
        </w:rPr>
      </w:pPr>
    </w:p>
    <w:p w14:paraId="4C21D2C2" w14:textId="77777777" w:rsidR="007D7606" w:rsidRDefault="007D7606" w:rsidP="007D7606">
      <w:pPr>
        <w:jc w:val="center"/>
        <w:rPr>
          <w:sz w:val="24"/>
          <w:szCs w:val="24"/>
        </w:rPr>
      </w:pPr>
    </w:p>
    <w:p w14:paraId="489F3245" w14:textId="77777777" w:rsidR="007D7606" w:rsidRDefault="007D7606" w:rsidP="007D7606">
      <w:pPr>
        <w:jc w:val="center"/>
        <w:rPr>
          <w:sz w:val="24"/>
          <w:szCs w:val="24"/>
        </w:rPr>
      </w:pPr>
    </w:p>
    <w:p w14:paraId="1E585A15" w14:textId="77777777" w:rsidR="007D7606" w:rsidRDefault="007D7606" w:rsidP="007D7606">
      <w:pPr>
        <w:jc w:val="center"/>
        <w:rPr>
          <w:sz w:val="24"/>
          <w:szCs w:val="24"/>
        </w:rPr>
      </w:pPr>
    </w:p>
    <w:p w14:paraId="3E84A960" w14:textId="77777777" w:rsidR="007D7606" w:rsidRDefault="007D7606" w:rsidP="007D7606">
      <w:pPr>
        <w:jc w:val="center"/>
        <w:rPr>
          <w:sz w:val="24"/>
          <w:szCs w:val="24"/>
        </w:rPr>
      </w:pPr>
    </w:p>
    <w:p w14:paraId="0262A83D" w14:textId="77777777" w:rsidR="007D7606" w:rsidRDefault="007D7606" w:rsidP="007D7606">
      <w:pPr>
        <w:jc w:val="center"/>
        <w:rPr>
          <w:sz w:val="24"/>
          <w:szCs w:val="24"/>
        </w:rPr>
      </w:pPr>
    </w:p>
    <w:p w14:paraId="1DDCCFE7" w14:textId="77777777" w:rsidR="007D7606" w:rsidRDefault="007D7606" w:rsidP="007D7606">
      <w:pPr>
        <w:jc w:val="center"/>
        <w:rPr>
          <w:sz w:val="24"/>
          <w:szCs w:val="24"/>
        </w:rPr>
      </w:pPr>
    </w:p>
    <w:p w14:paraId="3B209D0C" w14:textId="77777777" w:rsidR="007D7606" w:rsidRDefault="007D7606" w:rsidP="007D7606">
      <w:pPr>
        <w:jc w:val="center"/>
        <w:rPr>
          <w:sz w:val="24"/>
          <w:szCs w:val="24"/>
        </w:rPr>
      </w:pPr>
    </w:p>
    <w:p w14:paraId="6D35B4D1" w14:textId="77777777" w:rsidR="007D7606" w:rsidRDefault="007D7606" w:rsidP="007D7606">
      <w:pPr>
        <w:jc w:val="center"/>
        <w:rPr>
          <w:sz w:val="24"/>
          <w:szCs w:val="24"/>
        </w:rPr>
      </w:pPr>
    </w:p>
    <w:p w14:paraId="40669F80" w14:textId="77777777" w:rsidR="007D7606" w:rsidRDefault="007D7606" w:rsidP="007D7606">
      <w:pPr>
        <w:jc w:val="center"/>
        <w:rPr>
          <w:sz w:val="24"/>
          <w:szCs w:val="24"/>
        </w:rPr>
      </w:pPr>
    </w:p>
    <w:p w14:paraId="3C01C8CB" w14:textId="77777777" w:rsidR="007D7606" w:rsidRDefault="007D7606" w:rsidP="007D7606">
      <w:pPr>
        <w:jc w:val="center"/>
        <w:rPr>
          <w:sz w:val="24"/>
          <w:szCs w:val="24"/>
        </w:rPr>
      </w:pPr>
    </w:p>
    <w:p w14:paraId="2B80DEAD" w14:textId="77777777" w:rsidR="007D7606" w:rsidRDefault="007D7606" w:rsidP="007D7606">
      <w:pPr>
        <w:jc w:val="center"/>
        <w:rPr>
          <w:sz w:val="24"/>
          <w:szCs w:val="24"/>
        </w:rPr>
      </w:pPr>
    </w:p>
    <w:p w14:paraId="09EB5EE7" w14:textId="77777777" w:rsidR="007D7606" w:rsidRDefault="007D7606" w:rsidP="007D7606">
      <w:pPr>
        <w:jc w:val="center"/>
        <w:rPr>
          <w:sz w:val="24"/>
          <w:szCs w:val="24"/>
        </w:rPr>
      </w:pPr>
    </w:p>
    <w:p w14:paraId="25A48568" w14:textId="77777777" w:rsidR="007D7606" w:rsidRDefault="007D7606" w:rsidP="007D7606">
      <w:pPr>
        <w:jc w:val="center"/>
        <w:rPr>
          <w:sz w:val="24"/>
          <w:szCs w:val="24"/>
        </w:rPr>
      </w:pPr>
    </w:p>
    <w:p w14:paraId="339EB72E" w14:textId="77777777" w:rsidR="007D7606" w:rsidRDefault="007D7606" w:rsidP="007D7606">
      <w:pPr>
        <w:jc w:val="center"/>
        <w:rPr>
          <w:sz w:val="24"/>
          <w:szCs w:val="24"/>
        </w:rPr>
      </w:pPr>
    </w:p>
    <w:p w14:paraId="6AE635BA" w14:textId="77777777" w:rsidR="007D7606" w:rsidRDefault="007D7606" w:rsidP="007D7606">
      <w:pPr>
        <w:jc w:val="center"/>
        <w:rPr>
          <w:sz w:val="24"/>
          <w:szCs w:val="24"/>
        </w:rPr>
      </w:pPr>
    </w:p>
    <w:p w14:paraId="1CA80E7E" w14:textId="77777777" w:rsidR="007D7606" w:rsidRDefault="007D7606" w:rsidP="007D7606">
      <w:pPr>
        <w:jc w:val="center"/>
        <w:rPr>
          <w:sz w:val="24"/>
          <w:szCs w:val="24"/>
        </w:rPr>
      </w:pPr>
    </w:p>
    <w:p w14:paraId="7640BD3B" w14:textId="77777777" w:rsidR="007D7606" w:rsidRDefault="007D7606" w:rsidP="007D7606">
      <w:pPr>
        <w:jc w:val="center"/>
        <w:rPr>
          <w:sz w:val="24"/>
          <w:szCs w:val="24"/>
        </w:rPr>
      </w:pPr>
    </w:p>
    <w:p w14:paraId="2CA868E3" w14:textId="77777777" w:rsidR="007D7606" w:rsidRDefault="007D7606" w:rsidP="007D7606">
      <w:pPr>
        <w:jc w:val="center"/>
        <w:rPr>
          <w:sz w:val="24"/>
          <w:szCs w:val="24"/>
        </w:rPr>
      </w:pPr>
    </w:p>
    <w:p w14:paraId="53CC8808" w14:textId="77777777" w:rsidR="007D7606" w:rsidRDefault="007D7606" w:rsidP="007D7606">
      <w:pPr>
        <w:jc w:val="center"/>
        <w:rPr>
          <w:sz w:val="24"/>
          <w:szCs w:val="24"/>
        </w:rPr>
      </w:pPr>
    </w:p>
    <w:p w14:paraId="25066964" w14:textId="77777777" w:rsidR="007D7606" w:rsidRDefault="007D7606" w:rsidP="007D7606">
      <w:pPr>
        <w:rPr>
          <w:sz w:val="24"/>
          <w:szCs w:val="24"/>
        </w:rPr>
      </w:pPr>
    </w:p>
    <w:p w14:paraId="7B987954" w14:textId="77777777" w:rsidR="0075125D" w:rsidRDefault="0075125D" w:rsidP="007D7606">
      <w:pPr>
        <w:rPr>
          <w:sz w:val="24"/>
          <w:szCs w:val="24"/>
        </w:rPr>
      </w:pPr>
    </w:p>
    <w:p w14:paraId="4B5D9A4A" w14:textId="15D8B645" w:rsidR="007D7606" w:rsidRDefault="007D7606" w:rsidP="007D7606">
      <w:pPr>
        <w:jc w:val="center"/>
        <w:rPr>
          <w:sz w:val="24"/>
          <w:szCs w:val="24"/>
        </w:rPr>
      </w:pPr>
      <w:r w:rsidRPr="009B271B">
        <w:rPr>
          <w:sz w:val="24"/>
          <w:szCs w:val="24"/>
        </w:rPr>
        <w:t>©</w:t>
      </w:r>
      <w:r>
        <w:rPr>
          <w:sz w:val="24"/>
          <w:szCs w:val="24"/>
        </w:rPr>
        <w:t xml:space="preserve"> Copyright by Christopher Thomas Garner 2024</w:t>
      </w:r>
    </w:p>
    <w:p w14:paraId="0FEC4C3C" w14:textId="24192985" w:rsidR="006E624A" w:rsidRDefault="007D7606" w:rsidP="0075125D">
      <w:pPr>
        <w:jc w:val="center"/>
        <w:rPr>
          <w:sz w:val="24"/>
          <w:szCs w:val="24"/>
        </w:rPr>
        <w:sectPr w:rsidR="006E624A" w:rsidSect="004839B1">
          <w:footerReference w:type="even" r:id="rId8"/>
          <w:footerReference w:type="default" r:id="rId9"/>
          <w:footerReference w:type="first" r:id="rId10"/>
          <w:pgSz w:w="12240" w:h="15840"/>
          <w:pgMar w:top="1440" w:right="1440" w:bottom="1440" w:left="1440" w:header="720" w:footer="720" w:gutter="0"/>
          <w:pgNumType w:fmt="lowerRoman" w:start="4"/>
          <w:cols w:space="720"/>
          <w:docGrid w:linePitch="360"/>
        </w:sectPr>
      </w:pPr>
      <w:r>
        <w:rPr>
          <w:sz w:val="24"/>
          <w:szCs w:val="24"/>
        </w:rPr>
        <w:t>All Rights Reserved</w:t>
      </w:r>
      <w:r w:rsidR="00BE4B05">
        <w:rPr>
          <w:sz w:val="24"/>
          <w:szCs w:val="24"/>
        </w:rPr>
        <w:t>.</w:t>
      </w:r>
    </w:p>
    <w:p w14:paraId="1140DF0F" w14:textId="66FD2749" w:rsidR="00364AE7" w:rsidRPr="005F0645" w:rsidRDefault="005F0645" w:rsidP="006E624A">
      <w:pPr>
        <w:spacing w:after="0" w:line="240" w:lineRule="auto"/>
        <w:jc w:val="center"/>
        <w:rPr>
          <w:b/>
          <w:bCs/>
          <w:sz w:val="32"/>
          <w:szCs w:val="32"/>
        </w:rPr>
      </w:pPr>
      <w:r w:rsidRPr="005F0645">
        <w:rPr>
          <w:b/>
          <w:bCs/>
          <w:sz w:val="32"/>
          <w:szCs w:val="32"/>
        </w:rPr>
        <w:lastRenderedPageBreak/>
        <w:t>Acknowledgments</w:t>
      </w:r>
    </w:p>
    <w:p w14:paraId="6228904B" w14:textId="0BFB0CED" w:rsidR="00C66A21" w:rsidRDefault="00C66A21" w:rsidP="00C66A21">
      <w:pPr>
        <w:jc w:val="center"/>
      </w:pPr>
    </w:p>
    <w:p w14:paraId="3DE0E9C8" w14:textId="23ED7233" w:rsidR="005F0645" w:rsidRPr="005F0645" w:rsidRDefault="005F0645" w:rsidP="005F0645">
      <w:pPr>
        <w:rPr>
          <w:sz w:val="24"/>
          <w:szCs w:val="24"/>
        </w:rPr>
      </w:pPr>
      <w:r w:rsidRPr="005F0645">
        <w:rPr>
          <w:sz w:val="24"/>
          <w:szCs w:val="24"/>
        </w:rPr>
        <w:t xml:space="preserve">I would like to express my deepest gratitude to my supervisor, </w:t>
      </w:r>
      <w:r>
        <w:rPr>
          <w:sz w:val="24"/>
          <w:szCs w:val="24"/>
        </w:rPr>
        <w:t>Dr. Lee Krumholz</w:t>
      </w:r>
      <w:r w:rsidRPr="005F0645">
        <w:rPr>
          <w:sz w:val="24"/>
          <w:szCs w:val="24"/>
        </w:rPr>
        <w:t xml:space="preserve">, for </w:t>
      </w:r>
      <w:r>
        <w:rPr>
          <w:sz w:val="24"/>
          <w:szCs w:val="24"/>
        </w:rPr>
        <w:t>his</w:t>
      </w:r>
      <w:r w:rsidRPr="005F0645">
        <w:rPr>
          <w:sz w:val="24"/>
          <w:szCs w:val="24"/>
        </w:rPr>
        <w:t xml:space="preserve"> unwavering support, invaluable guidance, and insightful feedback throughout the entirety of this research journey. </w:t>
      </w:r>
      <w:r>
        <w:rPr>
          <w:sz w:val="24"/>
          <w:szCs w:val="24"/>
        </w:rPr>
        <w:t>His</w:t>
      </w:r>
      <w:r w:rsidRPr="005F0645">
        <w:rPr>
          <w:sz w:val="24"/>
          <w:szCs w:val="24"/>
        </w:rPr>
        <w:t xml:space="preserve"> dedication, expertise, and encouragement have been instrumental in shaping the direction of this dissertation and fostering my </w:t>
      </w:r>
      <w:r>
        <w:rPr>
          <w:sz w:val="24"/>
          <w:szCs w:val="24"/>
        </w:rPr>
        <w:t xml:space="preserve">growth as a researcher and he has inspired a goal to be a lifelong student of science. I </w:t>
      </w:r>
      <w:r w:rsidR="00AC40CE">
        <w:rPr>
          <w:sz w:val="24"/>
          <w:szCs w:val="24"/>
        </w:rPr>
        <w:t>pray for the privilege of</w:t>
      </w:r>
      <w:r>
        <w:rPr>
          <w:sz w:val="24"/>
          <w:szCs w:val="24"/>
        </w:rPr>
        <w:t xml:space="preserve"> hav</w:t>
      </w:r>
      <w:r w:rsidR="00AC40CE">
        <w:rPr>
          <w:sz w:val="24"/>
          <w:szCs w:val="24"/>
        </w:rPr>
        <w:t>ing</w:t>
      </w:r>
      <w:r>
        <w:rPr>
          <w:sz w:val="24"/>
          <w:szCs w:val="24"/>
        </w:rPr>
        <w:t xml:space="preserve"> the same impact on my future students that he has had on me.</w:t>
      </w:r>
    </w:p>
    <w:p w14:paraId="1951BC6B" w14:textId="4B9F9203" w:rsidR="005F0645" w:rsidRPr="005F0645" w:rsidRDefault="005F0645" w:rsidP="005F0645">
      <w:pPr>
        <w:rPr>
          <w:sz w:val="24"/>
          <w:szCs w:val="24"/>
        </w:rPr>
      </w:pPr>
      <w:r w:rsidRPr="005F0645">
        <w:rPr>
          <w:sz w:val="24"/>
          <w:szCs w:val="24"/>
        </w:rPr>
        <w:t>I extend my heartfelt appreciation to the members of my dissertation committee</w:t>
      </w:r>
      <w:r>
        <w:rPr>
          <w:sz w:val="24"/>
          <w:szCs w:val="24"/>
        </w:rPr>
        <w:t xml:space="preserve"> </w:t>
      </w:r>
      <w:r w:rsidRPr="005F0645">
        <w:rPr>
          <w:sz w:val="24"/>
          <w:szCs w:val="24"/>
        </w:rPr>
        <w:t>for their time, expertise, and constructive feedback. Their diverse perspectives and scholarly insights have greatly enriched the quality of this study.</w:t>
      </w:r>
      <w:r>
        <w:rPr>
          <w:sz w:val="24"/>
          <w:szCs w:val="24"/>
        </w:rPr>
        <w:t xml:space="preserve"> Further, I count myself lucky to have been taught by them and to have had the privilege of teaching alongside Drs. De León and Lawson during my graduate studies.</w:t>
      </w:r>
    </w:p>
    <w:p w14:paraId="6FB60A5E" w14:textId="1AEEEAC8" w:rsidR="005F0645" w:rsidRPr="005F0645" w:rsidRDefault="005F0645" w:rsidP="005F0645">
      <w:pPr>
        <w:rPr>
          <w:sz w:val="24"/>
          <w:szCs w:val="24"/>
        </w:rPr>
      </w:pPr>
      <w:r w:rsidRPr="005F0645">
        <w:rPr>
          <w:sz w:val="24"/>
          <w:szCs w:val="24"/>
        </w:rPr>
        <w:t xml:space="preserve">I am profoundly grateful to </w:t>
      </w:r>
      <w:r>
        <w:rPr>
          <w:sz w:val="24"/>
          <w:szCs w:val="24"/>
        </w:rPr>
        <w:t xml:space="preserve">the University of Oklahoma </w:t>
      </w:r>
      <w:r w:rsidRPr="005F0645">
        <w:rPr>
          <w:sz w:val="24"/>
          <w:szCs w:val="24"/>
        </w:rPr>
        <w:t xml:space="preserve">for providing the resources and facilities necessary for conducting this research. Additionally, I would like to acknowledge the </w:t>
      </w:r>
      <w:r>
        <w:rPr>
          <w:sz w:val="24"/>
          <w:szCs w:val="24"/>
        </w:rPr>
        <w:t xml:space="preserve">School of Biological Sciences and the Department of Microbiology and Plant Biology </w:t>
      </w:r>
      <w:r w:rsidRPr="005F0645">
        <w:rPr>
          <w:sz w:val="24"/>
          <w:szCs w:val="24"/>
        </w:rPr>
        <w:t xml:space="preserve">for fostering an intellectually stimulating environment conducive to </w:t>
      </w:r>
      <w:r>
        <w:rPr>
          <w:sz w:val="24"/>
          <w:szCs w:val="24"/>
        </w:rPr>
        <w:t>the highest level of scholarly</w:t>
      </w:r>
      <w:r w:rsidRPr="005F0645">
        <w:rPr>
          <w:sz w:val="24"/>
          <w:szCs w:val="24"/>
        </w:rPr>
        <w:t xml:space="preserve"> inquiry.</w:t>
      </w:r>
      <w:r>
        <w:rPr>
          <w:sz w:val="24"/>
          <w:szCs w:val="24"/>
        </w:rPr>
        <w:t xml:space="preserve"> If I were to do it all again, I would gladly choose </w:t>
      </w:r>
      <w:r w:rsidR="00AC40CE">
        <w:rPr>
          <w:sz w:val="24"/>
          <w:szCs w:val="24"/>
        </w:rPr>
        <w:t>the University of Oklahoma</w:t>
      </w:r>
      <w:r>
        <w:rPr>
          <w:sz w:val="24"/>
          <w:szCs w:val="24"/>
        </w:rPr>
        <w:t>.</w:t>
      </w:r>
    </w:p>
    <w:p w14:paraId="08BEFAE1" w14:textId="7B67AD2A" w:rsidR="005F0645" w:rsidRDefault="005F0645" w:rsidP="005F0645">
      <w:pPr>
        <w:rPr>
          <w:sz w:val="24"/>
          <w:szCs w:val="24"/>
        </w:rPr>
      </w:pPr>
      <w:r w:rsidRPr="005F0645">
        <w:rPr>
          <w:sz w:val="24"/>
          <w:szCs w:val="24"/>
        </w:rPr>
        <w:t xml:space="preserve">My sincere thanks go to </w:t>
      </w:r>
      <w:r>
        <w:rPr>
          <w:sz w:val="24"/>
          <w:szCs w:val="24"/>
        </w:rPr>
        <w:t xml:space="preserve">all the Krumholz lab members and external collaborators </w:t>
      </w:r>
      <w:r w:rsidRPr="005F0645">
        <w:rPr>
          <w:sz w:val="24"/>
          <w:szCs w:val="24"/>
        </w:rPr>
        <w:t xml:space="preserve">for their assistance with data collection, analysis, and </w:t>
      </w:r>
      <w:r w:rsidR="00E96361">
        <w:rPr>
          <w:sz w:val="24"/>
          <w:szCs w:val="24"/>
        </w:rPr>
        <w:t>guidance.</w:t>
      </w:r>
      <w:r w:rsidRPr="005F0645">
        <w:rPr>
          <w:sz w:val="24"/>
          <w:szCs w:val="24"/>
        </w:rPr>
        <w:t xml:space="preserve"> Their collaboration and camaraderie have made this research endeavor both rewarding and enjoyable.</w:t>
      </w:r>
      <w:r w:rsidR="00B121B9">
        <w:rPr>
          <w:sz w:val="24"/>
          <w:szCs w:val="24"/>
        </w:rPr>
        <w:t xml:space="preserve"> </w:t>
      </w:r>
      <w:r>
        <w:rPr>
          <w:sz w:val="24"/>
          <w:szCs w:val="24"/>
        </w:rPr>
        <w:t xml:space="preserve">I especially want to thank Dr. Christopher Abin for his </w:t>
      </w:r>
      <w:r w:rsidR="00AC40CE">
        <w:rPr>
          <w:sz w:val="24"/>
          <w:szCs w:val="24"/>
        </w:rPr>
        <w:t>passionate commitment to my growth as a scientist and as a person. I’m honored to call you my friend.</w:t>
      </w:r>
    </w:p>
    <w:p w14:paraId="4F3D61CE" w14:textId="368A78EE" w:rsidR="00A550AA" w:rsidRPr="005F0645" w:rsidRDefault="00A550AA" w:rsidP="005F0645">
      <w:pPr>
        <w:rPr>
          <w:sz w:val="24"/>
          <w:szCs w:val="24"/>
        </w:rPr>
      </w:pPr>
      <w:r>
        <w:rPr>
          <w:sz w:val="24"/>
          <w:szCs w:val="24"/>
        </w:rPr>
        <w:t>As a special note regarding the contents of this dissertation, the first chapter is a published multi-author work (</w:t>
      </w:r>
      <w:r w:rsidRPr="00A550AA">
        <w:rPr>
          <w:sz w:val="24"/>
          <w:szCs w:val="24"/>
        </w:rPr>
        <w:t>Garner CT, Sankaranarayanan K, Abin CA, Garner RM, Cai H, Lawson PA, et al. Methylocystis suflitae sp. nov., a novel type II methanotrophic bacterium isolated from landfill cover soil. International Journal of Systematic and Evolutionary Microbiology. 2024;74(1):006239.</w:t>
      </w:r>
      <w:r>
        <w:rPr>
          <w:sz w:val="24"/>
          <w:szCs w:val="24"/>
        </w:rPr>
        <w:t xml:space="preserve">). A detailed overview of the </w:t>
      </w:r>
      <w:r w:rsidR="00B0705A">
        <w:rPr>
          <w:sz w:val="24"/>
          <w:szCs w:val="24"/>
        </w:rPr>
        <w:t>author's</w:t>
      </w:r>
      <w:r>
        <w:rPr>
          <w:sz w:val="24"/>
          <w:szCs w:val="24"/>
        </w:rPr>
        <w:t xml:space="preserve"> contributions is found at the end of the chapter.</w:t>
      </w:r>
    </w:p>
    <w:p w14:paraId="422A0F36" w14:textId="69D6B4B0" w:rsidR="005F0645" w:rsidRDefault="00E96361" w:rsidP="005F0645">
      <w:pPr>
        <w:rPr>
          <w:sz w:val="24"/>
          <w:szCs w:val="24"/>
        </w:rPr>
      </w:pPr>
      <w:r>
        <w:rPr>
          <w:sz w:val="24"/>
          <w:szCs w:val="24"/>
        </w:rPr>
        <w:t>Thank you</w:t>
      </w:r>
      <w:r w:rsidR="005F0645" w:rsidRPr="005F0645">
        <w:rPr>
          <w:sz w:val="24"/>
          <w:szCs w:val="24"/>
        </w:rPr>
        <w:t xml:space="preserve"> to my </w:t>
      </w:r>
      <w:r w:rsidR="00AC40CE">
        <w:rPr>
          <w:sz w:val="24"/>
          <w:szCs w:val="24"/>
        </w:rPr>
        <w:t>parents and to my sister</w:t>
      </w:r>
      <w:r w:rsidR="005F0645" w:rsidRPr="005F0645">
        <w:rPr>
          <w:sz w:val="24"/>
          <w:szCs w:val="24"/>
        </w:rPr>
        <w:t xml:space="preserve"> for their unwavering encouragement</w:t>
      </w:r>
      <w:r w:rsidR="00FC346E">
        <w:rPr>
          <w:sz w:val="24"/>
          <w:szCs w:val="24"/>
        </w:rPr>
        <w:t xml:space="preserve">. </w:t>
      </w:r>
      <w:r w:rsidR="005F0645" w:rsidRPr="005F0645">
        <w:rPr>
          <w:sz w:val="24"/>
          <w:szCs w:val="24"/>
        </w:rPr>
        <w:t xml:space="preserve">Their support has been </w:t>
      </w:r>
      <w:r w:rsidR="00F707D1">
        <w:rPr>
          <w:sz w:val="24"/>
          <w:szCs w:val="24"/>
        </w:rPr>
        <w:t>a</w:t>
      </w:r>
      <w:r w:rsidR="005F0645" w:rsidRPr="005F0645">
        <w:rPr>
          <w:sz w:val="24"/>
          <w:szCs w:val="24"/>
        </w:rPr>
        <w:t xml:space="preserve"> source of strength and motivation.</w:t>
      </w:r>
    </w:p>
    <w:p w14:paraId="712456F2" w14:textId="225E5EAA" w:rsidR="00AC40CE" w:rsidRPr="005F0645" w:rsidRDefault="00AC40CE" w:rsidP="005F0645">
      <w:pPr>
        <w:rPr>
          <w:sz w:val="24"/>
          <w:szCs w:val="24"/>
        </w:rPr>
      </w:pPr>
      <w:r>
        <w:rPr>
          <w:sz w:val="24"/>
          <w:szCs w:val="24"/>
        </w:rPr>
        <w:t>Finally, I want to thank my wife, Rosie</w:t>
      </w:r>
      <w:r w:rsidR="00E96361">
        <w:rPr>
          <w:sz w:val="24"/>
          <w:szCs w:val="24"/>
        </w:rPr>
        <w:t>. You</w:t>
      </w:r>
      <w:r>
        <w:rPr>
          <w:sz w:val="24"/>
          <w:szCs w:val="24"/>
        </w:rPr>
        <w:t xml:space="preserve"> have been constantly supportive, guiding, and patient during even the most challenging parts of this process. I cannot thank you enough for everything you do for our family. This could not have happened without you, and I am beyond grateful. And to Maria, who </w:t>
      </w:r>
      <w:r w:rsidR="00F707D1">
        <w:rPr>
          <w:sz w:val="24"/>
          <w:szCs w:val="24"/>
        </w:rPr>
        <w:t>may</w:t>
      </w:r>
      <w:r>
        <w:rPr>
          <w:sz w:val="24"/>
          <w:szCs w:val="24"/>
        </w:rPr>
        <w:t xml:space="preserve"> one day read this</w:t>
      </w:r>
      <w:r w:rsidR="00F707D1">
        <w:rPr>
          <w:sz w:val="24"/>
          <w:szCs w:val="24"/>
        </w:rPr>
        <w:t>, I love you. All this hard work was for you.</w:t>
      </w:r>
    </w:p>
    <w:p w14:paraId="62966A13" w14:textId="77777777" w:rsidR="005F0645" w:rsidRPr="005F0645" w:rsidRDefault="005F0645" w:rsidP="005F0645">
      <w:pPr>
        <w:rPr>
          <w:sz w:val="24"/>
          <w:szCs w:val="24"/>
        </w:rPr>
      </w:pPr>
    </w:p>
    <w:p w14:paraId="50FFD389" w14:textId="77777777" w:rsidR="005F0645" w:rsidRPr="005F0645" w:rsidRDefault="005F0645" w:rsidP="005F0645">
      <w:pPr>
        <w:rPr>
          <w:sz w:val="24"/>
          <w:szCs w:val="24"/>
        </w:rPr>
      </w:pPr>
    </w:p>
    <w:bookmarkStart w:id="0" w:name="_Toc161933268" w:displacedByCustomXml="next"/>
    <w:bookmarkStart w:id="1" w:name="_Toc161933718" w:displacedByCustomXml="next"/>
    <w:sdt>
      <w:sdtPr>
        <w:rPr>
          <w:rFonts w:cs="Times New Roman"/>
          <w:bCs w:val="0"/>
          <w:sz w:val="24"/>
          <w:szCs w:val="24"/>
          <w:u w:val="none"/>
        </w:rPr>
        <w:id w:val="-2057999277"/>
        <w:docPartObj>
          <w:docPartGallery w:val="Table of Contents"/>
          <w:docPartUnique/>
        </w:docPartObj>
      </w:sdtPr>
      <w:sdtEndPr>
        <w:rPr>
          <w:b/>
          <w:bCs/>
          <w:noProof/>
        </w:rPr>
      </w:sdtEndPr>
      <w:sdtContent>
        <w:p w14:paraId="326E01D0" w14:textId="4FE8ED5E" w:rsidR="00FA2DD0" w:rsidRPr="00317591" w:rsidRDefault="00FA2DD0" w:rsidP="00A550AA">
          <w:pPr>
            <w:pStyle w:val="TOCHeading"/>
            <w:rPr>
              <w:rFonts w:cs="Times New Roman"/>
              <w:sz w:val="24"/>
              <w:szCs w:val="24"/>
            </w:rPr>
          </w:pPr>
          <w:r w:rsidRPr="005F7BA4">
            <w:rPr>
              <w:rFonts w:cs="Times New Roman"/>
              <w:sz w:val="24"/>
              <w:szCs w:val="24"/>
            </w:rPr>
            <w:br w:type="column"/>
          </w:r>
          <w:r w:rsidRPr="00317591">
            <w:rPr>
              <w:rFonts w:cs="Times New Roman"/>
              <w:b/>
              <w:bCs w:val="0"/>
              <w:sz w:val="24"/>
              <w:szCs w:val="24"/>
            </w:rPr>
            <w:lastRenderedPageBreak/>
            <w:t>Table of Contents</w:t>
          </w:r>
        </w:p>
        <w:p w14:paraId="5029A07A" w14:textId="24387AF9" w:rsidR="00317591" w:rsidRPr="00317591" w:rsidRDefault="00FA2DD0">
          <w:pPr>
            <w:pStyle w:val="TOC1"/>
            <w:tabs>
              <w:tab w:val="right" w:leader="dot" w:pos="9350"/>
            </w:tabs>
            <w:rPr>
              <w:rFonts w:ascii="Times New Roman" w:hAnsi="Times New Roman"/>
              <w:b w:val="0"/>
              <w:bCs w:val="0"/>
              <w:caps w:val="0"/>
              <w:noProof/>
              <w:kern w:val="2"/>
              <w14:ligatures w14:val="standardContextual"/>
            </w:rPr>
          </w:pPr>
          <w:r w:rsidRPr="00317591">
            <w:rPr>
              <w:rFonts w:ascii="Times New Roman" w:hAnsi="Times New Roman"/>
              <w:b w:val="0"/>
              <w:bCs w:val="0"/>
            </w:rPr>
            <w:fldChar w:fldCharType="begin"/>
          </w:r>
          <w:r w:rsidRPr="00317591">
            <w:rPr>
              <w:rFonts w:ascii="Times New Roman" w:hAnsi="Times New Roman"/>
            </w:rPr>
            <w:instrText xml:space="preserve"> TOC \o "1-3" \h \z \u </w:instrText>
          </w:r>
          <w:r w:rsidRPr="00317591">
            <w:rPr>
              <w:rFonts w:ascii="Times New Roman" w:hAnsi="Times New Roman"/>
              <w:b w:val="0"/>
              <w:bCs w:val="0"/>
            </w:rPr>
            <w:fldChar w:fldCharType="separate"/>
          </w:r>
          <w:hyperlink w:anchor="_Toc167115817" w:history="1">
            <w:r w:rsidR="00317591" w:rsidRPr="00317591">
              <w:rPr>
                <w:rStyle w:val="Hyperlink"/>
                <w:rFonts w:ascii="Times New Roman" w:hAnsi="Times New Roman"/>
                <w:noProof/>
              </w:rPr>
              <w:t>List of Tables</w:t>
            </w:r>
            <w:r w:rsidR="00317591" w:rsidRPr="00317591">
              <w:rPr>
                <w:rFonts w:ascii="Times New Roman" w:hAnsi="Times New Roman"/>
                <w:noProof/>
                <w:webHidden/>
              </w:rPr>
              <w:tab/>
            </w:r>
            <w:r w:rsidR="00317591" w:rsidRPr="00317591">
              <w:rPr>
                <w:rFonts w:ascii="Times New Roman" w:hAnsi="Times New Roman"/>
                <w:noProof/>
                <w:webHidden/>
              </w:rPr>
              <w:fldChar w:fldCharType="begin"/>
            </w:r>
            <w:r w:rsidR="00317591" w:rsidRPr="00317591">
              <w:rPr>
                <w:rFonts w:ascii="Times New Roman" w:hAnsi="Times New Roman"/>
                <w:noProof/>
                <w:webHidden/>
              </w:rPr>
              <w:instrText xml:space="preserve"> PAGEREF _Toc167115817 \h </w:instrText>
            </w:r>
            <w:r w:rsidR="00317591" w:rsidRPr="00317591">
              <w:rPr>
                <w:rFonts w:ascii="Times New Roman" w:hAnsi="Times New Roman"/>
                <w:noProof/>
                <w:webHidden/>
              </w:rPr>
            </w:r>
            <w:r w:rsidR="00317591" w:rsidRPr="00317591">
              <w:rPr>
                <w:rFonts w:ascii="Times New Roman" w:hAnsi="Times New Roman"/>
                <w:noProof/>
                <w:webHidden/>
              </w:rPr>
              <w:fldChar w:fldCharType="separate"/>
            </w:r>
            <w:r w:rsidR="00DD3C37">
              <w:rPr>
                <w:rFonts w:ascii="Times New Roman" w:hAnsi="Times New Roman"/>
                <w:noProof/>
                <w:webHidden/>
              </w:rPr>
              <w:t>vii</w:t>
            </w:r>
            <w:r w:rsidR="00317591" w:rsidRPr="00317591">
              <w:rPr>
                <w:rFonts w:ascii="Times New Roman" w:hAnsi="Times New Roman"/>
                <w:noProof/>
                <w:webHidden/>
              </w:rPr>
              <w:fldChar w:fldCharType="end"/>
            </w:r>
          </w:hyperlink>
        </w:p>
        <w:p w14:paraId="67FE4D3F" w14:textId="150E9745"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18" w:history="1">
            <w:r w:rsidRPr="00317591">
              <w:rPr>
                <w:rStyle w:val="Hyperlink"/>
                <w:rFonts w:ascii="Times New Roman" w:hAnsi="Times New Roman"/>
                <w:noProof/>
              </w:rPr>
              <w:t>List of Figures</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_Toc167115818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viii</w:t>
            </w:r>
            <w:r w:rsidRPr="00317591">
              <w:rPr>
                <w:rFonts w:ascii="Times New Roman" w:hAnsi="Times New Roman"/>
                <w:noProof/>
                <w:webHidden/>
              </w:rPr>
              <w:fldChar w:fldCharType="end"/>
            </w:r>
          </w:hyperlink>
        </w:p>
        <w:p w14:paraId="21E65D6E" w14:textId="565BC69D"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19" w:history="1">
            <w:r w:rsidRPr="00317591">
              <w:rPr>
                <w:rStyle w:val="Hyperlink"/>
                <w:rFonts w:ascii="Times New Roman" w:hAnsi="Times New Roman"/>
                <w:noProof/>
              </w:rPr>
              <w:t>Abstract</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_Toc167115819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ix</w:t>
            </w:r>
            <w:r w:rsidRPr="00317591">
              <w:rPr>
                <w:rFonts w:ascii="Times New Roman" w:hAnsi="Times New Roman"/>
                <w:noProof/>
                <w:webHidden/>
              </w:rPr>
              <w:fldChar w:fldCharType="end"/>
            </w:r>
          </w:hyperlink>
        </w:p>
        <w:p w14:paraId="1D9AFBE3" w14:textId="28462903"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20" w:history="1">
            <w:r w:rsidRPr="00317591">
              <w:rPr>
                <w:rStyle w:val="Hyperlink"/>
                <w:rFonts w:ascii="Times New Roman" w:hAnsi="Times New Roman"/>
                <w:noProof/>
              </w:rPr>
              <w:t>Chapter 1</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_Toc167115820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1</w:t>
            </w:r>
            <w:r w:rsidRPr="00317591">
              <w:rPr>
                <w:rFonts w:ascii="Times New Roman" w:hAnsi="Times New Roman"/>
                <w:noProof/>
                <w:webHidden/>
              </w:rPr>
              <w:fldChar w:fldCharType="end"/>
            </w:r>
          </w:hyperlink>
        </w:p>
        <w:p w14:paraId="5DBDEC69" w14:textId="68BF9F1E" w:rsidR="00317591" w:rsidRPr="00317591" w:rsidRDefault="00317591">
          <w:pPr>
            <w:pStyle w:val="TOC2"/>
            <w:tabs>
              <w:tab w:val="right" w:leader="dot" w:pos="9350"/>
            </w:tabs>
            <w:rPr>
              <w:rFonts w:ascii="Times New Roman" w:hAnsi="Times New Roman"/>
              <w:b w:val="0"/>
              <w:bCs w:val="0"/>
              <w:noProof/>
              <w:kern w:val="2"/>
              <w:sz w:val="24"/>
              <w:szCs w:val="24"/>
              <w14:ligatures w14:val="standardContextual"/>
            </w:rPr>
          </w:pPr>
          <w:hyperlink w:anchor="_Toc167115821" w:history="1">
            <w:r w:rsidRPr="00317591">
              <w:rPr>
                <w:rStyle w:val="Hyperlink"/>
                <w:rFonts w:ascii="Times New Roman" w:hAnsi="Times New Roman"/>
                <w:noProof/>
                <w:sz w:val="24"/>
                <w:szCs w:val="24"/>
              </w:rPr>
              <w:t xml:space="preserve">Description of </w:t>
            </w:r>
            <w:r w:rsidRPr="00317591">
              <w:rPr>
                <w:rStyle w:val="Hyperlink"/>
                <w:rFonts w:ascii="Times New Roman" w:hAnsi="Times New Roman"/>
                <w:i/>
                <w:iCs/>
                <w:noProof/>
                <w:sz w:val="24"/>
                <w:szCs w:val="24"/>
              </w:rPr>
              <w:t>Methylocystis suflitae</w:t>
            </w:r>
            <w:r w:rsidRPr="00317591">
              <w:rPr>
                <w:rStyle w:val="Hyperlink"/>
                <w:rFonts w:ascii="Times New Roman" w:hAnsi="Times New Roman"/>
                <w:noProof/>
                <w:sz w:val="24"/>
                <w:szCs w:val="24"/>
              </w:rPr>
              <w:t xml:space="preserve"> sp. nov., a novel type II methanotrophic bacterium isolated from landfill cover soil.</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_Toc167115821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1</w:t>
            </w:r>
            <w:r w:rsidRPr="00317591">
              <w:rPr>
                <w:rFonts w:ascii="Times New Roman" w:hAnsi="Times New Roman"/>
                <w:noProof/>
                <w:webHidden/>
                <w:sz w:val="24"/>
                <w:szCs w:val="24"/>
              </w:rPr>
              <w:fldChar w:fldCharType="end"/>
            </w:r>
          </w:hyperlink>
        </w:p>
        <w:p w14:paraId="5A2353C8" w14:textId="5CCCE2C7"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2" w:history="1">
            <w:r w:rsidRPr="00317591">
              <w:rPr>
                <w:rStyle w:val="Hyperlink"/>
                <w:rFonts w:ascii="Times New Roman" w:hAnsi="Times New Roman"/>
                <w:noProof/>
                <w:sz w:val="24"/>
                <w:szCs w:val="24"/>
              </w:rPr>
              <w:t>Introduction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_Toc167115822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w:t>
            </w:r>
            <w:r w:rsidRPr="00317591">
              <w:rPr>
                <w:rFonts w:ascii="Times New Roman" w:hAnsi="Times New Roman"/>
                <w:noProof/>
                <w:webHidden/>
                <w:sz w:val="24"/>
                <w:szCs w:val="24"/>
              </w:rPr>
              <w:fldChar w:fldCharType="end"/>
            </w:r>
          </w:hyperlink>
        </w:p>
        <w:p w14:paraId="1851FF1E" w14:textId="0E308840"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3" w:history="1">
            <w:r w:rsidRPr="00317591">
              <w:rPr>
                <w:rStyle w:val="Hyperlink"/>
                <w:rFonts w:ascii="Times New Roman" w:hAnsi="Times New Roman"/>
                <w:noProof/>
                <w:sz w:val="24"/>
                <w:szCs w:val="24"/>
              </w:rPr>
              <w:t>Isolation and Ecology</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_Toc167115823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3</w:t>
            </w:r>
            <w:r w:rsidRPr="00317591">
              <w:rPr>
                <w:rFonts w:ascii="Times New Roman" w:hAnsi="Times New Roman"/>
                <w:noProof/>
                <w:webHidden/>
                <w:sz w:val="24"/>
                <w:szCs w:val="24"/>
              </w:rPr>
              <w:fldChar w:fldCharType="end"/>
            </w:r>
          </w:hyperlink>
        </w:p>
        <w:p w14:paraId="1CB4E51D" w14:textId="3113E301"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4" w:history="1">
            <w:r w:rsidRPr="00317591">
              <w:rPr>
                <w:rStyle w:val="Hyperlink"/>
                <w:rFonts w:ascii="Times New Roman" w:hAnsi="Times New Roman"/>
                <w:noProof/>
                <w:sz w:val="24"/>
                <w:szCs w:val="24"/>
              </w:rPr>
              <w:t>Genome Features and Phylogeny</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_Toc167115824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4</w:t>
            </w:r>
            <w:r w:rsidRPr="00317591">
              <w:rPr>
                <w:rFonts w:ascii="Times New Roman" w:hAnsi="Times New Roman"/>
                <w:noProof/>
                <w:webHidden/>
                <w:sz w:val="24"/>
                <w:szCs w:val="24"/>
              </w:rPr>
              <w:fldChar w:fldCharType="end"/>
            </w:r>
          </w:hyperlink>
        </w:p>
        <w:p w14:paraId="62C63A63" w14:textId="6DC5FCCE"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5" w:history="1">
            <w:r w:rsidRPr="00317591">
              <w:rPr>
                <w:rStyle w:val="Hyperlink"/>
                <w:rFonts w:ascii="Times New Roman" w:hAnsi="Times New Roman"/>
                <w:noProof/>
                <w:sz w:val="24"/>
                <w:szCs w:val="24"/>
              </w:rPr>
              <w:t>Physiology and Chemotaxonomy</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_Toc167115825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11</w:t>
            </w:r>
            <w:r w:rsidRPr="00317591">
              <w:rPr>
                <w:rFonts w:ascii="Times New Roman" w:hAnsi="Times New Roman"/>
                <w:noProof/>
                <w:webHidden/>
                <w:sz w:val="24"/>
                <w:szCs w:val="24"/>
              </w:rPr>
              <w:fldChar w:fldCharType="end"/>
            </w:r>
          </w:hyperlink>
        </w:p>
        <w:p w14:paraId="69BAD249" w14:textId="5C29F54B"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6" w:history="1">
            <w:r w:rsidRPr="00317591">
              <w:rPr>
                <w:rStyle w:val="Hyperlink"/>
                <w:rFonts w:ascii="Times New Roman" w:hAnsi="Times New Roman"/>
                <w:noProof/>
                <w:sz w:val="24"/>
                <w:szCs w:val="24"/>
              </w:rPr>
              <w:t xml:space="preserve">Description of </w:t>
            </w:r>
            <w:r w:rsidRPr="00317591">
              <w:rPr>
                <w:rStyle w:val="Hyperlink"/>
                <w:rFonts w:ascii="Times New Roman" w:hAnsi="Times New Roman"/>
                <w:i/>
                <w:iCs/>
                <w:noProof/>
                <w:sz w:val="24"/>
                <w:szCs w:val="24"/>
              </w:rPr>
              <w:t>Methylocystis suflitae</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_Toc167115826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18</w:t>
            </w:r>
            <w:r w:rsidRPr="00317591">
              <w:rPr>
                <w:rFonts w:ascii="Times New Roman" w:hAnsi="Times New Roman"/>
                <w:noProof/>
                <w:webHidden/>
                <w:sz w:val="24"/>
                <w:szCs w:val="24"/>
              </w:rPr>
              <w:fldChar w:fldCharType="end"/>
            </w:r>
          </w:hyperlink>
        </w:p>
        <w:p w14:paraId="3F22310E" w14:textId="297FA4FC"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7" w:history="1">
            <w:r w:rsidRPr="00317591">
              <w:rPr>
                <w:rStyle w:val="Hyperlink"/>
                <w:rFonts w:ascii="Times New Roman" w:hAnsi="Times New Roman"/>
                <w:noProof/>
                <w:sz w:val="24"/>
                <w:szCs w:val="24"/>
              </w:rPr>
              <w:t>Supplement to Chapter 1</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_Toc167115827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20</w:t>
            </w:r>
            <w:r w:rsidRPr="00317591">
              <w:rPr>
                <w:rFonts w:ascii="Times New Roman" w:hAnsi="Times New Roman"/>
                <w:noProof/>
                <w:webHidden/>
                <w:sz w:val="24"/>
                <w:szCs w:val="24"/>
              </w:rPr>
              <w:fldChar w:fldCharType="end"/>
            </w:r>
          </w:hyperlink>
        </w:p>
        <w:p w14:paraId="1DC0CD90" w14:textId="28194E30"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28" w:history="1">
            <w:r w:rsidRPr="00317591">
              <w:rPr>
                <w:rStyle w:val="Hyperlink"/>
                <w:rFonts w:ascii="Times New Roman" w:hAnsi="Times New Roman"/>
                <w:noProof/>
                <w:sz w:val="24"/>
                <w:szCs w:val="24"/>
              </w:rPr>
              <w:t>References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_Toc167115828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23</w:t>
            </w:r>
            <w:r w:rsidRPr="00317591">
              <w:rPr>
                <w:rFonts w:ascii="Times New Roman" w:hAnsi="Times New Roman"/>
                <w:noProof/>
                <w:webHidden/>
                <w:sz w:val="24"/>
                <w:szCs w:val="24"/>
              </w:rPr>
              <w:fldChar w:fldCharType="end"/>
            </w:r>
          </w:hyperlink>
        </w:p>
        <w:p w14:paraId="089AE13C" w14:textId="4642204D"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29" w:history="1">
            <w:r w:rsidRPr="00317591">
              <w:rPr>
                <w:rStyle w:val="Hyperlink"/>
                <w:rFonts w:ascii="Times New Roman" w:eastAsia="Times New Roman" w:hAnsi="Times New Roman"/>
                <w:noProof/>
              </w:rPr>
              <w:t>Chapter 2</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_Toc167115829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26</w:t>
            </w:r>
            <w:r w:rsidRPr="00317591">
              <w:rPr>
                <w:rFonts w:ascii="Times New Roman" w:hAnsi="Times New Roman"/>
                <w:noProof/>
                <w:webHidden/>
              </w:rPr>
              <w:fldChar w:fldCharType="end"/>
            </w:r>
          </w:hyperlink>
        </w:p>
        <w:p w14:paraId="38BF7F0F" w14:textId="700DF429" w:rsidR="00317591" w:rsidRPr="00317591" w:rsidRDefault="00317591">
          <w:pPr>
            <w:pStyle w:val="TOC2"/>
            <w:tabs>
              <w:tab w:val="right" w:leader="dot" w:pos="9350"/>
            </w:tabs>
            <w:rPr>
              <w:rFonts w:ascii="Times New Roman" w:hAnsi="Times New Roman"/>
              <w:b w:val="0"/>
              <w:bCs w:val="0"/>
              <w:noProof/>
              <w:kern w:val="2"/>
              <w:sz w:val="24"/>
              <w:szCs w:val="24"/>
              <w14:ligatures w14:val="standardContextual"/>
            </w:rPr>
          </w:pPr>
          <w:hyperlink w:anchor="_Toc167115830" w:history="1">
            <w:r w:rsidRPr="00317591">
              <w:rPr>
                <w:rStyle w:val="Hyperlink"/>
                <w:rFonts w:ascii="Times New Roman" w:eastAsia="Times New Roman" w:hAnsi="Times New Roman"/>
                <w:noProof/>
                <w:sz w:val="24"/>
                <w:szCs w:val="24"/>
              </w:rPr>
              <w:t xml:space="preserve">Effect of Oxygen Concentration on the Methane-oxidizing Bacteria, </w:t>
            </w:r>
            <w:r w:rsidRPr="00317591">
              <w:rPr>
                <w:rStyle w:val="Hyperlink"/>
                <w:rFonts w:ascii="Times New Roman" w:eastAsia="Times New Roman" w:hAnsi="Times New Roman"/>
                <w:i/>
                <w:iCs/>
                <w:noProof/>
                <w:sz w:val="24"/>
                <w:szCs w:val="24"/>
              </w:rPr>
              <w:t xml:space="preserve">Methylosinus trichosporium </w:t>
            </w:r>
            <w:r w:rsidRPr="00317591">
              <w:rPr>
                <w:rStyle w:val="Hyperlink"/>
                <w:rFonts w:ascii="Times New Roman" w:eastAsia="Times New Roman" w:hAnsi="Times New Roman"/>
                <w:noProof/>
                <w:sz w:val="24"/>
                <w:szCs w:val="24"/>
              </w:rPr>
              <w:t xml:space="preserve">OB3b and </w:t>
            </w:r>
            <w:r w:rsidRPr="00317591">
              <w:rPr>
                <w:rStyle w:val="Hyperlink"/>
                <w:rFonts w:ascii="Times New Roman" w:eastAsia="Times New Roman" w:hAnsi="Times New Roman"/>
                <w:i/>
                <w:iCs/>
                <w:noProof/>
                <w:sz w:val="24"/>
                <w:szCs w:val="24"/>
              </w:rPr>
              <w:t xml:space="preserve">Methylomonas </w:t>
            </w:r>
            <w:r w:rsidRPr="00317591">
              <w:rPr>
                <w:rStyle w:val="Hyperlink"/>
                <w:rFonts w:ascii="Times New Roman" w:eastAsia="Times New Roman" w:hAnsi="Times New Roman"/>
                <w:noProof/>
                <w:sz w:val="24"/>
                <w:szCs w:val="24"/>
              </w:rPr>
              <w:t>sp. WSC-7</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_Toc167115830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26</w:t>
            </w:r>
            <w:r w:rsidRPr="00317591">
              <w:rPr>
                <w:rFonts w:ascii="Times New Roman" w:hAnsi="Times New Roman"/>
                <w:noProof/>
                <w:webHidden/>
                <w:sz w:val="24"/>
                <w:szCs w:val="24"/>
              </w:rPr>
              <w:fldChar w:fldCharType="end"/>
            </w:r>
          </w:hyperlink>
        </w:p>
        <w:p w14:paraId="257A2822" w14:textId="18E140C5"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1" w:history="1">
            <w:r w:rsidRPr="00317591">
              <w:rPr>
                <w:rStyle w:val="Hyperlink"/>
                <w:rFonts w:ascii="Times New Roman" w:eastAsia="Times New Roman" w:hAnsi="Times New Roman"/>
                <w:noProof/>
                <w:sz w:val="24"/>
                <w:szCs w:val="24"/>
              </w:rPr>
              <w:t>Abstract</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_Toc167115831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26</w:t>
            </w:r>
            <w:r w:rsidRPr="00317591">
              <w:rPr>
                <w:rFonts w:ascii="Times New Roman" w:hAnsi="Times New Roman"/>
                <w:noProof/>
                <w:webHidden/>
                <w:sz w:val="24"/>
                <w:szCs w:val="24"/>
              </w:rPr>
              <w:fldChar w:fldCharType="end"/>
            </w:r>
          </w:hyperlink>
        </w:p>
        <w:p w14:paraId="5A627758" w14:textId="520217A9"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2" w:history="1">
            <w:r w:rsidRPr="00317591">
              <w:rPr>
                <w:rStyle w:val="Hyperlink"/>
                <w:rFonts w:ascii="Times New Roman" w:eastAsia="Times New Roman" w:hAnsi="Times New Roman"/>
                <w:noProof/>
                <w:sz w:val="24"/>
                <w:szCs w:val="24"/>
              </w:rPr>
              <w:t>Introduction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_Toc167115832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27</w:t>
            </w:r>
            <w:r w:rsidRPr="00317591">
              <w:rPr>
                <w:rFonts w:ascii="Times New Roman" w:hAnsi="Times New Roman"/>
                <w:noProof/>
                <w:webHidden/>
                <w:sz w:val="24"/>
                <w:szCs w:val="24"/>
              </w:rPr>
              <w:fldChar w:fldCharType="end"/>
            </w:r>
          </w:hyperlink>
        </w:p>
        <w:p w14:paraId="0E894064" w14:textId="3AF08F95"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3" w:history="1">
            <w:r w:rsidRPr="00317591">
              <w:rPr>
                <w:rStyle w:val="Hyperlink"/>
                <w:rFonts w:ascii="Times New Roman" w:eastAsia="Times New Roman" w:hAnsi="Times New Roman"/>
                <w:noProof/>
                <w:sz w:val="24"/>
                <w:szCs w:val="24"/>
              </w:rPr>
              <w:t>Methods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_Toc167115833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29</w:t>
            </w:r>
            <w:r w:rsidRPr="00317591">
              <w:rPr>
                <w:rFonts w:ascii="Times New Roman" w:hAnsi="Times New Roman"/>
                <w:noProof/>
                <w:webHidden/>
                <w:sz w:val="24"/>
                <w:szCs w:val="24"/>
              </w:rPr>
              <w:fldChar w:fldCharType="end"/>
            </w:r>
          </w:hyperlink>
        </w:p>
        <w:p w14:paraId="4277F280" w14:textId="3DDBE124"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4" w:history="1">
            <w:r w:rsidRPr="00317591">
              <w:rPr>
                <w:rStyle w:val="Hyperlink"/>
                <w:rFonts w:ascii="Times New Roman" w:eastAsia="Times New Roman" w:hAnsi="Times New Roman"/>
                <w:noProof/>
                <w:sz w:val="24"/>
                <w:szCs w:val="24"/>
              </w:rPr>
              <w:t>Results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_Toc167115834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33</w:t>
            </w:r>
            <w:r w:rsidRPr="00317591">
              <w:rPr>
                <w:rFonts w:ascii="Times New Roman" w:hAnsi="Times New Roman"/>
                <w:noProof/>
                <w:webHidden/>
                <w:sz w:val="24"/>
                <w:szCs w:val="24"/>
              </w:rPr>
              <w:fldChar w:fldCharType="end"/>
            </w:r>
          </w:hyperlink>
        </w:p>
        <w:p w14:paraId="0E9EFEDB" w14:textId="6BF615D8"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5" w:history="1">
            <w:r w:rsidRPr="00317591">
              <w:rPr>
                <w:rStyle w:val="Hyperlink"/>
                <w:rFonts w:ascii="Times New Roman" w:eastAsia="Times New Roman" w:hAnsi="Times New Roman"/>
                <w:noProof/>
                <w:sz w:val="24"/>
                <w:szCs w:val="24"/>
              </w:rPr>
              <w:t>Discussion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_Toc167115835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44</w:t>
            </w:r>
            <w:r w:rsidRPr="00317591">
              <w:rPr>
                <w:rFonts w:ascii="Times New Roman" w:hAnsi="Times New Roman"/>
                <w:noProof/>
                <w:webHidden/>
                <w:sz w:val="24"/>
                <w:szCs w:val="24"/>
              </w:rPr>
              <w:fldChar w:fldCharType="end"/>
            </w:r>
          </w:hyperlink>
        </w:p>
        <w:p w14:paraId="04A3CFAF" w14:textId="4E7C12C9"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6" w:history="1">
            <w:r w:rsidRPr="00317591">
              <w:rPr>
                <w:rStyle w:val="Hyperlink"/>
                <w:rFonts w:ascii="Times New Roman" w:eastAsia="Times New Roman" w:hAnsi="Times New Roman"/>
                <w:noProof/>
                <w:sz w:val="24"/>
                <w:szCs w:val="24"/>
              </w:rPr>
              <w:t>References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_Toc167115836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47</w:t>
            </w:r>
            <w:r w:rsidRPr="00317591">
              <w:rPr>
                <w:rFonts w:ascii="Times New Roman" w:hAnsi="Times New Roman"/>
                <w:noProof/>
                <w:webHidden/>
                <w:sz w:val="24"/>
                <w:szCs w:val="24"/>
              </w:rPr>
              <w:fldChar w:fldCharType="end"/>
            </w:r>
          </w:hyperlink>
        </w:p>
        <w:p w14:paraId="1B6321ED" w14:textId="03CF06C2"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37" w:history="1">
            <w:r w:rsidRPr="00317591">
              <w:rPr>
                <w:rStyle w:val="Hyperlink"/>
                <w:rFonts w:ascii="Times New Roman" w:hAnsi="Times New Roman"/>
                <w:noProof/>
              </w:rPr>
              <w:t>Chapter 3</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_Toc167115837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50</w:t>
            </w:r>
            <w:r w:rsidRPr="00317591">
              <w:rPr>
                <w:rFonts w:ascii="Times New Roman" w:hAnsi="Times New Roman"/>
                <w:noProof/>
                <w:webHidden/>
              </w:rPr>
              <w:fldChar w:fldCharType="end"/>
            </w:r>
          </w:hyperlink>
        </w:p>
        <w:p w14:paraId="45194129" w14:textId="7BC6871C" w:rsidR="00317591" w:rsidRPr="00317591" w:rsidRDefault="00317591">
          <w:pPr>
            <w:pStyle w:val="TOC2"/>
            <w:tabs>
              <w:tab w:val="right" w:leader="dot" w:pos="9350"/>
            </w:tabs>
            <w:rPr>
              <w:rFonts w:ascii="Times New Roman" w:hAnsi="Times New Roman"/>
              <w:b w:val="0"/>
              <w:bCs w:val="0"/>
              <w:noProof/>
              <w:kern w:val="2"/>
              <w:sz w:val="24"/>
              <w:szCs w:val="24"/>
              <w14:ligatures w14:val="standardContextual"/>
            </w:rPr>
          </w:pPr>
          <w:hyperlink w:anchor="_Toc167115838" w:history="1">
            <w:r w:rsidRPr="00317591">
              <w:rPr>
                <w:rStyle w:val="Hyperlink"/>
                <w:rFonts w:ascii="Times New Roman" w:hAnsi="Times New Roman"/>
                <w:noProof/>
                <w:sz w:val="24"/>
                <w:szCs w:val="24"/>
              </w:rPr>
              <w:t xml:space="preserve">Effect of Coculturing the Methane-Oxidizing Bacterium </w:t>
            </w:r>
            <w:r w:rsidRPr="00317591">
              <w:rPr>
                <w:rStyle w:val="Hyperlink"/>
                <w:rFonts w:ascii="Times New Roman" w:hAnsi="Times New Roman"/>
                <w:i/>
                <w:iCs/>
                <w:noProof/>
                <w:sz w:val="24"/>
                <w:szCs w:val="24"/>
              </w:rPr>
              <w:t xml:space="preserve">Methylosinus trichosporium </w:t>
            </w:r>
            <w:r w:rsidRPr="00317591">
              <w:rPr>
                <w:rStyle w:val="Hyperlink"/>
                <w:rFonts w:ascii="Times New Roman" w:hAnsi="Times New Roman"/>
                <w:noProof/>
                <w:sz w:val="24"/>
                <w:szCs w:val="24"/>
              </w:rPr>
              <w:t xml:space="preserve">OB3b with </w:t>
            </w:r>
            <w:r w:rsidRPr="00317591">
              <w:rPr>
                <w:rStyle w:val="Hyperlink"/>
                <w:rFonts w:ascii="Times New Roman" w:hAnsi="Times New Roman"/>
                <w:i/>
                <w:iCs/>
                <w:noProof/>
                <w:sz w:val="24"/>
                <w:szCs w:val="24"/>
              </w:rPr>
              <w:t>Flavobacterium</w:t>
            </w:r>
            <w:r w:rsidRPr="00317591">
              <w:rPr>
                <w:rStyle w:val="Hyperlink"/>
                <w:rFonts w:ascii="Times New Roman" w:hAnsi="Times New Roman"/>
                <w:noProof/>
                <w:sz w:val="24"/>
                <w:szCs w:val="24"/>
              </w:rPr>
              <w:t xml:space="preserve">, </w:t>
            </w:r>
            <w:r w:rsidRPr="00317591">
              <w:rPr>
                <w:rStyle w:val="Hyperlink"/>
                <w:rFonts w:ascii="Times New Roman" w:hAnsi="Times New Roman"/>
                <w:i/>
                <w:iCs/>
                <w:noProof/>
                <w:sz w:val="24"/>
                <w:szCs w:val="24"/>
              </w:rPr>
              <w:t>Cupriavidus</w:t>
            </w:r>
            <w:r w:rsidRPr="00317591">
              <w:rPr>
                <w:rStyle w:val="Hyperlink"/>
                <w:rFonts w:ascii="Times New Roman" w:hAnsi="Times New Roman"/>
                <w:noProof/>
                <w:sz w:val="24"/>
                <w:szCs w:val="24"/>
              </w:rPr>
              <w:t xml:space="preserve">, or </w:t>
            </w:r>
            <w:r w:rsidRPr="00317591">
              <w:rPr>
                <w:rStyle w:val="Hyperlink"/>
                <w:rFonts w:ascii="Times New Roman" w:hAnsi="Times New Roman"/>
                <w:i/>
                <w:iCs/>
                <w:noProof/>
                <w:sz w:val="24"/>
                <w:szCs w:val="24"/>
              </w:rPr>
              <w:t xml:space="preserve">Pseudomonas </w:t>
            </w:r>
            <w:r w:rsidRPr="00317591">
              <w:rPr>
                <w:rStyle w:val="Hyperlink"/>
                <w:rFonts w:ascii="Times New Roman" w:hAnsi="Times New Roman"/>
                <w:noProof/>
                <w:sz w:val="24"/>
                <w:szCs w:val="24"/>
              </w:rPr>
              <w:t>Bacteria</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_Toc167115838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50</w:t>
            </w:r>
            <w:r w:rsidRPr="00317591">
              <w:rPr>
                <w:rFonts w:ascii="Times New Roman" w:hAnsi="Times New Roman"/>
                <w:noProof/>
                <w:webHidden/>
                <w:sz w:val="24"/>
                <w:szCs w:val="24"/>
              </w:rPr>
              <w:fldChar w:fldCharType="end"/>
            </w:r>
          </w:hyperlink>
        </w:p>
        <w:p w14:paraId="74E5A758" w14:textId="783FF2F6"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39" w:history="1">
            <w:r w:rsidRPr="00317591">
              <w:rPr>
                <w:rStyle w:val="Hyperlink"/>
                <w:rFonts w:ascii="Times New Roman" w:hAnsi="Times New Roman"/>
                <w:noProof/>
                <w:sz w:val="24"/>
                <w:szCs w:val="24"/>
              </w:rPr>
              <w:t>Abstract</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_Toc167115839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50</w:t>
            </w:r>
            <w:r w:rsidRPr="00317591">
              <w:rPr>
                <w:rFonts w:ascii="Times New Roman" w:hAnsi="Times New Roman"/>
                <w:noProof/>
                <w:webHidden/>
                <w:sz w:val="24"/>
                <w:szCs w:val="24"/>
              </w:rPr>
              <w:fldChar w:fldCharType="end"/>
            </w:r>
          </w:hyperlink>
        </w:p>
        <w:p w14:paraId="2951D8ED" w14:textId="0DAE433D"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0" w:history="1">
            <w:r w:rsidRPr="00317591">
              <w:rPr>
                <w:rStyle w:val="Hyperlink"/>
                <w:rFonts w:ascii="Times New Roman" w:hAnsi="Times New Roman"/>
                <w:noProof/>
                <w:sz w:val="24"/>
                <w:szCs w:val="24"/>
              </w:rPr>
              <w:t>Introduction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_Toc167115840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51</w:t>
            </w:r>
            <w:r w:rsidRPr="00317591">
              <w:rPr>
                <w:rFonts w:ascii="Times New Roman" w:hAnsi="Times New Roman"/>
                <w:noProof/>
                <w:webHidden/>
                <w:sz w:val="24"/>
                <w:szCs w:val="24"/>
              </w:rPr>
              <w:fldChar w:fldCharType="end"/>
            </w:r>
          </w:hyperlink>
        </w:p>
        <w:p w14:paraId="43FBBC9C" w14:textId="148F7AA3"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1" w:history="1">
            <w:r w:rsidRPr="00317591">
              <w:rPr>
                <w:rStyle w:val="Hyperlink"/>
                <w:rFonts w:ascii="Times New Roman" w:hAnsi="Times New Roman"/>
                <w:noProof/>
                <w:sz w:val="24"/>
                <w:szCs w:val="24"/>
              </w:rPr>
              <w:t>Methods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_Toc167115841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55</w:t>
            </w:r>
            <w:r w:rsidRPr="00317591">
              <w:rPr>
                <w:rFonts w:ascii="Times New Roman" w:hAnsi="Times New Roman"/>
                <w:noProof/>
                <w:webHidden/>
                <w:sz w:val="24"/>
                <w:szCs w:val="24"/>
              </w:rPr>
              <w:fldChar w:fldCharType="end"/>
            </w:r>
          </w:hyperlink>
        </w:p>
        <w:p w14:paraId="2B7F9593" w14:textId="132AF5D2"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2" w:history="1">
            <w:r w:rsidRPr="00317591">
              <w:rPr>
                <w:rStyle w:val="Hyperlink"/>
                <w:rFonts w:ascii="Times New Roman" w:hAnsi="Times New Roman"/>
                <w:noProof/>
                <w:sz w:val="24"/>
                <w:szCs w:val="24"/>
              </w:rPr>
              <w:t>Results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_Toc167115842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60</w:t>
            </w:r>
            <w:r w:rsidRPr="00317591">
              <w:rPr>
                <w:rFonts w:ascii="Times New Roman" w:hAnsi="Times New Roman"/>
                <w:noProof/>
                <w:webHidden/>
                <w:sz w:val="24"/>
                <w:szCs w:val="24"/>
              </w:rPr>
              <w:fldChar w:fldCharType="end"/>
            </w:r>
          </w:hyperlink>
        </w:p>
        <w:p w14:paraId="5899E744" w14:textId="1692341F"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3" w:history="1">
            <w:r w:rsidRPr="00317591">
              <w:rPr>
                <w:rStyle w:val="Hyperlink"/>
                <w:rFonts w:ascii="Times New Roman" w:hAnsi="Times New Roman"/>
                <w:noProof/>
                <w:sz w:val="24"/>
                <w:szCs w:val="24"/>
              </w:rPr>
              <w:t>Discussion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_Toc167115843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72</w:t>
            </w:r>
            <w:r w:rsidRPr="00317591">
              <w:rPr>
                <w:rFonts w:ascii="Times New Roman" w:hAnsi="Times New Roman"/>
                <w:noProof/>
                <w:webHidden/>
                <w:sz w:val="24"/>
                <w:szCs w:val="24"/>
              </w:rPr>
              <w:fldChar w:fldCharType="end"/>
            </w:r>
          </w:hyperlink>
        </w:p>
        <w:p w14:paraId="234A04C1" w14:textId="78C06FD0"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4" w:history="1">
            <w:r w:rsidRPr="00317591">
              <w:rPr>
                <w:rStyle w:val="Hyperlink"/>
                <w:rFonts w:ascii="Times New Roman" w:hAnsi="Times New Roman"/>
                <w:noProof/>
                <w:sz w:val="24"/>
                <w:szCs w:val="24"/>
              </w:rPr>
              <w:t>Conclusion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_Toc167115844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76</w:t>
            </w:r>
            <w:r w:rsidRPr="00317591">
              <w:rPr>
                <w:rFonts w:ascii="Times New Roman" w:hAnsi="Times New Roman"/>
                <w:noProof/>
                <w:webHidden/>
                <w:sz w:val="24"/>
                <w:szCs w:val="24"/>
              </w:rPr>
              <w:fldChar w:fldCharType="end"/>
            </w:r>
          </w:hyperlink>
        </w:p>
        <w:p w14:paraId="69A52CEA" w14:textId="38186B1B" w:rsidR="00317591" w:rsidRPr="00317591" w:rsidRDefault="00317591">
          <w:pPr>
            <w:pStyle w:val="TOC3"/>
            <w:tabs>
              <w:tab w:val="right" w:leader="dot" w:pos="9350"/>
            </w:tabs>
            <w:rPr>
              <w:rFonts w:ascii="Times New Roman" w:hAnsi="Times New Roman"/>
              <w:noProof/>
              <w:kern w:val="2"/>
              <w:sz w:val="24"/>
              <w:szCs w:val="24"/>
              <w14:ligatures w14:val="standardContextual"/>
            </w:rPr>
          </w:pPr>
          <w:hyperlink w:anchor="_Toc167115845" w:history="1">
            <w:r w:rsidRPr="00317591">
              <w:rPr>
                <w:rStyle w:val="Hyperlink"/>
                <w:rFonts w:ascii="Times New Roman" w:hAnsi="Times New Roman"/>
                <w:noProof/>
                <w:sz w:val="24"/>
                <w:szCs w:val="24"/>
              </w:rPr>
              <w:t>References</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_Toc167115845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77</w:t>
            </w:r>
            <w:r w:rsidRPr="00317591">
              <w:rPr>
                <w:rFonts w:ascii="Times New Roman" w:hAnsi="Times New Roman"/>
                <w:noProof/>
                <w:webHidden/>
                <w:sz w:val="24"/>
                <w:szCs w:val="24"/>
              </w:rPr>
              <w:fldChar w:fldCharType="end"/>
            </w:r>
          </w:hyperlink>
        </w:p>
        <w:p w14:paraId="00B8EDD2" w14:textId="599D0409" w:rsidR="00317591" w:rsidRPr="00317591" w:rsidRDefault="00317591">
          <w:pPr>
            <w:pStyle w:val="TOC1"/>
            <w:tabs>
              <w:tab w:val="right" w:leader="dot" w:pos="9350"/>
            </w:tabs>
            <w:rPr>
              <w:rFonts w:ascii="Times New Roman" w:hAnsi="Times New Roman"/>
              <w:b w:val="0"/>
              <w:bCs w:val="0"/>
              <w:caps w:val="0"/>
              <w:noProof/>
              <w:kern w:val="2"/>
              <w14:ligatures w14:val="standardContextual"/>
            </w:rPr>
          </w:pPr>
          <w:hyperlink w:anchor="_Toc167115846" w:history="1">
            <w:r w:rsidRPr="00317591">
              <w:rPr>
                <w:rStyle w:val="Hyperlink"/>
                <w:rFonts w:ascii="Times New Roman" w:eastAsiaTheme="minorHAnsi" w:hAnsi="Times New Roman"/>
                <w:noProof/>
              </w:rPr>
              <w:t>Chapter 4</w:t>
            </w:r>
            <w:r w:rsidRPr="00317591">
              <w:rPr>
                <w:rFonts w:ascii="Times New Roman" w:hAnsi="Times New Roman"/>
                <w:noProof/>
                <w:webHidden/>
              </w:rPr>
              <w:tab/>
            </w:r>
            <w:r w:rsidRPr="00317591">
              <w:rPr>
                <w:rFonts w:ascii="Times New Roman" w:hAnsi="Times New Roman"/>
                <w:noProof/>
                <w:webHidden/>
              </w:rPr>
              <w:fldChar w:fldCharType="begin"/>
            </w:r>
            <w:r w:rsidRPr="00317591">
              <w:rPr>
                <w:rFonts w:ascii="Times New Roman" w:hAnsi="Times New Roman"/>
                <w:noProof/>
                <w:webHidden/>
              </w:rPr>
              <w:instrText xml:space="preserve"> PAGEREF _Toc167115846 \h </w:instrText>
            </w:r>
            <w:r w:rsidRPr="00317591">
              <w:rPr>
                <w:rFonts w:ascii="Times New Roman" w:hAnsi="Times New Roman"/>
                <w:noProof/>
                <w:webHidden/>
              </w:rPr>
            </w:r>
            <w:r w:rsidRPr="00317591">
              <w:rPr>
                <w:rFonts w:ascii="Times New Roman" w:hAnsi="Times New Roman"/>
                <w:noProof/>
                <w:webHidden/>
              </w:rPr>
              <w:fldChar w:fldCharType="separate"/>
            </w:r>
            <w:r w:rsidR="00DD3C37">
              <w:rPr>
                <w:rFonts w:ascii="Times New Roman" w:hAnsi="Times New Roman"/>
                <w:noProof/>
                <w:webHidden/>
              </w:rPr>
              <w:t>80</w:t>
            </w:r>
            <w:r w:rsidRPr="00317591">
              <w:rPr>
                <w:rFonts w:ascii="Times New Roman" w:hAnsi="Times New Roman"/>
                <w:noProof/>
                <w:webHidden/>
              </w:rPr>
              <w:fldChar w:fldCharType="end"/>
            </w:r>
          </w:hyperlink>
        </w:p>
        <w:p w14:paraId="5188387A" w14:textId="513275E2" w:rsidR="00317591" w:rsidRPr="00317591" w:rsidRDefault="00317591">
          <w:pPr>
            <w:pStyle w:val="TOC2"/>
            <w:tabs>
              <w:tab w:val="right" w:leader="dot" w:pos="9350"/>
            </w:tabs>
            <w:rPr>
              <w:rFonts w:ascii="Times New Roman" w:hAnsi="Times New Roman"/>
              <w:b w:val="0"/>
              <w:bCs w:val="0"/>
              <w:noProof/>
              <w:kern w:val="2"/>
              <w:sz w:val="24"/>
              <w:szCs w:val="24"/>
              <w14:ligatures w14:val="standardContextual"/>
            </w:rPr>
          </w:pPr>
          <w:hyperlink w:anchor="_Toc167115847" w:history="1">
            <w:r w:rsidRPr="00317591">
              <w:rPr>
                <w:rStyle w:val="Hyperlink"/>
                <w:rFonts w:ascii="Times New Roman" w:eastAsiaTheme="minorHAnsi" w:hAnsi="Times New Roman"/>
                <w:noProof/>
                <w:sz w:val="24"/>
                <w:szCs w:val="24"/>
              </w:rPr>
              <w:t>Conclusion</w:t>
            </w:r>
            <w:r w:rsidRPr="00317591">
              <w:rPr>
                <w:rFonts w:ascii="Times New Roman" w:hAnsi="Times New Roman"/>
                <w:noProof/>
                <w:webHidden/>
                <w:sz w:val="24"/>
                <w:szCs w:val="24"/>
              </w:rPr>
              <w:tab/>
            </w:r>
            <w:r w:rsidRPr="00317591">
              <w:rPr>
                <w:rFonts w:ascii="Times New Roman" w:hAnsi="Times New Roman"/>
                <w:noProof/>
                <w:webHidden/>
                <w:sz w:val="24"/>
                <w:szCs w:val="24"/>
              </w:rPr>
              <w:fldChar w:fldCharType="begin"/>
            </w:r>
            <w:r w:rsidRPr="00317591">
              <w:rPr>
                <w:rFonts w:ascii="Times New Roman" w:hAnsi="Times New Roman"/>
                <w:noProof/>
                <w:webHidden/>
                <w:sz w:val="24"/>
                <w:szCs w:val="24"/>
              </w:rPr>
              <w:instrText xml:space="preserve"> PAGEREF _Toc167115847 \h </w:instrText>
            </w:r>
            <w:r w:rsidRPr="00317591">
              <w:rPr>
                <w:rFonts w:ascii="Times New Roman" w:hAnsi="Times New Roman"/>
                <w:noProof/>
                <w:webHidden/>
                <w:sz w:val="24"/>
                <w:szCs w:val="24"/>
              </w:rPr>
            </w:r>
            <w:r w:rsidRPr="00317591">
              <w:rPr>
                <w:rFonts w:ascii="Times New Roman" w:hAnsi="Times New Roman"/>
                <w:noProof/>
                <w:webHidden/>
                <w:sz w:val="24"/>
                <w:szCs w:val="24"/>
              </w:rPr>
              <w:fldChar w:fldCharType="separate"/>
            </w:r>
            <w:r w:rsidR="00DD3C37">
              <w:rPr>
                <w:rFonts w:ascii="Times New Roman" w:hAnsi="Times New Roman"/>
                <w:noProof/>
                <w:webHidden/>
                <w:sz w:val="24"/>
                <w:szCs w:val="24"/>
              </w:rPr>
              <w:t>80</w:t>
            </w:r>
            <w:r w:rsidRPr="00317591">
              <w:rPr>
                <w:rFonts w:ascii="Times New Roman" w:hAnsi="Times New Roman"/>
                <w:noProof/>
                <w:webHidden/>
                <w:sz w:val="24"/>
                <w:szCs w:val="24"/>
              </w:rPr>
              <w:fldChar w:fldCharType="end"/>
            </w:r>
          </w:hyperlink>
        </w:p>
        <w:p w14:paraId="41485AC2" w14:textId="71EB7A15" w:rsidR="00FA2DD0" w:rsidRPr="005F7BA4" w:rsidRDefault="00FA2DD0">
          <w:pPr>
            <w:rPr>
              <w:sz w:val="24"/>
              <w:szCs w:val="24"/>
            </w:rPr>
          </w:pPr>
          <w:r w:rsidRPr="00317591">
            <w:rPr>
              <w:b/>
              <w:bCs/>
              <w:noProof/>
              <w:sz w:val="24"/>
              <w:szCs w:val="24"/>
            </w:rPr>
            <w:fldChar w:fldCharType="end"/>
          </w:r>
        </w:p>
      </w:sdtContent>
    </w:sdt>
    <w:p w14:paraId="14CE14FC" w14:textId="68EE78F5" w:rsidR="003D6F4A" w:rsidRPr="00A550AA" w:rsidRDefault="006A2F31" w:rsidP="006E624A">
      <w:pPr>
        <w:pStyle w:val="Heading1"/>
        <w:rPr>
          <w:rFonts w:cs="Times New Roman"/>
          <w:sz w:val="24"/>
          <w:szCs w:val="24"/>
        </w:rPr>
      </w:pPr>
      <w:r>
        <w:br w:type="column"/>
      </w:r>
      <w:bookmarkStart w:id="2" w:name="_Toc161934659"/>
      <w:bookmarkStart w:id="3" w:name="_Toc161935355"/>
      <w:bookmarkStart w:id="4" w:name="_Toc167115817"/>
      <w:r w:rsidR="003D6F4A" w:rsidRPr="00A550AA">
        <w:rPr>
          <w:rFonts w:cs="Times New Roman"/>
          <w:sz w:val="24"/>
          <w:szCs w:val="24"/>
        </w:rPr>
        <w:lastRenderedPageBreak/>
        <w:t>List of Tables</w:t>
      </w:r>
      <w:bookmarkEnd w:id="1"/>
      <w:bookmarkEnd w:id="0"/>
      <w:bookmarkEnd w:id="2"/>
      <w:bookmarkEnd w:id="3"/>
      <w:bookmarkEnd w:id="4"/>
    </w:p>
    <w:p w14:paraId="51E795AE" w14:textId="37CDB627" w:rsidR="00FA2DD0" w:rsidRPr="00A550AA" w:rsidRDefault="00FA2DD0">
      <w:pPr>
        <w:pStyle w:val="TOC1"/>
        <w:tabs>
          <w:tab w:val="right" w:leader="dot" w:pos="9350"/>
        </w:tabs>
        <w:rPr>
          <w:rFonts w:ascii="Times New Roman" w:hAnsi="Times New Roman"/>
          <w:b w:val="0"/>
          <w:bCs w:val="0"/>
          <w:caps w:val="0"/>
          <w:noProof/>
          <w:kern w:val="2"/>
          <w14:ligatures w14:val="standardContextual"/>
        </w:rPr>
      </w:pPr>
      <w:r w:rsidRPr="00A550AA">
        <w:rPr>
          <w:rFonts w:ascii="Times New Roman" w:hAnsi="Times New Roman"/>
        </w:rPr>
        <w:fldChar w:fldCharType="begin"/>
      </w:r>
      <w:r w:rsidRPr="00A550AA">
        <w:rPr>
          <w:rFonts w:ascii="Times New Roman" w:hAnsi="Times New Roman"/>
        </w:rPr>
        <w:instrText xml:space="preserve"> TOC \o "1-1" \h \z \u \t "Heading 6,2" </w:instrText>
      </w:r>
      <w:r w:rsidRPr="00A550AA">
        <w:rPr>
          <w:rFonts w:ascii="Times New Roman" w:hAnsi="Times New Roman"/>
        </w:rPr>
        <w:fldChar w:fldCharType="separate"/>
      </w:r>
      <w:hyperlink w:anchor="_Toc161934662" w:history="1">
        <w:r w:rsidRPr="00A550AA">
          <w:rPr>
            <w:rStyle w:val="Hyperlink"/>
            <w:rFonts w:ascii="Times New Roman" w:hAnsi="Times New Roman"/>
            <w:noProof/>
          </w:rPr>
          <w:t>Chapter 1</w:t>
        </w:r>
        <w:r w:rsidRPr="00A550AA">
          <w:rPr>
            <w:rFonts w:ascii="Times New Roman" w:hAnsi="Times New Roman"/>
            <w:noProof/>
            <w:webHidden/>
          </w:rPr>
          <w:tab/>
        </w:r>
        <w:r w:rsidRPr="00A550AA">
          <w:rPr>
            <w:rFonts w:ascii="Times New Roman" w:hAnsi="Times New Roman"/>
            <w:noProof/>
            <w:webHidden/>
          </w:rPr>
          <w:fldChar w:fldCharType="begin"/>
        </w:r>
        <w:r w:rsidRPr="00A550AA">
          <w:rPr>
            <w:rFonts w:ascii="Times New Roman" w:hAnsi="Times New Roman"/>
            <w:noProof/>
            <w:webHidden/>
          </w:rPr>
          <w:instrText xml:space="preserve"> PAGEREF _Toc161934662 \h </w:instrText>
        </w:r>
        <w:r w:rsidRPr="00A550AA">
          <w:rPr>
            <w:rFonts w:ascii="Times New Roman" w:hAnsi="Times New Roman"/>
            <w:noProof/>
            <w:webHidden/>
          </w:rPr>
        </w:r>
        <w:r w:rsidRPr="00A550AA">
          <w:rPr>
            <w:rFonts w:ascii="Times New Roman" w:hAnsi="Times New Roman"/>
            <w:noProof/>
            <w:webHidden/>
          </w:rPr>
          <w:fldChar w:fldCharType="separate"/>
        </w:r>
        <w:r w:rsidR="00DD3C37">
          <w:rPr>
            <w:rFonts w:ascii="Times New Roman" w:hAnsi="Times New Roman"/>
            <w:noProof/>
            <w:webHidden/>
          </w:rPr>
          <w:t>1</w:t>
        </w:r>
        <w:r w:rsidRPr="00A550AA">
          <w:rPr>
            <w:rFonts w:ascii="Times New Roman" w:hAnsi="Times New Roman"/>
            <w:noProof/>
            <w:webHidden/>
          </w:rPr>
          <w:fldChar w:fldCharType="end"/>
        </w:r>
      </w:hyperlink>
    </w:p>
    <w:p w14:paraId="3C660E20" w14:textId="300BFB13"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3" w:history="1">
        <w:r w:rsidR="00FA2DD0" w:rsidRPr="00A550AA">
          <w:rPr>
            <w:rStyle w:val="Hyperlink"/>
            <w:rFonts w:ascii="Times New Roman" w:hAnsi="Times New Roman"/>
            <w:b w:val="0"/>
            <w:bCs w:val="0"/>
            <w:noProof/>
            <w:sz w:val="24"/>
            <w:szCs w:val="24"/>
          </w:rPr>
          <w:t>Table 1: Comparative ANI, AAI, and dDDH</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_Toc161934663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8</w:t>
        </w:r>
        <w:r w:rsidR="00FA2DD0" w:rsidRPr="00A550AA">
          <w:rPr>
            <w:rFonts w:ascii="Times New Roman" w:hAnsi="Times New Roman"/>
            <w:b w:val="0"/>
            <w:bCs w:val="0"/>
            <w:noProof/>
            <w:webHidden/>
            <w:sz w:val="24"/>
            <w:szCs w:val="24"/>
          </w:rPr>
          <w:fldChar w:fldCharType="end"/>
        </w:r>
      </w:hyperlink>
    </w:p>
    <w:p w14:paraId="3238BA44" w14:textId="183727C5"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4" w:history="1">
        <w:r w:rsidR="00FA2DD0" w:rsidRPr="00A550AA">
          <w:rPr>
            <w:rStyle w:val="Hyperlink"/>
            <w:rFonts w:ascii="Times New Roman" w:hAnsi="Times New Roman"/>
            <w:b w:val="0"/>
            <w:bCs w:val="0"/>
            <w:noProof/>
            <w:sz w:val="24"/>
            <w:szCs w:val="24"/>
          </w:rPr>
          <w:t>Table 2: Fatty acid profile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_Toc161934664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16</w:t>
        </w:r>
        <w:r w:rsidR="00FA2DD0" w:rsidRPr="00A550AA">
          <w:rPr>
            <w:rFonts w:ascii="Times New Roman" w:hAnsi="Times New Roman"/>
            <w:b w:val="0"/>
            <w:bCs w:val="0"/>
            <w:noProof/>
            <w:webHidden/>
            <w:sz w:val="24"/>
            <w:szCs w:val="24"/>
          </w:rPr>
          <w:fldChar w:fldCharType="end"/>
        </w:r>
      </w:hyperlink>
    </w:p>
    <w:p w14:paraId="454E97F9" w14:textId="15916207"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5" w:history="1">
        <w:r w:rsidR="00FA2DD0" w:rsidRPr="00A550AA">
          <w:rPr>
            <w:rStyle w:val="Hyperlink"/>
            <w:rFonts w:ascii="Times New Roman" w:hAnsi="Times New Roman"/>
            <w:b w:val="0"/>
            <w:bCs w:val="0"/>
            <w:noProof/>
            <w:sz w:val="24"/>
            <w:szCs w:val="24"/>
          </w:rPr>
          <w:t>Table 3: Strain characteristics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_Toc161934665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18</w:t>
        </w:r>
        <w:r w:rsidR="00FA2DD0" w:rsidRPr="00A550AA">
          <w:rPr>
            <w:rFonts w:ascii="Times New Roman" w:hAnsi="Times New Roman"/>
            <w:b w:val="0"/>
            <w:bCs w:val="0"/>
            <w:noProof/>
            <w:webHidden/>
            <w:sz w:val="24"/>
            <w:szCs w:val="24"/>
          </w:rPr>
          <w:fldChar w:fldCharType="end"/>
        </w:r>
      </w:hyperlink>
    </w:p>
    <w:p w14:paraId="7328FA0E" w14:textId="5E56A91B"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6" w:history="1">
        <w:r w:rsidR="00FA2DD0" w:rsidRPr="00A550AA">
          <w:rPr>
            <w:rStyle w:val="Hyperlink"/>
            <w:rFonts w:ascii="Times New Roman" w:hAnsi="Times New Roman"/>
            <w:b w:val="0"/>
            <w:bCs w:val="0"/>
            <w:noProof/>
            <w:sz w:val="24"/>
            <w:szCs w:val="24"/>
          </w:rPr>
          <w:t>Supplemental Table 1: 16S sequence identity</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_Toc161934666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20</w:t>
        </w:r>
        <w:r w:rsidR="00FA2DD0" w:rsidRPr="00A550AA">
          <w:rPr>
            <w:rFonts w:ascii="Times New Roman" w:hAnsi="Times New Roman"/>
            <w:b w:val="0"/>
            <w:bCs w:val="0"/>
            <w:noProof/>
            <w:webHidden/>
            <w:sz w:val="24"/>
            <w:szCs w:val="24"/>
          </w:rPr>
          <w:fldChar w:fldCharType="end"/>
        </w:r>
      </w:hyperlink>
    </w:p>
    <w:p w14:paraId="060DD9AF" w14:textId="1683CF11"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7" w:history="1">
        <w:r w:rsidR="00FA2DD0" w:rsidRPr="00A550AA">
          <w:rPr>
            <w:rStyle w:val="Hyperlink"/>
            <w:rFonts w:ascii="Times New Roman" w:hAnsi="Times New Roman"/>
            <w:b w:val="0"/>
            <w:bCs w:val="0"/>
            <w:noProof/>
            <w:sz w:val="24"/>
            <w:szCs w:val="24"/>
          </w:rPr>
          <w:t>Supplemental Table 2: Number of unique genes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_Toc161934667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21</w:t>
        </w:r>
        <w:r w:rsidR="00FA2DD0" w:rsidRPr="00A550AA">
          <w:rPr>
            <w:rFonts w:ascii="Times New Roman" w:hAnsi="Times New Roman"/>
            <w:b w:val="0"/>
            <w:bCs w:val="0"/>
            <w:noProof/>
            <w:webHidden/>
            <w:sz w:val="24"/>
            <w:szCs w:val="24"/>
          </w:rPr>
          <w:fldChar w:fldCharType="end"/>
        </w:r>
      </w:hyperlink>
    </w:p>
    <w:p w14:paraId="5C64C5F2" w14:textId="20D0488D"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68" w:history="1">
        <w:r w:rsidR="00FA2DD0" w:rsidRPr="00A550AA">
          <w:rPr>
            <w:rStyle w:val="Hyperlink"/>
            <w:rFonts w:ascii="Times New Roman" w:hAnsi="Times New Roman"/>
            <w:b w:val="0"/>
            <w:bCs w:val="0"/>
            <w:noProof/>
            <w:sz w:val="24"/>
            <w:szCs w:val="24"/>
          </w:rPr>
          <w:t>Supplemental Table 3: NLS-7 unique gene annotation categories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_Toc161934668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22</w:t>
        </w:r>
        <w:r w:rsidR="00FA2DD0" w:rsidRPr="00A550AA">
          <w:rPr>
            <w:rFonts w:ascii="Times New Roman" w:hAnsi="Times New Roman"/>
            <w:b w:val="0"/>
            <w:bCs w:val="0"/>
            <w:noProof/>
            <w:webHidden/>
            <w:sz w:val="24"/>
            <w:szCs w:val="24"/>
          </w:rPr>
          <w:fldChar w:fldCharType="end"/>
        </w:r>
      </w:hyperlink>
    </w:p>
    <w:p w14:paraId="33350465" w14:textId="3D6EE721" w:rsidR="00FA2DD0" w:rsidRPr="00A550AA" w:rsidRDefault="00000000" w:rsidP="00FA2DD0">
      <w:pPr>
        <w:pStyle w:val="TOC2"/>
        <w:tabs>
          <w:tab w:val="right" w:leader="dot" w:pos="9350"/>
        </w:tabs>
        <w:rPr>
          <w:rFonts w:ascii="Times New Roman" w:hAnsi="Times New Roman"/>
          <w:b w:val="0"/>
          <w:bCs w:val="0"/>
          <w:noProof/>
          <w:kern w:val="2"/>
          <w:sz w:val="24"/>
          <w:szCs w:val="24"/>
          <w14:ligatures w14:val="standardContextual"/>
        </w:rPr>
      </w:pPr>
      <w:hyperlink w:anchor="_Toc161934669" w:history="1">
        <w:r w:rsidR="00FA2DD0" w:rsidRPr="00A550AA">
          <w:rPr>
            <w:rStyle w:val="Hyperlink"/>
            <w:rFonts w:ascii="Times New Roman" w:eastAsia="Times New Roman" w:hAnsi="Times New Roman"/>
            <w:b w:val="0"/>
            <w:bCs w:val="0"/>
            <w:noProof/>
            <w:sz w:val="24"/>
            <w:szCs w:val="24"/>
          </w:rPr>
          <w:t>Supplemental Table 4: DDH values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_Toc161934669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22</w:t>
        </w:r>
        <w:r w:rsidR="00FA2DD0" w:rsidRPr="00A550AA">
          <w:rPr>
            <w:rFonts w:ascii="Times New Roman" w:hAnsi="Times New Roman"/>
            <w:b w:val="0"/>
            <w:bCs w:val="0"/>
            <w:noProof/>
            <w:webHidden/>
            <w:sz w:val="24"/>
            <w:szCs w:val="24"/>
          </w:rPr>
          <w:fldChar w:fldCharType="end"/>
        </w:r>
      </w:hyperlink>
    </w:p>
    <w:p w14:paraId="13F67867" w14:textId="0A9D321B" w:rsidR="00FA2DD0" w:rsidRPr="00A550AA" w:rsidRDefault="00000000">
      <w:pPr>
        <w:pStyle w:val="TOC1"/>
        <w:tabs>
          <w:tab w:val="right" w:leader="dot" w:pos="9350"/>
        </w:tabs>
        <w:rPr>
          <w:rFonts w:ascii="Times New Roman" w:hAnsi="Times New Roman"/>
          <w:b w:val="0"/>
          <w:bCs w:val="0"/>
          <w:caps w:val="0"/>
          <w:noProof/>
          <w:kern w:val="2"/>
          <w14:ligatures w14:val="standardContextual"/>
        </w:rPr>
      </w:pPr>
      <w:hyperlink w:anchor="_Toc161934671" w:history="1">
        <w:r w:rsidR="00FA2DD0" w:rsidRPr="00A550AA">
          <w:rPr>
            <w:rStyle w:val="Hyperlink"/>
            <w:rFonts w:ascii="Times New Roman" w:hAnsi="Times New Roman"/>
            <w:noProof/>
          </w:rPr>
          <w:t>Chapter 3</w:t>
        </w:r>
        <w:r w:rsidR="00FA2DD0" w:rsidRPr="00A550AA">
          <w:rPr>
            <w:rFonts w:ascii="Times New Roman" w:hAnsi="Times New Roman"/>
            <w:noProof/>
            <w:webHidden/>
          </w:rPr>
          <w:tab/>
        </w:r>
        <w:r w:rsidR="00FA2DD0" w:rsidRPr="00A550AA">
          <w:rPr>
            <w:rFonts w:ascii="Times New Roman" w:hAnsi="Times New Roman"/>
            <w:noProof/>
            <w:webHidden/>
          </w:rPr>
          <w:fldChar w:fldCharType="begin"/>
        </w:r>
        <w:r w:rsidR="00FA2DD0" w:rsidRPr="00A550AA">
          <w:rPr>
            <w:rFonts w:ascii="Times New Roman" w:hAnsi="Times New Roman"/>
            <w:noProof/>
            <w:webHidden/>
          </w:rPr>
          <w:instrText xml:space="preserve"> PAGEREF _Toc161934671 \h </w:instrText>
        </w:r>
        <w:r w:rsidR="00FA2DD0" w:rsidRPr="00A550AA">
          <w:rPr>
            <w:rFonts w:ascii="Times New Roman" w:hAnsi="Times New Roman"/>
            <w:noProof/>
            <w:webHidden/>
          </w:rPr>
        </w:r>
        <w:r w:rsidR="00FA2DD0" w:rsidRPr="00A550AA">
          <w:rPr>
            <w:rFonts w:ascii="Times New Roman" w:hAnsi="Times New Roman"/>
            <w:noProof/>
            <w:webHidden/>
          </w:rPr>
          <w:fldChar w:fldCharType="separate"/>
        </w:r>
        <w:r w:rsidR="00DD3C37">
          <w:rPr>
            <w:rFonts w:ascii="Times New Roman" w:hAnsi="Times New Roman"/>
            <w:noProof/>
            <w:webHidden/>
          </w:rPr>
          <w:t>50</w:t>
        </w:r>
        <w:r w:rsidR="00FA2DD0" w:rsidRPr="00A550AA">
          <w:rPr>
            <w:rFonts w:ascii="Times New Roman" w:hAnsi="Times New Roman"/>
            <w:noProof/>
            <w:webHidden/>
          </w:rPr>
          <w:fldChar w:fldCharType="end"/>
        </w:r>
      </w:hyperlink>
    </w:p>
    <w:p w14:paraId="7175B57F" w14:textId="1CF1B1CC"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72" w:history="1">
        <w:r w:rsidR="00FA2DD0" w:rsidRPr="00A550AA">
          <w:rPr>
            <w:rStyle w:val="Hyperlink"/>
            <w:rFonts w:ascii="Times New Roman" w:hAnsi="Times New Roman"/>
            <w:b w:val="0"/>
            <w:bCs w:val="0"/>
            <w:noProof/>
            <w:sz w:val="24"/>
            <w:szCs w:val="24"/>
          </w:rPr>
          <w:t xml:space="preserve">Table 1: OB3b differentially expressed genes in </w:t>
        </w:r>
        <w:r w:rsidR="009B0281" w:rsidRPr="00A550AA">
          <w:rPr>
            <w:rStyle w:val="Hyperlink"/>
            <w:rFonts w:ascii="Times New Roman" w:hAnsi="Times New Roman"/>
            <w:b w:val="0"/>
            <w:bCs w:val="0"/>
            <w:noProof/>
            <w:sz w:val="24"/>
            <w:szCs w:val="24"/>
          </w:rPr>
          <w:t>co-culture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_Toc161934672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65</w:t>
        </w:r>
        <w:r w:rsidR="00FA2DD0" w:rsidRPr="00A550AA">
          <w:rPr>
            <w:rFonts w:ascii="Times New Roman" w:hAnsi="Times New Roman"/>
            <w:b w:val="0"/>
            <w:bCs w:val="0"/>
            <w:noProof/>
            <w:webHidden/>
            <w:sz w:val="24"/>
            <w:szCs w:val="24"/>
          </w:rPr>
          <w:fldChar w:fldCharType="end"/>
        </w:r>
      </w:hyperlink>
    </w:p>
    <w:p w14:paraId="4BC0BE2D" w14:textId="231F2167"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73" w:history="1">
        <w:r w:rsidR="00FA2DD0" w:rsidRPr="00A550AA">
          <w:rPr>
            <w:rStyle w:val="Hyperlink"/>
            <w:rFonts w:ascii="Times New Roman" w:hAnsi="Times New Roman"/>
            <w:b w:val="0"/>
            <w:bCs w:val="0"/>
            <w:noProof/>
            <w:sz w:val="24"/>
            <w:szCs w:val="24"/>
          </w:rPr>
          <w:t>Table 2: Differentially expressed carbon metabolism genes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_Toc161934673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67</w:t>
        </w:r>
        <w:r w:rsidR="00FA2DD0" w:rsidRPr="00A550AA">
          <w:rPr>
            <w:rFonts w:ascii="Times New Roman" w:hAnsi="Times New Roman"/>
            <w:b w:val="0"/>
            <w:bCs w:val="0"/>
            <w:noProof/>
            <w:webHidden/>
            <w:sz w:val="24"/>
            <w:szCs w:val="24"/>
          </w:rPr>
          <w:fldChar w:fldCharType="end"/>
        </w:r>
      </w:hyperlink>
    </w:p>
    <w:p w14:paraId="3C4C93B3" w14:textId="5032DB00"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74" w:history="1">
        <w:r w:rsidR="00FA2DD0" w:rsidRPr="00A550AA">
          <w:rPr>
            <w:rStyle w:val="Hyperlink"/>
            <w:rFonts w:ascii="Times New Roman" w:hAnsi="Times New Roman"/>
            <w:b w:val="0"/>
            <w:bCs w:val="0"/>
            <w:noProof/>
            <w:sz w:val="24"/>
            <w:szCs w:val="24"/>
          </w:rPr>
          <w:t>Table 4: Differentially expressed ROS genes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_Toc161934674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69</w:t>
        </w:r>
        <w:r w:rsidR="00FA2DD0" w:rsidRPr="00A550AA">
          <w:rPr>
            <w:rFonts w:ascii="Times New Roman" w:hAnsi="Times New Roman"/>
            <w:b w:val="0"/>
            <w:bCs w:val="0"/>
            <w:noProof/>
            <w:webHidden/>
            <w:sz w:val="24"/>
            <w:szCs w:val="24"/>
          </w:rPr>
          <w:fldChar w:fldCharType="end"/>
        </w:r>
      </w:hyperlink>
    </w:p>
    <w:p w14:paraId="60CAFB37" w14:textId="3F7CD3D9"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4675" w:history="1">
        <w:r w:rsidR="00FA2DD0" w:rsidRPr="00A550AA">
          <w:rPr>
            <w:rStyle w:val="Hyperlink"/>
            <w:rFonts w:ascii="Times New Roman" w:eastAsia="Times New Roman" w:hAnsi="Times New Roman"/>
            <w:b w:val="0"/>
            <w:bCs w:val="0"/>
            <w:noProof/>
            <w:sz w:val="24"/>
            <w:szCs w:val="24"/>
          </w:rPr>
          <w:t>Table 4: Differentially expressed nitrogen and amino acid genes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_Toc161934675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71</w:t>
        </w:r>
        <w:r w:rsidR="00FA2DD0" w:rsidRPr="00A550AA">
          <w:rPr>
            <w:rFonts w:ascii="Times New Roman" w:hAnsi="Times New Roman"/>
            <w:b w:val="0"/>
            <w:bCs w:val="0"/>
            <w:noProof/>
            <w:webHidden/>
            <w:sz w:val="24"/>
            <w:szCs w:val="24"/>
          </w:rPr>
          <w:fldChar w:fldCharType="end"/>
        </w:r>
      </w:hyperlink>
    </w:p>
    <w:p w14:paraId="661447DE" w14:textId="5FF2C056" w:rsidR="00FA2DD0" w:rsidRPr="00A550AA" w:rsidRDefault="00FA2DD0">
      <w:pPr>
        <w:pStyle w:val="TOC1"/>
        <w:tabs>
          <w:tab w:val="right" w:leader="dot" w:pos="9350"/>
        </w:tabs>
        <w:rPr>
          <w:rFonts w:ascii="Times New Roman" w:hAnsi="Times New Roman"/>
          <w:b w:val="0"/>
          <w:bCs w:val="0"/>
          <w:caps w:val="0"/>
          <w:noProof/>
          <w:kern w:val="2"/>
          <w14:ligatures w14:val="standardContextual"/>
        </w:rPr>
      </w:pPr>
    </w:p>
    <w:p w14:paraId="61F80731" w14:textId="3315F627" w:rsidR="006E624A" w:rsidRDefault="00FA2DD0" w:rsidP="00C66A21">
      <w:pPr>
        <w:spacing w:after="0" w:line="240" w:lineRule="auto"/>
      </w:pPr>
      <w:r w:rsidRPr="00A550AA">
        <w:rPr>
          <w:sz w:val="24"/>
          <w:szCs w:val="24"/>
        </w:rPr>
        <w:fldChar w:fldCharType="end"/>
      </w:r>
    </w:p>
    <w:p w14:paraId="2C4E055C" w14:textId="496D9E68" w:rsidR="00FA2DD0" w:rsidRPr="00A550AA" w:rsidRDefault="00C66A21" w:rsidP="00FA2DD0">
      <w:pPr>
        <w:pStyle w:val="Heading1"/>
        <w:rPr>
          <w:rFonts w:cs="Times New Roman"/>
          <w:sz w:val="24"/>
          <w:szCs w:val="24"/>
        </w:rPr>
      </w:pPr>
      <w:r>
        <w:br w:type="column"/>
      </w:r>
      <w:bookmarkStart w:id="5" w:name="_Toc161933269"/>
      <w:bookmarkStart w:id="6" w:name="_Toc161933719"/>
      <w:bookmarkStart w:id="7" w:name="_Toc161934660"/>
      <w:bookmarkStart w:id="8" w:name="_Toc161935356"/>
      <w:bookmarkStart w:id="9" w:name="_Toc167115818"/>
      <w:r w:rsidR="003D6F4A" w:rsidRPr="00A550AA">
        <w:rPr>
          <w:rFonts w:cs="Times New Roman"/>
          <w:sz w:val="24"/>
          <w:szCs w:val="24"/>
        </w:rPr>
        <w:lastRenderedPageBreak/>
        <w:t>List of Figures</w:t>
      </w:r>
      <w:bookmarkEnd w:id="5"/>
      <w:bookmarkEnd w:id="6"/>
      <w:bookmarkEnd w:id="7"/>
      <w:bookmarkEnd w:id="8"/>
      <w:bookmarkEnd w:id="9"/>
    </w:p>
    <w:p w14:paraId="15490C40" w14:textId="22AF3C8F" w:rsidR="00FA2DD0" w:rsidRPr="00A550AA" w:rsidRDefault="00FA2DD0">
      <w:pPr>
        <w:pStyle w:val="TOC1"/>
        <w:tabs>
          <w:tab w:val="right" w:leader="dot" w:pos="9350"/>
        </w:tabs>
        <w:rPr>
          <w:rFonts w:ascii="Times New Roman" w:hAnsi="Times New Roman"/>
          <w:b w:val="0"/>
          <w:bCs w:val="0"/>
          <w:caps w:val="0"/>
          <w:noProof/>
          <w:kern w:val="2"/>
          <w14:ligatures w14:val="standardContextual"/>
        </w:rPr>
      </w:pPr>
      <w:r w:rsidRPr="00A550AA">
        <w:rPr>
          <w:rFonts w:ascii="Times New Roman" w:hAnsi="Times New Roman"/>
        </w:rPr>
        <w:fldChar w:fldCharType="begin"/>
      </w:r>
      <w:r w:rsidRPr="00A550AA">
        <w:rPr>
          <w:rFonts w:ascii="Times New Roman" w:hAnsi="Times New Roman"/>
        </w:rPr>
        <w:instrText xml:space="preserve"> TOC \o "1-1" \h \z \u \t "Heading 5,2" </w:instrText>
      </w:r>
      <w:r w:rsidRPr="00A550AA">
        <w:rPr>
          <w:rFonts w:ascii="Times New Roman" w:hAnsi="Times New Roman"/>
        </w:rPr>
        <w:fldChar w:fldCharType="separate"/>
      </w:r>
      <w:hyperlink w:anchor="_Toc161935358" w:history="1">
        <w:r w:rsidRPr="00A550AA">
          <w:rPr>
            <w:rStyle w:val="Hyperlink"/>
            <w:rFonts w:ascii="Times New Roman" w:hAnsi="Times New Roman"/>
            <w:noProof/>
          </w:rPr>
          <w:t>Chapter 1</w:t>
        </w:r>
        <w:r w:rsidRPr="00A550AA">
          <w:rPr>
            <w:rFonts w:ascii="Times New Roman" w:hAnsi="Times New Roman"/>
            <w:noProof/>
            <w:webHidden/>
          </w:rPr>
          <w:tab/>
        </w:r>
        <w:r w:rsidRPr="00A550AA">
          <w:rPr>
            <w:rFonts w:ascii="Times New Roman" w:hAnsi="Times New Roman"/>
            <w:noProof/>
            <w:webHidden/>
          </w:rPr>
          <w:fldChar w:fldCharType="begin"/>
        </w:r>
        <w:r w:rsidRPr="00A550AA">
          <w:rPr>
            <w:rFonts w:ascii="Times New Roman" w:hAnsi="Times New Roman"/>
            <w:noProof/>
            <w:webHidden/>
          </w:rPr>
          <w:instrText xml:space="preserve"> PAGEREF _Toc161935358 \h </w:instrText>
        </w:r>
        <w:r w:rsidRPr="00A550AA">
          <w:rPr>
            <w:rFonts w:ascii="Times New Roman" w:hAnsi="Times New Roman"/>
            <w:noProof/>
            <w:webHidden/>
          </w:rPr>
        </w:r>
        <w:r w:rsidRPr="00A550AA">
          <w:rPr>
            <w:rFonts w:ascii="Times New Roman" w:hAnsi="Times New Roman"/>
            <w:noProof/>
            <w:webHidden/>
          </w:rPr>
          <w:fldChar w:fldCharType="separate"/>
        </w:r>
        <w:r w:rsidR="00DD3C37">
          <w:rPr>
            <w:rFonts w:ascii="Times New Roman" w:hAnsi="Times New Roman"/>
            <w:noProof/>
            <w:webHidden/>
          </w:rPr>
          <w:t>1</w:t>
        </w:r>
        <w:r w:rsidRPr="00A550AA">
          <w:rPr>
            <w:rFonts w:ascii="Times New Roman" w:hAnsi="Times New Roman"/>
            <w:noProof/>
            <w:webHidden/>
          </w:rPr>
          <w:fldChar w:fldCharType="end"/>
        </w:r>
      </w:hyperlink>
    </w:p>
    <w:p w14:paraId="2E67AFB8" w14:textId="66E0B98B"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59" w:history="1">
        <w:r w:rsidR="00FA2DD0" w:rsidRPr="00A550AA">
          <w:rPr>
            <w:rStyle w:val="Hyperlink"/>
            <w:rFonts w:ascii="Times New Roman" w:hAnsi="Times New Roman"/>
            <w:b w:val="0"/>
            <w:bCs w:val="0"/>
            <w:noProof/>
            <w:sz w:val="24"/>
            <w:szCs w:val="24"/>
          </w:rPr>
          <w:t>Figure 1:</w:t>
        </w:r>
        <w:r w:rsidR="00FA2DD0" w:rsidRPr="00A550AA">
          <w:rPr>
            <w:rStyle w:val="Hyperlink"/>
            <w:rFonts w:ascii="Times New Roman" w:hAnsi="Times New Roman"/>
            <w:b w:val="0"/>
            <w:bCs w:val="0"/>
            <w:i/>
            <w:iCs/>
            <w:noProof/>
            <w:sz w:val="24"/>
            <w:szCs w:val="24"/>
          </w:rPr>
          <w:t xml:space="preserve"> Methylocystis </w:t>
        </w:r>
        <w:r w:rsidR="00FA2DD0" w:rsidRPr="00A550AA">
          <w:rPr>
            <w:rStyle w:val="Hyperlink"/>
            <w:rFonts w:ascii="Times New Roman" w:hAnsi="Times New Roman"/>
            <w:b w:val="0"/>
            <w:bCs w:val="0"/>
            <w:noProof/>
            <w:sz w:val="24"/>
            <w:szCs w:val="24"/>
          </w:rPr>
          <w:t>UBCG Phylogenetic Tree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_Toc161935359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7</w:t>
        </w:r>
        <w:r w:rsidR="00FA2DD0" w:rsidRPr="00A550AA">
          <w:rPr>
            <w:rFonts w:ascii="Times New Roman" w:hAnsi="Times New Roman"/>
            <w:b w:val="0"/>
            <w:bCs w:val="0"/>
            <w:noProof/>
            <w:webHidden/>
            <w:sz w:val="24"/>
            <w:szCs w:val="24"/>
          </w:rPr>
          <w:fldChar w:fldCharType="end"/>
        </w:r>
      </w:hyperlink>
    </w:p>
    <w:p w14:paraId="5ACCEFB9" w14:textId="2E805146"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0" w:history="1">
        <w:r w:rsidR="00FA2DD0" w:rsidRPr="00A550AA">
          <w:rPr>
            <w:rStyle w:val="Hyperlink"/>
            <w:rFonts w:ascii="Times New Roman" w:hAnsi="Times New Roman"/>
            <w:b w:val="0"/>
            <w:bCs w:val="0"/>
            <w:noProof/>
            <w:sz w:val="24"/>
            <w:szCs w:val="24"/>
          </w:rPr>
          <w:t xml:space="preserve">Figure 2: </w:t>
        </w:r>
        <w:r w:rsidR="00FA2DD0" w:rsidRPr="00A550AA">
          <w:rPr>
            <w:rStyle w:val="Hyperlink"/>
            <w:rFonts w:ascii="Times New Roman" w:hAnsi="Times New Roman"/>
            <w:b w:val="0"/>
            <w:bCs w:val="0"/>
            <w:i/>
            <w:iCs/>
            <w:noProof/>
            <w:sz w:val="24"/>
            <w:szCs w:val="24"/>
          </w:rPr>
          <w:t xml:space="preserve">Methylocystis pmoA </w:t>
        </w:r>
        <w:r w:rsidR="00FA2DD0" w:rsidRPr="00A550AA">
          <w:rPr>
            <w:rStyle w:val="Hyperlink"/>
            <w:rFonts w:ascii="Times New Roman" w:hAnsi="Times New Roman"/>
            <w:b w:val="0"/>
            <w:bCs w:val="0"/>
            <w:noProof/>
            <w:sz w:val="24"/>
            <w:szCs w:val="24"/>
          </w:rPr>
          <w:t>Phylogenetic Tree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_Toc161935360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8</w:t>
        </w:r>
        <w:r w:rsidR="00FA2DD0" w:rsidRPr="00A550AA">
          <w:rPr>
            <w:rFonts w:ascii="Times New Roman" w:hAnsi="Times New Roman"/>
            <w:b w:val="0"/>
            <w:bCs w:val="0"/>
            <w:noProof/>
            <w:webHidden/>
            <w:sz w:val="24"/>
            <w:szCs w:val="24"/>
          </w:rPr>
          <w:fldChar w:fldCharType="end"/>
        </w:r>
      </w:hyperlink>
    </w:p>
    <w:p w14:paraId="031569CC" w14:textId="1639660D"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1" w:history="1">
        <w:r w:rsidR="00FA2DD0" w:rsidRPr="00A550AA">
          <w:rPr>
            <w:rStyle w:val="Hyperlink"/>
            <w:rFonts w:ascii="Times New Roman" w:hAnsi="Times New Roman"/>
            <w:b w:val="0"/>
            <w:bCs w:val="0"/>
            <w:noProof/>
            <w:sz w:val="24"/>
            <w:szCs w:val="24"/>
          </w:rPr>
          <w:t>Figure 3: Pangenome of</w:t>
        </w:r>
        <w:r w:rsidR="00FA2DD0" w:rsidRPr="00A550AA">
          <w:rPr>
            <w:rStyle w:val="Hyperlink"/>
            <w:rFonts w:ascii="Times New Roman" w:hAnsi="Times New Roman"/>
            <w:b w:val="0"/>
            <w:bCs w:val="0"/>
            <w:i/>
            <w:iCs/>
            <w:noProof/>
            <w:sz w:val="24"/>
            <w:szCs w:val="24"/>
          </w:rPr>
          <w:t xml:space="preserve"> Methylocystis</w:t>
        </w:r>
        <w:r w:rsidR="00FA2DD0" w:rsidRPr="00A550AA">
          <w:rPr>
            <w:rStyle w:val="Hyperlink"/>
            <w:rFonts w:ascii="Times New Roman" w:hAnsi="Times New Roman"/>
            <w:b w:val="0"/>
            <w:bCs w:val="0"/>
            <w:noProof/>
            <w:sz w:val="24"/>
            <w:szCs w:val="24"/>
          </w:rPr>
          <w:t xml:space="preserve"> – Unique Genes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_Toc161935361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11</w:t>
        </w:r>
        <w:r w:rsidR="00FA2DD0" w:rsidRPr="00A550AA">
          <w:rPr>
            <w:rFonts w:ascii="Times New Roman" w:hAnsi="Times New Roman"/>
            <w:b w:val="0"/>
            <w:bCs w:val="0"/>
            <w:noProof/>
            <w:webHidden/>
            <w:sz w:val="24"/>
            <w:szCs w:val="24"/>
          </w:rPr>
          <w:fldChar w:fldCharType="end"/>
        </w:r>
      </w:hyperlink>
    </w:p>
    <w:p w14:paraId="67886590" w14:textId="0D916A5A" w:rsidR="00FA2DD0" w:rsidRPr="00A550AA" w:rsidRDefault="00000000">
      <w:pPr>
        <w:pStyle w:val="TOC1"/>
        <w:tabs>
          <w:tab w:val="right" w:leader="dot" w:pos="9350"/>
        </w:tabs>
        <w:rPr>
          <w:rFonts w:ascii="Times New Roman" w:hAnsi="Times New Roman"/>
          <w:b w:val="0"/>
          <w:bCs w:val="0"/>
          <w:caps w:val="0"/>
          <w:noProof/>
          <w:kern w:val="2"/>
          <w14:ligatures w14:val="standardContextual"/>
        </w:rPr>
      </w:pPr>
      <w:hyperlink w:anchor="_Toc161935362" w:history="1">
        <w:r w:rsidR="00FA2DD0" w:rsidRPr="00A550AA">
          <w:rPr>
            <w:rStyle w:val="Hyperlink"/>
            <w:rFonts w:ascii="Times New Roman" w:eastAsia="Times New Roman" w:hAnsi="Times New Roman"/>
            <w:noProof/>
          </w:rPr>
          <w:t>Chapter 2</w:t>
        </w:r>
        <w:r w:rsidR="00FA2DD0" w:rsidRPr="00A550AA">
          <w:rPr>
            <w:rFonts w:ascii="Times New Roman" w:hAnsi="Times New Roman"/>
            <w:noProof/>
            <w:webHidden/>
          </w:rPr>
          <w:tab/>
        </w:r>
        <w:r w:rsidR="00FA2DD0" w:rsidRPr="00A550AA">
          <w:rPr>
            <w:rFonts w:ascii="Times New Roman" w:hAnsi="Times New Roman"/>
            <w:noProof/>
            <w:webHidden/>
          </w:rPr>
          <w:fldChar w:fldCharType="begin"/>
        </w:r>
        <w:r w:rsidR="00FA2DD0" w:rsidRPr="00A550AA">
          <w:rPr>
            <w:rFonts w:ascii="Times New Roman" w:hAnsi="Times New Roman"/>
            <w:noProof/>
            <w:webHidden/>
          </w:rPr>
          <w:instrText xml:space="preserve"> PAGEREF _Toc161935362 \h </w:instrText>
        </w:r>
        <w:r w:rsidR="00FA2DD0" w:rsidRPr="00A550AA">
          <w:rPr>
            <w:rFonts w:ascii="Times New Roman" w:hAnsi="Times New Roman"/>
            <w:noProof/>
            <w:webHidden/>
          </w:rPr>
        </w:r>
        <w:r w:rsidR="00FA2DD0" w:rsidRPr="00A550AA">
          <w:rPr>
            <w:rFonts w:ascii="Times New Roman" w:hAnsi="Times New Roman"/>
            <w:noProof/>
            <w:webHidden/>
          </w:rPr>
          <w:fldChar w:fldCharType="separate"/>
        </w:r>
        <w:r w:rsidR="00DD3C37">
          <w:rPr>
            <w:rFonts w:ascii="Times New Roman" w:hAnsi="Times New Roman"/>
            <w:noProof/>
            <w:webHidden/>
          </w:rPr>
          <w:t>26</w:t>
        </w:r>
        <w:r w:rsidR="00FA2DD0" w:rsidRPr="00A550AA">
          <w:rPr>
            <w:rFonts w:ascii="Times New Roman" w:hAnsi="Times New Roman"/>
            <w:noProof/>
            <w:webHidden/>
          </w:rPr>
          <w:fldChar w:fldCharType="end"/>
        </w:r>
      </w:hyperlink>
    </w:p>
    <w:p w14:paraId="76AD36D4" w14:textId="7089839E"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3" w:history="1">
        <w:r w:rsidR="00FA2DD0" w:rsidRPr="00A550AA">
          <w:rPr>
            <w:rStyle w:val="Hyperlink"/>
            <w:rFonts w:ascii="Times New Roman" w:hAnsi="Times New Roman"/>
            <w:b w:val="0"/>
            <w:bCs w:val="0"/>
            <w:noProof/>
            <w:sz w:val="24"/>
            <w:szCs w:val="24"/>
          </w:rPr>
          <w:t>Figure 1: Methane oxidation rates of MOB in Changing Oxygen Conditions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_Toc161935363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34</w:t>
        </w:r>
        <w:r w:rsidR="00FA2DD0" w:rsidRPr="00A550AA">
          <w:rPr>
            <w:rFonts w:ascii="Times New Roman" w:hAnsi="Times New Roman"/>
            <w:b w:val="0"/>
            <w:bCs w:val="0"/>
            <w:noProof/>
            <w:webHidden/>
            <w:sz w:val="24"/>
            <w:szCs w:val="24"/>
          </w:rPr>
          <w:fldChar w:fldCharType="end"/>
        </w:r>
      </w:hyperlink>
    </w:p>
    <w:p w14:paraId="6E1D5AF9" w14:textId="05EAEFAE"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4" w:history="1">
        <w:r w:rsidR="00FA2DD0" w:rsidRPr="00A550AA">
          <w:rPr>
            <w:rStyle w:val="Hyperlink"/>
            <w:rFonts w:ascii="Times New Roman" w:hAnsi="Times New Roman"/>
            <w:b w:val="0"/>
            <w:bCs w:val="0"/>
            <w:noProof/>
            <w:sz w:val="24"/>
            <w:szCs w:val="24"/>
          </w:rPr>
          <w:t xml:space="preserve">Figure 2: ROS gene counts – </w:t>
        </w:r>
        <w:r w:rsidR="00FA2DD0" w:rsidRPr="00A550AA">
          <w:rPr>
            <w:rStyle w:val="Hyperlink"/>
            <w:rFonts w:ascii="Times New Roman" w:hAnsi="Times New Roman"/>
            <w:b w:val="0"/>
            <w:bCs w:val="0"/>
            <w:i/>
            <w:iCs/>
            <w:noProof/>
            <w:sz w:val="24"/>
            <w:szCs w:val="24"/>
          </w:rPr>
          <w:t>Methylosinus trichosporium</w:t>
        </w:r>
        <w:r w:rsidR="00FA2DD0" w:rsidRPr="00A550AA">
          <w:rPr>
            <w:rStyle w:val="Hyperlink"/>
            <w:rFonts w:ascii="Times New Roman" w:hAnsi="Times New Roman"/>
            <w:b w:val="0"/>
            <w:bCs w:val="0"/>
            <w:noProof/>
            <w:sz w:val="24"/>
            <w:szCs w:val="24"/>
          </w:rPr>
          <w:t xml:space="preserve"> OB3b</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_Toc161935364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36</w:t>
        </w:r>
        <w:r w:rsidR="00FA2DD0" w:rsidRPr="00A550AA">
          <w:rPr>
            <w:rFonts w:ascii="Times New Roman" w:hAnsi="Times New Roman"/>
            <w:b w:val="0"/>
            <w:bCs w:val="0"/>
            <w:noProof/>
            <w:webHidden/>
            <w:sz w:val="24"/>
            <w:szCs w:val="24"/>
          </w:rPr>
          <w:fldChar w:fldCharType="end"/>
        </w:r>
      </w:hyperlink>
    </w:p>
    <w:p w14:paraId="7737FB50" w14:textId="25050A08"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5" w:history="1">
        <w:r w:rsidR="00FA2DD0" w:rsidRPr="00A550AA">
          <w:rPr>
            <w:rStyle w:val="Hyperlink"/>
            <w:rFonts w:ascii="Times New Roman" w:eastAsia="Times New Roman" w:hAnsi="Times New Roman"/>
            <w:b w:val="0"/>
            <w:bCs w:val="0"/>
            <w:noProof/>
            <w:sz w:val="24"/>
            <w:szCs w:val="24"/>
          </w:rPr>
          <w:t xml:space="preserve">Figure 3: ROS gene counts – </w:t>
        </w:r>
        <w:r w:rsidR="00FA2DD0" w:rsidRPr="00A550AA">
          <w:rPr>
            <w:rStyle w:val="Hyperlink"/>
            <w:rFonts w:ascii="Times New Roman" w:eastAsia="Times New Roman" w:hAnsi="Times New Roman"/>
            <w:b w:val="0"/>
            <w:bCs w:val="0"/>
            <w:i/>
            <w:iCs/>
            <w:noProof/>
            <w:sz w:val="24"/>
            <w:szCs w:val="24"/>
          </w:rPr>
          <w:t xml:space="preserve">Methylomonas </w:t>
        </w:r>
        <w:r w:rsidR="00FA2DD0" w:rsidRPr="00A550AA">
          <w:rPr>
            <w:rStyle w:val="Hyperlink"/>
            <w:rFonts w:ascii="Times New Roman" w:eastAsia="Times New Roman" w:hAnsi="Times New Roman"/>
            <w:b w:val="0"/>
            <w:bCs w:val="0"/>
            <w:noProof/>
            <w:sz w:val="24"/>
            <w:szCs w:val="24"/>
          </w:rPr>
          <w:t>sp. WSC-7</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_Toc161935365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38</w:t>
        </w:r>
        <w:r w:rsidR="00FA2DD0" w:rsidRPr="00A550AA">
          <w:rPr>
            <w:rFonts w:ascii="Times New Roman" w:hAnsi="Times New Roman"/>
            <w:b w:val="0"/>
            <w:bCs w:val="0"/>
            <w:noProof/>
            <w:webHidden/>
            <w:sz w:val="24"/>
            <w:szCs w:val="24"/>
          </w:rPr>
          <w:fldChar w:fldCharType="end"/>
        </w:r>
      </w:hyperlink>
    </w:p>
    <w:p w14:paraId="39B12BD1" w14:textId="400FF8D9"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6" w:history="1">
        <w:r w:rsidR="00FA2DD0" w:rsidRPr="00A550AA">
          <w:rPr>
            <w:rStyle w:val="Hyperlink"/>
            <w:rFonts w:ascii="Times New Roman" w:eastAsia="Times New Roman" w:hAnsi="Times New Roman"/>
            <w:b w:val="0"/>
            <w:bCs w:val="0"/>
            <w:noProof/>
            <w:sz w:val="24"/>
            <w:szCs w:val="24"/>
          </w:rPr>
          <w:t xml:space="preserve">Figure 4: </w:t>
        </w:r>
        <w:r w:rsidR="00FA2DD0" w:rsidRPr="00A550AA">
          <w:rPr>
            <w:rStyle w:val="Hyperlink"/>
            <w:rFonts w:ascii="Times New Roman" w:eastAsia="Times New Roman" w:hAnsi="Times New Roman"/>
            <w:b w:val="0"/>
            <w:bCs w:val="0"/>
            <w:i/>
            <w:iCs/>
            <w:noProof/>
            <w:sz w:val="24"/>
            <w:szCs w:val="24"/>
          </w:rPr>
          <w:t xml:space="preserve">Methylomonas </w:t>
        </w:r>
        <w:r w:rsidR="00FA2DD0" w:rsidRPr="00A550AA">
          <w:rPr>
            <w:rStyle w:val="Hyperlink"/>
            <w:rFonts w:ascii="Times New Roman" w:eastAsia="Times New Roman" w:hAnsi="Times New Roman"/>
            <w:b w:val="0"/>
            <w:bCs w:val="0"/>
            <w:noProof/>
            <w:sz w:val="24"/>
            <w:szCs w:val="24"/>
          </w:rPr>
          <w:t>sp. WSC-7 Biofilm Formation in Growth Media</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_Toc161935366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39</w:t>
        </w:r>
        <w:r w:rsidR="00FA2DD0" w:rsidRPr="00A550AA">
          <w:rPr>
            <w:rFonts w:ascii="Times New Roman" w:hAnsi="Times New Roman"/>
            <w:b w:val="0"/>
            <w:bCs w:val="0"/>
            <w:noProof/>
            <w:webHidden/>
            <w:sz w:val="24"/>
            <w:szCs w:val="24"/>
          </w:rPr>
          <w:fldChar w:fldCharType="end"/>
        </w:r>
      </w:hyperlink>
    </w:p>
    <w:p w14:paraId="5CEABF39" w14:textId="57343F44"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7" w:history="1">
        <w:r w:rsidR="00FA2DD0" w:rsidRPr="00A550AA">
          <w:rPr>
            <w:rStyle w:val="Hyperlink"/>
            <w:rFonts w:ascii="Times New Roman" w:eastAsia="Times New Roman" w:hAnsi="Times New Roman"/>
            <w:b w:val="0"/>
            <w:bCs w:val="0"/>
            <w:noProof/>
            <w:sz w:val="24"/>
            <w:szCs w:val="24"/>
          </w:rPr>
          <w:t xml:space="preserve">Figure 5: Gene counts of motility genes in </w:t>
        </w:r>
        <w:r w:rsidR="00FA2DD0" w:rsidRPr="00A550AA">
          <w:rPr>
            <w:rStyle w:val="Hyperlink"/>
            <w:rFonts w:ascii="Times New Roman" w:eastAsia="Times New Roman" w:hAnsi="Times New Roman"/>
            <w:b w:val="0"/>
            <w:bCs w:val="0"/>
            <w:i/>
            <w:iCs/>
            <w:noProof/>
            <w:sz w:val="24"/>
            <w:szCs w:val="24"/>
          </w:rPr>
          <w:t xml:space="preserve">Methylomonas </w:t>
        </w:r>
        <w:r w:rsidR="00FA2DD0" w:rsidRPr="00A550AA">
          <w:rPr>
            <w:rStyle w:val="Hyperlink"/>
            <w:rFonts w:ascii="Times New Roman" w:eastAsia="Times New Roman" w:hAnsi="Times New Roman"/>
            <w:b w:val="0"/>
            <w:bCs w:val="0"/>
            <w:noProof/>
            <w:sz w:val="24"/>
            <w:szCs w:val="24"/>
          </w:rPr>
          <w:t>sp. WSC-7</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_Toc161935367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40</w:t>
        </w:r>
        <w:r w:rsidR="00FA2DD0" w:rsidRPr="00A550AA">
          <w:rPr>
            <w:rFonts w:ascii="Times New Roman" w:hAnsi="Times New Roman"/>
            <w:b w:val="0"/>
            <w:bCs w:val="0"/>
            <w:noProof/>
            <w:webHidden/>
            <w:sz w:val="24"/>
            <w:szCs w:val="24"/>
          </w:rPr>
          <w:fldChar w:fldCharType="end"/>
        </w:r>
      </w:hyperlink>
    </w:p>
    <w:p w14:paraId="34B6E6CB" w14:textId="695F60D9"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8" w:history="1">
        <w:r w:rsidR="00FA2DD0" w:rsidRPr="00A550AA">
          <w:rPr>
            <w:rStyle w:val="Hyperlink"/>
            <w:rFonts w:ascii="Times New Roman" w:hAnsi="Times New Roman"/>
            <w:b w:val="0"/>
            <w:bCs w:val="0"/>
            <w:noProof/>
            <w:sz w:val="24"/>
            <w:szCs w:val="24"/>
          </w:rPr>
          <w:t>Figure 6: WSC-7 Methane oxidation gene counts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_Toc161935368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41</w:t>
        </w:r>
        <w:r w:rsidR="00FA2DD0" w:rsidRPr="00A550AA">
          <w:rPr>
            <w:rFonts w:ascii="Times New Roman" w:hAnsi="Times New Roman"/>
            <w:b w:val="0"/>
            <w:bCs w:val="0"/>
            <w:noProof/>
            <w:webHidden/>
            <w:sz w:val="24"/>
            <w:szCs w:val="24"/>
          </w:rPr>
          <w:fldChar w:fldCharType="end"/>
        </w:r>
      </w:hyperlink>
    </w:p>
    <w:p w14:paraId="67C0C19A" w14:textId="7E8E64AD"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69" w:history="1">
        <w:r w:rsidR="00FA2DD0" w:rsidRPr="00A550AA">
          <w:rPr>
            <w:rStyle w:val="Hyperlink"/>
            <w:rFonts w:ascii="Times New Roman" w:hAnsi="Times New Roman"/>
            <w:b w:val="0"/>
            <w:bCs w:val="0"/>
            <w:noProof/>
            <w:sz w:val="24"/>
            <w:szCs w:val="24"/>
          </w:rPr>
          <w:t>Figure 7: OB3b Methane oxidation gene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_Toc161935369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42</w:t>
        </w:r>
        <w:r w:rsidR="00FA2DD0" w:rsidRPr="00A550AA">
          <w:rPr>
            <w:rFonts w:ascii="Times New Roman" w:hAnsi="Times New Roman"/>
            <w:b w:val="0"/>
            <w:bCs w:val="0"/>
            <w:noProof/>
            <w:webHidden/>
            <w:sz w:val="24"/>
            <w:szCs w:val="24"/>
          </w:rPr>
          <w:fldChar w:fldCharType="end"/>
        </w:r>
      </w:hyperlink>
    </w:p>
    <w:p w14:paraId="68D01233" w14:textId="58018D0E"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70" w:history="1">
        <w:r w:rsidR="00FA2DD0" w:rsidRPr="00A550AA">
          <w:rPr>
            <w:rStyle w:val="Hyperlink"/>
            <w:rFonts w:ascii="Times New Roman" w:eastAsia="Times New Roman" w:hAnsi="Times New Roman"/>
            <w:b w:val="0"/>
            <w:bCs w:val="0"/>
            <w:noProof/>
            <w:sz w:val="24"/>
            <w:szCs w:val="24"/>
          </w:rPr>
          <w:t>Figure 8: WSC-7 SEM Images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_Toc161935370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43</w:t>
        </w:r>
        <w:r w:rsidR="00FA2DD0" w:rsidRPr="00A550AA">
          <w:rPr>
            <w:rFonts w:ascii="Times New Roman" w:hAnsi="Times New Roman"/>
            <w:b w:val="0"/>
            <w:bCs w:val="0"/>
            <w:noProof/>
            <w:webHidden/>
            <w:sz w:val="24"/>
            <w:szCs w:val="24"/>
          </w:rPr>
          <w:fldChar w:fldCharType="end"/>
        </w:r>
      </w:hyperlink>
    </w:p>
    <w:p w14:paraId="115725E4" w14:textId="18599A98" w:rsidR="00FA2DD0" w:rsidRPr="00A550AA" w:rsidRDefault="00000000">
      <w:pPr>
        <w:pStyle w:val="TOC1"/>
        <w:tabs>
          <w:tab w:val="right" w:leader="dot" w:pos="9350"/>
        </w:tabs>
        <w:rPr>
          <w:rFonts w:ascii="Times New Roman" w:hAnsi="Times New Roman"/>
          <w:b w:val="0"/>
          <w:bCs w:val="0"/>
          <w:caps w:val="0"/>
          <w:noProof/>
          <w:kern w:val="2"/>
          <w14:ligatures w14:val="standardContextual"/>
        </w:rPr>
      </w:pPr>
      <w:hyperlink w:anchor="_Toc161935371" w:history="1">
        <w:r w:rsidR="00FA2DD0" w:rsidRPr="00A550AA">
          <w:rPr>
            <w:rStyle w:val="Hyperlink"/>
            <w:rFonts w:ascii="Times New Roman" w:hAnsi="Times New Roman"/>
            <w:noProof/>
          </w:rPr>
          <w:t>Chapter 3</w:t>
        </w:r>
        <w:r w:rsidR="00FA2DD0" w:rsidRPr="00A550AA">
          <w:rPr>
            <w:rFonts w:ascii="Times New Roman" w:hAnsi="Times New Roman"/>
            <w:noProof/>
            <w:webHidden/>
          </w:rPr>
          <w:tab/>
        </w:r>
        <w:r w:rsidR="00FA2DD0" w:rsidRPr="00A550AA">
          <w:rPr>
            <w:rFonts w:ascii="Times New Roman" w:hAnsi="Times New Roman"/>
            <w:noProof/>
            <w:webHidden/>
          </w:rPr>
          <w:fldChar w:fldCharType="begin"/>
        </w:r>
        <w:r w:rsidR="00FA2DD0" w:rsidRPr="00A550AA">
          <w:rPr>
            <w:rFonts w:ascii="Times New Roman" w:hAnsi="Times New Roman"/>
            <w:noProof/>
            <w:webHidden/>
          </w:rPr>
          <w:instrText xml:space="preserve"> PAGEREF _Toc161935371 \h </w:instrText>
        </w:r>
        <w:r w:rsidR="00FA2DD0" w:rsidRPr="00A550AA">
          <w:rPr>
            <w:rFonts w:ascii="Times New Roman" w:hAnsi="Times New Roman"/>
            <w:noProof/>
            <w:webHidden/>
          </w:rPr>
        </w:r>
        <w:r w:rsidR="00FA2DD0" w:rsidRPr="00A550AA">
          <w:rPr>
            <w:rFonts w:ascii="Times New Roman" w:hAnsi="Times New Roman"/>
            <w:noProof/>
            <w:webHidden/>
          </w:rPr>
          <w:fldChar w:fldCharType="separate"/>
        </w:r>
        <w:r w:rsidR="00DD3C37">
          <w:rPr>
            <w:rFonts w:ascii="Times New Roman" w:hAnsi="Times New Roman"/>
            <w:noProof/>
            <w:webHidden/>
          </w:rPr>
          <w:t>50</w:t>
        </w:r>
        <w:r w:rsidR="00FA2DD0" w:rsidRPr="00A550AA">
          <w:rPr>
            <w:rFonts w:ascii="Times New Roman" w:hAnsi="Times New Roman"/>
            <w:noProof/>
            <w:webHidden/>
          </w:rPr>
          <w:fldChar w:fldCharType="end"/>
        </w:r>
      </w:hyperlink>
    </w:p>
    <w:p w14:paraId="57555CDD" w14:textId="652D261A"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72" w:history="1">
        <w:r w:rsidR="00FA2DD0" w:rsidRPr="00A550AA">
          <w:rPr>
            <w:rStyle w:val="Hyperlink"/>
            <w:rFonts w:ascii="Times New Roman" w:hAnsi="Times New Roman"/>
            <w:b w:val="0"/>
            <w:bCs w:val="0"/>
            <w:noProof/>
            <w:sz w:val="24"/>
            <w:szCs w:val="24"/>
          </w:rPr>
          <w:t>Figure 1: Visualization of the HPC Method</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_Toc161935372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58</w:t>
        </w:r>
        <w:r w:rsidR="00FA2DD0" w:rsidRPr="00A550AA">
          <w:rPr>
            <w:rFonts w:ascii="Times New Roman" w:hAnsi="Times New Roman"/>
            <w:b w:val="0"/>
            <w:bCs w:val="0"/>
            <w:noProof/>
            <w:webHidden/>
            <w:sz w:val="24"/>
            <w:szCs w:val="24"/>
          </w:rPr>
          <w:fldChar w:fldCharType="end"/>
        </w:r>
      </w:hyperlink>
    </w:p>
    <w:p w14:paraId="00D87D9B" w14:textId="106BE8A1"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73" w:history="1">
        <w:r w:rsidR="00FA2DD0" w:rsidRPr="00A550AA">
          <w:rPr>
            <w:rStyle w:val="Hyperlink"/>
            <w:rFonts w:ascii="Times New Roman" w:hAnsi="Times New Roman"/>
            <w:b w:val="0"/>
            <w:bCs w:val="0"/>
            <w:noProof/>
            <w:sz w:val="24"/>
            <w:szCs w:val="24"/>
          </w:rPr>
          <w:t xml:space="preserve">Figure 2: Growth of NMOHB in </w:t>
        </w:r>
        <w:r w:rsidR="007D3DBA" w:rsidRPr="00A550AA">
          <w:rPr>
            <w:rStyle w:val="Hyperlink"/>
            <w:rFonts w:ascii="Times New Roman" w:hAnsi="Times New Roman"/>
            <w:b w:val="0"/>
            <w:bCs w:val="0"/>
            <w:noProof/>
            <w:sz w:val="24"/>
            <w:szCs w:val="24"/>
          </w:rPr>
          <w:t>Methane-oxidizing</w:t>
        </w:r>
        <w:r w:rsidR="00FA2DD0" w:rsidRPr="00A550AA">
          <w:rPr>
            <w:rStyle w:val="Hyperlink"/>
            <w:rFonts w:ascii="Times New Roman" w:hAnsi="Times New Roman"/>
            <w:b w:val="0"/>
            <w:bCs w:val="0"/>
            <w:noProof/>
            <w:sz w:val="24"/>
            <w:szCs w:val="24"/>
          </w:rPr>
          <w:t xml:space="preserve"> </w:t>
        </w:r>
        <w:r w:rsidR="009B0281" w:rsidRPr="00A550AA">
          <w:rPr>
            <w:rStyle w:val="Hyperlink"/>
            <w:rFonts w:ascii="Times New Roman" w:hAnsi="Times New Roman"/>
            <w:b w:val="0"/>
            <w:bCs w:val="0"/>
            <w:noProof/>
            <w:sz w:val="24"/>
            <w:szCs w:val="24"/>
          </w:rPr>
          <w:t>co-culture</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_Toc161935373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61</w:t>
        </w:r>
        <w:r w:rsidR="00FA2DD0" w:rsidRPr="00A550AA">
          <w:rPr>
            <w:rFonts w:ascii="Times New Roman" w:hAnsi="Times New Roman"/>
            <w:b w:val="0"/>
            <w:bCs w:val="0"/>
            <w:noProof/>
            <w:webHidden/>
            <w:sz w:val="24"/>
            <w:szCs w:val="24"/>
          </w:rPr>
          <w:fldChar w:fldCharType="end"/>
        </w:r>
      </w:hyperlink>
    </w:p>
    <w:p w14:paraId="0C574554" w14:textId="15D1854F" w:rsidR="00FA2DD0" w:rsidRPr="00A550AA" w:rsidRDefault="00000000">
      <w:pPr>
        <w:pStyle w:val="TOC2"/>
        <w:tabs>
          <w:tab w:val="right" w:leader="dot" w:pos="9350"/>
        </w:tabs>
        <w:rPr>
          <w:rFonts w:ascii="Times New Roman" w:hAnsi="Times New Roman"/>
          <w:b w:val="0"/>
          <w:bCs w:val="0"/>
          <w:noProof/>
          <w:kern w:val="2"/>
          <w:sz w:val="24"/>
          <w:szCs w:val="24"/>
          <w14:ligatures w14:val="standardContextual"/>
        </w:rPr>
      </w:pPr>
      <w:hyperlink w:anchor="_Toc161935374" w:history="1">
        <w:r w:rsidR="00FA2DD0" w:rsidRPr="00A550AA">
          <w:rPr>
            <w:rStyle w:val="Hyperlink"/>
            <w:rFonts w:ascii="Times New Roman" w:hAnsi="Times New Roman"/>
            <w:b w:val="0"/>
            <w:bCs w:val="0"/>
            <w:noProof/>
            <w:sz w:val="24"/>
            <w:szCs w:val="24"/>
          </w:rPr>
          <w:t xml:space="preserve">Figure 3: MOR of </w:t>
        </w:r>
        <w:r w:rsidR="00FA2DD0" w:rsidRPr="00A550AA">
          <w:rPr>
            <w:rStyle w:val="Hyperlink"/>
            <w:rFonts w:ascii="Times New Roman" w:hAnsi="Times New Roman"/>
            <w:b w:val="0"/>
            <w:bCs w:val="0"/>
            <w:i/>
            <w:iCs/>
            <w:noProof/>
            <w:sz w:val="24"/>
            <w:szCs w:val="24"/>
          </w:rPr>
          <w:t xml:space="preserve">M. trichosporium </w:t>
        </w:r>
        <w:r w:rsidR="00FA2DD0" w:rsidRPr="00A550AA">
          <w:rPr>
            <w:rStyle w:val="Hyperlink"/>
            <w:rFonts w:ascii="Times New Roman" w:hAnsi="Times New Roman"/>
            <w:b w:val="0"/>
            <w:bCs w:val="0"/>
            <w:noProof/>
            <w:sz w:val="24"/>
            <w:szCs w:val="24"/>
          </w:rPr>
          <w:t xml:space="preserve">OB3b in </w:t>
        </w:r>
        <w:r w:rsidR="009B0281" w:rsidRPr="00A550AA">
          <w:rPr>
            <w:rStyle w:val="Hyperlink"/>
            <w:rFonts w:ascii="Times New Roman" w:hAnsi="Times New Roman"/>
            <w:b w:val="0"/>
            <w:bCs w:val="0"/>
            <w:noProof/>
            <w:sz w:val="24"/>
            <w:szCs w:val="24"/>
          </w:rPr>
          <w:t>co-culture</w:t>
        </w:r>
        <w:r w:rsidR="00FA2DD0" w:rsidRPr="00A550AA">
          <w:rPr>
            <w:rStyle w:val="Hyperlink"/>
            <w:rFonts w:ascii="Times New Roman" w:hAnsi="Times New Roman"/>
            <w:b w:val="0"/>
            <w:bCs w:val="0"/>
            <w:noProof/>
            <w:sz w:val="24"/>
            <w:szCs w:val="24"/>
          </w:rPr>
          <w:t xml:space="preserve"> and monoculture conditions</w:t>
        </w:r>
        <w:r w:rsidR="00FA2DD0" w:rsidRPr="00A550AA">
          <w:rPr>
            <w:rFonts w:ascii="Times New Roman" w:hAnsi="Times New Roman"/>
            <w:b w:val="0"/>
            <w:bCs w:val="0"/>
            <w:noProof/>
            <w:webHidden/>
            <w:sz w:val="24"/>
            <w:szCs w:val="24"/>
          </w:rPr>
          <w:tab/>
        </w:r>
        <w:r w:rsidR="00FA2DD0" w:rsidRPr="00A550AA">
          <w:rPr>
            <w:rFonts w:ascii="Times New Roman" w:hAnsi="Times New Roman"/>
            <w:b w:val="0"/>
            <w:bCs w:val="0"/>
            <w:noProof/>
            <w:webHidden/>
            <w:sz w:val="24"/>
            <w:szCs w:val="24"/>
          </w:rPr>
          <w:fldChar w:fldCharType="begin"/>
        </w:r>
        <w:r w:rsidR="00FA2DD0" w:rsidRPr="00A550AA">
          <w:rPr>
            <w:rFonts w:ascii="Times New Roman" w:hAnsi="Times New Roman"/>
            <w:b w:val="0"/>
            <w:bCs w:val="0"/>
            <w:noProof/>
            <w:webHidden/>
            <w:sz w:val="24"/>
            <w:szCs w:val="24"/>
          </w:rPr>
          <w:instrText xml:space="preserve"> PAGEREF _Toc161935374 \h </w:instrText>
        </w:r>
        <w:r w:rsidR="00FA2DD0" w:rsidRPr="00A550AA">
          <w:rPr>
            <w:rFonts w:ascii="Times New Roman" w:hAnsi="Times New Roman"/>
            <w:b w:val="0"/>
            <w:bCs w:val="0"/>
            <w:noProof/>
            <w:webHidden/>
            <w:sz w:val="24"/>
            <w:szCs w:val="24"/>
          </w:rPr>
        </w:r>
        <w:r w:rsidR="00FA2DD0" w:rsidRPr="00A550AA">
          <w:rPr>
            <w:rFonts w:ascii="Times New Roman" w:hAnsi="Times New Roman"/>
            <w:b w:val="0"/>
            <w:bCs w:val="0"/>
            <w:noProof/>
            <w:webHidden/>
            <w:sz w:val="24"/>
            <w:szCs w:val="24"/>
          </w:rPr>
          <w:fldChar w:fldCharType="separate"/>
        </w:r>
        <w:r w:rsidR="00DD3C37">
          <w:rPr>
            <w:rFonts w:ascii="Times New Roman" w:hAnsi="Times New Roman"/>
            <w:b w:val="0"/>
            <w:bCs w:val="0"/>
            <w:noProof/>
            <w:webHidden/>
            <w:sz w:val="24"/>
            <w:szCs w:val="24"/>
          </w:rPr>
          <w:t>63</w:t>
        </w:r>
        <w:r w:rsidR="00FA2DD0" w:rsidRPr="00A550AA">
          <w:rPr>
            <w:rFonts w:ascii="Times New Roman" w:hAnsi="Times New Roman"/>
            <w:b w:val="0"/>
            <w:bCs w:val="0"/>
            <w:noProof/>
            <w:webHidden/>
            <w:sz w:val="24"/>
            <w:szCs w:val="24"/>
          </w:rPr>
          <w:fldChar w:fldCharType="end"/>
        </w:r>
      </w:hyperlink>
    </w:p>
    <w:p w14:paraId="0B0B6CD4" w14:textId="78BB90E1" w:rsidR="00FA2DD0" w:rsidRPr="00A550AA" w:rsidRDefault="00FA2DD0">
      <w:pPr>
        <w:pStyle w:val="TOC1"/>
        <w:tabs>
          <w:tab w:val="right" w:leader="dot" w:pos="9350"/>
        </w:tabs>
        <w:rPr>
          <w:rFonts w:ascii="Times New Roman" w:hAnsi="Times New Roman"/>
          <w:b w:val="0"/>
          <w:bCs w:val="0"/>
          <w:caps w:val="0"/>
          <w:noProof/>
          <w:kern w:val="2"/>
          <w14:ligatures w14:val="standardContextual"/>
        </w:rPr>
      </w:pPr>
    </w:p>
    <w:p w14:paraId="50BA8912" w14:textId="505AC0AB" w:rsidR="006E624A" w:rsidRPr="00FA2DD0" w:rsidRDefault="00FA2DD0" w:rsidP="00FA2DD0">
      <w:pPr>
        <w:rPr>
          <w:sz w:val="24"/>
          <w:szCs w:val="24"/>
        </w:rPr>
      </w:pPr>
      <w:r w:rsidRPr="00A550AA">
        <w:rPr>
          <w:sz w:val="24"/>
          <w:szCs w:val="24"/>
        </w:rPr>
        <w:fldChar w:fldCharType="end"/>
      </w:r>
    </w:p>
    <w:p w14:paraId="1062D98F" w14:textId="55BAC528" w:rsidR="006E624A" w:rsidRDefault="006E624A" w:rsidP="006E624A">
      <w:pPr>
        <w:pStyle w:val="Heading1"/>
      </w:pPr>
      <w:r>
        <w:br w:type="column"/>
      </w:r>
      <w:bookmarkStart w:id="10" w:name="_Toc161933270"/>
      <w:bookmarkStart w:id="11" w:name="_Toc161933720"/>
      <w:bookmarkStart w:id="12" w:name="_Toc161934661"/>
      <w:bookmarkStart w:id="13" w:name="_Toc161935357"/>
      <w:bookmarkStart w:id="14" w:name="_Toc167115819"/>
      <w:r w:rsidRPr="006E624A">
        <w:lastRenderedPageBreak/>
        <w:t>Abstract</w:t>
      </w:r>
      <w:bookmarkEnd w:id="10"/>
      <w:bookmarkEnd w:id="11"/>
      <w:bookmarkEnd w:id="12"/>
      <w:bookmarkEnd w:id="13"/>
      <w:bookmarkEnd w:id="14"/>
    </w:p>
    <w:p w14:paraId="6DEAB2B8" w14:textId="72200B57" w:rsidR="006E624A" w:rsidRPr="006E624A" w:rsidRDefault="009414FF" w:rsidP="00772E07">
      <w:pPr>
        <w:tabs>
          <w:tab w:val="left" w:pos="7856"/>
        </w:tabs>
        <w:spacing w:line="480" w:lineRule="auto"/>
        <w:rPr>
          <w:sz w:val="24"/>
          <w:szCs w:val="24"/>
        </w:rPr>
      </w:pPr>
      <w:r>
        <w:rPr>
          <w:sz w:val="24"/>
          <w:szCs w:val="24"/>
        </w:rPr>
        <w:t>This work describes</w:t>
      </w:r>
      <w:r w:rsidR="00772E07">
        <w:rPr>
          <w:sz w:val="24"/>
          <w:szCs w:val="24"/>
        </w:rPr>
        <w:t xml:space="preserve"> an in-depth investigation into how the </w:t>
      </w:r>
      <w:r w:rsidR="007D3DBA">
        <w:rPr>
          <w:sz w:val="24"/>
          <w:szCs w:val="24"/>
        </w:rPr>
        <w:t>methane-oxidizing</w:t>
      </w:r>
      <w:r w:rsidR="00772E07">
        <w:rPr>
          <w:sz w:val="24"/>
          <w:szCs w:val="24"/>
        </w:rPr>
        <w:t xml:space="preserve"> bacteria (MOB) respond to changes that allow them to effectively function in their ecological role. This includes understanding their response to unfavorable oxygen concentrations, and how they respond in </w:t>
      </w:r>
      <w:r w:rsidR="009B0281">
        <w:rPr>
          <w:sz w:val="24"/>
          <w:szCs w:val="24"/>
        </w:rPr>
        <w:t>co-culture</w:t>
      </w:r>
      <w:r w:rsidR="00772E07">
        <w:rPr>
          <w:sz w:val="24"/>
          <w:szCs w:val="24"/>
        </w:rPr>
        <w:t xml:space="preserve"> with other bacteria. This work also presents the characterization of a novel species of MOB; </w:t>
      </w:r>
      <w:r w:rsidR="00772E07">
        <w:rPr>
          <w:i/>
          <w:iCs/>
          <w:sz w:val="24"/>
          <w:szCs w:val="24"/>
        </w:rPr>
        <w:t xml:space="preserve">Methylocystis suflitae </w:t>
      </w:r>
      <w:r w:rsidR="00772E07">
        <w:rPr>
          <w:sz w:val="24"/>
          <w:szCs w:val="24"/>
        </w:rPr>
        <w:t>sp. nov. MOB</w:t>
      </w:r>
      <w:r w:rsidR="00772E07" w:rsidRPr="00772E07">
        <w:rPr>
          <w:sz w:val="24"/>
          <w:szCs w:val="24"/>
        </w:rPr>
        <w:t xml:space="preserve"> play a crucial role in the global methane cycle, serving as significant actors in biogeochemical cycling. However, their physiological response to changing oxygen concentrations remain</w:t>
      </w:r>
      <w:r w:rsidR="00772E07">
        <w:rPr>
          <w:sz w:val="24"/>
          <w:szCs w:val="24"/>
        </w:rPr>
        <w:t>s</w:t>
      </w:r>
      <w:r w:rsidR="00772E07" w:rsidRPr="00772E07">
        <w:rPr>
          <w:sz w:val="24"/>
          <w:szCs w:val="24"/>
        </w:rPr>
        <w:t xml:space="preserve"> incompletely understood. </w:t>
      </w:r>
      <w:r w:rsidR="00772E07">
        <w:rPr>
          <w:sz w:val="24"/>
          <w:szCs w:val="24"/>
        </w:rPr>
        <w:t>One of the studies presented in this dissertation</w:t>
      </w:r>
      <w:r w:rsidR="00772E07" w:rsidRPr="00772E07">
        <w:rPr>
          <w:sz w:val="24"/>
          <w:szCs w:val="24"/>
        </w:rPr>
        <w:t xml:space="preserve"> investigates how two MOB species, </w:t>
      </w:r>
      <w:r w:rsidR="00772E07" w:rsidRPr="00772E07">
        <w:rPr>
          <w:i/>
          <w:iCs/>
          <w:sz w:val="24"/>
          <w:szCs w:val="24"/>
        </w:rPr>
        <w:t xml:space="preserve">Methylosinus trichosporium </w:t>
      </w:r>
      <w:r w:rsidR="00772E07" w:rsidRPr="00772E07">
        <w:rPr>
          <w:sz w:val="24"/>
          <w:szCs w:val="24"/>
        </w:rPr>
        <w:t xml:space="preserve">OB3b and </w:t>
      </w:r>
      <w:r w:rsidR="00772E07" w:rsidRPr="00772E07">
        <w:rPr>
          <w:i/>
          <w:iCs/>
          <w:sz w:val="24"/>
          <w:szCs w:val="24"/>
        </w:rPr>
        <w:t>Methylomonas</w:t>
      </w:r>
      <w:r w:rsidR="00772E07" w:rsidRPr="00772E07">
        <w:rPr>
          <w:sz w:val="24"/>
          <w:szCs w:val="24"/>
        </w:rPr>
        <w:t xml:space="preserve"> sp. WSC-7, respond to changing oxygen concentrations and the addition of catalase, a hydrogen peroxide scavenger, in growth media. Through transcriptomics analysis, </w:t>
      </w:r>
      <w:r w:rsidR="006B0B12">
        <w:rPr>
          <w:sz w:val="24"/>
          <w:szCs w:val="24"/>
        </w:rPr>
        <w:t>this work</w:t>
      </w:r>
      <w:r w:rsidR="00772E07" w:rsidRPr="00772E07">
        <w:rPr>
          <w:sz w:val="24"/>
          <w:szCs w:val="24"/>
        </w:rPr>
        <w:t xml:space="preserve"> showed that under high oxygen conditions, </w:t>
      </w:r>
      <w:r w:rsidR="00772E07" w:rsidRPr="00772E07">
        <w:rPr>
          <w:i/>
          <w:iCs/>
          <w:sz w:val="24"/>
          <w:szCs w:val="24"/>
        </w:rPr>
        <w:t>M. trichosporium</w:t>
      </w:r>
      <w:r w:rsidR="00772E07" w:rsidRPr="00772E07">
        <w:rPr>
          <w:sz w:val="24"/>
          <w:szCs w:val="24"/>
        </w:rPr>
        <w:t xml:space="preserve"> OB3b upregulates genes involved in reactive oxygen species (ROS) defense, including cytochrome c peroxidase and superoxide dismutase, suggesting a need to deal with elevated ROS levels. Conversely, </w:t>
      </w:r>
      <w:r w:rsidR="00772E07" w:rsidRPr="00772E07">
        <w:rPr>
          <w:i/>
          <w:iCs/>
          <w:sz w:val="24"/>
          <w:szCs w:val="24"/>
        </w:rPr>
        <w:t>Methylomonas</w:t>
      </w:r>
      <w:r w:rsidR="00772E07" w:rsidRPr="00772E07">
        <w:rPr>
          <w:sz w:val="24"/>
          <w:szCs w:val="24"/>
        </w:rPr>
        <w:t xml:space="preserve"> sp. WSC-7 exhibits cell clustering behavior, potentially as a defense mechanism against ROS toxicity. Differential expression of flagellar biosynthesis genes and chemotaxis response genes further supports this adaptive response. Moreover, </w:t>
      </w:r>
      <w:r w:rsidR="00772E07" w:rsidRPr="00772E07">
        <w:rPr>
          <w:i/>
          <w:iCs/>
          <w:sz w:val="24"/>
          <w:szCs w:val="24"/>
        </w:rPr>
        <w:t>Methylomonas</w:t>
      </w:r>
      <w:r w:rsidR="00772E07" w:rsidRPr="00772E07">
        <w:rPr>
          <w:sz w:val="24"/>
          <w:szCs w:val="24"/>
        </w:rPr>
        <w:t xml:space="preserve"> sp. WSC-7 shows reduced expression of soluble methane monooxygenase genes under low oxygen conditions, while </w:t>
      </w:r>
      <w:r w:rsidR="00772E07" w:rsidRPr="00772E07">
        <w:rPr>
          <w:i/>
          <w:iCs/>
          <w:sz w:val="24"/>
          <w:szCs w:val="24"/>
        </w:rPr>
        <w:t>M. trichosporium</w:t>
      </w:r>
      <w:r w:rsidR="00772E07" w:rsidRPr="00772E07">
        <w:rPr>
          <w:sz w:val="24"/>
          <w:szCs w:val="24"/>
        </w:rPr>
        <w:t xml:space="preserve"> OB3b exhibits higher expression under catalase-amended conditions, and that rates of methane oxidation for both strains are impacted by the concentration of oxygen and amending the growth media with catalase. Our findings underscore the importance of oxygen concentration in modulating MOB physiology and suggest potential strategies for optimizing their growth conditions. </w:t>
      </w:r>
      <w:r w:rsidR="00772E07">
        <w:rPr>
          <w:sz w:val="24"/>
          <w:szCs w:val="24"/>
        </w:rPr>
        <w:t>Additionally, d</w:t>
      </w:r>
      <w:r w:rsidR="00772E07" w:rsidRPr="00772E07">
        <w:rPr>
          <w:sz w:val="24"/>
          <w:szCs w:val="24"/>
        </w:rPr>
        <w:t>espite the</w:t>
      </w:r>
      <w:r w:rsidR="00772E07">
        <w:rPr>
          <w:sz w:val="24"/>
          <w:szCs w:val="24"/>
        </w:rPr>
        <w:t xml:space="preserve"> MOB’s </w:t>
      </w:r>
      <w:r w:rsidR="00772E07" w:rsidRPr="00772E07">
        <w:rPr>
          <w:sz w:val="24"/>
          <w:szCs w:val="24"/>
        </w:rPr>
        <w:t>crucial role</w:t>
      </w:r>
      <w:r w:rsidR="00772E07">
        <w:rPr>
          <w:sz w:val="24"/>
          <w:szCs w:val="24"/>
        </w:rPr>
        <w:t xml:space="preserve"> in </w:t>
      </w:r>
      <w:r w:rsidR="00772E07">
        <w:rPr>
          <w:sz w:val="24"/>
          <w:szCs w:val="24"/>
        </w:rPr>
        <w:lastRenderedPageBreak/>
        <w:t>biogeochemical cycling</w:t>
      </w:r>
      <w:r w:rsidR="00772E07" w:rsidRPr="00772E07">
        <w:rPr>
          <w:sz w:val="24"/>
          <w:szCs w:val="24"/>
        </w:rPr>
        <w:t xml:space="preserve">, there is still a lot to learn about how the MOB interact with other bacteria in their environment. </w:t>
      </w:r>
      <w:r w:rsidR="00772E07">
        <w:rPr>
          <w:sz w:val="24"/>
          <w:szCs w:val="24"/>
        </w:rPr>
        <w:t>Another aspect of this study</w:t>
      </w:r>
      <w:r w:rsidR="00772E07" w:rsidRPr="00772E07">
        <w:rPr>
          <w:sz w:val="24"/>
          <w:szCs w:val="24"/>
        </w:rPr>
        <w:t xml:space="preserve"> investigates the growth conditions and community dynamics of methane-oxidizing </w:t>
      </w:r>
      <w:r w:rsidR="009B0281">
        <w:rPr>
          <w:sz w:val="24"/>
          <w:szCs w:val="24"/>
        </w:rPr>
        <w:t>co-culture</w:t>
      </w:r>
      <w:r w:rsidR="00772E07" w:rsidRPr="00772E07">
        <w:rPr>
          <w:sz w:val="24"/>
          <w:szCs w:val="24"/>
        </w:rPr>
        <w:t xml:space="preserve">s, focusing on the interactions between </w:t>
      </w:r>
      <w:r w:rsidR="00772E07" w:rsidRPr="00772E07">
        <w:rPr>
          <w:i/>
          <w:iCs/>
          <w:sz w:val="24"/>
          <w:szCs w:val="24"/>
        </w:rPr>
        <w:t>M. trichosporium</w:t>
      </w:r>
      <w:r w:rsidR="00772E07" w:rsidRPr="00772E07">
        <w:rPr>
          <w:sz w:val="24"/>
          <w:szCs w:val="24"/>
        </w:rPr>
        <w:t xml:space="preserve"> OB3b (MOB) and the non-</w:t>
      </w:r>
      <w:r w:rsidR="007D3DBA">
        <w:rPr>
          <w:sz w:val="24"/>
          <w:szCs w:val="24"/>
        </w:rPr>
        <w:t>methane-oxidizing</w:t>
      </w:r>
      <w:r w:rsidR="00772E07" w:rsidRPr="00772E07">
        <w:rPr>
          <w:sz w:val="24"/>
          <w:szCs w:val="24"/>
        </w:rPr>
        <w:t xml:space="preserve"> heterotrophic bacteria (NMOHB) of the genera </w:t>
      </w:r>
      <w:r w:rsidR="00772E07" w:rsidRPr="00772E07">
        <w:rPr>
          <w:i/>
          <w:iCs/>
          <w:sz w:val="24"/>
          <w:szCs w:val="24"/>
        </w:rPr>
        <w:t>Flavobacterium</w:t>
      </w:r>
      <w:r w:rsidR="00772E07" w:rsidRPr="00772E07">
        <w:rPr>
          <w:sz w:val="24"/>
          <w:szCs w:val="24"/>
        </w:rPr>
        <w:t xml:space="preserve">, </w:t>
      </w:r>
      <w:r w:rsidR="00772E07" w:rsidRPr="00772E07">
        <w:rPr>
          <w:i/>
          <w:iCs/>
          <w:sz w:val="24"/>
          <w:szCs w:val="24"/>
        </w:rPr>
        <w:t>Cupriavidus,</w:t>
      </w:r>
      <w:r w:rsidR="00772E07" w:rsidRPr="00772E07">
        <w:rPr>
          <w:sz w:val="24"/>
          <w:szCs w:val="24"/>
        </w:rPr>
        <w:t xml:space="preserve"> and </w:t>
      </w:r>
      <w:r w:rsidR="00772E07" w:rsidRPr="00772E07">
        <w:rPr>
          <w:i/>
          <w:iCs/>
          <w:sz w:val="24"/>
          <w:szCs w:val="24"/>
        </w:rPr>
        <w:t>Pseudomonas</w:t>
      </w:r>
      <w:r w:rsidR="00772E07" w:rsidRPr="00772E07">
        <w:rPr>
          <w:sz w:val="24"/>
          <w:szCs w:val="24"/>
        </w:rPr>
        <w:t xml:space="preserve">. Heterotrophic plate counts were used to determine whether NMOHB could grow in methane-oxidizing </w:t>
      </w:r>
      <w:r w:rsidR="009B0281">
        <w:rPr>
          <w:sz w:val="24"/>
          <w:szCs w:val="24"/>
        </w:rPr>
        <w:t>co-culture</w:t>
      </w:r>
      <w:r w:rsidR="00772E07" w:rsidRPr="00772E07">
        <w:rPr>
          <w:sz w:val="24"/>
          <w:szCs w:val="24"/>
        </w:rPr>
        <w:t xml:space="preserve">s.  </w:t>
      </w:r>
      <w:r w:rsidR="00F75AFD">
        <w:rPr>
          <w:sz w:val="24"/>
          <w:szCs w:val="24"/>
        </w:rPr>
        <w:t>There was</w:t>
      </w:r>
      <w:r w:rsidR="00772E07" w:rsidRPr="00772E07">
        <w:rPr>
          <w:sz w:val="24"/>
          <w:szCs w:val="24"/>
        </w:rPr>
        <w:t xml:space="preserve"> growth of all three NMOHB, suggesting carbon substrate utilization derived from methane oxidation. Furthermore, </w:t>
      </w:r>
      <w:r w:rsidR="009B0281">
        <w:rPr>
          <w:sz w:val="24"/>
          <w:szCs w:val="24"/>
        </w:rPr>
        <w:t>co-culture</w:t>
      </w:r>
      <w:r w:rsidR="00772E07" w:rsidRPr="00772E07">
        <w:rPr>
          <w:sz w:val="24"/>
          <w:szCs w:val="24"/>
        </w:rPr>
        <w:t xml:space="preserve">s with </w:t>
      </w:r>
      <w:r w:rsidR="00772E07" w:rsidRPr="00772E07">
        <w:rPr>
          <w:i/>
          <w:iCs/>
          <w:sz w:val="24"/>
          <w:szCs w:val="24"/>
        </w:rPr>
        <w:t>Pseudomonas chlororaphis</w:t>
      </w:r>
      <w:r w:rsidR="00772E07" w:rsidRPr="00772E07">
        <w:rPr>
          <w:sz w:val="24"/>
          <w:szCs w:val="24"/>
        </w:rPr>
        <w:t xml:space="preserve"> HC exhibited enhanced methane oxidation rates compared to monoculture, indicating a stimulating effect of </w:t>
      </w:r>
      <w:r w:rsidR="00772E07" w:rsidRPr="00772E07">
        <w:rPr>
          <w:i/>
          <w:iCs/>
          <w:sz w:val="24"/>
          <w:szCs w:val="24"/>
        </w:rPr>
        <w:t>P. chlororaphis</w:t>
      </w:r>
      <w:r w:rsidR="00772E07" w:rsidRPr="00772E07">
        <w:rPr>
          <w:sz w:val="24"/>
          <w:szCs w:val="24"/>
        </w:rPr>
        <w:t xml:space="preserve"> HC on methane utilization by MOB. Transcriptomic analysis revealed differential gene expression patterns in both MOB and NMOHB during </w:t>
      </w:r>
      <w:r w:rsidR="009B0281">
        <w:rPr>
          <w:sz w:val="24"/>
          <w:szCs w:val="24"/>
        </w:rPr>
        <w:t>co-culture</w:t>
      </w:r>
      <w:r w:rsidR="00772E07" w:rsidRPr="00772E07">
        <w:rPr>
          <w:sz w:val="24"/>
          <w:szCs w:val="24"/>
        </w:rPr>
        <w:t xml:space="preserve"> and points to potential cross-feeding of C4 dicarboxylates and methanol from the MOB to the NMOHB. Further, NMOHB displayed upregulation of genes involved in ROS remediation, suggesting a response to oxidative stress induced by methane oxidation. Additionally, NMOHB exhibited alterations in nitrogen utilization and amino acid metabolism genes, possibly reflecting adaptations to the </w:t>
      </w:r>
      <w:r w:rsidR="009B0281">
        <w:rPr>
          <w:sz w:val="24"/>
          <w:szCs w:val="24"/>
        </w:rPr>
        <w:t>co-culture</w:t>
      </w:r>
      <w:r w:rsidR="00772E07" w:rsidRPr="00772E07">
        <w:rPr>
          <w:sz w:val="24"/>
          <w:szCs w:val="24"/>
        </w:rPr>
        <w:t xml:space="preserve"> environment. Overall, these findings shed light on the metabolic interactions between MOB and NMOHB in methane-oxidizing systems, highlighting the potential for carbon sharing, nitrogen exchange, and ROS defense mechanisms.</w:t>
      </w:r>
    </w:p>
    <w:p w14:paraId="5D2C077F" w14:textId="1CF9F721" w:rsidR="006E624A" w:rsidRPr="00B121B9" w:rsidRDefault="006E624A" w:rsidP="00B121B9">
      <w:pPr>
        <w:rPr>
          <w:sz w:val="24"/>
          <w:szCs w:val="24"/>
        </w:rPr>
        <w:sectPr w:rsidR="006E624A" w:rsidRPr="00B121B9" w:rsidSect="004839B1">
          <w:footerReference w:type="default" r:id="rId11"/>
          <w:pgSz w:w="12240" w:h="15840"/>
          <w:pgMar w:top="1440" w:right="1440" w:bottom="1440" w:left="1440" w:header="720" w:footer="720" w:gutter="0"/>
          <w:pgNumType w:fmt="lowerRoman" w:start="4"/>
          <w:cols w:space="720"/>
          <w:docGrid w:linePitch="360"/>
        </w:sectPr>
      </w:pPr>
      <w:bookmarkStart w:id="15" w:name="_Hlk120873135"/>
    </w:p>
    <w:p w14:paraId="7A69EF15" w14:textId="561E22DB" w:rsidR="00364AE7" w:rsidRPr="006E624A" w:rsidRDefault="00364AE7" w:rsidP="006E624A">
      <w:pPr>
        <w:pStyle w:val="Heading1"/>
        <w:rPr>
          <w:rFonts w:cs="Times New Roman"/>
          <w:sz w:val="22"/>
          <w:szCs w:val="22"/>
        </w:rPr>
      </w:pPr>
      <w:bookmarkStart w:id="16" w:name="_Toc161933721"/>
      <w:bookmarkStart w:id="17" w:name="_Toc161934662"/>
      <w:bookmarkStart w:id="18" w:name="_Toc161935358"/>
      <w:bookmarkStart w:id="19" w:name="_Toc167115820"/>
      <w:r w:rsidRPr="006E624A">
        <w:lastRenderedPageBreak/>
        <w:t>Chapter 1</w:t>
      </w:r>
      <w:bookmarkEnd w:id="16"/>
      <w:bookmarkEnd w:id="17"/>
      <w:bookmarkEnd w:id="18"/>
      <w:bookmarkEnd w:id="19"/>
    </w:p>
    <w:p w14:paraId="7DBC55D2" w14:textId="5BDE4E2D" w:rsidR="00364AE7" w:rsidRPr="006E624A" w:rsidRDefault="00364AE7" w:rsidP="006E624A">
      <w:pPr>
        <w:pStyle w:val="Heading2"/>
      </w:pPr>
      <w:bookmarkStart w:id="20" w:name="_Toc167115821"/>
      <w:r w:rsidRPr="006E624A">
        <w:t xml:space="preserve">Description of </w:t>
      </w:r>
      <w:r w:rsidRPr="006E624A">
        <w:rPr>
          <w:i/>
          <w:iCs/>
        </w:rPr>
        <w:t>Methylocystis suflitae</w:t>
      </w:r>
      <w:r w:rsidRPr="006E624A">
        <w:t xml:space="preserve"> sp. nov., a novel type II methanotrophic bacterium isolated from landfill cover soil.</w:t>
      </w:r>
      <w:bookmarkEnd w:id="20"/>
      <w:r w:rsidRPr="006E624A">
        <w:t xml:space="preserve"> </w:t>
      </w:r>
    </w:p>
    <w:p w14:paraId="3D356063" w14:textId="77777777" w:rsidR="00364AE7" w:rsidRPr="002403A7" w:rsidRDefault="00364AE7" w:rsidP="00364AE7">
      <w:pPr>
        <w:rPr>
          <w:bCs/>
          <w:sz w:val="24"/>
          <w:szCs w:val="24"/>
          <w:vertAlign w:val="superscript"/>
        </w:rPr>
      </w:pPr>
      <w:r w:rsidRPr="002403A7">
        <w:rPr>
          <w:bCs/>
          <w:sz w:val="24"/>
          <w:szCs w:val="24"/>
        </w:rPr>
        <w:t>Christopher T. Garner</w:t>
      </w:r>
      <w:r w:rsidRPr="002403A7">
        <w:rPr>
          <w:bCs/>
          <w:sz w:val="24"/>
          <w:szCs w:val="24"/>
          <w:vertAlign w:val="superscript"/>
        </w:rPr>
        <w:t>1</w:t>
      </w:r>
      <w:r w:rsidRPr="002403A7">
        <w:rPr>
          <w:bCs/>
          <w:sz w:val="24"/>
          <w:szCs w:val="24"/>
        </w:rPr>
        <w:t>, Krithivasan Sankaranarayanan</w:t>
      </w:r>
      <w:r w:rsidRPr="002403A7">
        <w:rPr>
          <w:bCs/>
          <w:sz w:val="24"/>
          <w:szCs w:val="24"/>
          <w:vertAlign w:val="superscript"/>
        </w:rPr>
        <w:t>2</w:t>
      </w:r>
      <w:r w:rsidRPr="002403A7">
        <w:rPr>
          <w:bCs/>
          <w:sz w:val="24"/>
          <w:szCs w:val="24"/>
        </w:rPr>
        <w:t>, Christopher A. Abin</w:t>
      </w:r>
      <w:r w:rsidRPr="002403A7">
        <w:rPr>
          <w:bCs/>
          <w:sz w:val="24"/>
          <w:szCs w:val="24"/>
          <w:vertAlign w:val="superscript"/>
        </w:rPr>
        <w:t>1,2</w:t>
      </w:r>
      <w:r w:rsidRPr="002403A7">
        <w:rPr>
          <w:bCs/>
          <w:sz w:val="24"/>
          <w:szCs w:val="24"/>
        </w:rPr>
        <w:t>, Rosa M. Garner</w:t>
      </w:r>
      <w:r w:rsidRPr="002403A7">
        <w:rPr>
          <w:bCs/>
          <w:sz w:val="24"/>
          <w:szCs w:val="24"/>
          <w:vertAlign w:val="superscript"/>
        </w:rPr>
        <w:t>1</w:t>
      </w:r>
      <w:r w:rsidRPr="002403A7">
        <w:rPr>
          <w:bCs/>
          <w:sz w:val="24"/>
          <w:szCs w:val="24"/>
        </w:rPr>
        <w:t>, Haiyuan Cai</w:t>
      </w:r>
      <w:r w:rsidRPr="002403A7">
        <w:rPr>
          <w:bCs/>
          <w:sz w:val="24"/>
          <w:szCs w:val="24"/>
          <w:vertAlign w:val="superscript"/>
        </w:rPr>
        <w:t>3</w:t>
      </w:r>
      <w:r w:rsidRPr="002403A7">
        <w:rPr>
          <w:bCs/>
          <w:sz w:val="24"/>
          <w:szCs w:val="24"/>
        </w:rPr>
        <w:t>, Paul A. Lawson</w:t>
      </w:r>
      <w:r w:rsidRPr="002403A7">
        <w:rPr>
          <w:bCs/>
          <w:sz w:val="24"/>
          <w:szCs w:val="24"/>
          <w:vertAlign w:val="superscript"/>
        </w:rPr>
        <w:t>1</w:t>
      </w:r>
      <w:r w:rsidRPr="002403A7">
        <w:rPr>
          <w:bCs/>
          <w:sz w:val="24"/>
          <w:szCs w:val="24"/>
        </w:rPr>
        <w:t>, Lee R. Krumholz</w:t>
      </w:r>
      <w:r w:rsidRPr="002403A7">
        <w:rPr>
          <w:bCs/>
          <w:sz w:val="24"/>
          <w:szCs w:val="24"/>
          <w:vertAlign w:val="superscript"/>
        </w:rPr>
        <w:t>1,4</w:t>
      </w:r>
    </w:p>
    <w:p w14:paraId="43BF7C9F" w14:textId="77777777" w:rsidR="00364AE7" w:rsidRPr="002403A7" w:rsidRDefault="00364AE7" w:rsidP="00364AE7">
      <w:pPr>
        <w:pStyle w:val="ListParagraph"/>
        <w:numPr>
          <w:ilvl w:val="0"/>
          <w:numId w:val="1"/>
        </w:numPr>
        <w:rPr>
          <w:bCs/>
          <w:sz w:val="24"/>
          <w:szCs w:val="24"/>
        </w:rPr>
      </w:pPr>
      <w:r w:rsidRPr="002403A7">
        <w:rPr>
          <w:bCs/>
          <w:sz w:val="24"/>
          <w:szCs w:val="24"/>
        </w:rPr>
        <w:t>Department of Microbiology and Plant Biology, University of Oklahoma, 770 Van Vleet Oval, Norman, OK, USA, 73019</w:t>
      </w:r>
    </w:p>
    <w:p w14:paraId="241CC49E" w14:textId="77777777" w:rsidR="00364AE7" w:rsidRPr="002403A7" w:rsidRDefault="00364AE7" w:rsidP="00364AE7">
      <w:pPr>
        <w:pStyle w:val="ListParagraph"/>
        <w:rPr>
          <w:bCs/>
          <w:sz w:val="24"/>
          <w:szCs w:val="24"/>
        </w:rPr>
      </w:pPr>
    </w:p>
    <w:p w14:paraId="7EAFA79A" w14:textId="77777777" w:rsidR="00364AE7" w:rsidRPr="002403A7" w:rsidRDefault="00364AE7" w:rsidP="00364AE7">
      <w:pPr>
        <w:pStyle w:val="ListParagraph"/>
        <w:numPr>
          <w:ilvl w:val="0"/>
          <w:numId w:val="1"/>
        </w:numPr>
        <w:rPr>
          <w:bCs/>
          <w:sz w:val="24"/>
          <w:szCs w:val="24"/>
        </w:rPr>
      </w:pPr>
      <w:r w:rsidRPr="002403A7">
        <w:rPr>
          <w:bCs/>
          <w:sz w:val="24"/>
          <w:szCs w:val="24"/>
        </w:rPr>
        <w:t>Laboratories of Molecular Anthropology and Microbiome Research, Stephenson Research and Technology Center, University of Oklahoma, 101 David L. Boren Blvd., Norman, OK, USA, 3019</w:t>
      </w:r>
    </w:p>
    <w:p w14:paraId="33BDC6B7" w14:textId="77777777" w:rsidR="00364AE7" w:rsidRPr="002403A7" w:rsidRDefault="00364AE7" w:rsidP="00364AE7">
      <w:pPr>
        <w:pStyle w:val="ListParagraph"/>
        <w:rPr>
          <w:bCs/>
          <w:sz w:val="24"/>
          <w:szCs w:val="24"/>
        </w:rPr>
      </w:pPr>
    </w:p>
    <w:p w14:paraId="127D396B" w14:textId="77777777" w:rsidR="00364AE7" w:rsidRPr="002403A7" w:rsidRDefault="00364AE7" w:rsidP="00364AE7">
      <w:pPr>
        <w:pStyle w:val="ListParagraph"/>
        <w:numPr>
          <w:ilvl w:val="0"/>
          <w:numId w:val="1"/>
        </w:numPr>
        <w:rPr>
          <w:bCs/>
          <w:sz w:val="24"/>
          <w:szCs w:val="24"/>
        </w:rPr>
      </w:pPr>
      <w:r w:rsidRPr="002403A7">
        <w:rPr>
          <w:bCs/>
          <w:sz w:val="24"/>
          <w:szCs w:val="24"/>
        </w:rPr>
        <w:t>Nanjing Institute of Geography and Limnology, Chinese Academy of Sciences, Nanjing, China. 73 East Beijing Road, Nanjing 210008, P.R.China</w:t>
      </w:r>
    </w:p>
    <w:p w14:paraId="691076AA" w14:textId="77777777" w:rsidR="00364AE7" w:rsidRPr="002403A7" w:rsidRDefault="00364AE7" w:rsidP="00364AE7">
      <w:pPr>
        <w:ind w:left="270"/>
        <w:rPr>
          <w:bCs/>
          <w:sz w:val="24"/>
          <w:szCs w:val="24"/>
        </w:rPr>
      </w:pPr>
      <w:r w:rsidRPr="002403A7">
        <w:rPr>
          <w:bCs/>
          <w:color w:val="FFFFFF"/>
          <w:sz w:val="24"/>
          <w:szCs w:val="24"/>
        </w:rPr>
        <w:t>China</w:t>
      </w:r>
    </w:p>
    <w:p w14:paraId="37A54BD3" w14:textId="77777777" w:rsidR="00364AE7" w:rsidRPr="002403A7" w:rsidRDefault="00364AE7" w:rsidP="00364AE7">
      <w:pPr>
        <w:pStyle w:val="ListParagraph"/>
        <w:numPr>
          <w:ilvl w:val="0"/>
          <w:numId w:val="1"/>
        </w:numPr>
        <w:rPr>
          <w:bCs/>
          <w:sz w:val="24"/>
          <w:szCs w:val="24"/>
        </w:rPr>
      </w:pPr>
      <w:r w:rsidRPr="002403A7">
        <w:rPr>
          <w:bCs/>
          <w:sz w:val="24"/>
          <w:szCs w:val="24"/>
        </w:rPr>
        <w:t xml:space="preserve">Institute for Energy and the Environment, Mewbourne College of Earth and Energy, University of Oklahoma, Norman, OK 73019. </w:t>
      </w:r>
    </w:p>
    <w:p w14:paraId="5B5A9EFD" w14:textId="77777777" w:rsidR="00364AE7" w:rsidRPr="002403A7" w:rsidRDefault="00364AE7" w:rsidP="00364AE7">
      <w:pPr>
        <w:rPr>
          <w:bCs/>
          <w:sz w:val="24"/>
          <w:szCs w:val="24"/>
        </w:rPr>
      </w:pPr>
    </w:p>
    <w:p w14:paraId="6CACCEC1" w14:textId="77777777" w:rsidR="00364AE7" w:rsidRPr="002403A7" w:rsidRDefault="00364AE7" w:rsidP="00364AE7">
      <w:pPr>
        <w:rPr>
          <w:bCs/>
          <w:sz w:val="24"/>
          <w:szCs w:val="24"/>
        </w:rPr>
      </w:pPr>
      <w:r w:rsidRPr="002403A7">
        <w:rPr>
          <w:bCs/>
          <w:sz w:val="24"/>
          <w:szCs w:val="24"/>
        </w:rPr>
        <w:t>Abbreviations: TEM – Transmission Electron Microscopy; AAI – Average Amino Acid Identity; ANI – Average Nucleotide Identity ; dDDH - digital DNA-DNA hybridization</w:t>
      </w:r>
    </w:p>
    <w:p w14:paraId="3C84B4E7" w14:textId="77777777" w:rsidR="00364AE7" w:rsidRPr="002403A7" w:rsidRDefault="00364AE7" w:rsidP="00364AE7">
      <w:pPr>
        <w:rPr>
          <w:bCs/>
          <w:sz w:val="24"/>
          <w:szCs w:val="24"/>
        </w:rPr>
      </w:pPr>
      <w:r w:rsidRPr="002403A7">
        <w:rPr>
          <w:bCs/>
          <w:sz w:val="24"/>
          <w:szCs w:val="24"/>
        </w:rPr>
        <w:t>Repositories: This strain is in the type culture collection of the ATCC with the type culture designation TSD-256 and has been deposited in the DSMZ German Collection of Microorganisms and Cell Cultures GmbH under the number DSM 112294.</w:t>
      </w:r>
    </w:p>
    <w:p w14:paraId="4A1CE63F" w14:textId="77777777" w:rsidR="00364AE7" w:rsidRPr="002403A7" w:rsidRDefault="00364AE7" w:rsidP="00364AE7">
      <w:pPr>
        <w:rPr>
          <w:bCs/>
          <w:sz w:val="24"/>
          <w:szCs w:val="24"/>
        </w:rPr>
      </w:pPr>
      <w:r w:rsidRPr="002403A7">
        <w:rPr>
          <w:bCs/>
          <w:sz w:val="24"/>
          <w:szCs w:val="24"/>
        </w:rPr>
        <w:t>Genome GenBank Accession Number: GCA_024448135.1</w:t>
      </w:r>
    </w:p>
    <w:p w14:paraId="51B9E10B" w14:textId="77777777" w:rsidR="00364AE7" w:rsidRPr="002403A7" w:rsidRDefault="00364AE7" w:rsidP="002403A7">
      <w:pPr>
        <w:pBdr>
          <w:bottom w:val="single" w:sz="4" w:space="1" w:color="auto"/>
        </w:pBdr>
        <w:rPr>
          <w:bCs/>
          <w:sz w:val="24"/>
          <w:szCs w:val="24"/>
        </w:rPr>
      </w:pPr>
      <w:r w:rsidRPr="002403A7">
        <w:rPr>
          <w:bCs/>
          <w:sz w:val="24"/>
          <w:szCs w:val="24"/>
        </w:rPr>
        <w:t>16S rRNA GenBank Accession Number: ON715489</w:t>
      </w:r>
    </w:p>
    <w:p w14:paraId="62FB3AE3" w14:textId="77777777" w:rsidR="00364AE7" w:rsidRPr="00364AE7" w:rsidRDefault="00364AE7" w:rsidP="00364AE7">
      <w:pPr>
        <w:spacing w:after="0" w:line="480" w:lineRule="auto"/>
        <w:rPr>
          <w:rFonts w:eastAsia="Times New Roman"/>
          <w:sz w:val="24"/>
          <w:szCs w:val="24"/>
        </w:rPr>
      </w:pPr>
      <w:r w:rsidRPr="00364AE7">
        <w:rPr>
          <w:sz w:val="24"/>
          <w:szCs w:val="24"/>
        </w:rPr>
        <w:t>A bacterial strain designated NLS-7</w:t>
      </w:r>
      <w:r w:rsidRPr="00364AE7">
        <w:rPr>
          <w:sz w:val="24"/>
          <w:szCs w:val="24"/>
          <w:vertAlign w:val="superscript"/>
        </w:rPr>
        <w:t>T</w:t>
      </w:r>
      <w:r w:rsidRPr="00364AE7">
        <w:rPr>
          <w:sz w:val="24"/>
          <w:szCs w:val="24"/>
        </w:rPr>
        <w:t xml:space="preserve">, was isolated through enrichment of landfill cover soil in methane-oxidizing conditions. </w:t>
      </w:r>
      <w:r w:rsidRPr="00364AE7">
        <w:rPr>
          <w:color w:val="000000" w:themeColor="text1"/>
          <w:sz w:val="24"/>
          <w:szCs w:val="24"/>
        </w:rPr>
        <w:t>Strain NLS-7</w:t>
      </w:r>
      <w:r w:rsidRPr="00364AE7">
        <w:rPr>
          <w:color w:val="000000" w:themeColor="text1"/>
          <w:sz w:val="24"/>
          <w:szCs w:val="24"/>
          <w:vertAlign w:val="superscript"/>
        </w:rPr>
        <w:t>T</w:t>
      </w:r>
      <w:r w:rsidRPr="00364AE7">
        <w:rPr>
          <w:color w:val="000000" w:themeColor="text1"/>
          <w:sz w:val="24"/>
          <w:szCs w:val="24"/>
        </w:rPr>
        <w:t xml:space="preserve"> is a Gram-stain negative, non-motile, rod approximately </w:t>
      </w:r>
      <w:r w:rsidRPr="00364AE7">
        <w:rPr>
          <w:sz w:val="24"/>
          <w:szCs w:val="24"/>
        </w:rPr>
        <w:t xml:space="preserve">0.8 µm wide by 1.3 µm long. Phylogenetic analyses based on 16S rRNA gene sequencing places it within the genus </w:t>
      </w:r>
      <w:r w:rsidRPr="00364AE7">
        <w:rPr>
          <w:i/>
          <w:iCs/>
          <w:sz w:val="24"/>
          <w:szCs w:val="24"/>
        </w:rPr>
        <w:t>Methylocystis</w:t>
      </w:r>
      <w:r w:rsidRPr="00364AE7">
        <w:rPr>
          <w:sz w:val="24"/>
          <w:szCs w:val="24"/>
        </w:rPr>
        <w:t xml:space="preserve">, with its closest relatives being </w:t>
      </w:r>
      <w:r w:rsidRPr="00364AE7">
        <w:rPr>
          <w:i/>
          <w:iCs/>
          <w:sz w:val="24"/>
          <w:szCs w:val="24"/>
        </w:rPr>
        <w:t>M. hirsuta</w:t>
      </w:r>
      <w:r w:rsidRPr="00364AE7">
        <w:rPr>
          <w:sz w:val="24"/>
          <w:szCs w:val="24"/>
        </w:rPr>
        <w:t xml:space="preserve">, </w:t>
      </w:r>
      <w:r w:rsidRPr="00364AE7">
        <w:rPr>
          <w:i/>
          <w:iCs/>
          <w:sz w:val="24"/>
          <w:szCs w:val="24"/>
        </w:rPr>
        <w:t>M. silviterrae</w:t>
      </w:r>
      <w:r w:rsidRPr="00364AE7">
        <w:rPr>
          <w:sz w:val="24"/>
          <w:szCs w:val="24"/>
        </w:rPr>
        <w:t xml:space="preserve">, and </w:t>
      </w:r>
      <w:r w:rsidRPr="00364AE7">
        <w:rPr>
          <w:i/>
          <w:iCs/>
          <w:sz w:val="24"/>
          <w:szCs w:val="24"/>
        </w:rPr>
        <w:t>M. rosea</w:t>
      </w:r>
      <w:r w:rsidRPr="00364AE7">
        <w:rPr>
          <w:sz w:val="24"/>
          <w:szCs w:val="24"/>
        </w:rPr>
        <w:t xml:space="preserve">, with 99.9%, 99.7%, and 99.6% sequence similarity respectively. </w:t>
      </w:r>
      <w:r w:rsidRPr="00364AE7">
        <w:rPr>
          <w:sz w:val="24"/>
          <w:szCs w:val="24"/>
        </w:rPr>
        <w:lastRenderedPageBreak/>
        <w:t xml:space="preserve">However, ANI and AAI values below the 95% threshold compared to all the close relatives with dDDH values between 20.9-54.1 demonstrate that strain </w:t>
      </w:r>
      <w:r w:rsidRPr="00364AE7">
        <w:rPr>
          <w:color w:val="000000" w:themeColor="text1"/>
          <w:sz w:val="24"/>
          <w:szCs w:val="24"/>
        </w:rPr>
        <w:t>NLS-7</w:t>
      </w:r>
      <w:r w:rsidRPr="00364AE7">
        <w:rPr>
          <w:color w:val="000000" w:themeColor="text1"/>
          <w:sz w:val="24"/>
          <w:szCs w:val="24"/>
          <w:vertAlign w:val="superscript"/>
        </w:rPr>
        <w:t>T</w:t>
      </w:r>
      <w:r w:rsidRPr="00364AE7">
        <w:rPr>
          <w:color w:val="000000" w:themeColor="text1"/>
          <w:sz w:val="24"/>
          <w:szCs w:val="24"/>
        </w:rPr>
        <w:t xml:space="preserve"> </w:t>
      </w:r>
      <w:r w:rsidRPr="00364AE7">
        <w:rPr>
          <w:sz w:val="24"/>
          <w:szCs w:val="24"/>
        </w:rPr>
        <w:t>represents a novel species. Genome sequencing generated 4.31 million reads and genome assembly resulted in the generation of 244 contigs with a total assembly length of 3,820,957 bp (N50: 37,735 bp; L50: 34). Genome completeness is 99.5% with 3.98% contamination. It is capable of growth on methane and methanol. It grows optimally at 30 °C between pH 6.5-7.0. Strain NLS-7</w:t>
      </w:r>
      <w:r w:rsidRPr="00364AE7">
        <w:rPr>
          <w:sz w:val="24"/>
          <w:szCs w:val="24"/>
          <w:vertAlign w:val="superscript"/>
        </w:rPr>
        <w:t>T</w:t>
      </w:r>
      <w:r w:rsidRPr="00364AE7">
        <w:rPr>
          <w:sz w:val="24"/>
          <w:szCs w:val="24"/>
        </w:rPr>
        <w:t xml:space="preserve"> is capable of atmospheric dinitrogen fixation and can use ammonium (as NH</w:t>
      </w:r>
      <w:r w:rsidRPr="00364AE7">
        <w:rPr>
          <w:sz w:val="24"/>
          <w:szCs w:val="24"/>
          <w:vertAlign w:val="subscript"/>
        </w:rPr>
        <w:t>4</w:t>
      </w:r>
      <w:r w:rsidRPr="00364AE7">
        <w:rPr>
          <w:sz w:val="24"/>
          <w:szCs w:val="24"/>
        </w:rPr>
        <w:t>Cl), L-aspartate, L-arginine, yeast extract, nitrate, L-leucine, L-proline, L-methionine, L-lysine, and L-alanine as nitrogen sources. The major fatty acids are C</w:t>
      </w:r>
      <w:r w:rsidRPr="00364AE7">
        <w:rPr>
          <w:sz w:val="24"/>
          <w:szCs w:val="24"/>
          <w:vertAlign w:val="subscript"/>
        </w:rPr>
        <w:t xml:space="preserve">18 : 1 </w:t>
      </w:r>
      <w:r w:rsidRPr="00364AE7">
        <w:rPr>
          <w:sz w:val="24"/>
          <w:szCs w:val="24"/>
        </w:rPr>
        <w:t>ω8c and C</w:t>
      </w:r>
      <w:r w:rsidRPr="00364AE7">
        <w:rPr>
          <w:sz w:val="24"/>
          <w:szCs w:val="24"/>
          <w:vertAlign w:val="subscript"/>
        </w:rPr>
        <w:t xml:space="preserve">18 : 1 </w:t>
      </w:r>
      <w:r w:rsidRPr="00364AE7">
        <w:rPr>
          <w:sz w:val="24"/>
          <w:szCs w:val="24"/>
        </w:rPr>
        <w:t xml:space="preserve">ω7c.   Based upon this polyphasic taxonomic study, strain </w:t>
      </w:r>
      <w:r w:rsidRPr="00364AE7">
        <w:rPr>
          <w:color w:val="000000" w:themeColor="text1"/>
          <w:sz w:val="24"/>
          <w:szCs w:val="24"/>
        </w:rPr>
        <w:t>NLS-7</w:t>
      </w:r>
      <w:r w:rsidRPr="00364AE7">
        <w:rPr>
          <w:color w:val="000000" w:themeColor="text1"/>
          <w:sz w:val="24"/>
          <w:szCs w:val="24"/>
          <w:vertAlign w:val="superscript"/>
        </w:rPr>
        <w:t xml:space="preserve">T </w:t>
      </w:r>
      <w:r w:rsidRPr="00364AE7">
        <w:rPr>
          <w:color w:val="000000" w:themeColor="text1"/>
          <w:sz w:val="24"/>
          <w:szCs w:val="24"/>
        </w:rPr>
        <w:t xml:space="preserve">represents a novel species of the genus </w:t>
      </w:r>
      <w:r w:rsidRPr="00364AE7">
        <w:rPr>
          <w:i/>
          <w:iCs/>
          <w:color w:val="000000" w:themeColor="text1"/>
          <w:sz w:val="24"/>
          <w:szCs w:val="24"/>
        </w:rPr>
        <w:t>Methylocystis</w:t>
      </w:r>
      <w:r w:rsidRPr="00364AE7">
        <w:rPr>
          <w:color w:val="000000" w:themeColor="text1"/>
          <w:sz w:val="24"/>
          <w:szCs w:val="24"/>
        </w:rPr>
        <w:t xml:space="preserve">, for which the name </w:t>
      </w:r>
      <w:r w:rsidRPr="00364AE7">
        <w:rPr>
          <w:i/>
          <w:iCs/>
          <w:color w:val="000000" w:themeColor="text1"/>
          <w:sz w:val="24"/>
          <w:szCs w:val="24"/>
        </w:rPr>
        <w:t>Methylocystis suflitae</w:t>
      </w:r>
      <w:r w:rsidRPr="00364AE7">
        <w:rPr>
          <w:color w:val="000000" w:themeColor="text1"/>
          <w:sz w:val="24"/>
          <w:szCs w:val="24"/>
        </w:rPr>
        <w:t xml:space="preserve"> sp. nov. is proposed. The type strain is NLS-7</w:t>
      </w:r>
      <w:r w:rsidRPr="00364AE7">
        <w:rPr>
          <w:color w:val="000000" w:themeColor="text1"/>
          <w:sz w:val="24"/>
          <w:szCs w:val="24"/>
          <w:vertAlign w:val="superscript"/>
        </w:rPr>
        <w:t>T</w:t>
      </w:r>
      <w:r w:rsidRPr="00364AE7">
        <w:rPr>
          <w:color w:val="000000" w:themeColor="text1"/>
          <w:sz w:val="24"/>
          <w:szCs w:val="24"/>
        </w:rPr>
        <w:t xml:space="preserve"> (ATCC = TSD-256, DSMZ = DSM 112294).</w:t>
      </w:r>
      <w:r w:rsidRPr="00364AE7">
        <w:rPr>
          <w:rFonts w:eastAsia="Times New Roman"/>
          <w:sz w:val="24"/>
          <w:szCs w:val="24"/>
        </w:rPr>
        <w:t xml:space="preserve"> The 16S rRNA gene and genome sequences of strain </w:t>
      </w:r>
      <w:r w:rsidRPr="00364AE7">
        <w:rPr>
          <w:color w:val="000000" w:themeColor="text1"/>
          <w:sz w:val="24"/>
          <w:szCs w:val="24"/>
        </w:rPr>
        <w:t>NLS-7</w:t>
      </w:r>
      <w:r w:rsidRPr="00364AE7">
        <w:rPr>
          <w:color w:val="000000" w:themeColor="text1"/>
          <w:sz w:val="24"/>
          <w:szCs w:val="24"/>
          <w:vertAlign w:val="superscript"/>
        </w:rPr>
        <w:t xml:space="preserve">T </w:t>
      </w:r>
      <w:r w:rsidRPr="00364AE7">
        <w:rPr>
          <w:rFonts w:eastAsia="Times New Roman"/>
          <w:sz w:val="24"/>
          <w:szCs w:val="24"/>
        </w:rPr>
        <w:t>have been deposited in GenBank under accession numbers ON715489 and GCA_024448135.1, respectively.</w:t>
      </w:r>
    </w:p>
    <w:p w14:paraId="5B0EF2C6" w14:textId="284F6384" w:rsidR="00364AE7" w:rsidRPr="006E624A" w:rsidRDefault="00364AE7" w:rsidP="006E624A">
      <w:pPr>
        <w:pStyle w:val="Heading3"/>
      </w:pPr>
      <w:bookmarkStart w:id="21" w:name="_Toc167115822"/>
      <w:r w:rsidRPr="006E624A">
        <w:t>I</w:t>
      </w:r>
      <w:r w:rsidR="006E624A" w:rsidRPr="006E624A">
        <w:t>ntroduction</w:t>
      </w:r>
      <w:bookmarkEnd w:id="21"/>
    </w:p>
    <w:p w14:paraId="67848DBD" w14:textId="7F22CDC7" w:rsidR="00364AE7" w:rsidRPr="00364AE7" w:rsidRDefault="00364AE7" w:rsidP="00364AE7">
      <w:pPr>
        <w:spacing w:line="480" w:lineRule="auto"/>
        <w:rPr>
          <w:b/>
          <w:bCs/>
          <w:sz w:val="24"/>
          <w:szCs w:val="24"/>
        </w:rPr>
      </w:pPr>
      <w:r w:rsidRPr="00364AE7">
        <w:rPr>
          <w:sz w:val="24"/>
          <w:szCs w:val="24"/>
        </w:rPr>
        <w:t xml:space="preserve">Methanotrophs are organisms that can oxidize methane as their primary carbon and energy source </w:t>
      </w:r>
      <w:r w:rsidRPr="00364AE7">
        <w:rPr>
          <w:sz w:val="24"/>
          <w:szCs w:val="24"/>
        </w:rPr>
        <w:fldChar w:fldCharType="begin"/>
      </w:r>
      <w:r w:rsidRPr="00364AE7">
        <w:rPr>
          <w:sz w:val="24"/>
          <w:szCs w:val="24"/>
        </w:rPr>
        <w:instrText xml:space="preserve"> ADDIN ZOTERO_ITEM CSL_CITATION {"citationID":"LBwjIDDh","properties":{"formattedCitation":"(1)","plainCitation":"(1)","noteIndex":0},"citationItems":[{"id":22,"uris":["http://zotero.org/users/local/ptYqL6dd/items/BMABS62R","http://zotero.org/users/11931443/items/BMABS62R"],"itemData":{"id":22,"type":"article-journal","abstract":"Methane-utilizing bacteria (methanotrophs) are a diverse group of gram-negative bacteria that are related to other members of the Proteobacteria. These bacteria are classified into three groups based on the pathways used for assimilation of formaldehyde, the major source of cell carbon, and other physiological and morphological features. The type I and type X methanotrophs are found within the gamma subdivision of the Proteobacteria and employ the ribulose monophosphate pathway for formaldehyde assimilation, whereas type II methanotrophs, which employ the serine pathway for formaldehyde assimilation, form a coherent cluster within the beta subdivision of the Proteobacteria. Methanotrophic bacteria are ubiquitous. The growth of type II bacteria appears to be favored in environments that contain relatively high levels of methane, low levels of dissolved oxygen, and limiting concentrations of combined nitrogen and/or copper. Type I methanotrophs appear to be dominant in environments in which methane is limiting and combined nitrogen and copper levels are relatively high. These bacteria serve as biofilters for the oxidation of methane produced in anaerobic environments, and when oxygen is present in soils, atmospheric methane is oxidized. Their activities in nature are greatly influenced by agricultural practices and other human activities. Recent evidence indicates that naturally occurring, uncultured methanotrophs represent new genera. Methanotrophs that are capable of oxidizing methane at atmospheric levels exhibit methane oxidation kinetics different from those of methanotrophs available in pure cultures. A limited number of methanotrophs have the genetic capacity to synthesize a soluble methane monooxygenase which catalyzes the rapid oxidation of environmental pollutants including trichloroethylene.","container-title":"Microbiological Reviews","ISSN":"0146-0749","issue":"2","journalAbbreviation":"Microbiol Rev","note":"PMID: 8801441\nPMCID: PMC239451","page":"439-471","source":"PubMed Central","title":"Methanotrophic bacteria.","volume":"60","author":[{"family":"Hanson","given":"R S"},{"family":"Hanson","given":"T E"}],"issued":{"date-parts":[["1996",6]]}}}],"schema":"https://github.com/citation-style-language/schema/raw/master/csl-citation.json"} </w:instrText>
      </w:r>
      <w:r w:rsidRPr="00364AE7">
        <w:rPr>
          <w:sz w:val="24"/>
          <w:szCs w:val="24"/>
        </w:rPr>
        <w:fldChar w:fldCharType="separate"/>
      </w:r>
      <w:r w:rsidRPr="00364AE7">
        <w:rPr>
          <w:sz w:val="24"/>
          <w:szCs w:val="24"/>
        </w:rPr>
        <w:t>(1)</w:t>
      </w:r>
      <w:r w:rsidRPr="00364AE7">
        <w:rPr>
          <w:sz w:val="24"/>
          <w:szCs w:val="24"/>
        </w:rPr>
        <w:fldChar w:fldCharType="end"/>
      </w:r>
      <w:r w:rsidRPr="00364AE7">
        <w:rPr>
          <w:sz w:val="24"/>
          <w:szCs w:val="24"/>
        </w:rPr>
        <w:t xml:space="preserve">. Methane is a potent greenhouse gas </w:t>
      </w:r>
      <w:r w:rsidRPr="00364AE7">
        <w:rPr>
          <w:sz w:val="24"/>
          <w:szCs w:val="24"/>
        </w:rPr>
        <w:fldChar w:fldCharType="begin"/>
      </w:r>
      <w:r w:rsidRPr="00364AE7">
        <w:rPr>
          <w:sz w:val="24"/>
          <w:szCs w:val="24"/>
        </w:rPr>
        <w:instrText xml:space="preserve"> ADDIN ZOTERO_ITEM CSL_CITATION {"citationID":"W2MkdBaz","properties":{"formattedCitation":"(2)","plainCitation":"(2)","noteIndex":0},"citationItems":[{"id":51,"uris":["http://zotero.org/users/local/ptYqL6dd/items/ZC8IWKTV","http://zotero.org/users/11931443/items/ZC8IWKTV"],"itemData":{"id":51,"type":"article-journal","abstract":"Anthropogenic sources of methane emissions are thought to be nearly twice as high as emissions from natural sources. As the second most important anthropogenic greenhouse gas after carbon dioxide, methane ought to be addressed by policy makers when they consider reductions of national greenhouse-gas inventories. This article first comprehensively reviews source and sink estimates of methane by natural and anthropogenic sectors (wetlands, wet-paddy rice farming, livestock farming, biomass burning, landfills, coal mining, and venting of natural gas or natural-gas pipeline leaks), then proceeds to suggest where different mitigation strategies might be applied. The final section considers how the scenario of a warmer planet may affect the methane biogeochemical cycle.","container-title":"Global Environmental Change","DOI":"10.1016/S0959-3780(98)00037-5","ISSN":"0959-3780","issue":"3","journalAbbreviation":"Glob. Environ. Change","language":"en","page":"179-201","source":"ScienceDirect","title":"The role of methane in global warming: where might mitigation strategies be focused?","title-short":"The role of methane in global warming","volume":"9","author":[{"family":"Milich","given":"Lenard"}],"issued":{"date-parts":[["1999",10,1]]}}}],"schema":"https://github.com/citation-style-language/schema/raw/master/csl-citation.json"} </w:instrText>
      </w:r>
      <w:r w:rsidRPr="00364AE7">
        <w:rPr>
          <w:sz w:val="24"/>
          <w:szCs w:val="24"/>
        </w:rPr>
        <w:fldChar w:fldCharType="separate"/>
      </w:r>
      <w:r w:rsidRPr="00364AE7">
        <w:rPr>
          <w:sz w:val="24"/>
          <w:szCs w:val="24"/>
        </w:rPr>
        <w:t>(2)</w:t>
      </w:r>
      <w:r w:rsidRPr="00364AE7">
        <w:rPr>
          <w:sz w:val="24"/>
          <w:szCs w:val="24"/>
        </w:rPr>
        <w:fldChar w:fldCharType="end"/>
      </w:r>
      <w:r w:rsidRPr="00364AE7">
        <w:rPr>
          <w:sz w:val="24"/>
          <w:szCs w:val="24"/>
        </w:rPr>
        <w:t xml:space="preserve">, and these organisms play a significant role in the global methane cycle </w:t>
      </w:r>
      <w:r w:rsidRPr="00364AE7">
        <w:rPr>
          <w:sz w:val="24"/>
          <w:szCs w:val="24"/>
        </w:rPr>
        <w:fldChar w:fldCharType="begin"/>
      </w:r>
      <w:r w:rsidRPr="00364AE7">
        <w:rPr>
          <w:sz w:val="24"/>
          <w:szCs w:val="24"/>
        </w:rPr>
        <w:instrText xml:space="preserve"> ADDIN ZOTERO_ITEM CSL_CITATION {"citationID":"HdNwNhze","properties":{"formattedCitation":"(3)","plainCitation":"(3)","noteIndex":0},"citationItems":[{"id":27,"uris":["http://zotero.org/users/local/ptYqL6dd/items/Q4NPCRKU","http://zotero.org/users/11931443/items/Q4NPCRKU"],"itemData":{"id":27,"type":"article-journal","container-title":"Nature","DOI":"10.1038/356421a0","ISSN":"0028-0836, 1476-4687","issue":"6368","journalAbbreviation":"Nature","language":"en","page":"421-423","source":"DOI.org (Crossref)","title":"Importance of methane-oxidizing bacteria in the methane budget as revealed by the use of a specific inhibitor","volume":"356","author":[{"family":"Oremland","given":"Ronald S."},{"family":"Culbertson","given":"Charles W."}],"issued":{"date-parts":[["1992",4]]}}}],"schema":"https://github.com/citation-style-language/schema/raw/master/csl-citation.json"} </w:instrText>
      </w:r>
      <w:r w:rsidRPr="00364AE7">
        <w:rPr>
          <w:sz w:val="24"/>
          <w:szCs w:val="24"/>
        </w:rPr>
        <w:fldChar w:fldCharType="separate"/>
      </w:r>
      <w:r w:rsidRPr="00364AE7">
        <w:rPr>
          <w:sz w:val="24"/>
          <w:szCs w:val="24"/>
        </w:rPr>
        <w:t>(3)</w:t>
      </w:r>
      <w:r w:rsidRPr="00364AE7">
        <w:rPr>
          <w:sz w:val="24"/>
          <w:szCs w:val="24"/>
        </w:rPr>
        <w:fldChar w:fldCharType="end"/>
      </w:r>
      <w:r w:rsidRPr="00364AE7">
        <w:rPr>
          <w:sz w:val="24"/>
          <w:szCs w:val="24"/>
        </w:rPr>
        <w:t xml:space="preserve">. Successful isolation and characterization of methanotrophs is useful in understanding their total effect on the global methane budget. Methanotrophs are highly abundant in landfill cover soils due to the high levels of methane produced in anoxic zones beneath the surface </w:t>
      </w:r>
      <w:r w:rsidRPr="00364AE7">
        <w:rPr>
          <w:sz w:val="24"/>
          <w:szCs w:val="24"/>
        </w:rPr>
        <w:fldChar w:fldCharType="begin"/>
      </w:r>
      <w:r w:rsidRPr="00364AE7">
        <w:rPr>
          <w:sz w:val="24"/>
          <w:szCs w:val="24"/>
        </w:rPr>
        <w:instrText xml:space="preserve"> ADDIN ZOTERO_ITEM CSL_CITATION {"citationID":"j4N5GMLL","properties":{"formattedCitation":"(4)","plainCitation":"(4)","noteIndex":0},"citationItems":[{"id":50,"uris":["http://zotero.org/users/local/ptYqL6dd/items/CQI8TGU6","http://zotero.org/users/11931443/items/CQI8TGU6"],"itemData":{"id":50,"type":"article-journal","abstract":"In landfill-cover soils, aerobic methane-oxidizing bacteria (MOB) convert CH4 to CO2, mitigating emissions of the greenhouse gas CH4 to the atmosphere. We investigated overall MOB community structure and assessed spatial differences in MOB diversity, abundance and activity in a Swiss landfill-cover soil. Molecular cloning, terminal restriction-fragment length polymorphism (T-RFLP) and quantitative PCR of pmoA genes were applied to soil collected from 16 locations at three different depths to study MOB community structure, diversity and abundance; MOB activity was measured in the field using gas push-pull tests. The MOB community was highly diverse but dominated by Type Ia MOB, with novel pmoA sequences present. Type II MOB were detected mainly in deeper soil with lower nutrient and higher CH4 concentrations. Substantial differences in MOB community structure were observed between one high- and one low-activity location. MOB abundance was highly variable across the site [4.0 × 104 to 1.1 × 107 (g soil dry weight)–1]. Potential CH4 oxidation rates were high [1.8–58.2 mmol CH4 (L soil air)–1 day–1] but showed significant lateral variation and were positively correlated with mean CH4 concentrations (P &amp;lt; 0.01), MOB abundance (P &amp;lt; 0.05) and MOB diversity (weak correlation, P &amp;lt; 0.17). Our findings indicate that Methylosarcina and closely related MOB are key players and that MOB abundance and community structure are driving factors in CH4 oxidation at this landfill.","container-title":"FEMS Microbiology Ecology","DOI":"10.1111/j.1574-6941.2011.01278.x","ISSN":"0168-6496","issue":"1","journalAbbreviation":"FEMS Microbiol. Ecol.","page":"52-65","source":"Silverchair","title":"Structure and function of methanotrophic communities in a landfill-cover soil","volume":"81","author":[{"family":"Henneberger","given":"Ruth"},{"family":"Lüke","given":"Claudia"},{"family":"Mosberger","given":"Lona"},{"family":"Schroth","given":"Martin H."}],"issued":{"date-parts":[["2012",7,1]]}}}],"schema":"https://github.com/citation-style-language/schema/raw/master/csl-citation.json"} </w:instrText>
      </w:r>
      <w:r w:rsidRPr="00364AE7">
        <w:rPr>
          <w:sz w:val="24"/>
          <w:szCs w:val="24"/>
        </w:rPr>
        <w:fldChar w:fldCharType="separate"/>
      </w:r>
      <w:r w:rsidRPr="00364AE7">
        <w:rPr>
          <w:sz w:val="24"/>
          <w:szCs w:val="24"/>
        </w:rPr>
        <w:t>(4)</w:t>
      </w:r>
      <w:r w:rsidRPr="00364AE7">
        <w:rPr>
          <w:sz w:val="24"/>
          <w:szCs w:val="24"/>
        </w:rPr>
        <w:fldChar w:fldCharType="end"/>
      </w:r>
      <w:r w:rsidRPr="00364AE7">
        <w:rPr>
          <w:sz w:val="24"/>
          <w:szCs w:val="24"/>
        </w:rPr>
        <w:t xml:space="preserve">. Knief et. al </w:t>
      </w:r>
      <w:r w:rsidRPr="00364AE7">
        <w:rPr>
          <w:sz w:val="24"/>
          <w:szCs w:val="24"/>
        </w:rPr>
        <w:fldChar w:fldCharType="begin"/>
      </w:r>
      <w:r w:rsidRPr="00364AE7">
        <w:rPr>
          <w:sz w:val="24"/>
          <w:szCs w:val="24"/>
        </w:rPr>
        <w:instrText xml:space="preserve"> ADDIN ZOTERO_ITEM CSL_CITATION {"citationID":"oC14Fn5B","properties":{"formattedCitation":"(5)","plainCitation":"(5)","noteIndex":0},"citationItems":[{"id":48,"uris":["http://zotero.org/users/local/ptYqL6dd/items/GJJPYHFL","http://zotero.org/users/11931443/items/GJJPYHFL"],"itemData":{"id":48,"type":"article-journal","abstract":"Methane-oxidizing bacteria are characterized by their capability to grow on methane as sole source of carbon and energy. Cultivation-dependent and -independent methods have revealed that this functional guild of bacteria comprises a substantial diversity of organisms. In particular the use of cultivation-independent methods targeting a subunit of the particulate methane monooxygenase (pmoA) as functional marker for the detection of aerobic methanotrophs has resulted in thousands of sequences representing “unknown methanotrophic bacteria.” This limits data interpretation due to restricted information about these uncultured methanotrophs. A few groups of uncultivated methanotrophs are assumed to play important roles in methane oxidation in specific habitats, while the biology behind other sequence clusters remains still largely unknown. The discovery of evolutionary related monooxygenases in non-methanotrophic bacteria and of pmoA paralogs in methanotrophs requires that sequence clusters of uncultivated organisms have to be interpreted with care. This review article describes the present diversity of cultivated and uncultivated aerobic methanotrophic bacteria based on pmoA gene sequence diversity. It summarizes current knowledge about cultivated and major clusters of uncultivated methanotrophic bacteria and evaluates habitat specificity of these bacteria at different levels of taxonomic resolution. Habitat specificity exists for diverse lineages and at different taxonomic levels. Methanotrophic genera such as Methylocystis and Methylocaldum are identified as generalists, but they harbor habitat specific methanotrophs at species level. This finding implies that future studies should consider these diverging preferences at different taxonomic levels when analyzing methanotrophic communities.","container-title":"Frontiers in Microbiology","DOI":"10.3389/fmicb.2015.01346","ISSN":"1664-302X","journalAbbreviation":"Front. Microbiol.","page":"1346","source":"Frontiers","title":"Diversity and Habitat Preferences of Cultivated and Uncultivated Aerobic Methanotrophic Bacteria Evaluated Based on pmoA as Molecular Marker","volume":"6","author":[{"family":"Knief","given":"Claudia"}],"issued":{"date-parts":[["2015"]]}}}],"schema":"https://github.com/citation-style-language/schema/raw/master/csl-citation.json"} </w:instrText>
      </w:r>
      <w:r w:rsidRPr="00364AE7">
        <w:rPr>
          <w:sz w:val="24"/>
          <w:szCs w:val="24"/>
        </w:rPr>
        <w:fldChar w:fldCharType="separate"/>
      </w:r>
      <w:r w:rsidRPr="00364AE7">
        <w:rPr>
          <w:sz w:val="24"/>
          <w:szCs w:val="24"/>
        </w:rPr>
        <w:t>(5)</w:t>
      </w:r>
      <w:r w:rsidRPr="00364AE7">
        <w:rPr>
          <w:sz w:val="24"/>
          <w:szCs w:val="24"/>
        </w:rPr>
        <w:fldChar w:fldCharType="end"/>
      </w:r>
      <w:r w:rsidRPr="00364AE7">
        <w:rPr>
          <w:sz w:val="24"/>
          <w:szCs w:val="24"/>
        </w:rPr>
        <w:t xml:space="preserve"> speculate that landfill cover soil hosts a diverse group of </w:t>
      </w:r>
      <w:r w:rsidR="00A70C9B">
        <w:rPr>
          <w:sz w:val="24"/>
          <w:szCs w:val="24"/>
        </w:rPr>
        <w:t>uncultivated</w:t>
      </w:r>
      <w:r w:rsidRPr="00364AE7">
        <w:rPr>
          <w:sz w:val="24"/>
          <w:szCs w:val="24"/>
        </w:rPr>
        <w:t xml:space="preserve"> methanotrophic species and that methanotrophs of the genus </w:t>
      </w:r>
      <w:r w:rsidRPr="00364AE7">
        <w:rPr>
          <w:i/>
          <w:sz w:val="24"/>
          <w:szCs w:val="24"/>
        </w:rPr>
        <w:t xml:space="preserve">Methylocystis </w:t>
      </w:r>
      <w:r w:rsidRPr="00364AE7">
        <w:rPr>
          <w:sz w:val="24"/>
          <w:szCs w:val="24"/>
        </w:rPr>
        <w:t xml:space="preserve">show habitat specificity for landfill cover soil. </w:t>
      </w:r>
    </w:p>
    <w:p w14:paraId="633E7682" w14:textId="1325BCA6" w:rsidR="00364AE7" w:rsidRPr="00364AE7" w:rsidRDefault="00364AE7" w:rsidP="00364AE7">
      <w:pPr>
        <w:spacing w:line="480" w:lineRule="auto"/>
        <w:rPr>
          <w:sz w:val="24"/>
          <w:szCs w:val="24"/>
        </w:rPr>
      </w:pPr>
      <w:r w:rsidRPr="00364AE7">
        <w:rPr>
          <w:i/>
          <w:sz w:val="24"/>
          <w:szCs w:val="24"/>
        </w:rPr>
        <w:lastRenderedPageBreak/>
        <w:t xml:space="preserve">Methylocystis </w:t>
      </w:r>
      <w:r w:rsidRPr="00364AE7">
        <w:rPr>
          <w:iCs/>
          <w:sz w:val="24"/>
          <w:szCs w:val="24"/>
        </w:rPr>
        <w:t>is</w:t>
      </w:r>
      <w:r w:rsidRPr="00364AE7">
        <w:rPr>
          <w:sz w:val="24"/>
          <w:szCs w:val="24"/>
        </w:rPr>
        <w:t xml:space="preserve"> a genus of type II methanotrophs in the class </w:t>
      </w:r>
      <w:r w:rsidRPr="00364AE7">
        <w:rPr>
          <w:i/>
          <w:sz w:val="24"/>
          <w:szCs w:val="24"/>
        </w:rPr>
        <w:t>Alphaproteobact</w:t>
      </w:r>
      <w:r w:rsidR="00292E2C">
        <w:rPr>
          <w:i/>
          <w:sz w:val="24"/>
          <w:szCs w:val="24"/>
        </w:rPr>
        <w:t xml:space="preserve">eria </w:t>
      </w:r>
      <w:r w:rsidRPr="00364AE7">
        <w:rPr>
          <w:sz w:val="24"/>
          <w:szCs w:val="24"/>
        </w:rPr>
        <w:t xml:space="preserve">within the family </w:t>
      </w:r>
      <w:r w:rsidRPr="00364AE7">
        <w:rPr>
          <w:i/>
          <w:sz w:val="24"/>
          <w:szCs w:val="24"/>
        </w:rPr>
        <w:t>Methylocystaceae</w:t>
      </w:r>
      <w:r w:rsidRPr="00364AE7">
        <w:rPr>
          <w:iCs/>
          <w:sz w:val="24"/>
          <w:szCs w:val="24"/>
        </w:rPr>
        <w:t xml:space="preserve">. </w:t>
      </w:r>
      <w:r w:rsidRPr="00364AE7">
        <w:rPr>
          <w:sz w:val="24"/>
          <w:szCs w:val="24"/>
        </w:rPr>
        <w:t xml:space="preserve">To date, the genus encompasses eight species with validly published names. In 1993, Bowman </w:t>
      </w:r>
      <w:r w:rsidRPr="00364AE7">
        <w:rPr>
          <w:i/>
          <w:iCs/>
          <w:sz w:val="24"/>
          <w:szCs w:val="24"/>
        </w:rPr>
        <w:t>et al</w:t>
      </w:r>
      <w:r w:rsidRPr="00364AE7">
        <w:rPr>
          <w:sz w:val="24"/>
          <w:szCs w:val="24"/>
        </w:rPr>
        <w:t xml:space="preserve">. presented a revised methanotroph taxonomy to show the </w:t>
      </w:r>
      <w:r w:rsidRPr="00364AE7">
        <w:rPr>
          <w:i/>
          <w:iCs/>
          <w:sz w:val="24"/>
          <w:szCs w:val="24"/>
        </w:rPr>
        <w:t xml:space="preserve">Methylocystis </w:t>
      </w:r>
      <w:r w:rsidRPr="00364AE7">
        <w:rPr>
          <w:sz w:val="24"/>
          <w:szCs w:val="24"/>
        </w:rPr>
        <w:t xml:space="preserve">genus as  containing the species </w:t>
      </w:r>
      <w:r w:rsidRPr="00364AE7">
        <w:rPr>
          <w:i/>
          <w:iCs/>
          <w:sz w:val="24"/>
          <w:szCs w:val="24"/>
        </w:rPr>
        <w:t xml:space="preserve">M. parva and M. echinoides </w:t>
      </w:r>
      <w:r w:rsidRPr="00364AE7">
        <w:rPr>
          <w:i/>
          <w:iCs/>
          <w:sz w:val="24"/>
          <w:szCs w:val="24"/>
        </w:rPr>
        <w:fldChar w:fldCharType="begin"/>
      </w:r>
      <w:r w:rsidRPr="00364AE7">
        <w:rPr>
          <w:i/>
          <w:iCs/>
          <w:sz w:val="24"/>
          <w:szCs w:val="24"/>
        </w:rPr>
        <w:instrText xml:space="preserve"> ADDIN ZOTERO_ITEM CSL_CITATION {"citationID":"Saj4Sal1","properties":{"formattedCitation":"(6)","plainCitation":"(6)","noteIndex":0},"citationItems":[{"id":39,"uris":["http://zotero.org/users/local/ptYqL6dd/items/VKDCGMVD","http://zotero.org/users/11931443/items/VKDCGMVD"],"itemData":{"id":39,"type":"article-journal","abstract":"Numerical taxonomic, DNA-DNA hybridization, and phospholipid fatty acid composition analyses were performed on an extensive range of methanotrophic strains, including reference strains and environmental isolates obtained from sites throughout eastern Australia. When the results of these studies were related to the results of a study based on genomic physicochemical properties, they clarified group I and II methanotroph genus and species interrelationships. The group I methanotrophs were found to be made up of three broadly phenotypically and genotypically homologous clusters of species. The first group I methanotroph cluster included the carotenoid-containing species Methylomonas methanica, Methylomonas fodinarum, and Methylomonas aurantiaca. These species represent the true members of the genus Methylomonas. The second group I methanotroph cluster was made up of two subclusters of strains. One subcluster included species not capable of producing resting cells and consisted of the species “Methylomonas agile,” “Methylomonas alba,” and Methylomonas pelagica. The other subcluster included species capable of forming desiccation-resistant cysts and included Methylococcus luteus, marine Methylomonas-like strains, and Methylococcus whittenburyi. Strains designated “Methylococcus ucrainicus” and Methylococcus vinelandii were found to be synonyms of Methylococcus whittenburyi, while Methylococcus bovis was a synonym of Methylococcus luteus. It is proposed that these subclusters represent a new genus, Methylobacter gen. nov. The species in the new genus are type species Methylobacter luteus comb. nov., Methylobacter agilis sp. nov., Methylobacter albus sp. nov., nom. rev., Methylobacter marinus sp. nov., Methylobacter pelagicus comb. nov., and Methylobacter whittenburyi comb. nov. The remaining group I methanotrophs included the moderately thermophilic species Methylococcus capsulatus and Methylococcus thermophilus and a group of unnamed strains closely related to Methylococcus capsulatus. It is proposed that these species represent the true members of the genus Methylococcus. The group II methanotrophs consisted of two closely related groups. The first group included budding, exospore-producing strains, while the second group included nonmotile, cyst-forming strains. These groups represent the genera Methylosinus and Methyocystis, which are revived here. The genus Methylosinus gen. nov., nom. rev. includes the species Methylosinus trichosporium sp. nov., nom. rev. and Methylosinus sporium sp. nov., nom. rev., while the genus Methylocystis gen. nov., nom. rev. includes the species Methylocystis parvus sp. nov., nom. rev. and Methylocystis echinoides sp. nov., nom. rev.,","container-title":"International Journal of Systematic and Evolutionary Microbiology","DOI":"10.1099/00207713-43-4-735","ISSN":"1466-5034,","issue":"4","journalAbbreviation":"Int. J. Syst. Evol. Microbiol.","note":"publisher: Microbiology Society,","page":"735-753","source":"Microbiology Society Journals","title":"Revised taxonomy of the methanotrophs: description of Methylobacter gen. nov., emendation of Methylococcus, validation of Methylosinus and Methylocystis species, and a proposal that the family Methylococcaceae includes only the group I methanotrophs","title-short":"Revised Taxonomy of the Methanotrophs","volume":"43","author":[{"family":"Bowman","given":"John P."},{"family":"Sly","given":"Lindsay I."},{"family":"Nichols","given":"Peter D."},{"family":"Hayward","given":"A. C."}],"issued":{"date-parts":[["1993",10,1]]}}}],"schema":"https://github.com/citation-style-language/schema/raw/master/csl-citation.json"} </w:instrText>
      </w:r>
      <w:r w:rsidRPr="00364AE7">
        <w:rPr>
          <w:i/>
          <w:iCs/>
          <w:sz w:val="24"/>
          <w:szCs w:val="24"/>
        </w:rPr>
        <w:fldChar w:fldCharType="separate"/>
      </w:r>
      <w:r w:rsidRPr="00364AE7">
        <w:rPr>
          <w:sz w:val="24"/>
          <w:szCs w:val="24"/>
        </w:rPr>
        <w:t>(6)</w:t>
      </w:r>
      <w:r w:rsidRPr="00364AE7">
        <w:rPr>
          <w:i/>
          <w:iCs/>
          <w:sz w:val="24"/>
          <w:szCs w:val="24"/>
        </w:rPr>
        <w:fldChar w:fldCharType="end"/>
      </w:r>
      <w:r w:rsidRPr="00364AE7">
        <w:rPr>
          <w:sz w:val="24"/>
          <w:szCs w:val="24"/>
        </w:rPr>
        <w:t xml:space="preserve">. Since then, six more isolates have been characterized within the genus. These include: </w:t>
      </w:r>
      <w:r w:rsidRPr="00364AE7">
        <w:rPr>
          <w:i/>
          <w:sz w:val="24"/>
          <w:szCs w:val="24"/>
        </w:rPr>
        <w:t xml:space="preserve">M. rosea </w:t>
      </w:r>
      <w:r w:rsidRPr="00364AE7">
        <w:rPr>
          <w:i/>
          <w:sz w:val="24"/>
          <w:szCs w:val="24"/>
        </w:rPr>
        <w:fldChar w:fldCharType="begin"/>
      </w:r>
      <w:r w:rsidRPr="00364AE7">
        <w:rPr>
          <w:i/>
          <w:sz w:val="24"/>
          <w:szCs w:val="24"/>
        </w:rPr>
        <w:instrText xml:space="preserve"> ADDIN ZOTERO_ITEM CSL_CITATION {"citationID":"nJNtoWoM","properties":{"formattedCitation":"(7)","plainCitation":"(7)","noteIndex":0},"citationItems":[{"id":53,"uris":["http://zotero.org/users/local/ptYqL6dd/items/YNXA9T3P","http://zotero.org/users/11931443/items/YNXA9T3P"],"itemData":{"id":53,"type":"article-journal","abstract":"A Gram-negative, rod-shaped, non-motile, non-spore-forming, pink-pigmented bacterium, SV97T, was isolated from a wetland soil near Ny-Ålesund, Svalbard Islands, Norway (78° N). On the basis of 16S rRNA gene sequence similarity, strain SV97T was shown to belong to the Alphaproteobacteria and was highly related to a number of non-characterized Methylocystis strains with GenBank accession nos AJ458507 and AJ458502 (100 %) and AF177299, AJ458510, AJ458467, AJ458471, AJ431384, AJ458475, AJ458484, AJ458501 and AJ458466 (99 %). The most closely related type strains were Methylocystis parvus OBBPT (97·2 %) and Methylocystis echinoides IMET 10491T (97 %). The closest related recognized species within the genus Methylosinus was Methylosinus sporium NCIMB 11126T (96·0 % similarity). Chemotaxonomic and phenotypic data (C18 : 1 ω8 as the major fatty acid, non-motile, no rosette formation) supported the affiliation of strain SV97T to the genus Methylocystis. The results of DNA–DNA hybridization and physiological and biochemical tests allowed genotypic and phenotypic differentiation of strain SV97T from the two recognized Methylocystis species. Strain SV97T therefore represents a novel species, for which the name Methylocystis rosea sp. nov. is proposed, with the type strain SV97T (=DSM 17261T=ATCC BAA-1196T).,","container-title":"International Journal of Systematic and Evolutionary Microbiology","DOI":"10.1099/ijs.0.63912-0","ISSN":"1466-5034,","issue":"3","journalAbbreviation":"Int. J. Syst. Evol. Microbiol.","note":"publisher: Microbiology Society,","page":"541-547","source":"Microbiology Society Journals","title":"Methylocystis rosea sp. nov., a novel methanotrophic bacterium from Arctic wetland soil, Svalbard, Norway (78° N)","volume":"56","author":[{"family":"Wartiainen","given":"Ingvild"},{"family":"Hestnes","given":"Anne Grethe"},{"family":"McDonald","given":"Ian R."},{"family":"Svenning","given":"Mette M."}],"issued":{"date-parts":[["2006"]]}}}],"schema":"https://github.com/citation-style-language/schema/raw/master/csl-citation.json"} </w:instrText>
      </w:r>
      <w:r w:rsidRPr="00364AE7">
        <w:rPr>
          <w:i/>
          <w:sz w:val="24"/>
          <w:szCs w:val="24"/>
        </w:rPr>
        <w:fldChar w:fldCharType="separate"/>
      </w:r>
      <w:r w:rsidRPr="00364AE7">
        <w:rPr>
          <w:sz w:val="24"/>
          <w:szCs w:val="24"/>
        </w:rPr>
        <w:t>(7)</w:t>
      </w:r>
      <w:r w:rsidRPr="00364AE7">
        <w:rPr>
          <w:i/>
          <w:sz w:val="24"/>
          <w:szCs w:val="24"/>
        </w:rPr>
        <w:fldChar w:fldCharType="end"/>
      </w:r>
      <w:r w:rsidRPr="00364AE7">
        <w:rPr>
          <w:sz w:val="24"/>
          <w:szCs w:val="24"/>
        </w:rPr>
        <w:t xml:space="preserve">, </w:t>
      </w:r>
      <w:r w:rsidRPr="00364AE7">
        <w:rPr>
          <w:i/>
          <w:sz w:val="24"/>
          <w:szCs w:val="24"/>
        </w:rPr>
        <w:t xml:space="preserve">M. hirsuta </w:t>
      </w:r>
      <w:r w:rsidRPr="00364AE7">
        <w:rPr>
          <w:i/>
          <w:sz w:val="24"/>
          <w:szCs w:val="24"/>
        </w:rPr>
        <w:fldChar w:fldCharType="begin"/>
      </w:r>
      <w:r w:rsidRPr="00364AE7">
        <w:rPr>
          <w:i/>
          <w:sz w:val="24"/>
          <w:szCs w:val="24"/>
        </w:rPr>
        <w:instrText xml:space="preserve"> ADDIN ZOTERO_ITEM CSL_CITATION {"citationID":"hD3IYXVf","properties":{"formattedCitation":"(8)","plainCitation":"(8)","noteIndex":0},"citationItems":[{"id":54,"uris":["http://zotero.org/users/local/ptYqL6dd/items/H4DUJJ2Z","http://zotero.org/users/11931443/items/H4DUJJ2Z"],"itemData":{"id":54,"type":"article-journal","abstract":"Strain CSC1\n              T\n              , a Gram-negative, aerobic, methane-oxidizing bacterium, was isolated from an uncontaminated aquifer nearly 20 years ago. Based on 16S rRNA gene sequence similarity, this strain was identified as a member of the\n              Alphaproteobacteria\n              , most closely related to an uncultured member of the\n              Methylocystaceae\n              as well as two cultured organisms,\n              Methylocystis\n              sp. L32 and\n              Methylocystis\n              sp. SC2. This strain differed from extant species in cell shape, size, expression of soluble methane monooxygenase and its unique spiny surface layers, composed of polysaccharide. DNA–DNA hybridization results showed only 3.8 % relatedness with\n              Methylocystis echinoides\n              NCIMB 13100 and 41.1 % relatedness with\n              Methylocystis rosea\n              SV97\n              T\n              . Based on these genotypic and physiological differences, this isolate is proposed as a member of a novel species of the genus\n              Methylocystis\n              ,\n              Methylocystis hirsuta\n              sp. nov. (type strain CSC1\n              T\n              =ATCC BAA-1344\n              T\n              =DSM 18500\n              T\n              ).","container-title":"International Journal of Systematic and Evolutionary Microbiology","DOI":"10.1099/ijs.0.64541-0","ISSN":"1466-5026, 1466-5034","issue":"8","journalAbbreviation":"Int. J. Syst. Evol. Microbiol.","language":"en","page":"1891-1900","source":"DOI.org (Crossref)","title":"Methylocystis hirsuta sp. nov., a novel methanotroph isolated from a groundwater aquifer","volume":"57","author":[{"family":"Lindner","given":"Angela S."},{"family":"Pacheco","given":"Adriana"},{"family":"Aldrich","given":"Henry C."},{"family":"Costello Staniec","given":"Andria"},{"family":"Uz","given":"Ilker"},{"family":"Hodson","given":"David J."}],"issued":{"date-parts":[["2007",8,1]]}}}],"schema":"https://github.com/citation-style-language/schema/raw/master/csl-citation.json"} </w:instrText>
      </w:r>
      <w:r w:rsidRPr="00364AE7">
        <w:rPr>
          <w:i/>
          <w:sz w:val="24"/>
          <w:szCs w:val="24"/>
        </w:rPr>
        <w:fldChar w:fldCharType="separate"/>
      </w:r>
      <w:r w:rsidRPr="00364AE7">
        <w:rPr>
          <w:sz w:val="24"/>
          <w:szCs w:val="24"/>
        </w:rPr>
        <w:t>(8)</w:t>
      </w:r>
      <w:r w:rsidRPr="00364AE7">
        <w:rPr>
          <w:i/>
          <w:sz w:val="24"/>
          <w:szCs w:val="24"/>
        </w:rPr>
        <w:fldChar w:fldCharType="end"/>
      </w:r>
      <w:r w:rsidRPr="00364AE7">
        <w:rPr>
          <w:sz w:val="24"/>
          <w:szCs w:val="24"/>
        </w:rPr>
        <w:t xml:space="preserve">, </w:t>
      </w:r>
      <w:r w:rsidRPr="00364AE7">
        <w:rPr>
          <w:i/>
          <w:sz w:val="24"/>
          <w:szCs w:val="24"/>
        </w:rPr>
        <w:t xml:space="preserve">M. heyeri </w:t>
      </w:r>
      <w:r w:rsidRPr="00364AE7">
        <w:rPr>
          <w:i/>
          <w:sz w:val="24"/>
          <w:szCs w:val="24"/>
        </w:rPr>
        <w:fldChar w:fldCharType="begin"/>
      </w:r>
      <w:r w:rsidRPr="00364AE7">
        <w:rPr>
          <w:i/>
          <w:sz w:val="24"/>
          <w:szCs w:val="24"/>
        </w:rPr>
        <w:instrText xml:space="preserve"> ADDIN ZOTERO_ITEM CSL_CITATION {"citationID":"k7fmG5sD","properties":{"formattedCitation":"(9)","plainCitation":"(9)","noteIndex":0},"citationItems":[{"id":47,"uris":["http://zotero.org/users/local/ptYqL6dd/items/57TKLL2U","http://zotero.org/users/11931443/items/57TKLL2U"],"itemData":{"id":47,"type":"article-journal","abstract":"A novel species is proposed for two strains of methanotrophic bacteria (H2(T) and Sakb1) isolated from an acidic (pH 4.3) Sphagnum peat bog lake (Teufelssee, Germany) and an acidic (pH 4.2) tropical forest soil (Thailand), respectively. Cells of strains H2(T) and Sakb1 were aerobic, Gram-negative, non-motile, straight or curved rods that were covered by large polysaccharide capsules and contained an intracytoplasmic membrane system typical of type II methanotrophs. They possessed both a particulate and a soluble methane monooxygenase and utilized the serine pathway for carbon assimilation. They were moderately acidophilic organisms capable of growth between pH 4.4 and 7.5 (optimum 5.8-6.2). The most unique characteristic of these strains was the phospholipid fatty acid profile. In addition to the signature fatty acid of type II methanotrophs (18 : 1omega8c), the cells also contained large amounts of what was previously considered to be a signature fatty acid of type I methanotrophs, 16 : 1omega8c. The DNA G+C contents of strains H2(T) and Sakb1 were 61.5 and 62.1 mol%, respectively. The 16S rRNA gene sequences possessed 96-98 % similarity to sequences of other type II methanotrophs in the genera Methylosinus and Methylocystis. 16S rRNA gene sequence and pmoA phylogeny demonstrated that the strains form a novel lineage within the genus Methylocystis. DNA-DNA hybridization values of strain H2(T) with Methylocystis parvus OBBP(T) and Methylocystis echinoides IMET 10491(T) were 18 and 25 %, respectively. Thus, it is proposed that these two strains represent a novel species, Methylocystis heyeri sp. nov. Strain H2(T) (=DSM 16984(T)=VKM B-2426(T)) is the type strain.","container-title":"Int J Syst Evol Microbiol","DOI":"10.1099/ijs.0.64623-0","ISSN":"1466-5026","issue":"Pt 3","journalAbbreviation":"Int J Syst Evol Microbiol.","language":"eng","page":"472-479","title":"Methylocystis heyeri sp. nov., a novel type II methanotrophic bacterium possessing 'signature' fatty acids of type I methanotrophs","volume":"57","author":[{"family":"Dedysh","given":"Svetlana N."},{"family":"Belova","given":"Svetlana E."},{"family":"Bodelier","given":"Paul L. E."},{"family":"Smirnova","given":"Ksenia V."},{"family":"Khmelenina","given":"Valentina N."},{"family":"Chidthaisong","given":"Amnat"},{"family":"Trotsenko","given":"Yuri A."},{"family":"Liesack","given":"Werner"},{"family":"Dunfield","given":"Peter F."}],"issued":{"date-parts":[["2007",3]]}}}],"schema":"https://github.com/citation-style-language/schema/raw/master/csl-citation.json"} </w:instrText>
      </w:r>
      <w:r w:rsidRPr="00364AE7">
        <w:rPr>
          <w:i/>
          <w:sz w:val="24"/>
          <w:szCs w:val="24"/>
        </w:rPr>
        <w:fldChar w:fldCharType="separate"/>
      </w:r>
      <w:r w:rsidRPr="00364AE7">
        <w:rPr>
          <w:sz w:val="24"/>
          <w:szCs w:val="24"/>
        </w:rPr>
        <w:t>(9)</w:t>
      </w:r>
      <w:r w:rsidRPr="00364AE7">
        <w:rPr>
          <w:i/>
          <w:sz w:val="24"/>
          <w:szCs w:val="24"/>
        </w:rPr>
        <w:fldChar w:fldCharType="end"/>
      </w:r>
      <w:r w:rsidRPr="00364AE7">
        <w:rPr>
          <w:sz w:val="24"/>
          <w:szCs w:val="24"/>
        </w:rPr>
        <w:t xml:space="preserve">, </w:t>
      </w:r>
      <w:r w:rsidRPr="00364AE7">
        <w:rPr>
          <w:i/>
          <w:sz w:val="24"/>
          <w:szCs w:val="24"/>
        </w:rPr>
        <w:t xml:space="preserve">M. bryophila </w:t>
      </w:r>
      <w:r w:rsidRPr="00364AE7">
        <w:rPr>
          <w:i/>
          <w:sz w:val="24"/>
          <w:szCs w:val="24"/>
        </w:rPr>
        <w:fldChar w:fldCharType="begin"/>
      </w:r>
      <w:r w:rsidRPr="00364AE7">
        <w:rPr>
          <w:i/>
          <w:sz w:val="24"/>
          <w:szCs w:val="24"/>
        </w:rPr>
        <w:instrText xml:space="preserve"> ADDIN ZOTERO_ITEM CSL_CITATION {"citationID":"0ClHEwQw","properties":{"formattedCitation":"(10)","plainCitation":"(10)","noteIndex":0},"citationItems":[{"id":46,"uris":["http://zotero.org/users/local/ptYqL6dd/items/WJ9BJU82","http://zotero.org/users/11931443/items/WJ9BJU82"],"itemData":{"id":46,"type":"article-journal","container-title":"International Journal of Systematic and Evolutionary Microbiology","DOI":"10.1099/ijs.0.043505-0","ISSN":"1466-5026, 1466-5034","issue":"3","journalAbbreviation":"Int. J. Syst. Evol. Microbiol.","language":"en","page":"1096-1104","source":"DOI.org (Crossref)","title":"Methylocystis bryophila sp. nov., a facultatively methanotrophic bacterium from acidic Sphagnum peat, and emended description of the genus Methylocystis (ex Whittenbury et al. 1970) Bowman et al. 1993","volume":"63","author":[{"family":"Belova","given":"Svetlana E."},{"family":"Kulichevskaya","given":"Irina S."},{"family":"Bodelier","given":"Paul L. E."},{"family":"Dedysh","given":"Svetlana N."}],"issued":{"date-parts":[["2013",3,1]]}}}],"schema":"https://github.com/citation-style-language/schema/raw/master/csl-citation.json"} </w:instrText>
      </w:r>
      <w:r w:rsidRPr="00364AE7">
        <w:rPr>
          <w:i/>
          <w:sz w:val="24"/>
          <w:szCs w:val="24"/>
        </w:rPr>
        <w:fldChar w:fldCharType="separate"/>
      </w:r>
      <w:r w:rsidRPr="00364AE7">
        <w:rPr>
          <w:sz w:val="24"/>
          <w:szCs w:val="24"/>
        </w:rPr>
        <w:t>(10)</w:t>
      </w:r>
      <w:r w:rsidRPr="00364AE7">
        <w:rPr>
          <w:i/>
          <w:sz w:val="24"/>
          <w:szCs w:val="24"/>
        </w:rPr>
        <w:fldChar w:fldCharType="end"/>
      </w:r>
      <w:r w:rsidRPr="00364AE7">
        <w:rPr>
          <w:sz w:val="24"/>
          <w:szCs w:val="24"/>
        </w:rPr>
        <w:t xml:space="preserve">,  </w:t>
      </w:r>
      <w:r w:rsidRPr="00364AE7">
        <w:rPr>
          <w:i/>
          <w:iCs/>
          <w:sz w:val="24"/>
          <w:szCs w:val="24"/>
        </w:rPr>
        <w:t>M. silviterrae</w:t>
      </w:r>
      <w:r w:rsidRPr="00364AE7">
        <w:rPr>
          <w:sz w:val="24"/>
          <w:szCs w:val="24"/>
        </w:rPr>
        <w:t xml:space="preserve"> </w:t>
      </w:r>
      <w:r w:rsidRPr="00364AE7">
        <w:rPr>
          <w:sz w:val="24"/>
          <w:szCs w:val="24"/>
        </w:rPr>
        <w:fldChar w:fldCharType="begin"/>
      </w:r>
      <w:r w:rsidRPr="00364AE7">
        <w:rPr>
          <w:sz w:val="24"/>
          <w:szCs w:val="24"/>
        </w:rPr>
        <w:instrText xml:space="preserve"> ADDIN ZOTERO_ITEM CSL_CITATION {"citationID":"wDZxAA6t","properties":{"formattedCitation":"(11)","plainCitation":"(11)","noteIndex":0},"citationItems":[{"id":49,"uris":["http://zotero.org/users/local/ptYqL6dd/items/VAX2KU8T","http://zotero.org/users/11931443/items/VAX2KU8T"],"itemData":{"id":49,"type":"article-journal","abstract":"A novel species is proposed for a high-­affinity methanotrophic representative of the genus Methylocystis. Strain FST was isolated from a weakly acidic (pH 5.3) mixed forest soil of the southern Moscow area. Cells of FST are aerobic, Gram-n­ egative, non-­motile, curved coccoids or short rods that contain an intracytoplasmic membrane system typical of type-­II methanotrophs. Only methane and methanol are used as carbon sources. FST grew at a temperature range of 4–37 °C (optimum 25–30 °C) and a pH range of 4.5 to 7.5 (optimum pH 6.0–6.5). The major fatty acids were C18 : 1ω8c, C18 : 1ω7c and C18 : 0; the major quinone as Q-­8. FST displays 16S rRNA gene sequences similarity to other taxonomically recognized members of the genus Methylocystis, with Methylocystis hirsuta CSC1T (99.6 % similarity) and Methylocystis rosea SV97T (99.3 % similarity) as its closest relatives. The genome comprises 3.85 Mbp and has a DNA G+C content of 62.6 mol%. Genomic analyses and DNA–DNA relatedness with genome-­sequenced members of the genus Methylocystis demonstrated that FST could be separated from its closest relatives. FST possesses two particulate methane monooxygenases (pMMO): low-a­ ffinity pMMO1 and high-a­ ffinity pMMO2. In laboratory experiments, it was demonstrated that FST might oxidize methane at atmospheric concentration. The genome contained various genes for nitrogen fixation, polyhydroxybutyrate synthesis, antibiotic resistance and detoxification of arsenic, cyanide and mercury. On the basis of genotypic, phenotypic and chemotaxonomic characteristics, it is proposed that the isolate represents a novel species, Methylocystis silviterrae sp. nov. The type strain is FST (=KCTC 82935T=VKM B-­3535T).","container-title":"International Journal of Systematic and Evolutionary Microbiology","DOI":"10.1099/ijsem.0.005166","ISSN":"1466-5026, 1466-5034","issue":"12","journalAbbreviation":"Int. J. Syst. Evol. Microbiol.","language":"en","source":"DOI.org (Crossref)","title":"Methylocystis silviterrae sp.nov., a high-affinity methanotrophic bacterium isolated from the boreal forest soil","volume":"71","author":[{"family":"Tikhonova","given":"Ekaterina N."},{"family":"Grouzdev","given":"Denis S."},{"family":"Avtukh","given":"Alexander N."},{"family":"Kravchenko","given":"Irina K."}],"issued":{"date-parts":[["2021",12,16]]}}}],"schema":"https://github.com/citation-style-language/schema/raw/master/csl-citation.json"} </w:instrText>
      </w:r>
      <w:r w:rsidRPr="00364AE7">
        <w:rPr>
          <w:sz w:val="24"/>
          <w:szCs w:val="24"/>
        </w:rPr>
        <w:fldChar w:fldCharType="separate"/>
      </w:r>
      <w:r w:rsidRPr="00364AE7">
        <w:rPr>
          <w:sz w:val="24"/>
          <w:szCs w:val="24"/>
        </w:rPr>
        <w:t>(11)</w:t>
      </w:r>
      <w:r w:rsidRPr="00364AE7">
        <w:rPr>
          <w:sz w:val="24"/>
          <w:szCs w:val="24"/>
        </w:rPr>
        <w:fldChar w:fldCharType="end"/>
      </w:r>
      <w:r w:rsidRPr="00364AE7">
        <w:rPr>
          <w:sz w:val="24"/>
          <w:szCs w:val="24"/>
        </w:rPr>
        <w:t xml:space="preserve">, and </w:t>
      </w:r>
      <w:r w:rsidRPr="00364AE7">
        <w:rPr>
          <w:i/>
          <w:iCs/>
          <w:sz w:val="24"/>
          <w:szCs w:val="24"/>
        </w:rPr>
        <w:t xml:space="preserve">M. iwaonis </w:t>
      </w:r>
      <w:r w:rsidRPr="00364AE7">
        <w:rPr>
          <w:i/>
          <w:iCs/>
          <w:sz w:val="24"/>
          <w:szCs w:val="24"/>
        </w:rPr>
        <w:fldChar w:fldCharType="begin"/>
      </w:r>
      <w:r w:rsidRPr="00364AE7">
        <w:rPr>
          <w:i/>
          <w:iCs/>
          <w:sz w:val="24"/>
          <w:szCs w:val="24"/>
        </w:rPr>
        <w:instrText xml:space="preserve"> ADDIN ZOTERO_ITEM CSL_CITATION {"citationID":"A9YD3Jov","properties":{"formattedCitation":"(12)","plainCitation":"(12)","noteIndex":0},"citationItems":[{"id":342,"uris":["http://zotero.org/users/11931443/items/PJHHX94P"],"itemData":{"id":342,"type":"article-journal","abstract":"A novel methane-oxidizing bacterial strain SS37A-ReT was isolated from surface soil of a rice paddy field in Japan. Cells were Gram-stain-negative, motile rods with single polar flagellum and type II intracytoplasmic membrane arrangement. The strain grew on methane or methanol as the sole carbon and energy source. It grew at 15–37 °C (optimum 25–30 °C), pH 6.0–9.0 (optimum 7.0–8.0) and with 0–0.1 % (w/w) NaCl (no growth at 0.5 % or above). Cells formed cysts, but not exospores. The results of sequence analysis of the 16S rRNA gene indicated that SS37A-ReT represented a member of the family &amp;#160;&amp;#160;Methylocystaceae&amp;#160;&amp;#160;, with the highest similarity (98.9 %) to Methylocystis parva corrig. OBBPT. Phylogenetic analysis of pmoA and mxaF genes and core genes in the genome indicated that the strain was closely related to the members of the genus &amp;#160;&amp;#160;Methylocystis&amp;#160;&amp;#160;, while the analysis of the mmoX gene indicated the close relationships with the genus &amp;#160;&amp;#160;Methylosinus&amp;#160;&amp;#160;. The values of genome relatedness between SS37A-ReT and species of the genera &amp;#160;&amp;#160;Methylocystis&amp;#160;&amp;#160; and &amp;#160;&amp;#160;Methylosinus&amp;#160;&amp;#160; were 78.6–82.5% and 21.7–24.9 % estimated by the average nucleotide identity and digital DNA–DNA hybridisation, respectively, showing the highest values with &amp;#160;&amp;#160;Methylocystis echinoides&amp;#160;&amp;#160; LMG 27198T. The DNA G+C content was 63.2 mol% (genome). The major quinone and fatty acids were Q-8 and, C18 : 1 (C18 : 1ω8t and C18 : 1ω8c) and C18 : 2, respectively. On the basis of the phenotypic and phylogenetic features, the strain represents a novel species of the genus &amp;#160;&amp;#160;Methylocystis&amp;#160;&amp;#160;, for which the name Methylocystis iwaonis sp. nov. is proposed. The type strain is SS37A-ReT (=JCM 34278T =NBRC 114996T=KCTC 82710T).","container-title":"International Journal of Systematic and Evolutionary Microbiology","DOI":"10.1099/ijsem.0.005925","ISSN":"1466-5034","issue":"6","journalAbbreviation":"Int J Syst Evol Microbiol","note":"publisher: Microbiology Society,","page":"005925","source":"Microbiology Society Journals","title":"Methylocystis iwaonis sp. nov., a type II methane-oxidizing bacterium from surface soil of a rice paddy field in Japan, and emended description of the genus Methylocystis (ex Whittenbury et al. 1970) Bowman et al. 1993","volume":"73","author":[{"family":"Kaise","given":"Hirotaka"},{"family":"Sawadogo","given":"Joseph Benewindé"},{"family":"Alam","given":"Mohammad Saiful"},{"family":"Ueno","given":"Chihoko"},{"family":"Dianou","given":"Dayéri"},{"family":"Shinjo","given":"Rina"},{"family":"Asakawa","given":"Susumu"}],"issued":{"date-parts":[["2023"]]}}}],"schema":"https://github.com/citation-style-language/schema/raw/master/csl-citation.json"} </w:instrText>
      </w:r>
      <w:r w:rsidRPr="00364AE7">
        <w:rPr>
          <w:i/>
          <w:iCs/>
          <w:sz w:val="24"/>
          <w:szCs w:val="24"/>
        </w:rPr>
        <w:fldChar w:fldCharType="separate"/>
      </w:r>
      <w:r w:rsidRPr="00364AE7">
        <w:rPr>
          <w:i/>
          <w:iCs/>
          <w:noProof/>
          <w:sz w:val="24"/>
          <w:szCs w:val="24"/>
        </w:rPr>
        <w:t>(12)</w:t>
      </w:r>
      <w:r w:rsidRPr="00364AE7">
        <w:rPr>
          <w:i/>
          <w:iCs/>
          <w:sz w:val="24"/>
          <w:szCs w:val="24"/>
        </w:rPr>
        <w:fldChar w:fldCharType="end"/>
      </w:r>
      <w:r w:rsidRPr="00364AE7">
        <w:rPr>
          <w:sz w:val="24"/>
          <w:szCs w:val="24"/>
        </w:rPr>
        <w:t xml:space="preserve">. The work done to characterize the </w:t>
      </w:r>
      <w:r w:rsidRPr="00364AE7">
        <w:rPr>
          <w:i/>
          <w:iCs/>
          <w:sz w:val="24"/>
          <w:szCs w:val="24"/>
        </w:rPr>
        <w:t xml:space="preserve">M. iwaonis </w:t>
      </w:r>
      <w:r w:rsidRPr="00364AE7">
        <w:rPr>
          <w:sz w:val="24"/>
          <w:szCs w:val="24"/>
        </w:rPr>
        <w:t xml:space="preserve">species presents the most recent emendation and description of the </w:t>
      </w:r>
      <w:r w:rsidRPr="00364AE7">
        <w:rPr>
          <w:i/>
          <w:iCs/>
          <w:sz w:val="24"/>
          <w:szCs w:val="24"/>
        </w:rPr>
        <w:t xml:space="preserve">Methylocystis </w:t>
      </w:r>
      <w:r w:rsidRPr="00364AE7">
        <w:rPr>
          <w:sz w:val="24"/>
          <w:szCs w:val="24"/>
        </w:rPr>
        <w:t xml:space="preserve">genus </w:t>
      </w:r>
      <w:r w:rsidRPr="00364AE7">
        <w:rPr>
          <w:sz w:val="24"/>
          <w:szCs w:val="24"/>
        </w:rPr>
        <w:fldChar w:fldCharType="begin"/>
      </w:r>
      <w:r w:rsidRPr="00364AE7">
        <w:rPr>
          <w:sz w:val="24"/>
          <w:szCs w:val="24"/>
        </w:rPr>
        <w:instrText xml:space="preserve"> ADDIN ZOTERO_ITEM CSL_CITATION {"citationID":"iij0oKQn","properties":{"formattedCitation":"(12)","plainCitation":"(12)","noteIndex":0},"citationItems":[{"id":342,"uris":["http://zotero.org/users/11931443/items/PJHHX94P"],"itemData":{"id":342,"type":"article-journal","abstract":"A novel methane-oxidizing bacterial strain SS37A-ReT was isolated from surface soil of a rice paddy field in Japan. Cells were Gram-stain-negative, motile rods with single polar flagellum and type II intracytoplasmic membrane arrangement. The strain grew on methane or methanol as the sole carbon and energy source. It grew at 15–37 °C (optimum 25–30 °C), pH 6.0–9.0 (optimum 7.0–8.0) and with 0–0.1 % (w/w) NaCl (no growth at 0.5 % or above). Cells formed cysts, but not exospores. The results of sequence analysis of the 16S rRNA gene indicated that SS37A-ReT represented a member of the family &amp;#160;&amp;#160;Methylocystaceae&amp;#160;&amp;#160;, with the highest similarity (98.9 %) to Methylocystis parva corrig. OBBPT. Phylogenetic analysis of pmoA and mxaF genes and core genes in the genome indicated that the strain was closely related to the members of the genus &amp;#160;&amp;#160;Methylocystis&amp;#160;&amp;#160;, while the analysis of the mmoX gene indicated the close relationships with the genus &amp;#160;&amp;#160;Methylosinus&amp;#160;&amp;#160;. The values of genome relatedness between SS37A-ReT and species of the genera &amp;#160;&amp;#160;Methylocystis&amp;#160;&amp;#160; and &amp;#160;&amp;#160;Methylosinus&amp;#160;&amp;#160; were 78.6–82.5% and 21.7–24.9 % estimated by the average nucleotide identity and digital DNA–DNA hybridisation, respectively, showing the highest values with &amp;#160;&amp;#160;Methylocystis echinoides&amp;#160;&amp;#160; LMG 27198T. The DNA G+C content was 63.2 mol% (genome). The major quinone and fatty acids were Q-8 and, C18 : 1 (C18 : 1ω8t and C18 : 1ω8c) and C18 : 2, respectively. On the basis of the phenotypic and phylogenetic features, the strain represents a novel species of the genus &amp;#160;&amp;#160;Methylocystis&amp;#160;&amp;#160;, for which the name Methylocystis iwaonis sp. nov. is proposed. The type strain is SS37A-ReT (=JCM 34278T =NBRC 114996T=KCTC 82710T).","container-title":"International Journal of Systematic and Evolutionary Microbiology","DOI":"10.1099/ijsem.0.005925","ISSN":"1466-5034","issue":"6","journalAbbreviation":"Int J Syst Evol Microbiol","note":"publisher: Microbiology Society,","page":"005925","source":"Microbiology Society Journals","title":"Methylocystis iwaonis sp. nov., a type II methane-oxidizing bacterium from surface soil of a rice paddy field in Japan, and emended description of the genus Methylocystis (ex Whittenbury et al. 1970) Bowman et al. 1993","volume":"73","author":[{"family":"Kaise","given":"Hirotaka"},{"family":"Sawadogo","given":"Joseph Benewindé"},{"family":"Alam","given":"Mohammad Saiful"},{"family":"Ueno","given":"Chihoko"},{"family":"Dianou","given":"Dayéri"},{"family":"Shinjo","given":"Rina"},{"family":"Asakawa","given":"Susumu"}],"issued":{"date-parts":[["2023"]]}}}],"schema":"https://github.com/citation-style-language/schema/raw/master/csl-citation.json"} </w:instrText>
      </w:r>
      <w:r w:rsidRPr="00364AE7">
        <w:rPr>
          <w:sz w:val="24"/>
          <w:szCs w:val="24"/>
        </w:rPr>
        <w:fldChar w:fldCharType="separate"/>
      </w:r>
      <w:r w:rsidRPr="00364AE7">
        <w:rPr>
          <w:noProof/>
          <w:sz w:val="24"/>
          <w:szCs w:val="24"/>
        </w:rPr>
        <w:t>(12)</w:t>
      </w:r>
      <w:r w:rsidRPr="00364AE7">
        <w:rPr>
          <w:sz w:val="24"/>
          <w:szCs w:val="24"/>
        </w:rPr>
        <w:fldChar w:fldCharType="end"/>
      </w:r>
      <w:r w:rsidRPr="00364AE7">
        <w:rPr>
          <w:sz w:val="24"/>
          <w:szCs w:val="24"/>
        </w:rPr>
        <w:t>.</w:t>
      </w:r>
    </w:p>
    <w:p w14:paraId="6E5533D0" w14:textId="73F56B61" w:rsidR="00364AE7" w:rsidRPr="00364AE7" w:rsidRDefault="00364AE7" w:rsidP="006E624A">
      <w:pPr>
        <w:pStyle w:val="Heading3"/>
      </w:pPr>
      <w:bookmarkStart w:id="22" w:name="_Toc167115823"/>
      <w:r w:rsidRPr="00364AE7">
        <w:t>I</w:t>
      </w:r>
      <w:r w:rsidR="006E624A">
        <w:t>solation and Ecology</w:t>
      </w:r>
      <w:bookmarkEnd w:id="22"/>
    </w:p>
    <w:p w14:paraId="55B1A38E" w14:textId="77777777" w:rsidR="00364AE7" w:rsidRPr="00364AE7" w:rsidRDefault="00364AE7" w:rsidP="00364AE7">
      <w:pPr>
        <w:spacing w:line="480" w:lineRule="auto"/>
        <w:rPr>
          <w:sz w:val="24"/>
          <w:szCs w:val="24"/>
        </w:rPr>
      </w:pPr>
      <w:r w:rsidRPr="00364AE7">
        <w:rPr>
          <w:i/>
          <w:iCs/>
          <w:sz w:val="24"/>
          <w:szCs w:val="24"/>
        </w:rPr>
        <w:t xml:space="preserve">Methylocystis </w:t>
      </w:r>
      <w:r w:rsidRPr="00364AE7">
        <w:rPr>
          <w:sz w:val="24"/>
          <w:szCs w:val="24"/>
        </w:rPr>
        <w:t>strain NLS-7</w:t>
      </w:r>
      <w:r w:rsidRPr="00364AE7">
        <w:rPr>
          <w:sz w:val="24"/>
          <w:szCs w:val="24"/>
          <w:vertAlign w:val="superscript"/>
        </w:rPr>
        <w:t>T</w:t>
      </w:r>
      <w:r w:rsidRPr="00364AE7">
        <w:rPr>
          <w:sz w:val="24"/>
          <w:szCs w:val="24"/>
        </w:rPr>
        <w:t xml:space="preserve"> was isolated from landfill cover soil of the </w:t>
      </w:r>
      <w:bookmarkStart w:id="23" w:name="_Hlk87537267"/>
      <w:r w:rsidRPr="00364AE7">
        <w:rPr>
          <w:sz w:val="24"/>
          <w:szCs w:val="24"/>
        </w:rPr>
        <w:t xml:space="preserve">United States Geological Survey Norman Landfill Environmental Research Site </w:t>
      </w:r>
      <w:bookmarkEnd w:id="23"/>
      <w:r w:rsidRPr="00364AE7">
        <w:rPr>
          <w:sz w:val="24"/>
          <w:szCs w:val="24"/>
        </w:rPr>
        <w:t>in Norman, Oklahoma, USA (35</w:t>
      </w:r>
      <w:r w:rsidRPr="00364AE7">
        <w:rPr>
          <w:rFonts w:ascii="Symbol" w:eastAsia="Symbol" w:hAnsi="Symbol" w:cs="Symbol"/>
          <w:sz w:val="24"/>
          <w:szCs w:val="24"/>
        </w:rPr>
        <w:t>°</w:t>
      </w:r>
      <w:r w:rsidRPr="00364AE7">
        <w:rPr>
          <w:sz w:val="24"/>
          <w:szCs w:val="24"/>
        </w:rPr>
        <w:t xml:space="preserve"> 10’ 12” N 97</w:t>
      </w:r>
      <w:r w:rsidRPr="00364AE7">
        <w:rPr>
          <w:rFonts w:ascii="Symbol" w:eastAsia="Symbol" w:hAnsi="Symbol" w:cs="Symbol"/>
          <w:sz w:val="24"/>
          <w:szCs w:val="24"/>
        </w:rPr>
        <w:t>°</w:t>
      </w:r>
      <w:r w:rsidRPr="00364AE7">
        <w:rPr>
          <w:sz w:val="24"/>
          <w:szCs w:val="24"/>
        </w:rPr>
        <w:t xml:space="preserve"> 26’ 49” W). The soil sample was obtained at a depth of 2-4 cm. Enrichments were made by incubating 5 g of soil in 120 mL serum bottles fitted with butyl rubber stoppers at 26 °C and amended with methane at 1% of the headspace volume. Methane oxidation was monitored by gas chromatography on a Shimadzu GC-14A gas chromatograph (Shimadzu, Japan). Following depletion of methane, enrichment cultures were reamended three times. Following this initial enrichment, a ten-fold dilution series was prepared to further enrich the most abundant methanotrophs present in the soil. The dilution series was performed in triplicate using 10 mL of modified NMS medium in 28 mL serum tubes amended with methane at 0.2% of the tube’s headspace. The modified nitrate mineral salts (NMS) medium contains (per liter of distilled water) 1 g KNO</w:t>
      </w:r>
      <w:r w:rsidRPr="00364AE7">
        <w:rPr>
          <w:sz w:val="24"/>
          <w:szCs w:val="24"/>
          <w:vertAlign w:val="subscript"/>
        </w:rPr>
        <w:t>3</w:t>
      </w:r>
      <w:r w:rsidRPr="00364AE7">
        <w:rPr>
          <w:sz w:val="24"/>
          <w:szCs w:val="24"/>
        </w:rPr>
        <w:t>, 0.27 g KH</w:t>
      </w:r>
      <w:r w:rsidRPr="00364AE7">
        <w:rPr>
          <w:sz w:val="24"/>
          <w:szCs w:val="24"/>
          <w:vertAlign w:val="subscript"/>
        </w:rPr>
        <w:t>2</w:t>
      </w:r>
      <w:r w:rsidRPr="00364AE7">
        <w:rPr>
          <w:sz w:val="24"/>
          <w:szCs w:val="24"/>
        </w:rPr>
        <w:t>PO</w:t>
      </w:r>
      <w:r w:rsidRPr="00364AE7">
        <w:rPr>
          <w:sz w:val="24"/>
          <w:szCs w:val="24"/>
          <w:vertAlign w:val="subscript"/>
        </w:rPr>
        <w:t>4</w:t>
      </w:r>
      <w:r w:rsidRPr="00364AE7">
        <w:rPr>
          <w:sz w:val="24"/>
          <w:szCs w:val="24"/>
        </w:rPr>
        <w:t>, 1 g MgSO</w:t>
      </w:r>
      <w:r w:rsidRPr="00364AE7">
        <w:rPr>
          <w:sz w:val="24"/>
          <w:szCs w:val="24"/>
          <w:vertAlign w:val="subscript"/>
        </w:rPr>
        <w:t>4</w:t>
      </w:r>
      <w:r w:rsidRPr="00364AE7">
        <w:rPr>
          <w:sz w:val="24"/>
          <w:szCs w:val="24"/>
        </w:rPr>
        <w:t xml:space="preserve"> ·</w:t>
      </w:r>
      <w:r w:rsidRPr="00364AE7">
        <w:rPr>
          <w:sz w:val="24"/>
          <w:szCs w:val="24"/>
          <w:vertAlign w:val="superscript"/>
        </w:rPr>
        <w:t xml:space="preserve"> </w:t>
      </w:r>
      <w:r w:rsidRPr="00364AE7">
        <w:rPr>
          <w:sz w:val="24"/>
          <w:szCs w:val="24"/>
        </w:rPr>
        <w:t>7H</w:t>
      </w:r>
      <w:r w:rsidRPr="00364AE7">
        <w:rPr>
          <w:sz w:val="24"/>
          <w:szCs w:val="24"/>
          <w:vertAlign w:val="subscript"/>
        </w:rPr>
        <w:t>2</w:t>
      </w:r>
      <w:r w:rsidRPr="00364AE7">
        <w:rPr>
          <w:sz w:val="24"/>
          <w:szCs w:val="24"/>
        </w:rPr>
        <w:t>O, 0.14 g CaCl</w:t>
      </w:r>
      <w:r w:rsidRPr="00364AE7">
        <w:rPr>
          <w:sz w:val="24"/>
          <w:szCs w:val="24"/>
          <w:vertAlign w:val="subscript"/>
        </w:rPr>
        <w:t>2</w:t>
      </w:r>
      <w:r w:rsidRPr="00364AE7">
        <w:rPr>
          <w:sz w:val="24"/>
          <w:szCs w:val="24"/>
        </w:rPr>
        <w:t xml:space="preserve"> · 2H</w:t>
      </w:r>
      <w:r w:rsidRPr="00364AE7">
        <w:rPr>
          <w:sz w:val="24"/>
          <w:szCs w:val="24"/>
          <w:vertAlign w:val="subscript"/>
        </w:rPr>
        <w:t>2</w:t>
      </w:r>
      <w:r w:rsidRPr="00364AE7">
        <w:rPr>
          <w:sz w:val="24"/>
          <w:szCs w:val="24"/>
        </w:rPr>
        <w:t>O, and 0.23 g Na</w:t>
      </w:r>
      <w:r w:rsidRPr="00364AE7">
        <w:rPr>
          <w:sz w:val="24"/>
          <w:szCs w:val="24"/>
          <w:vertAlign w:val="subscript"/>
        </w:rPr>
        <w:t>2</w:t>
      </w:r>
      <w:r w:rsidRPr="00364AE7">
        <w:rPr>
          <w:sz w:val="24"/>
          <w:szCs w:val="24"/>
        </w:rPr>
        <w:t>HPO</w:t>
      </w:r>
      <w:r w:rsidRPr="00364AE7">
        <w:rPr>
          <w:sz w:val="24"/>
          <w:szCs w:val="24"/>
          <w:vertAlign w:val="subscript"/>
        </w:rPr>
        <w:t>4</w:t>
      </w:r>
      <w:r w:rsidRPr="00364AE7">
        <w:rPr>
          <w:sz w:val="24"/>
          <w:szCs w:val="24"/>
        </w:rPr>
        <w:t>, 0.5% (v/v) acidic trace element solution (AcTES), 0.02% alkaline trace element solution (AlTES), and 1% vitamin solution. AcTES contains (per liter), 2 g FeSO</w:t>
      </w:r>
      <w:r w:rsidRPr="00364AE7">
        <w:rPr>
          <w:sz w:val="24"/>
          <w:szCs w:val="24"/>
          <w:vertAlign w:val="subscript"/>
        </w:rPr>
        <w:t>4</w:t>
      </w:r>
      <w:r w:rsidRPr="00364AE7">
        <w:rPr>
          <w:sz w:val="24"/>
          <w:szCs w:val="24"/>
        </w:rPr>
        <w:t xml:space="preserve"> · 7H</w:t>
      </w:r>
      <w:r w:rsidRPr="00364AE7">
        <w:rPr>
          <w:sz w:val="24"/>
          <w:szCs w:val="24"/>
          <w:vertAlign w:val="subscript"/>
        </w:rPr>
        <w:t>2</w:t>
      </w:r>
      <w:r w:rsidRPr="00364AE7">
        <w:rPr>
          <w:sz w:val="24"/>
          <w:szCs w:val="24"/>
        </w:rPr>
        <w:t xml:space="preserve">O, 0.07 </w:t>
      </w:r>
      <w:r w:rsidRPr="00364AE7">
        <w:rPr>
          <w:sz w:val="24"/>
          <w:szCs w:val="24"/>
        </w:rPr>
        <w:lastRenderedPageBreak/>
        <w:t>g ZnSO</w:t>
      </w:r>
      <w:r w:rsidRPr="00364AE7">
        <w:rPr>
          <w:sz w:val="24"/>
          <w:szCs w:val="24"/>
          <w:vertAlign w:val="subscript"/>
        </w:rPr>
        <w:t>4</w:t>
      </w:r>
      <w:r w:rsidRPr="00364AE7">
        <w:rPr>
          <w:sz w:val="24"/>
          <w:szCs w:val="24"/>
        </w:rPr>
        <w:t xml:space="preserve"> · 7H</w:t>
      </w:r>
      <w:r w:rsidRPr="00364AE7">
        <w:rPr>
          <w:sz w:val="24"/>
          <w:szCs w:val="24"/>
          <w:vertAlign w:val="subscript"/>
        </w:rPr>
        <w:t>2</w:t>
      </w:r>
      <w:r w:rsidRPr="00364AE7">
        <w:rPr>
          <w:sz w:val="24"/>
          <w:szCs w:val="24"/>
        </w:rPr>
        <w:t>O, 0.5 g MnCl</w:t>
      </w:r>
      <w:r w:rsidRPr="00364AE7">
        <w:rPr>
          <w:sz w:val="24"/>
          <w:szCs w:val="24"/>
          <w:vertAlign w:val="subscript"/>
        </w:rPr>
        <w:t>2</w:t>
      </w:r>
      <w:r w:rsidRPr="00364AE7">
        <w:rPr>
          <w:sz w:val="24"/>
          <w:szCs w:val="24"/>
        </w:rPr>
        <w:t xml:space="preserve"> · 4H</w:t>
      </w:r>
      <w:r w:rsidRPr="00364AE7">
        <w:rPr>
          <w:sz w:val="24"/>
          <w:szCs w:val="24"/>
          <w:vertAlign w:val="subscript"/>
        </w:rPr>
        <w:t>2</w:t>
      </w:r>
      <w:r w:rsidRPr="00364AE7">
        <w:rPr>
          <w:sz w:val="24"/>
          <w:szCs w:val="24"/>
        </w:rPr>
        <w:t>O, 0.12 g CoCl</w:t>
      </w:r>
      <w:r w:rsidRPr="00364AE7">
        <w:rPr>
          <w:sz w:val="24"/>
          <w:szCs w:val="24"/>
          <w:vertAlign w:val="subscript"/>
        </w:rPr>
        <w:t>2</w:t>
      </w:r>
      <w:r w:rsidRPr="00364AE7">
        <w:rPr>
          <w:sz w:val="24"/>
          <w:szCs w:val="24"/>
        </w:rPr>
        <w:t xml:space="preserve"> · 6H</w:t>
      </w:r>
      <w:r w:rsidRPr="00364AE7">
        <w:rPr>
          <w:sz w:val="24"/>
          <w:szCs w:val="24"/>
          <w:vertAlign w:val="subscript"/>
        </w:rPr>
        <w:t>2</w:t>
      </w:r>
      <w:r w:rsidRPr="00364AE7">
        <w:rPr>
          <w:sz w:val="24"/>
          <w:szCs w:val="24"/>
        </w:rPr>
        <w:t>O, 0.01 g NiCl</w:t>
      </w:r>
      <w:r w:rsidRPr="00364AE7">
        <w:rPr>
          <w:sz w:val="24"/>
          <w:szCs w:val="24"/>
          <w:vertAlign w:val="subscript"/>
        </w:rPr>
        <w:t>2</w:t>
      </w:r>
      <w:r w:rsidRPr="00364AE7">
        <w:rPr>
          <w:sz w:val="24"/>
          <w:szCs w:val="24"/>
        </w:rPr>
        <w:t xml:space="preserve"> · 6H</w:t>
      </w:r>
      <w:r w:rsidRPr="00364AE7">
        <w:rPr>
          <w:sz w:val="24"/>
          <w:szCs w:val="24"/>
          <w:vertAlign w:val="subscript"/>
        </w:rPr>
        <w:t>2</w:t>
      </w:r>
      <w:r w:rsidRPr="00364AE7">
        <w:rPr>
          <w:sz w:val="24"/>
          <w:szCs w:val="24"/>
        </w:rPr>
        <w:t>O, 0.5 g CuSO</w:t>
      </w:r>
      <w:r w:rsidRPr="00364AE7">
        <w:rPr>
          <w:sz w:val="24"/>
          <w:szCs w:val="24"/>
          <w:vertAlign w:val="subscript"/>
        </w:rPr>
        <w:t>4</w:t>
      </w:r>
      <w:r w:rsidRPr="00364AE7">
        <w:rPr>
          <w:sz w:val="24"/>
          <w:szCs w:val="24"/>
        </w:rPr>
        <w:t>, 0.01 g H</w:t>
      </w:r>
      <w:r w:rsidRPr="00364AE7">
        <w:rPr>
          <w:sz w:val="24"/>
          <w:szCs w:val="24"/>
          <w:vertAlign w:val="subscript"/>
        </w:rPr>
        <w:t>3</w:t>
      </w:r>
      <w:r w:rsidRPr="00364AE7">
        <w:rPr>
          <w:sz w:val="24"/>
          <w:szCs w:val="24"/>
        </w:rPr>
        <w:t>BO</w:t>
      </w:r>
      <w:r w:rsidRPr="00364AE7">
        <w:rPr>
          <w:sz w:val="24"/>
          <w:szCs w:val="24"/>
          <w:vertAlign w:val="subscript"/>
        </w:rPr>
        <w:t>3</w:t>
      </w:r>
      <w:r w:rsidRPr="00364AE7">
        <w:rPr>
          <w:sz w:val="24"/>
          <w:szCs w:val="24"/>
        </w:rPr>
        <w:t>, 0.06 g LaNO</w:t>
      </w:r>
      <w:r w:rsidRPr="00364AE7">
        <w:rPr>
          <w:sz w:val="24"/>
          <w:szCs w:val="24"/>
          <w:vertAlign w:val="subscript"/>
        </w:rPr>
        <w:t>3</w:t>
      </w:r>
      <w:r w:rsidRPr="00364AE7">
        <w:rPr>
          <w:sz w:val="24"/>
          <w:szCs w:val="24"/>
        </w:rPr>
        <w:t>, 0.06 g CeNO</w:t>
      </w:r>
      <w:r w:rsidRPr="00364AE7">
        <w:rPr>
          <w:sz w:val="24"/>
          <w:szCs w:val="24"/>
          <w:vertAlign w:val="subscript"/>
        </w:rPr>
        <w:t>3</w:t>
      </w:r>
      <w:r w:rsidRPr="00364AE7">
        <w:rPr>
          <w:sz w:val="24"/>
          <w:szCs w:val="24"/>
        </w:rPr>
        <w:t>, and 100 mM HCl. The AlTES contains (per liter) 0.11 g Na</w:t>
      </w:r>
      <w:r w:rsidRPr="00364AE7">
        <w:rPr>
          <w:sz w:val="24"/>
          <w:szCs w:val="24"/>
          <w:vertAlign w:val="subscript"/>
        </w:rPr>
        <w:t>2</w:t>
      </w:r>
      <w:r w:rsidRPr="00364AE7">
        <w:rPr>
          <w:sz w:val="24"/>
          <w:szCs w:val="24"/>
        </w:rPr>
        <w:t>SeO</w:t>
      </w:r>
      <w:r w:rsidRPr="00364AE7">
        <w:rPr>
          <w:sz w:val="24"/>
          <w:szCs w:val="24"/>
          <w:vertAlign w:val="subscript"/>
        </w:rPr>
        <w:t>4</w:t>
      </w:r>
      <w:r w:rsidRPr="00364AE7">
        <w:rPr>
          <w:sz w:val="24"/>
          <w:szCs w:val="24"/>
        </w:rPr>
        <w:t>,</w:t>
      </w:r>
      <w:r w:rsidRPr="00364AE7">
        <w:rPr>
          <w:sz w:val="24"/>
          <w:szCs w:val="24"/>
          <w:vertAlign w:val="subscript"/>
        </w:rPr>
        <w:t xml:space="preserve"> </w:t>
      </w:r>
      <w:r w:rsidRPr="00364AE7">
        <w:rPr>
          <w:sz w:val="24"/>
          <w:szCs w:val="24"/>
        </w:rPr>
        <w:t>0.05 g Na</w:t>
      </w:r>
      <w:r w:rsidRPr="00364AE7">
        <w:rPr>
          <w:sz w:val="24"/>
          <w:szCs w:val="24"/>
          <w:vertAlign w:val="subscript"/>
        </w:rPr>
        <w:t>2</w:t>
      </w:r>
      <w:r w:rsidRPr="00364AE7">
        <w:rPr>
          <w:sz w:val="24"/>
          <w:szCs w:val="24"/>
        </w:rPr>
        <w:t>WO</w:t>
      </w:r>
      <w:r w:rsidRPr="00364AE7">
        <w:rPr>
          <w:sz w:val="24"/>
          <w:szCs w:val="24"/>
          <w:vertAlign w:val="subscript"/>
        </w:rPr>
        <w:t>4</w:t>
      </w:r>
      <w:r w:rsidRPr="00364AE7">
        <w:rPr>
          <w:sz w:val="24"/>
          <w:szCs w:val="24"/>
        </w:rPr>
        <w:t>, 0.29 g Na</w:t>
      </w:r>
      <w:r w:rsidRPr="00364AE7">
        <w:rPr>
          <w:sz w:val="24"/>
          <w:szCs w:val="24"/>
          <w:vertAlign w:val="subscript"/>
        </w:rPr>
        <w:t>2</w:t>
      </w:r>
      <w:r w:rsidRPr="00364AE7">
        <w:rPr>
          <w:sz w:val="24"/>
          <w:szCs w:val="24"/>
        </w:rPr>
        <w:t>MoO</w:t>
      </w:r>
      <w:r w:rsidRPr="00364AE7">
        <w:rPr>
          <w:sz w:val="24"/>
          <w:szCs w:val="24"/>
          <w:vertAlign w:val="subscript"/>
        </w:rPr>
        <w:t>4</w:t>
      </w:r>
      <w:r w:rsidRPr="00364AE7">
        <w:rPr>
          <w:sz w:val="24"/>
          <w:szCs w:val="24"/>
        </w:rPr>
        <w:t>, and 0.04 g NaOH. The vitamin solution contains (per liter) 5 mg 4-aminobenzoic acid, 2 mg D-biotin, 2 mg folic Acid, 10 mg pyridoxine-HCl, 5 mg riboflavin, 5 mg thiamine-HCl x 2H</w:t>
      </w:r>
      <w:r w:rsidRPr="00364AE7">
        <w:rPr>
          <w:sz w:val="24"/>
          <w:szCs w:val="24"/>
          <w:vertAlign w:val="subscript"/>
        </w:rPr>
        <w:t>2</w:t>
      </w:r>
      <w:r w:rsidRPr="00364AE7">
        <w:rPr>
          <w:sz w:val="24"/>
          <w:szCs w:val="24"/>
        </w:rPr>
        <w:t>O, 5 mg nicotinic acid, 5 mg calcium D-pantothenate, 5 mg thioctic acid (α-Lipoic Acid), and 0.10 mg vitamin B12.</w:t>
      </w:r>
      <w:r w:rsidRPr="00364AE7">
        <w:rPr>
          <w:rStyle w:val="CommentReference"/>
          <w:sz w:val="24"/>
          <w:szCs w:val="24"/>
        </w:rPr>
        <w:t xml:space="preserve"> </w:t>
      </w:r>
    </w:p>
    <w:p w14:paraId="1ADC5521" w14:textId="77777777" w:rsidR="00364AE7" w:rsidRPr="00364AE7" w:rsidRDefault="00364AE7" w:rsidP="00364AE7">
      <w:pPr>
        <w:spacing w:line="480" w:lineRule="auto"/>
        <w:rPr>
          <w:sz w:val="24"/>
          <w:szCs w:val="24"/>
        </w:rPr>
      </w:pPr>
      <w:r w:rsidRPr="00364AE7">
        <w:rPr>
          <w:sz w:val="24"/>
          <w:szCs w:val="24"/>
        </w:rPr>
        <w:t>Methane oxidation was again measured via gas chromatography. Dilutions that showed methane oxidation were reamended with methane following depletion and the process was repeated twice. These cultures were diluted and then plated onto solid modified NMS media containing 2% agar. Petri plates were incubated in airtight ammunition boxes (normally used for storing firearm ammunition) fitted with a rubber stopper through a drilled bore hole. Methane was added to the headspace of the ammunition box at 5% of the box’s interior volume. Colonies that formed on the plates were passaged on solid media up to five times until a pure colony of a single bacterial strain was present. The isolated strain was characterized and maintained in liquid modified NMS media in 160 mL serum bottles with methane added at 1-10% of the bottle’s headspace</w:t>
      </w:r>
      <w:r w:rsidRPr="00364AE7">
        <w:rPr>
          <w:rStyle w:val="CommentReference"/>
          <w:sz w:val="24"/>
          <w:szCs w:val="24"/>
        </w:rPr>
        <w:t>.</w:t>
      </w:r>
    </w:p>
    <w:p w14:paraId="40574044" w14:textId="239CF710" w:rsidR="00364AE7" w:rsidRPr="00364AE7" w:rsidRDefault="00364AE7" w:rsidP="006E624A">
      <w:pPr>
        <w:pStyle w:val="Heading3"/>
      </w:pPr>
      <w:bookmarkStart w:id="24" w:name="_Toc167115824"/>
      <w:r w:rsidRPr="00364AE7">
        <w:t>G</w:t>
      </w:r>
      <w:r w:rsidR="006E624A">
        <w:t>enome</w:t>
      </w:r>
      <w:r w:rsidRPr="00364AE7">
        <w:t xml:space="preserve"> F</w:t>
      </w:r>
      <w:r w:rsidR="006E624A">
        <w:t>eatures</w:t>
      </w:r>
      <w:r w:rsidRPr="00364AE7">
        <w:t xml:space="preserve"> </w:t>
      </w:r>
      <w:r w:rsidR="006E624A">
        <w:t>and</w:t>
      </w:r>
      <w:r w:rsidRPr="00364AE7">
        <w:t xml:space="preserve"> P</w:t>
      </w:r>
      <w:r w:rsidR="006E624A">
        <w:t>hylogeny</w:t>
      </w:r>
      <w:bookmarkEnd w:id="24"/>
    </w:p>
    <w:p w14:paraId="6E4954CE" w14:textId="77777777" w:rsidR="00364AE7" w:rsidRPr="00364AE7" w:rsidRDefault="00364AE7" w:rsidP="00364AE7">
      <w:pPr>
        <w:spacing w:line="480" w:lineRule="auto"/>
        <w:rPr>
          <w:b/>
          <w:bCs/>
          <w:sz w:val="24"/>
          <w:szCs w:val="24"/>
        </w:rPr>
      </w:pPr>
      <w:r w:rsidRPr="00364AE7">
        <w:rPr>
          <w:sz w:val="24"/>
          <w:szCs w:val="24"/>
        </w:rPr>
        <w:t>Genomic DNA was extracted from a log-phase culture of strain NLS-7</w:t>
      </w:r>
      <w:r w:rsidRPr="00364AE7">
        <w:rPr>
          <w:sz w:val="24"/>
          <w:szCs w:val="24"/>
          <w:vertAlign w:val="superscript"/>
        </w:rPr>
        <w:t>T</w:t>
      </w:r>
      <w:r w:rsidRPr="00364AE7">
        <w:rPr>
          <w:sz w:val="24"/>
          <w:szCs w:val="24"/>
        </w:rPr>
        <w:t xml:space="preserve"> grown in the modified NMS medium at 28</w:t>
      </w:r>
      <w:r w:rsidRPr="00364AE7">
        <w:rPr>
          <w:rFonts w:ascii="Symbol" w:eastAsia="Symbol" w:hAnsi="Symbol" w:cs="Symbol"/>
          <w:sz w:val="24"/>
          <w:szCs w:val="24"/>
        </w:rPr>
        <w:t>°</w:t>
      </w:r>
      <w:r w:rsidRPr="00364AE7">
        <w:rPr>
          <w:sz w:val="24"/>
          <w:szCs w:val="24"/>
        </w:rPr>
        <w:t xml:space="preserve">C using the Qiagen DNeasy Blood and Tissue Kit according to the manufacturer’s instructions. Genomic DNA was fragmented using a QSonica 800R3 sonicator and built into Illumina-compatible shotgun libraries using the KAPA HyperPrep Kit following the manufacturer’s protocol. Shotgun libraries were sequenced on an Illumina MiSeq instrument. Sequence data was processed using fastp (v0.23.2) to remove reads containing uncalled bases </w:t>
      </w:r>
      <w:r w:rsidRPr="00364AE7">
        <w:rPr>
          <w:sz w:val="24"/>
          <w:szCs w:val="24"/>
        </w:rPr>
        <w:lastRenderedPageBreak/>
        <w:t xml:space="preserve">(‘N’), trim low-quality bases (q &lt; 30), and merge overlapping reads </w:t>
      </w:r>
      <w:r w:rsidRPr="00364AE7">
        <w:rPr>
          <w:sz w:val="24"/>
          <w:szCs w:val="24"/>
        </w:rPr>
        <w:fldChar w:fldCharType="begin"/>
      </w:r>
      <w:r w:rsidRPr="00364AE7">
        <w:rPr>
          <w:sz w:val="24"/>
          <w:szCs w:val="24"/>
        </w:rPr>
        <w:instrText xml:space="preserve"> ADDIN ZOTERO_ITEM CSL_CITATION {"citationID":"d4kqFrAD","properties":{"formattedCitation":"(13)","plainCitation":"(13)","noteIndex":0},"citationItems":[{"id":74,"uris":["http://zotero.org/users/local/ptYqL6dd/items/9GCYW83G","http://zotero.org/users/11931443/items/9GCYW83G"],"itemData":{"id":74,"type":"article-journal","abstract":"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tools.The open-source code and corresponding instructions are available at https://github.com/OpenGene/fastp.","container-title":"Bioinformatics","DOI":"10.1093/bioinformatics/bty560","ISSN":"1367-4803","issue":"17","journalAbbreviation":"Bioinformatics","page":"i884-i890","source":"Silverchair","title":"fastp: an ultra-fast all-in-one FASTQ preprocessor","title-short":"fastp","volume":"34","author":[{"family":"Chen","given":"Shifu"},{"family":"Zhou","given":"Yanqing"},{"family":"Chen","given":"Yaru"},{"family":"Gu","given":"Jia"}],"issued":{"date-parts":[["2018",9,1]]}}}],"schema":"https://github.com/citation-style-language/schema/raw/master/csl-citation.json"} </w:instrText>
      </w:r>
      <w:r w:rsidRPr="00364AE7">
        <w:rPr>
          <w:sz w:val="24"/>
          <w:szCs w:val="24"/>
        </w:rPr>
        <w:fldChar w:fldCharType="separate"/>
      </w:r>
      <w:r w:rsidRPr="00364AE7">
        <w:rPr>
          <w:sz w:val="24"/>
          <w:szCs w:val="24"/>
        </w:rPr>
        <w:t>(13)</w:t>
      </w:r>
      <w:r w:rsidRPr="00364AE7">
        <w:rPr>
          <w:sz w:val="24"/>
          <w:szCs w:val="24"/>
        </w:rPr>
        <w:fldChar w:fldCharType="end"/>
      </w:r>
      <w:r w:rsidRPr="00364AE7">
        <w:rPr>
          <w:sz w:val="24"/>
          <w:szCs w:val="24"/>
        </w:rPr>
        <w:t xml:space="preserve">. The resulting analysis-ready reads were used as input for </w:t>
      </w:r>
      <w:r w:rsidRPr="00364AE7">
        <w:rPr>
          <w:i/>
          <w:sz w:val="24"/>
          <w:szCs w:val="24"/>
        </w:rPr>
        <w:t>de novo</w:t>
      </w:r>
      <w:r w:rsidRPr="00364AE7">
        <w:rPr>
          <w:sz w:val="24"/>
          <w:szCs w:val="24"/>
        </w:rPr>
        <w:t xml:space="preserve"> assembly (SKESA v2.5.1) </w:t>
      </w:r>
      <w:r w:rsidRPr="00364AE7">
        <w:rPr>
          <w:sz w:val="24"/>
          <w:szCs w:val="24"/>
        </w:rPr>
        <w:fldChar w:fldCharType="begin"/>
      </w:r>
      <w:r w:rsidRPr="00364AE7">
        <w:rPr>
          <w:sz w:val="24"/>
          <w:szCs w:val="24"/>
        </w:rPr>
        <w:instrText xml:space="preserve"> ADDIN ZOTERO_ITEM CSL_CITATION {"citationID":"5rY4fEjs","properties":{"formattedCitation":"(14)","plainCitation":"(14)","noteIndex":0},"citationItems":[{"id":45,"uris":["http://zotero.org/users/local/ptYqL6dd/items/GIJU87XW","http://zotero.org/users/11931443/items/GIJU87XW"],"itemData":{"id":45,"type":"article-journal","abstract":"SKESA is a DeBruijn graph-based de-novo assembler designed for assembling reads of microbial genomes sequenced using Illumina. Comparison with SPAdes and MegaHit shows that SKESA produces assemblies that have high sequence quality and contiguity, handles low-level contamination in reads, is fast, and produces an identical assembly for the same input when assembled multiple times with the same or different compute resources. SKESA has been used for assembling over 272,000 read sets in the Sequence Read Archive at NCBI and for real-time pathogen detection. Source code for SKESA is freely available at https://github.com/ncbi/SKESA/releases.","container-title":"Genome Biology","DOI":"10.1186/s13059-018-1540-z","ISSN":"1474-760X","issue":"1","journalAbbreviation":"Genome Biol.","page":"153","source":"BioMed Central","title":"SKESA: strategic k-mer extension for scrupulous assemblies","title-short":"SKESA","volume":"19","author":[{"family":"Souvorov","given":"Alexandre"},{"family":"Agarwala","given":"Richa"},{"family":"Lipman","given":"David J."}],"issued":{"date-parts":[["2018",10,4]]}}}],"schema":"https://github.com/citation-style-language/schema/raw/master/csl-citation.json"} </w:instrText>
      </w:r>
      <w:r w:rsidRPr="00364AE7">
        <w:rPr>
          <w:sz w:val="24"/>
          <w:szCs w:val="24"/>
        </w:rPr>
        <w:fldChar w:fldCharType="separate"/>
      </w:r>
      <w:r w:rsidRPr="00364AE7">
        <w:rPr>
          <w:sz w:val="24"/>
          <w:szCs w:val="24"/>
        </w:rPr>
        <w:t>(14)</w:t>
      </w:r>
      <w:r w:rsidRPr="00364AE7">
        <w:rPr>
          <w:sz w:val="24"/>
          <w:szCs w:val="24"/>
        </w:rPr>
        <w:fldChar w:fldCharType="end"/>
      </w:r>
      <w:r w:rsidRPr="00364AE7">
        <w:rPr>
          <w:sz w:val="24"/>
          <w:szCs w:val="24"/>
        </w:rPr>
        <w:t xml:space="preserve">. The quality of genomes was assessed by CheckM (v1.1.3) </w:t>
      </w:r>
      <w:r w:rsidRPr="00364AE7">
        <w:rPr>
          <w:sz w:val="24"/>
          <w:szCs w:val="24"/>
        </w:rPr>
        <w:fldChar w:fldCharType="begin"/>
      </w:r>
      <w:r w:rsidRPr="00364AE7">
        <w:rPr>
          <w:sz w:val="24"/>
          <w:szCs w:val="24"/>
        </w:rPr>
        <w:instrText xml:space="preserve"> ADDIN ZOTERO_ITEM CSL_CITATION {"citationID":"qHzvUWO0","properties":{"formattedCitation":"(15)","plainCitation":"(15)","noteIndex":0},"citationItems":[{"id":73,"uris":["http://zotero.org/users/local/ptYqL6dd/items/ACV585JD","http://zotero.org/users/11931443/items/ACV585JD"],"itemData":{"id":73,"type":"article-journal","abstract":"Large-scale recovery of genomes from isolates, single cells, and metagenomic data has been made possible by advances in computational methods and substantial reductions in sequencing costs. Although this increasing breadth of draft genomes is providing key information regarding the evolutionary and functional diversity of microbial life, it has become impractical to finish all available reference genomes. Making robust biological inferences from draft genomes requires accurate estimates of their completeness and contamination. Current methods for assessing genome quality are ad hoc and generally make use of a limited number of “marker” genes conserved across all bacterial or archaeal genomes. Here we introduce CheckM, an automated method for assessing the quality of a genome using a broader set of marker genes specific to the position of a genome within a reference genome tree and information about the collocation of these genes. We demonstrate the effectiveness of CheckM using synthetic data and a wide range of isolate-, single-cell-, and metagenome-derived genomes. CheckM is shown to provide accurate estimates of genome completeness and contamination and to outperform existing approaches. Using CheckM, we identify a diverse range of errors currently impacting publicly available isolate genomes and demonstrate that genomes obtained from single cells and metagenomic data vary substantially in quality. In order to facilitate the use of draft genomes, we propose an objective measure of genome quality that can be used to select genomes suitable for specific gene- and genome-centric analyses of microbial communities.","container-title":"Genome Research","DOI":"10.1101/gr.186072.114","ISSN":"1088-9051","issue":"7","journalAbbreviation":"Genome Res","note":"PMID: 25977477\nPMCID: PMC4484387","page":"1043-1055","source":"PubMed Central","title":"CheckM: assessing the quality of microbial genomes recovered from isolates, single cells, and metagenomes","title-short":"CheckM","volume":"25","author":[{"family":"Parks","given":"Donovan H."},{"family":"Imelfort","given":"Michael"},{"family":"Skennerton","given":"Connor T."},{"family":"Hugenholtz","given":"Philip"},{"family":"Tyson","given":"Gene W."}],"issued":{"date-parts":[["2015",7]]}}}],"schema":"https://github.com/citation-style-language/schema/raw/master/csl-citation.json"} </w:instrText>
      </w:r>
      <w:r w:rsidRPr="00364AE7">
        <w:rPr>
          <w:sz w:val="24"/>
          <w:szCs w:val="24"/>
        </w:rPr>
        <w:fldChar w:fldCharType="separate"/>
      </w:r>
      <w:r w:rsidRPr="00364AE7">
        <w:rPr>
          <w:sz w:val="24"/>
          <w:szCs w:val="24"/>
        </w:rPr>
        <w:t>(15)</w:t>
      </w:r>
      <w:r w:rsidRPr="00364AE7">
        <w:rPr>
          <w:sz w:val="24"/>
          <w:szCs w:val="24"/>
        </w:rPr>
        <w:fldChar w:fldCharType="end"/>
      </w:r>
      <w:r w:rsidRPr="00364AE7">
        <w:rPr>
          <w:sz w:val="24"/>
          <w:szCs w:val="24"/>
        </w:rPr>
        <w:t xml:space="preserve">. </w:t>
      </w:r>
    </w:p>
    <w:p w14:paraId="0E475674" w14:textId="77777777" w:rsidR="00364AE7" w:rsidRPr="00364AE7" w:rsidRDefault="00364AE7" w:rsidP="00364AE7">
      <w:pPr>
        <w:spacing w:line="480" w:lineRule="auto"/>
        <w:rPr>
          <w:sz w:val="24"/>
          <w:szCs w:val="24"/>
        </w:rPr>
      </w:pPr>
      <w:r w:rsidRPr="00364AE7">
        <w:rPr>
          <w:sz w:val="24"/>
          <w:szCs w:val="24"/>
        </w:rPr>
        <w:t xml:space="preserve">Reference genome sequences were obtained for representative bacterial species in the family </w:t>
      </w:r>
      <w:r w:rsidRPr="00364AE7">
        <w:rPr>
          <w:i/>
          <w:iCs/>
          <w:sz w:val="24"/>
          <w:szCs w:val="24"/>
        </w:rPr>
        <w:t>Methylocystaceae</w:t>
      </w:r>
      <w:r w:rsidRPr="00364AE7">
        <w:rPr>
          <w:sz w:val="24"/>
          <w:szCs w:val="24"/>
        </w:rPr>
        <w:t xml:space="preserve"> (</w:t>
      </w:r>
      <w:r w:rsidRPr="00364AE7">
        <w:rPr>
          <w:i/>
          <w:iCs/>
          <w:sz w:val="24"/>
          <w:szCs w:val="24"/>
        </w:rPr>
        <w:t>Methylocystis</w:t>
      </w:r>
      <w:r w:rsidRPr="00364AE7">
        <w:rPr>
          <w:sz w:val="24"/>
          <w:szCs w:val="24"/>
        </w:rPr>
        <w:t xml:space="preserve">, </w:t>
      </w:r>
      <w:r w:rsidRPr="00364AE7">
        <w:rPr>
          <w:i/>
          <w:iCs/>
          <w:sz w:val="24"/>
          <w:szCs w:val="24"/>
        </w:rPr>
        <w:t>Methylophila</w:t>
      </w:r>
      <w:r w:rsidRPr="00364AE7">
        <w:rPr>
          <w:sz w:val="24"/>
          <w:szCs w:val="24"/>
        </w:rPr>
        <w:t xml:space="preserve">, </w:t>
      </w:r>
      <w:r w:rsidRPr="00364AE7">
        <w:rPr>
          <w:i/>
          <w:iCs/>
          <w:sz w:val="24"/>
          <w:szCs w:val="24"/>
        </w:rPr>
        <w:t>Chenggangzhangella,</w:t>
      </w:r>
      <w:r w:rsidRPr="00364AE7">
        <w:rPr>
          <w:sz w:val="24"/>
          <w:szCs w:val="24"/>
        </w:rPr>
        <w:t xml:space="preserve"> and </w:t>
      </w:r>
      <w:bookmarkStart w:id="25" w:name="_Hlk104633260"/>
      <w:r w:rsidRPr="00364AE7">
        <w:rPr>
          <w:i/>
          <w:iCs/>
          <w:sz w:val="24"/>
          <w:szCs w:val="24"/>
        </w:rPr>
        <w:t>Hansschlegelia</w:t>
      </w:r>
      <w:bookmarkEnd w:id="25"/>
      <w:r w:rsidRPr="00364AE7">
        <w:rPr>
          <w:sz w:val="24"/>
          <w:szCs w:val="24"/>
        </w:rPr>
        <w:t xml:space="preserve">) from the NCBI RefSeq and GenBank databases </w:t>
      </w:r>
      <w:r w:rsidRPr="00364AE7">
        <w:rPr>
          <w:sz w:val="24"/>
          <w:szCs w:val="24"/>
        </w:rPr>
        <w:fldChar w:fldCharType="begin"/>
      </w:r>
      <w:r w:rsidRPr="00364AE7">
        <w:rPr>
          <w:sz w:val="24"/>
          <w:szCs w:val="24"/>
        </w:rPr>
        <w:instrText xml:space="preserve"> ADDIN ZOTERO_ITEM CSL_CITATION {"citationID":"32B0Szyi","properties":{"formattedCitation":"(16,17)","plainCitation":"(16,17)","noteIndex":0},"citationItems":[{"id":72,"uris":["http://zotero.org/users/local/ptYqL6dd/items/98QEP4DC","http://zotero.org/users/11931443/items/98QEP4DC"],"itemData":{"id":72,"type":"article-journal","abstract":"The RefSeq project at the National Center for Biotechnology Information (NCBI) maintains and curates a publicly available database of annotated genomic, transcript, and protein sequence records (http://www.ncbi.nlm.nih.gov/refseq/). The RefSeq project leverages the data submitted to the International Nucleotide Sequence Database Collaboration (INSDC) against a combination of computation, manual curation, and collaboration to produce a standard set of stable, non-redundant reference sequences. The RefSeq project augments these reference sequences with current knowledge including publications, functional features and informative nomenclature. The database currently represents sequences from more than 55,000 organisms (&gt;4800 viruses, &gt;40,000 prokaryotes and &gt;10,000 eukaryotes; RefSeq release 71), ranging from a single record to complete genomes. This paper summarizes the current status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taxonomic validation, genome annotation, comparative genomics, and clinical testing. We summarize our approach to utilizing available RNA-Seq and other data types in our manual curation process for vertebrate, plant, and other species, and describe a new direction for prokaryotic genomes and protein name management.","container-title":"Nucleic Acids Research","DOI":"10.1093/nar/gkv1189","ISSN":"1362-4962","issue":"D1","journalAbbreviation":"Nucleic Acids Res","language":"eng","note":"PMID: 26553804\nPMCID: PMC4702849","page":"D733-745","source":"PubMed","title":"Reference sequence (RefSeq) database at NCBI: current status, taxonomic expansion, and functional annotation","title-short":"Reference sequence (RefSeq) database at NCBI","volume":"44","author":[{"family":"O'Leary","given":"Nuala A."},{"family":"Wright","given":"Mathew W."},{"family":"Brister","given":"J. Rodney"},{"family":"Ciufo","given":"Stacy"},{"family":"Haddad","given":"Diana"},{"family":"McVeigh","given":"Rich"},{"family":"Rajput","given":"Bhanu"},{"family":"Robbertse","given":"Barbara"},{"family":"Smith-White","given":"Brian"},{"family":"Ako-Adjei","given":"Danso"},{"family":"Astashyn","given":"Alexander"},{"family":"Badretdin","given":"Azat"},{"family":"Bao","given":"Yiming"},{"family":"Blinkova","given":"Olga"},{"family":"Brover","given":"Vyacheslav"},{"family":"Chetvernin","given":"Vyacheslav"},{"family":"Choi","given":"Jinna"},{"family":"Cox","given":"Eric"},{"family":"Ermolaeva","given":"Olga"},{"family":"Farrell","given":"Catherine M."},{"family":"Goldfarb","given":"Tamara"},{"family":"Gupta","given":"Tripti"},{"family":"Haft","given":"Daniel"},{"family":"Hatcher","given":"Eneida"},{"family":"Hlavina","given":"Wratko"},{"family":"Joardar","given":"Vinita S."},{"family":"Kodali","given":"Vamsi K."},{"family":"Li","given":"Wenjun"},{"family":"Maglott","given":"Donna"},{"family":"Masterson","given":"Patrick"},{"family":"McGarvey","given":"Kelly M."},{"family":"Murphy","given":"Michael R."},{"family":"O'Neill","given":"Kathleen"},{"family":"Pujar","given":"Shashikant"},{"family":"Rangwala","given":"Sanjida H."},{"family":"Rausch","given":"Daniel"},{"family":"Riddick","given":"Lillian D."},{"family":"Schoch","given":"Conrad"},{"family":"Shkeda","given":"Andrei"},{"family":"Storz","given":"Susan S."},{"family":"Sun","given":"Hanzhen"},{"family":"Thibaud-Nissen","given":"Francoise"},{"family":"Tolstoy","given":"Igor"},{"family":"Tully","given":"Raymond E."},{"family":"Vatsan","given":"Anjana R."},{"family":"Wallin","given":"Craig"},{"family":"Webb","given":"David"},{"family":"Wu","given":"Wendy"},{"family":"Landrum","given":"Melissa J."},{"family":"Kimchi","given":"Avi"},{"family":"Tatusova","given":"Tatiana"},{"family":"DiCuccio","given":"Michael"},{"family":"Kitts","given":"Paul"},{"family":"Murphy","given":"Terence D."},{"family":"Pruitt","given":"Kim D."}],"issued":{"date-parts":[["2016",1,4]]}}},{"id":71,"uris":["http://zotero.org/users/local/ptYqL6dd/items/Z4QDRDUY","http://zotero.org/users/11931443/items/Z4QDRDUY"],"itemData":{"id":71,"type":"article-journal","abstract":"The National Center for Biotechnology Information (NCBI) provides a large suite of online resources for biological information and data, including the GenBank® nucleic acid sequence database and the PubMed database of citations and abstracts published in life science journals. The Entrez system provides search and retrieval operations for most of these data from 35 distinct databases. The E-utilities serve as the programming interface for the Entrez system. Custom implementations of the BLAST program provide sequence-based searching of many specialized datasets. New resources released in the past year include a new PubMed interface, a sequence database search and a gene orthologs page. Additional resources that were updated in the past year include PMC, Bookshelf, My Bibliography, Assembly, RefSeq, viral genomes, the prokaryotic genome annotation pipeline, Genome Workbench, dbSNP, BLAST, Primer-BLAST, IgBLAST and PubChem. All of these resources can be accessed through the NCBI home page at www.ncbi.nlm.nih.gov.","container-title":"Nucleic Acids Research","DOI":"10.1093/nar/gkz899","ISSN":"1362-4962","issue":"D1","journalAbbreviation":"Nucleic Acids Res","language":"eng","note":"PMID: 31602479\nPMCID: PMC6943063","page":"D9-D16","source":"PubMed","title":"Database resources of the National Center for Biotechnology Information","volume":"48","author":[{"family":"Sayers","given":"Eric W."},{"family":"Beck","given":"Jeff"},{"family":"Brister","given":"J. Rodney"},{"family":"Bolton","given":"Evan E."},{"family":"Canese","given":"Kathi"},{"family":"Comeau","given":"Donald C."},{"family":"Funk","given":"Kathryn"},{"family":"Ketter","given":"Anne"},{"family":"Kim","given":"Sunghwan"},{"family":"Kimchi","given":"Avi"},{"family":"Kitts","given":"Paul A."},{"family":"Kuznetsov","given":"Anatoliy"},{"family":"Lathrop","given":"Stacy"},{"family":"Lu","given":"Zhiyong"},{"family":"McGarvey","given":"Kelly"},{"family":"Madden","given":"Thomas L."},{"family":"Murphy","given":"Terence D."},{"family":"O'Leary","given":"Nuala"},{"family":"Phan","given":"Lon"},{"family":"Schneider","given":"Valerie A."},{"family":"Thibaud-Nissen","given":"Françoise"},{"family":"Trawick","given":"Bart W."},{"family":"Pruitt","given":"Kim D."},{"family":"Ostell","given":"James"}],"issued":{"date-parts":[["2020",1,8]]}}}],"schema":"https://github.com/citation-style-language/schema/raw/master/csl-citation.json"} </w:instrText>
      </w:r>
      <w:r w:rsidRPr="00364AE7">
        <w:rPr>
          <w:sz w:val="24"/>
          <w:szCs w:val="24"/>
        </w:rPr>
        <w:fldChar w:fldCharType="separate"/>
      </w:r>
      <w:r w:rsidRPr="00364AE7">
        <w:rPr>
          <w:sz w:val="24"/>
          <w:szCs w:val="24"/>
        </w:rPr>
        <w:t>(16,17)</w:t>
      </w:r>
      <w:r w:rsidRPr="00364AE7">
        <w:rPr>
          <w:sz w:val="24"/>
          <w:szCs w:val="24"/>
        </w:rPr>
        <w:fldChar w:fldCharType="end"/>
      </w:r>
      <w:r w:rsidRPr="00364AE7">
        <w:rPr>
          <w:sz w:val="24"/>
          <w:szCs w:val="24"/>
        </w:rPr>
        <w:t xml:space="preserve">. Gene prediction was performed using Prodigal (mRNA, v2.6.3), Barrnap (rRNA, v0.9) and tRNAscan-SE (tRNA, v2.0.9) </w:t>
      </w:r>
      <w:r w:rsidRPr="00364AE7">
        <w:rPr>
          <w:sz w:val="24"/>
          <w:szCs w:val="24"/>
        </w:rPr>
        <w:fldChar w:fldCharType="begin"/>
      </w:r>
      <w:r w:rsidRPr="00364AE7">
        <w:rPr>
          <w:sz w:val="24"/>
          <w:szCs w:val="24"/>
        </w:rPr>
        <w:instrText xml:space="preserve"> ADDIN ZOTERO_ITEM CSL_CITATION {"citationID":"9pFLYnOz","properties":{"formattedCitation":"(18)","plainCitation":"(18)","noteIndex":0},"citationItems":[{"id":44,"uris":["http://zotero.org/users/local/ptYqL6dd/items/LX57HTNE","http://zotero.org/users/11931443/items/LX57HTNE"],"itemData":{"id":44,"type":"article-journal","abstract":"tRNAscan-SE has been widely used for transfer RNA (tRNA) gene prediction for over twenty years, developed just as the first genomes were decoded. With the massive increase in quantity and phylogenetic diversity of genomes, the accurate detection and functional prediction of tRNAs has become more challenging. Utilizing a vastly larger training set, we created nearly one hundred specialized isotype- and clade-specific models, greatly improving tRNAscan-SE’s ability to identify and classify both typical and atypical tRNAs. We employ a new comparative multi-model strategy where predicted tRNAs are scored against a full set of isotype-specific covariance models, allowing functional prediction based on both the anticodon and the highest-scoring isotype model. Comparative model scoring has also enhanced the program's ability to detect tRNA-derived SINEs and other likely pseudogenes. For the first time, tRNAscan-SE also includes fast and highly accurate detection of mitochondrial tRNAs using newly developed models. Overall, tRNA detection sensitivity and specificity is improved for all isotypes, particularly those utilizing specialized models for selenocysteine and the three subtypes of tRNA genes encoding a CAU anticodon. These enhancements will provide researchers with more accurate and detailed tRNA annotation for a wider variety of tRNAs, and may direct attention to tRNAs with novel traits.","container-title":"Nucleic Acids Research","DOI":"10.1093/nar/gkab688","ISSN":"0305-1048","issue":"16","journalAbbreviation":"Nucleic Acids Res","page":"9077-9096","source":"Silverchair","title":"tRNAscan-SE 2.0: improved detection and functional classification of transfer RNA genes","title-short":"tRNAscan-SE 2.0","volume":"49","author":[{"family":"Chan","given":"Patricia P"},{"family":"Lin","given":"Brian Y"},{"family":"Mak","given":"Allysia J"},{"family":"Lowe","given":"Todd M"}],"issued":{"date-parts":[["2021",9,20]]}}}],"schema":"https://github.com/citation-style-language/schema/raw/master/csl-citation.json"} </w:instrText>
      </w:r>
      <w:r w:rsidRPr="00364AE7">
        <w:rPr>
          <w:sz w:val="24"/>
          <w:szCs w:val="24"/>
        </w:rPr>
        <w:fldChar w:fldCharType="separate"/>
      </w:r>
      <w:r w:rsidRPr="00364AE7">
        <w:rPr>
          <w:sz w:val="24"/>
          <w:szCs w:val="24"/>
        </w:rPr>
        <w:t>(18)</w:t>
      </w:r>
      <w:r w:rsidRPr="00364AE7">
        <w:rPr>
          <w:sz w:val="24"/>
          <w:szCs w:val="24"/>
        </w:rPr>
        <w:fldChar w:fldCharType="end"/>
      </w:r>
      <w:r w:rsidRPr="00364AE7">
        <w:rPr>
          <w:sz w:val="24"/>
          <w:szCs w:val="24"/>
        </w:rPr>
        <w:t xml:space="preserve">. Annotation of protein-coding genes was performed using the KEGG database as reference (BLASTP, KoFamScan) </w:t>
      </w:r>
      <w:r w:rsidRPr="00364AE7">
        <w:rPr>
          <w:sz w:val="24"/>
          <w:szCs w:val="24"/>
        </w:rPr>
        <w:fldChar w:fldCharType="begin"/>
      </w:r>
      <w:r w:rsidRPr="00364AE7">
        <w:rPr>
          <w:sz w:val="24"/>
          <w:szCs w:val="24"/>
        </w:rPr>
        <w:instrText xml:space="preserve"> ADDIN ZOTERO_ITEM CSL_CITATION {"citationID":"9QNYlEBv","properties":{"formattedCitation":"(19\\uc0\\u8211{}21)","plainCitation":"(19–21)","noteIndex":0},"citationItems":[{"id":70,"uris":["http://zotero.org/users/local/ptYqL6dd/items/G9XLH6GD","http://zotero.org/users/11931443/items/G9XLH6GD"],"itemData":{"id":70,"type":"article-journal","abstract":"In this era of high-throughput biology, bioinformatics has become a major discipline for making sense out of large-scale datasets. Bioinformatics is usually considered as a practical field developing databases and software tools for supporting other fields, rather than a fundamental scientific discipline for uncovering principles of biology. The KEGG resource that we have been developing is a reference knowledge base for biological interpretation of genome sequences and other high-throughput data. It is now one of the most utilized biological databases because of its practical values. For me personally, KEGG is a step toward understanding the origin and evolution of cellular organisms.","container-title":"Protein Science: A Publication of the Protein Society","DOI":"10.1002/pro.3715","ISSN":"1469-896X","issue":"11","journalAbbreviation":"Protein Sci","language":"eng","note":"PMID: 31441146\nPMCID: PMC6798127","page":"1947-1951","source":"PubMed","title":"Toward understanding the origin and evolution of cellular organisms","volume":"28","author":[{"family":"Kanehisa","given":"Minoru"}],"issued":{"date-parts":[["2019",11]]}}},{"id":69,"uris":["http://zotero.org/users/local/ptYqL6dd/items/EZQVN5UK","http://zotero.org/users/11931443/items/EZQVN5UK"],"itemData":{"id":69,"type":"article-journal","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site.\nCONCLUSION: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bioinformatics","DOI":"10.1186/1471-2105-10-421","ISSN":"1471-2105","journalAbbreviation":"BMC Bioinformatics","language":"eng","note":"PMID: 20003500\nPMCID: PMC2803857","page":"421","source":"PubMed","title":"BLAST+: architecture and applications","title-short":"BLAST+","volume":"10","author":[{"family":"Camacho","given":"Christiam"},{"family":"Coulouris","given":"George"},{"family":"Avagyan","given":"Vahram"},{"family":"Ma","given":"Ning"},{"family":"Papadopoulos","given":"Jason"},{"family":"Bealer","given":"Kevin"},{"family":"Madden","given":"Thomas L."}],"issued":{"date-parts":[["2009",12,15]]}}},{"id":68,"uris":["http://zotero.org/users/local/ptYqL6dd/items/MGNERWUF","http://zotero.org/users/11931443/items/MGNERWUF"],"itemData":{"id":68,"type":"article-journal","abstract":"KofamKOALA is a web server to assign KEGG Orthologs (KOs) to protein sequences by homology search against a database of profile hidden Markov models (KOfam) with pre-computed adaptive score thresholds. KofamKOALA is faster than existing KO assignment tools with its accuracy being comparable to the best performing tools. Function annotation by KofamKOALA helps linking genes to KEGG resources such as the KEGG pathway maps and facilitates molecular network reconstruction.KofamKOALA, KofamScan and KOfam are freely available from GenomeNet (https://www.genome.jp/tools/kofamkoala/).Supplementary data are available at Bioinformatics online.","container-title":"Bioinformatics","DOI":"10.1093/bioinformatics/btz859","ISSN":"1367-4803","issue":"7","journalAbbreviation":"Bioinformatics","page":"2251-2252","source":"Silverchair","title":"KofamKOALA: KEGG Ortholog assignment based on profile HMM and adaptive score threshold","title-short":"KofamKOALA","volume":"36","author":[{"family":"Aramaki","given":"Takuya"},{"family":"Blanc-Mathieu","given":"Romain"},{"family":"Endo","given":"Hisashi"},{"family":"Ohkubo","given":"Koichi"},{"family":"Kanehisa","given":"Minoru"},{"family":"Goto","given":"Susumu"},{"family":"Ogata","given":"Hiroyuki"}],"issued":{"date-parts":[["2020",4,1]]}}}],"schema":"https://github.com/citation-style-language/schema/raw/master/csl-citation.json"} </w:instrText>
      </w:r>
      <w:r w:rsidRPr="00364AE7">
        <w:rPr>
          <w:sz w:val="24"/>
          <w:szCs w:val="24"/>
        </w:rPr>
        <w:fldChar w:fldCharType="separate"/>
      </w:r>
      <w:r w:rsidRPr="00364AE7">
        <w:rPr>
          <w:sz w:val="24"/>
          <w:szCs w:val="24"/>
        </w:rPr>
        <w:t>(19–21)</w:t>
      </w:r>
      <w:r w:rsidRPr="00364AE7">
        <w:rPr>
          <w:sz w:val="24"/>
          <w:szCs w:val="24"/>
        </w:rPr>
        <w:fldChar w:fldCharType="end"/>
      </w:r>
      <w:r w:rsidRPr="00364AE7">
        <w:rPr>
          <w:sz w:val="24"/>
          <w:szCs w:val="24"/>
        </w:rPr>
        <w:t xml:space="preserve">. Predicted proteins were used to generate pairwise Average Amino Acid Identity scores (AAI, Enveomics toolbox) for genome-based taxonomic delineation </w:t>
      </w:r>
      <w:r w:rsidRPr="00364AE7">
        <w:rPr>
          <w:sz w:val="24"/>
          <w:szCs w:val="24"/>
        </w:rPr>
        <w:fldChar w:fldCharType="begin"/>
      </w:r>
      <w:r w:rsidRPr="00364AE7">
        <w:rPr>
          <w:sz w:val="24"/>
          <w:szCs w:val="24"/>
        </w:rPr>
        <w:instrText xml:space="preserve"> ADDIN ZOTERO_ITEM CSL_CITATION {"citationID":"973QKXW5","properties":{"formattedCitation":"(22)","plainCitation":"(22)","noteIndex":0},"citationItems":[{"id":43,"uris":["http://zotero.org/users/local/ptYqL6dd/items/TBVCJL6J","http://zotero.org/users/11931443/items/TBVCJL6J"],"itemData":{"id":43,"type":"article-journal","abstract":"Genomic and metagenomic analyses are increasingly becoming commonplace in several areas of biological research, but recurrent specialized analyses are frequently reported as in-house scripts rarely available after publication. We describe the enveomics collection, a growing set of actively maintained scripts for several recurrent and specialized tasks in microbial genomics and metagenomics, and present a graphical user interface and several case studies. Our resource includes previously described as well as new algorithms such as Transformed-space Resampling In Biased Sets (TRIBS), a novel method to evaluate phylogenetic under- or over-dispersion in reference sets with strong phylogenetic bias. The enveomics collection is freely available under the terms of the Artistic License 2.0 at https://github.com/lmrodriguezr/enveomics and for online analysis at http://enve-omics.ce.gatech.edu","container-title":"PeerJ Preprints","DOI":"https://doi.org/10.7287/peerj.preprints.1900v1","ISSN":"2167-9843","issue":"e1900v1","language":"en","note":"DOI: 10.7287/peerj.preprints.1900v1","title":"The enveomics collection: a toolbox for specialized analyses of microbial genomes and metagenomes","volume":"4","author":[{"family":"Rodriguez-R","given":"Luis M."},{"family":"Konstantinidis","given":"Konstantinos T."}],"issued":{"date-parts":[["2016",3,27]]}}}],"schema":"https://github.com/citation-style-language/schema/raw/master/csl-citation.json"} </w:instrText>
      </w:r>
      <w:r w:rsidRPr="00364AE7">
        <w:rPr>
          <w:sz w:val="24"/>
          <w:szCs w:val="24"/>
        </w:rPr>
        <w:fldChar w:fldCharType="separate"/>
      </w:r>
      <w:r w:rsidRPr="00364AE7">
        <w:rPr>
          <w:sz w:val="24"/>
          <w:szCs w:val="24"/>
        </w:rPr>
        <w:t>(22)</w:t>
      </w:r>
      <w:r w:rsidRPr="00364AE7">
        <w:rPr>
          <w:sz w:val="24"/>
          <w:szCs w:val="24"/>
        </w:rPr>
        <w:fldChar w:fldCharType="end"/>
      </w:r>
      <w:r w:rsidRPr="00364AE7">
        <w:rPr>
          <w:sz w:val="24"/>
          <w:szCs w:val="24"/>
        </w:rPr>
        <w:t xml:space="preserve">. Average Nucleotide Identity (ANI) scores were calculated using the fastANI algorithm </w:t>
      </w:r>
      <w:r w:rsidRPr="00364AE7">
        <w:rPr>
          <w:sz w:val="24"/>
          <w:szCs w:val="24"/>
        </w:rPr>
        <w:fldChar w:fldCharType="begin"/>
      </w:r>
      <w:r w:rsidRPr="00364AE7">
        <w:rPr>
          <w:sz w:val="24"/>
          <w:szCs w:val="24"/>
        </w:rPr>
        <w:instrText xml:space="preserve"> ADDIN ZOTERO_ITEM CSL_CITATION {"citationID":"wMhTD4MA","properties":{"formattedCitation":"(23)","plainCitation":"(23)","noteIndex":0},"citationItems":[{"id":67,"uris":["http://zotero.org/users/local/ptYqL6dd/items/HHBJFL49","http://zotero.org/users/11931443/items/HHBJFL49"],"itemData":{"id":67,"type":"article-journal","abstract":"A fundamental question in microbiology is whether there is continuum of genetic diversity among genomes, or clear species boundaries prevail instead. Whole-genome similarity metrics such as Average Nucleotide Identity (ANI) help address this question by facilitating high resolution taxonomic analysis of thousands of genomes from diverse phylogenetic lineages. To scale to available genomes and beyond, we present FastANI, a new method to estimate ANI using alignment-free approximate sequence mapping. FastANI is accurate for both finished and draft genomes, and is up to three orders of magnitude faster compared to alignment-based approaches. We leverage FastANI to compute pairwise ANI values among all prokaryotic genomes available in the NCBI database. Our results reveal clear genetic discontinuity, with 99.8% of the total 8 billion genome pairs analyzed conforming to &gt;95% intra-species and &lt;83% inter-species ANI values. This discontinuity is manifested with or without the most frequently sequenced species, and is robust to historic additions in the genome databases.","container-title":"Nature Communications","DOI":"10.1038/s41467-018-07641-9","ISSN":"2041-1723","issue":"1","journalAbbreviation":"Nat Commun","language":"en","license":"2018 The Author(s)","note":"number: 1\npublisher: Nature Publishing Group","page":"5114","source":"www.nature.com","title":"High throughput ANI analysis of 90K prokaryotic genomes reveals clear species boundaries","volume":"9","author":[{"family":"Jain","given":"Chirag"},{"family":"Rodriguez-R","given":"Luis M."},{"family":"Phillippy","given":"Adam M."},{"family":"Konstantinidis","given":"Konstantinos T."},{"family":"Aluru","given":"Srinivas"}],"issued":{"date-parts":[["2018",11,30]]}}}],"schema":"https://github.com/citation-style-language/schema/raw/master/csl-citation.json"} </w:instrText>
      </w:r>
      <w:r w:rsidRPr="00364AE7">
        <w:rPr>
          <w:sz w:val="24"/>
          <w:szCs w:val="24"/>
        </w:rPr>
        <w:fldChar w:fldCharType="separate"/>
      </w:r>
      <w:r w:rsidRPr="00364AE7">
        <w:rPr>
          <w:sz w:val="24"/>
          <w:szCs w:val="24"/>
        </w:rPr>
        <w:t>(23)</w:t>
      </w:r>
      <w:r w:rsidRPr="00364AE7">
        <w:rPr>
          <w:sz w:val="24"/>
          <w:szCs w:val="24"/>
        </w:rPr>
        <w:fldChar w:fldCharType="end"/>
      </w:r>
      <w:r w:rsidRPr="00364AE7">
        <w:rPr>
          <w:sz w:val="24"/>
          <w:szCs w:val="24"/>
        </w:rPr>
        <w:t xml:space="preserve">.Finally, sequences for 92 single-copy core bacterial genes were retrieved using the UBCG pipeline, aligned (MUSCLE), filtered to remove invariant sites, and concatenated </w:t>
      </w:r>
      <w:r w:rsidRPr="00364AE7">
        <w:rPr>
          <w:sz w:val="24"/>
          <w:szCs w:val="24"/>
        </w:rPr>
        <w:fldChar w:fldCharType="begin"/>
      </w:r>
      <w:r w:rsidRPr="00364AE7">
        <w:rPr>
          <w:sz w:val="24"/>
          <w:szCs w:val="24"/>
        </w:rPr>
        <w:instrText xml:space="preserve"> ADDIN ZOTERO_ITEM CSL_CITATION {"citationID":"QeNWEgrB","properties":{"formattedCitation":"(24,25)","plainCitation":"(24,25)","noteIndex":0},"citationItems":[{"id":65,"uris":["http://zotero.org/users/local/ptYqL6dd/items/ASZ6SBEE","http://zotero.org/users/11931443/items/ASZ6SBEE"],"itemData":{"id":65,"type":"article-journal","abstract":"Genome-based phylogeny plays a central role in the future taxonomy and phylogenetics of Bacteria and Archaea by replacing 16S rRNA gene phylogeny. The concatenated core gene alignments are frequently used for such a purpose. The bacterial core genes are defined as single-copy, homologous genes that are present in most of the known bacterial species. There have been several studies describing such a gene set, but the number of species considered was rather small. Here we present the up-to-date bacterial core gene set, named UBCG, and software suites to accommodate necessary steps to generate and evaluate phylogenetic trees. The method was successfully used to infer phylogenomic relationship of Escherichia and related taxa and can be used for the set of genomes at any taxonomic ranks of Bacteria. The UBCG pipeline and file viewer are freely available at https://www.ezbiocloud.net/tools/ubcg and https://www.ezbiocloud.net/tools/ubcg_viewer , respectively.","container-title":"Journal of Microbiology (Seoul, Korea)","DOI":"10.1007/s12275-018-8014-6","ISSN":"1976-3794","issue":"4","journalAbbreviation":"J Microbiol","language":"eng","note":"PMID: 29492869","page":"280-285","source":"PubMed","title":"UBCG: Up-to-date bacterial core gene set and pipeline for phylogenomic tree reconstruction","title-short":"UBCG","volume":"56","author":[{"family":"Na","given":"Seong-In"},{"family":"Kim","given":"Yeong Ouk"},{"family":"Yoon","given":"Seok-Hwan"},{"family":"Ha","given":"Sung-Min"},{"family":"Baek","given":"Inwoo"},{"family":"Chun","given":"Jongsik"}],"issued":{"date-parts":[["2018",4]]}}},{"id":64,"uris":["http://zotero.org/users/local/ptYqL6dd/items/RAZ6CRYU","http://zotero.org/users/11931443/items/RAZ6CRYU"],"itemData":{"id":64,"type":"article-journal","abstract":"In a previous paper, we introduced MUSCLE, a new program for creating multiple alignments of protein sequences, giving a brief summary of the algorithm and showing MUSCLE to achieve the highest scores reported to date on four alignment accuracy benchmarks. Here we present a more complete discussion of the algorithm, describing several previously unpublished techniques that improve biological accuracy and / or computational complexity. We introduce a new option, MUSCLE-fast, designed for high-throughput applications. We also describe a new protocol for evaluating objective functions that align two profiles.","container-title":"BMC Bioinformatics","DOI":"10.1186/1471-2105-5-113","ISSN":"1471-2105","issue":"1","journalAbbreviation":"BMC Bioinformatics","page":"113","source":"BioMed Central","title":"MUSCLE: a multiple sequence alignment method with reduced time and space complexity","title-short":"MUSCLE","volume":"5","author":[{"family":"Edgar","given":"Robert C."}],"issued":{"date-parts":[["2004",8,19]]}}}],"schema":"https://github.com/citation-style-language/schema/raw/master/csl-citation.json"} </w:instrText>
      </w:r>
      <w:r w:rsidRPr="00364AE7">
        <w:rPr>
          <w:sz w:val="24"/>
          <w:szCs w:val="24"/>
        </w:rPr>
        <w:fldChar w:fldCharType="separate"/>
      </w:r>
      <w:r w:rsidRPr="00364AE7">
        <w:rPr>
          <w:sz w:val="24"/>
          <w:szCs w:val="24"/>
        </w:rPr>
        <w:t>(24,25)</w:t>
      </w:r>
      <w:r w:rsidRPr="00364AE7">
        <w:rPr>
          <w:sz w:val="24"/>
          <w:szCs w:val="24"/>
        </w:rPr>
        <w:fldChar w:fldCharType="end"/>
      </w:r>
      <w:r w:rsidRPr="00364AE7">
        <w:rPr>
          <w:sz w:val="24"/>
          <w:szCs w:val="24"/>
        </w:rPr>
        <w:t>. This concatenated sequence set was used to construct a maximum-likelihood amino acid tree (RAxML, 100 bootstrap replicates, GTR substitution model) to characterize the phylogenetic relationship between strain NLS-7</w:t>
      </w:r>
      <w:r w:rsidRPr="00364AE7">
        <w:rPr>
          <w:sz w:val="24"/>
          <w:szCs w:val="24"/>
          <w:vertAlign w:val="superscript"/>
        </w:rPr>
        <w:t>T</w:t>
      </w:r>
      <w:r w:rsidRPr="00364AE7">
        <w:rPr>
          <w:sz w:val="24"/>
          <w:szCs w:val="24"/>
        </w:rPr>
        <w:t xml:space="preserve"> and other representatives of the family </w:t>
      </w:r>
      <w:r w:rsidRPr="00364AE7">
        <w:rPr>
          <w:i/>
          <w:iCs/>
          <w:sz w:val="24"/>
          <w:szCs w:val="24"/>
        </w:rPr>
        <w:t xml:space="preserve">Methylocystaceae </w:t>
      </w:r>
      <w:r w:rsidRPr="00364AE7">
        <w:rPr>
          <w:i/>
          <w:iCs/>
          <w:sz w:val="24"/>
          <w:szCs w:val="24"/>
        </w:rPr>
        <w:fldChar w:fldCharType="begin"/>
      </w:r>
      <w:r w:rsidRPr="00364AE7">
        <w:rPr>
          <w:i/>
          <w:iCs/>
          <w:sz w:val="24"/>
          <w:szCs w:val="24"/>
        </w:rPr>
        <w:instrText xml:space="preserve"> ADDIN ZOTERO_ITEM CSL_CITATION {"citationID":"vphDemy7","properties":{"formattedCitation":"(26)","plainCitation":"(26)","noteIndex":0},"citationItems":[{"id":42,"uris":["http://zotero.org/users/local/ptYqL6dd/items/PFSBNII8","http://zotero.org/users/11931443/items/PFSBNII8"],"itemData":{"id":42,"type":"article-journal","container-title":"Bioinformatics","DOI":"https://doi.org/10.1093/bioinformatics/btu033","issue":"9","journalAbbreviation":"Bioinformatics","page":"1312-1313","title":"RAxML version 8: a tool for phylogenetic analysis and post-analysis of large phylogenies","volume":"30","author":[{"family":"Stamatakis","given":"Alexandros"}],"issued":{"date-parts":[["2014",1,21]]}}}],"schema":"https://github.com/citation-style-language/schema/raw/master/csl-citation.json"} </w:instrText>
      </w:r>
      <w:r w:rsidRPr="00364AE7">
        <w:rPr>
          <w:i/>
          <w:iCs/>
          <w:sz w:val="24"/>
          <w:szCs w:val="24"/>
        </w:rPr>
        <w:fldChar w:fldCharType="separate"/>
      </w:r>
      <w:r w:rsidRPr="00364AE7">
        <w:rPr>
          <w:sz w:val="24"/>
          <w:szCs w:val="24"/>
        </w:rPr>
        <w:t>(26)</w:t>
      </w:r>
      <w:r w:rsidRPr="00364AE7">
        <w:rPr>
          <w:i/>
          <w:iCs/>
          <w:sz w:val="24"/>
          <w:szCs w:val="24"/>
        </w:rPr>
        <w:fldChar w:fldCharType="end"/>
      </w:r>
      <w:r w:rsidRPr="00364AE7">
        <w:rPr>
          <w:sz w:val="24"/>
          <w:szCs w:val="24"/>
        </w:rPr>
        <w:t xml:space="preserve">. </w:t>
      </w:r>
    </w:p>
    <w:p w14:paraId="61CC5E1B" w14:textId="77777777" w:rsidR="00364AE7" w:rsidRPr="00364AE7" w:rsidRDefault="00364AE7" w:rsidP="00364AE7">
      <w:pPr>
        <w:spacing w:line="480" w:lineRule="auto"/>
        <w:rPr>
          <w:sz w:val="24"/>
          <w:szCs w:val="24"/>
        </w:rPr>
      </w:pPr>
      <w:r w:rsidRPr="00364AE7">
        <w:rPr>
          <w:sz w:val="24"/>
          <w:szCs w:val="24"/>
        </w:rPr>
        <w:t xml:space="preserve">A total of 4.31 million reads (1.17 million merged, 0.98 million paired) were generated following quality filtering. Genome assembly resulted in the generation of 244 contigs with a total assembly length of 3,820,957 bp (N50: 37,735 bp; L50: 34). A total of 3,938 protein-coding, 46 tRNA, and three rRNA genes were identified. Genome completion was estimated at 99.5% based on the recovery of 1,095 single-copy genes (total 1,100) found in representative genomes of members of the </w:t>
      </w:r>
      <w:r w:rsidRPr="00364AE7">
        <w:rPr>
          <w:i/>
          <w:iCs/>
          <w:sz w:val="24"/>
          <w:szCs w:val="24"/>
        </w:rPr>
        <w:t>Methylocystis</w:t>
      </w:r>
      <w:r w:rsidRPr="00364AE7">
        <w:rPr>
          <w:sz w:val="24"/>
          <w:szCs w:val="24"/>
        </w:rPr>
        <w:t xml:space="preserve"> genus. Genome contamination is 3.98% </w:t>
      </w:r>
      <w:r w:rsidRPr="00364AE7">
        <w:rPr>
          <w:sz w:val="24"/>
          <w:szCs w:val="24"/>
        </w:rPr>
        <w:fldChar w:fldCharType="begin"/>
      </w:r>
      <w:r w:rsidRPr="00364AE7">
        <w:rPr>
          <w:sz w:val="24"/>
          <w:szCs w:val="24"/>
        </w:rPr>
        <w:instrText xml:space="preserve"> ADDIN ZOTERO_ITEM CSL_CITATION {"citationID":"EyO1W4Qt","properties":{"formattedCitation":"(15)","plainCitation":"(15)","noteIndex":0},"citationItems":[{"id":73,"uris":["http://zotero.org/users/local/ptYqL6dd/items/ACV585JD","http://zotero.org/users/11931443/items/ACV585JD"],"itemData":{"id":73,"type":"article-journal","abstract":"Large-scale recovery of genomes from isolates, single cells, and metagenomic data has been made possible by advances in computational methods and substantial reductions in sequencing costs. Although this increasing breadth of draft genomes is providing key information regarding the evolutionary and functional diversity of microbial life, it has become impractical to finish all available reference genomes. Making robust biological inferences from draft genomes requires accurate estimates of their completeness and contamination. Current methods for assessing genome quality are ad hoc and generally make use of a limited number of “marker” genes conserved across all bacterial or archaeal genomes. Here we introduce CheckM, an automated method for assessing the quality of a genome using a broader set of marker genes specific to the position of a genome within a reference genome tree and information about the collocation of these genes. We demonstrate the effectiveness of CheckM using synthetic data and a wide range of isolate-, single-cell-, and metagenome-derived genomes. CheckM is shown to provide accurate estimates of genome completeness and contamination and to outperform existing approaches. Using CheckM, we identify a diverse range of errors currently impacting publicly available isolate genomes and demonstrate that genomes obtained from single cells and metagenomic data vary substantially in quality. In order to facilitate the use of draft genomes, we propose an objective measure of genome quality that can be used to select genomes suitable for specific gene- and genome-centric analyses of microbial communities.","container-title":"Genome Research","DOI":"10.1101/gr.186072.114","ISSN":"1088-9051","issue":"7","journalAbbreviation":"Genome Res","note":"PMID: 25977477\nPMCID: PMC4484387","page":"1043-1055","source":"PubMed Central","title":"CheckM: assessing the quality of microbial genomes recovered from isolates, single cells, and metagenomes","title-short":"CheckM","volume":"25","author":[{"family":"Parks","given":"Donovan H."},{"family":"Imelfort","given":"Michael"},{"family":"Skennerton","given":"Connor T."},{"family":"Hugenholtz","given":"Philip"},{"family":"Tyson","given":"Gene W."}],"issued":{"date-parts":[["2015",7]]}}}],"schema":"https://github.com/citation-style-language/schema/raw/master/csl-citation.json"} </w:instrText>
      </w:r>
      <w:r w:rsidRPr="00364AE7">
        <w:rPr>
          <w:sz w:val="24"/>
          <w:szCs w:val="24"/>
        </w:rPr>
        <w:fldChar w:fldCharType="separate"/>
      </w:r>
      <w:r w:rsidRPr="00364AE7">
        <w:rPr>
          <w:noProof/>
          <w:sz w:val="24"/>
          <w:szCs w:val="24"/>
        </w:rPr>
        <w:t>(15)</w:t>
      </w:r>
      <w:r w:rsidRPr="00364AE7">
        <w:rPr>
          <w:sz w:val="24"/>
          <w:szCs w:val="24"/>
        </w:rPr>
        <w:fldChar w:fldCharType="end"/>
      </w:r>
      <w:r w:rsidRPr="00364AE7">
        <w:rPr>
          <w:sz w:val="24"/>
          <w:szCs w:val="24"/>
        </w:rPr>
        <w:t xml:space="preserve">. Of the 3,938 </w:t>
      </w:r>
      <w:r w:rsidRPr="00364AE7">
        <w:rPr>
          <w:sz w:val="24"/>
          <w:szCs w:val="24"/>
        </w:rPr>
        <w:lastRenderedPageBreak/>
        <w:t xml:space="preserve">predicted proteins, 2,957 were assigned function, 662 were hypothetical or had unknown function, and 319 had no significant matches. </w:t>
      </w:r>
    </w:p>
    <w:p w14:paraId="5DC70FF8" w14:textId="77777777" w:rsidR="006A2F31" w:rsidRDefault="00364AE7" w:rsidP="00364AE7">
      <w:pPr>
        <w:spacing w:line="480" w:lineRule="auto"/>
        <w:rPr>
          <w:sz w:val="24"/>
          <w:szCs w:val="24"/>
        </w:rPr>
      </w:pPr>
      <w:r w:rsidRPr="00364AE7">
        <w:rPr>
          <w:sz w:val="24"/>
          <w:szCs w:val="24"/>
        </w:rPr>
        <w:t>Comparisons of the 16S rRNA gene sequence for strain NLS-7</w:t>
      </w:r>
      <w:r w:rsidRPr="00364AE7">
        <w:rPr>
          <w:sz w:val="24"/>
          <w:szCs w:val="24"/>
          <w:vertAlign w:val="superscript"/>
        </w:rPr>
        <w:t>T</w:t>
      </w:r>
      <w:r w:rsidRPr="00364AE7">
        <w:rPr>
          <w:sz w:val="24"/>
          <w:szCs w:val="24"/>
        </w:rPr>
        <w:t xml:space="preserve"> with other validly published species of the genus </w:t>
      </w:r>
      <w:r w:rsidRPr="00364AE7">
        <w:rPr>
          <w:i/>
          <w:iCs/>
          <w:sz w:val="24"/>
          <w:szCs w:val="24"/>
        </w:rPr>
        <w:t>Methylocystis</w:t>
      </w:r>
      <w:r w:rsidRPr="00364AE7">
        <w:rPr>
          <w:sz w:val="24"/>
          <w:szCs w:val="24"/>
        </w:rPr>
        <w:t xml:space="preserve"> were performed by aligning complete 16S rRNA sequences (1,497bp) using MUSCLE </w:t>
      </w:r>
      <w:r w:rsidRPr="00364AE7">
        <w:rPr>
          <w:sz w:val="24"/>
          <w:szCs w:val="24"/>
        </w:rPr>
        <w:fldChar w:fldCharType="begin"/>
      </w:r>
      <w:r w:rsidRPr="00364AE7">
        <w:rPr>
          <w:sz w:val="24"/>
          <w:szCs w:val="24"/>
        </w:rPr>
        <w:instrText xml:space="preserve"> ADDIN ZOTERO_ITEM CSL_CITATION {"citationID":"lc5dvF2Q","properties":{"formattedCitation":"(25)","plainCitation":"(25)","noteIndex":0},"citationItems":[{"id":64,"uris":["http://zotero.org/users/local/ptYqL6dd/items/RAZ6CRYU","http://zotero.org/users/11931443/items/RAZ6CRYU"],"itemData":{"id":64,"type":"article-journal","abstract":"In a previous paper, we introduced MUSCLE, a new program for creating multiple alignments of protein sequences, giving a brief summary of the algorithm and showing MUSCLE to achieve the highest scores reported to date on four alignment accuracy benchmarks. Here we present a more complete discussion of the algorithm, describing several previously unpublished techniques that improve biological accuracy and / or computational complexity. We introduce a new option, MUSCLE-fast, designed for high-throughput applications. We also describe a new protocol for evaluating objective functions that align two profiles.","container-title":"BMC Bioinformatics","DOI":"10.1186/1471-2105-5-113","ISSN":"1471-2105","issue":"1","journalAbbreviation":"BMC Bioinformatics","page":"113","source":"BioMed Central","title":"MUSCLE: a multiple sequence alignment method with reduced time and space complexity","title-short":"MUSCLE","volume":"5","author":[{"family":"Edgar","given":"Robert C."}],"issued":{"date-parts":[["2004",8,19]]}}}],"schema":"https://github.com/citation-style-language/schema/raw/master/csl-citation.json"} </w:instrText>
      </w:r>
      <w:r w:rsidRPr="00364AE7">
        <w:rPr>
          <w:sz w:val="24"/>
          <w:szCs w:val="24"/>
        </w:rPr>
        <w:fldChar w:fldCharType="separate"/>
      </w:r>
      <w:r w:rsidRPr="00364AE7">
        <w:rPr>
          <w:noProof/>
          <w:sz w:val="24"/>
          <w:szCs w:val="24"/>
        </w:rPr>
        <w:t>(25)</w:t>
      </w:r>
      <w:r w:rsidRPr="00364AE7">
        <w:rPr>
          <w:sz w:val="24"/>
          <w:szCs w:val="24"/>
        </w:rPr>
        <w:fldChar w:fldCharType="end"/>
      </w:r>
      <w:r w:rsidRPr="00364AE7">
        <w:rPr>
          <w:sz w:val="24"/>
          <w:szCs w:val="24"/>
        </w:rPr>
        <w:t xml:space="preserve">, followed by estimation of pairwise sequence similarities using NCBI’s blastn tool </w:t>
      </w:r>
      <w:r w:rsidRPr="00364AE7">
        <w:rPr>
          <w:sz w:val="24"/>
          <w:szCs w:val="24"/>
        </w:rPr>
        <w:fldChar w:fldCharType="begin"/>
      </w:r>
      <w:r w:rsidRPr="00364AE7">
        <w:rPr>
          <w:sz w:val="24"/>
          <w:szCs w:val="24"/>
        </w:rPr>
        <w:instrText xml:space="preserve"> ADDIN ZOTERO_ITEM CSL_CITATION {"citationID":"Cfc5gckf","properties":{"formattedCitation":"(20)","plainCitation":"(20)","noteIndex":0},"citationItems":[{"id":69,"uris":["http://zotero.org/users/local/ptYqL6dd/items/EZQVN5UK","http://zotero.org/users/11931443/items/EZQVN5UK"],"itemData":{"id":69,"type":"article-journal","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site.\nCONCLUSION: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bioinformatics","DOI":"10.1186/1471-2105-10-421","ISSN":"1471-2105","journalAbbreviation":"BMC Bioinformatics","language":"eng","note":"PMID: 20003500\nPMCID: PMC2803857","page":"421","source":"PubMed","title":"BLAST+: architecture and applications","title-short":"BLAST+","volume":"10","author":[{"family":"Camacho","given":"Christiam"},{"family":"Coulouris","given":"George"},{"family":"Avagyan","given":"Vahram"},{"family":"Ma","given":"Ning"},{"family":"Papadopoulos","given":"Jason"},{"family":"Bealer","given":"Kevin"},{"family":"Madden","given":"Thomas L."}],"issued":{"date-parts":[["2009",12,15]]}}}],"schema":"https://github.com/citation-style-language/schema/raw/master/csl-citation.json"} </w:instrText>
      </w:r>
      <w:r w:rsidRPr="00364AE7">
        <w:rPr>
          <w:sz w:val="24"/>
          <w:szCs w:val="24"/>
        </w:rPr>
        <w:fldChar w:fldCharType="separate"/>
      </w:r>
      <w:r w:rsidRPr="00364AE7">
        <w:rPr>
          <w:noProof/>
          <w:sz w:val="24"/>
          <w:szCs w:val="24"/>
        </w:rPr>
        <w:t>(20)</w:t>
      </w:r>
      <w:r w:rsidRPr="00364AE7">
        <w:rPr>
          <w:sz w:val="24"/>
          <w:szCs w:val="24"/>
        </w:rPr>
        <w:fldChar w:fldCharType="end"/>
      </w:r>
      <w:r w:rsidRPr="00364AE7">
        <w:rPr>
          <w:sz w:val="24"/>
          <w:szCs w:val="24"/>
        </w:rPr>
        <w:t>. Strain NLS-7</w:t>
      </w:r>
      <w:r w:rsidRPr="00364AE7">
        <w:rPr>
          <w:sz w:val="24"/>
          <w:szCs w:val="24"/>
          <w:vertAlign w:val="superscript"/>
        </w:rPr>
        <w:t>T</w:t>
      </w:r>
      <w:r w:rsidRPr="00364AE7">
        <w:rPr>
          <w:sz w:val="24"/>
          <w:szCs w:val="24"/>
        </w:rPr>
        <w:t xml:space="preserve"> shares 99.9%, 99.7%, and 99.6% sequence similarity with </w:t>
      </w:r>
      <w:r w:rsidRPr="00364AE7">
        <w:rPr>
          <w:i/>
          <w:iCs/>
          <w:sz w:val="24"/>
          <w:szCs w:val="24"/>
        </w:rPr>
        <w:t>M. hirsuta</w:t>
      </w:r>
      <w:r w:rsidRPr="00364AE7">
        <w:rPr>
          <w:sz w:val="24"/>
          <w:szCs w:val="24"/>
        </w:rPr>
        <w:t xml:space="preserve">, </w:t>
      </w:r>
      <w:r w:rsidRPr="00364AE7">
        <w:rPr>
          <w:i/>
          <w:iCs/>
          <w:sz w:val="24"/>
          <w:szCs w:val="24"/>
        </w:rPr>
        <w:t>M. silviterrae</w:t>
      </w:r>
      <w:r w:rsidRPr="00364AE7">
        <w:rPr>
          <w:sz w:val="24"/>
          <w:szCs w:val="24"/>
        </w:rPr>
        <w:t xml:space="preserve">, and </w:t>
      </w:r>
      <w:r w:rsidRPr="00364AE7">
        <w:rPr>
          <w:i/>
          <w:iCs/>
          <w:sz w:val="24"/>
          <w:szCs w:val="24"/>
        </w:rPr>
        <w:t>M. rosea</w:t>
      </w:r>
      <w:r w:rsidRPr="00364AE7">
        <w:rPr>
          <w:sz w:val="24"/>
          <w:szCs w:val="24"/>
        </w:rPr>
        <w:t>, respectively (</w:t>
      </w:r>
      <w:r w:rsidRPr="00364AE7">
        <w:rPr>
          <w:b/>
          <w:bCs/>
          <w:sz w:val="24"/>
          <w:szCs w:val="24"/>
        </w:rPr>
        <w:t>Supplemental Table 1</w:t>
      </w:r>
      <w:r w:rsidRPr="00364AE7">
        <w:rPr>
          <w:sz w:val="24"/>
          <w:szCs w:val="24"/>
        </w:rPr>
        <w:t>). A partial 16S rRNA sequence of strain NLS-7</w:t>
      </w:r>
      <w:r w:rsidRPr="00364AE7">
        <w:rPr>
          <w:sz w:val="24"/>
          <w:szCs w:val="24"/>
          <w:vertAlign w:val="superscript"/>
        </w:rPr>
        <w:t>T</w:t>
      </w:r>
      <w:r w:rsidRPr="00364AE7">
        <w:rPr>
          <w:sz w:val="24"/>
          <w:szCs w:val="24"/>
        </w:rPr>
        <w:t xml:space="preserve"> was also obtained by single gene PCR amplification and Sanger sequencing (Oklahoma Medical Research Foundation, Oklahoma City, USA). The primer set used for the single gene amplification was the 27F (5'-AGAGTTTGATCMTGGCTCAG-3') and 1492R (5'-TACGGYTACCTTGTTACGACTT-3’) </w:t>
      </w:r>
      <w:r w:rsidRPr="00364AE7">
        <w:rPr>
          <w:sz w:val="24"/>
          <w:szCs w:val="24"/>
        </w:rPr>
        <w:fldChar w:fldCharType="begin"/>
      </w:r>
      <w:r w:rsidRPr="00364AE7">
        <w:rPr>
          <w:sz w:val="24"/>
          <w:szCs w:val="24"/>
        </w:rPr>
        <w:instrText xml:space="preserve"> ADDIN ZOTERO_ITEM CSL_CITATION {"citationID":"D4lM2gJZ","properties":{"formattedCitation":"(27)","plainCitation":"(27)","noteIndex":0},"citationItems":[{"id":30,"uris":["http://zotero.org/users/local/ptYqL6dd/items/I8KM9KRB","http://zotero.org/users/11931443/items/I8KM9KRB"],"itemData":{"id":30,"type":"chapter","container-title":"Nucleic acid techniques in bacterial systematics","note":"E. Stackebrandt and M. Goodfellow, editors","page":"115-175","publisher":"John Wiley and Sons, New York","title":"16S/23S rRNA sequencing","author":[{"family":"Lane","given":"D.J."}],"issued":{"date-parts":[["1991"]]}}}],"schema":"https://github.com/citation-style-language/schema/raw/master/csl-citation.json"} </w:instrText>
      </w:r>
      <w:r w:rsidRPr="00364AE7">
        <w:rPr>
          <w:sz w:val="24"/>
          <w:szCs w:val="24"/>
        </w:rPr>
        <w:fldChar w:fldCharType="separate"/>
      </w:r>
      <w:r w:rsidRPr="00364AE7">
        <w:rPr>
          <w:sz w:val="24"/>
          <w:szCs w:val="24"/>
        </w:rPr>
        <w:t>(27)</w:t>
      </w:r>
      <w:r w:rsidRPr="00364AE7">
        <w:rPr>
          <w:sz w:val="24"/>
          <w:szCs w:val="24"/>
        </w:rPr>
        <w:fldChar w:fldCharType="end"/>
      </w:r>
      <w:r w:rsidRPr="00364AE7">
        <w:rPr>
          <w:b/>
          <w:sz w:val="24"/>
          <w:szCs w:val="24"/>
        </w:rPr>
        <w:t>.</w:t>
      </w:r>
      <w:r w:rsidRPr="00364AE7">
        <w:rPr>
          <w:sz w:val="24"/>
          <w:szCs w:val="24"/>
        </w:rPr>
        <w:t xml:space="preserve"> This partial region matches the 16S rRNA gene from the whole genome sequence. </w:t>
      </w:r>
      <w:bookmarkStart w:id="26" w:name="_Hlk123897349"/>
      <w:r w:rsidRPr="00364AE7">
        <w:rPr>
          <w:sz w:val="24"/>
          <w:szCs w:val="24"/>
        </w:rPr>
        <w:t xml:space="preserve">Genome-wide estimates of similarity (ANI, AAI and dDDH, </w:t>
      </w:r>
      <w:r w:rsidRPr="00364AE7">
        <w:rPr>
          <w:b/>
          <w:bCs/>
          <w:sz w:val="24"/>
          <w:szCs w:val="24"/>
        </w:rPr>
        <w:t>Table 1</w:t>
      </w:r>
      <w:r w:rsidRPr="00364AE7">
        <w:rPr>
          <w:sz w:val="24"/>
          <w:szCs w:val="24"/>
        </w:rPr>
        <w:t>) also show that strain NLS-7</w:t>
      </w:r>
      <w:r w:rsidRPr="00364AE7">
        <w:rPr>
          <w:sz w:val="24"/>
          <w:szCs w:val="24"/>
          <w:vertAlign w:val="superscript"/>
        </w:rPr>
        <w:t>T</w:t>
      </w:r>
      <w:r w:rsidRPr="00364AE7">
        <w:rPr>
          <w:sz w:val="24"/>
          <w:szCs w:val="24"/>
        </w:rPr>
        <w:t xml:space="preserve"> is most closely related to </w:t>
      </w:r>
      <w:r w:rsidRPr="00364AE7">
        <w:rPr>
          <w:i/>
          <w:iCs/>
          <w:sz w:val="24"/>
          <w:szCs w:val="24"/>
        </w:rPr>
        <w:t>M. silviterrae</w:t>
      </w:r>
      <w:r w:rsidRPr="00364AE7">
        <w:rPr>
          <w:sz w:val="24"/>
          <w:szCs w:val="24"/>
        </w:rPr>
        <w:t xml:space="preserve"> (93.03% ANI, 93.86% AAI, 53.7% dDDH), </w:t>
      </w:r>
      <w:r w:rsidRPr="00364AE7">
        <w:rPr>
          <w:i/>
          <w:iCs/>
          <w:sz w:val="24"/>
          <w:szCs w:val="24"/>
        </w:rPr>
        <w:t>M. hirsuta</w:t>
      </w:r>
      <w:r w:rsidRPr="00364AE7">
        <w:rPr>
          <w:sz w:val="24"/>
          <w:szCs w:val="24"/>
        </w:rPr>
        <w:t xml:space="preserve"> (92.63% ANI, 93.65% AAI, 54.1% dDDH), and </w:t>
      </w:r>
      <w:r w:rsidRPr="00364AE7">
        <w:rPr>
          <w:i/>
          <w:iCs/>
          <w:sz w:val="24"/>
          <w:szCs w:val="24"/>
        </w:rPr>
        <w:t>M. rosea</w:t>
      </w:r>
      <w:r w:rsidRPr="00364AE7">
        <w:rPr>
          <w:sz w:val="24"/>
          <w:szCs w:val="24"/>
        </w:rPr>
        <w:t xml:space="preserve"> (91.52% ANI, 92.04% AAI 46.1 % dDDH). These ANI and AAI values are below the 95% threshold used to delineate microbial species, and dDDH is less than 70% ranging from 20.9%-54.1% (</w:t>
      </w:r>
      <w:r w:rsidRPr="00364AE7">
        <w:rPr>
          <w:b/>
          <w:bCs/>
          <w:sz w:val="24"/>
          <w:szCs w:val="24"/>
        </w:rPr>
        <w:t>Table 1</w:t>
      </w:r>
      <w:r w:rsidRPr="00364AE7">
        <w:rPr>
          <w:sz w:val="24"/>
          <w:szCs w:val="24"/>
        </w:rPr>
        <w:t>). This  indicates that strain NLS-7</w:t>
      </w:r>
      <w:r w:rsidRPr="00364AE7">
        <w:rPr>
          <w:sz w:val="24"/>
          <w:szCs w:val="24"/>
          <w:vertAlign w:val="superscript"/>
        </w:rPr>
        <w:t>T</w:t>
      </w:r>
      <w:r w:rsidRPr="00364AE7">
        <w:rPr>
          <w:sz w:val="24"/>
          <w:szCs w:val="24"/>
        </w:rPr>
        <w:t xml:space="preserve"> is a novel species in the </w:t>
      </w:r>
      <w:r w:rsidRPr="00364AE7">
        <w:rPr>
          <w:i/>
          <w:iCs/>
          <w:sz w:val="24"/>
          <w:szCs w:val="24"/>
        </w:rPr>
        <w:t>Methylocystis</w:t>
      </w:r>
      <w:r w:rsidRPr="00364AE7">
        <w:rPr>
          <w:sz w:val="24"/>
          <w:szCs w:val="24"/>
        </w:rPr>
        <w:t xml:space="preserve"> genus </w:t>
      </w:r>
      <w:r w:rsidRPr="00364AE7">
        <w:rPr>
          <w:sz w:val="24"/>
          <w:szCs w:val="24"/>
        </w:rPr>
        <w:fldChar w:fldCharType="begin"/>
      </w:r>
      <w:r w:rsidRPr="00364AE7">
        <w:rPr>
          <w:sz w:val="24"/>
          <w:szCs w:val="24"/>
        </w:rPr>
        <w:instrText xml:space="preserve"> ADDIN ZOTERO_ITEM CSL_CITATION {"citationID":"0uu4Km9L","properties":{"formattedCitation":"(28\\uc0\\u8211{}30)","plainCitation":"(28–30)","noteIndex":0},"citationItems":[{"id":52,"uris":["http://zotero.org/users/local/ptYqL6dd/items/GTQVHKXQ","http://zotero.org/users/11931443/items/GTQVHKXQ"],"itemData":{"id":52,"type":"article-journal","abstract":"DNA–DNA hybridization (DDH) values have been used by bacterial taxonomists since the 1960s to determine relatedness between strains and are still the most important criterion in the delineation of bacterial species. Since the extent of hybridization between a pair of strains is ultimately governed by their respective genomic sequences, we examined the quantitative relationship between DDH values and genome sequence-derived parameters, such as the average nucleotide identity (ANI) of common genes and the percentage of conserved DNA. A total of 124 DDH values were determined for 28 strains for which genome sequences were available. The strains belong to six important and diverse groups of bacteria for which the intra-group 16S rRNA gene sequence identity was greater than 94 %. The results revealed a close relationship between DDH values and ANI and between DNA–DNA hybridization and the percentage of conserved DNA for each pair of strains. The recommended cut-off point of 70 % DDH for species delineation corresponded to 95 % ANI and 69 % conserved DNA. When the analysis was restricted to the protein-coding portion of the genome, 70 % DDH corresponded to 85 % conserved genes for a pair of strains. These results reveal extensive gene diversity within the current concept of ‘species’. Examination of reciprocal values indicated that the level of experimental error associated with the DDH method is too high to reveal the subtle differences in genome size among the strains sampled. It is concluded that ANI can accurately replace DDH values for strains for which genome sequences are available.,","container-title":"International Journal of Systematic and Evolutionary Microbiology","DOI":"10.1099/ijs.0.64483-0","ISSN":"1466-5034,","issue":"1","journalAbbreviation":"Int. J. Syst. Evol. Microbiol.","note":"publisher: Microbiology Society,","page":"81-91","source":"Microbiology Society Journals","title":"DNA–DNA hybridization values and their relationship to whole-genome sequence similarities","volume":"57","author":[{"family":"Goris","given":"Johan"},{"family":"Konstantinidis","given":"Konstantinos T."},{"family":"Klappenbach","given":"Joel A."},{"family":"Coenye","given":"Tom"},{"family":"Vandamme","given":"Peter"},{"family":"Tiedje","given":"James M.YR 2007"}]}},{"id":13,"uris":["http://zotero.org/users/local/ptYqL6dd/items/WW7MXJSV","http://zotero.org/users/11931443/items/WW7MXJSV"],"itemData":{"id":13,"type":"article-journal","abstract":"To help advance the species definition for prokaryotes, we have compared the gene content of 70 closely related and fully sequenced bacterial genomes to identify whether species boundaries exist, and to determine the role of the organism's ecology on its shared gene content. We found the average nucleotide identity (ANI) of the shared genes between two strains to be a robust means to compare genetic relatedness among strains, and that ANI values of ≈94% corresponded to the traditional 70% DNA–DNA reassociation standard of the current species definition. At the 94% ANI cutoff, current species includes only moderately homogeneous strains, e.g., most of the &gt;4-Mb genomes share only 65–90% of their genes, apparently as a result of the strains having evolved in different ecological settings. Furthermore, diagnostic genetic signatures (boundaries) are evident between groups of strains of the same species, and the intergroup genetic similarity can be as high as 98–99% ANI, indicating that justifiable species might be found even among organisms that are nearly identical at the nucleotide level. Notably, a large fraction, e.g., up to 65%, of the differences in gene content within species is associated with bacteriophage and transposase elements, revealing an important role of these elements during bacterial speciation. Our findings are consistent with a definition for species that would include a more homogeneous set of strains than provided by the current definition and one that considers the ecology of the strains in addition to their evolutionary distance.","container-title":"Proceedings of the National Academy of Sciences","DOI":"10.1073/pnas.0409727102","ISSN":"0027-8424, 1091-6490","issue":"7","journalAbbreviation":"PNAS","language":"en","license":"Copyright © 2005, The National Academy of Sciences","note":"publisher: National Academy of Sciences\nsection: Biological Sciences\nPMID: 15701695","page":"2567-2572","source":"www.pnas.org","title":"Genomic insights that advance the species definition for prokaryotes","volume":"102","author":[{"family":"Konstantinidis","given":"Konstantinos T."},{"family":"Tiedje","given":"James M."}],"issued":{"date-parts":[["2005",2,15]]}}},{"id":41,"uris":["http://zotero.org/users/local/ptYqL6dd/items/A294QP3D","http://zotero.org/users/11931443/items/A294QP3D"],"itemData":{"id":41,"type":"article-journal","container-title":"Journal of Bacteriology","DOI":"10.1128/JB.187.18.6258-6264.2005","issue":"18","journalAbbreviation":"J. Bacteriol.","note":"publisher: American Society for Microbiology","page":"6258-6264","source":"journals.asm.org (Atypon)","title":"Towards a genome-based taxonomy for prokaryotes","volume":"187","author":[{"family":"Konstantinidis","given":"Konstantinos T."},{"family":"Tiedje","given":"James M."}],"issued":{"date-parts":[["2005",9,15]]}}}],"schema":"https://github.com/citation-style-language/schema/raw/master/csl-citation.json"} </w:instrText>
      </w:r>
      <w:r w:rsidRPr="00364AE7">
        <w:rPr>
          <w:sz w:val="24"/>
          <w:szCs w:val="24"/>
        </w:rPr>
        <w:fldChar w:fldCharType="separate"/>
      </w:r>
      <w:r w:rsidRPr="00364AE7">
        <w:rPr>
          <w:sz w:val="24"/>
          <w:szCs w:val="24"/>
        </w:rPr>
        <w:t>(28–30)</w:t>
      </w:r>
      <w:r w:rsidRPr="00364AE7">
        <w:rPr>
          <w:sz w:val="24"/>
          <w:szCs w:val="24"/>
        </w:rPr>
        <w:fldChar w:fldCharType="end"/>
      </w:r>
      <w:r w:rsidRPr="00364AE7">
        <w:rPr>
          <w:sz w:val="24"/>
          <w:szCs w:val="24"/>
        </w:rPr>
        <w:t>.</w:t>
      </w:r>
      <w:bookmarkEnd w:id="26"/>
      <w:r w:rsidRPr="00364AE7">
        <w:rPr>
          <w:sz w:val="24"/>
          <w:szCs w:val="24"/>
        </w:rPr>
        <w:t xml:space="preserve"> The multi-gene UBCG phylogenetic tree (</w:t>
      </w:r>
      <w:r w:rsidRPr="00364AE7">
        <w:rPr>
          <w:b/>
          <w:bCs/>
          <w:sz w:val="24"/>
          <w:szCs w:val="24"/>
        </w:rPr>
        <w:t>Figure 1</w:t>
      </w:r>
      <w:r w:rsidRPr="00364AE7">
        <w:rPr>
          <w:sz w:val="24"/>
          <w:szCs w:val="24"/>
        </w:rPr>
        <w:t>) shows that strain NLS-7</w:t>
      </w:r>
      <w:r w:rsidRPr="00364AE7">
        <w:rPr>
          <w:sz w:val="24"/>
          <w:szCs w:val="24"/>
          <w:vertAlign w:val="superscript"/>
        </w:rPr>
        <w:t>T</w:t>
      </w:r>
      <w:r w:rsidRPr="00364AE7">
        <w:rPr>
          <w:sz w:val="24"/>
          <w:szCs w:val="24"/>
        </w:rPr>
        <w:t xml:space="preserve"> forms a robust cluster with </w:t>
      </w:r>
      <w:r w:rsidRPr="00364AE7">
        <w:rPr>
          <w:i/>
          <w:iCs/>
          <w:sz w:val="24"/>
          <w:szCs w:val="24"/>
        </w:rPr>
        <w:t>M. silviterrae</w:t>
      </w:r>
      <w:r w:rsidRPr="00364AE7">
        <w:rPr>
          <w:sz w:val="24"/>
          <w:szCs w:val="24"/>
        </w:rPr>
        <w:t xml:space="preserve">, </w:t>
      </w:r>
      <w:r w:rsidRPr="00364AE7">
        <w:rPr>
          <w:i/>
          <w:iCs/>
          <w:sz w:val="24"/>
          <w:szCs w:val="24"/>
        </w:rPr>
        <w:t>M. hirsuta</w:t>
      </w:r>
      <w:r w:rsidRPr="00364AE7">
        <w:rPr>
          <w:sz w:val="24"/>
          <w:szCs w:val="24"/>
        </w:rPr>
        <w:t xml:space="preserve">, and </w:t>
      </w:r>
      <w:r w:rsidRPr="00364AE7">
        <w:rPr>
          <w:i/>
          <w:iCs/>
          <w:sz w:val="24"/>
          <w:szCs w:val="24"/>
        </w:rPr>
        <w:t>M. rosea</w:t>
      </w:r>
      <w:r w:rsidRPr="00364AE7">
        <w:rPr>
          <w:sz w:val="24"/>
          <w:szCs w:val="24"/>
        </w:rPr>
        <w:t xml:space="preserve"> and is distinct from </w:t>
      </w:r>
      <w:r w:rsidRPr="00364AE7">
        <w:rPr>
          <w:i/>
          <w:iCs/>
          <w:sz w:val="24"/>
          <w:szCs w:val="24"/>
        </w:rPr>
        <w:t>M. parva, M. heyeri</w:t>
      </w:r>
      <w:r w:rsidRPr="00364AE7">
        <w:rPr>
          <w:sz w:val="24"/>
          <w:szCs w:val="24"/>
        </w:rPr>
        <w:t xml:space="preserve">, and </w:t>
      </w:r>
      <w:r w:rsidRPr="00364AE7">
        <w:rPr>
          <w:i/>
          <w:iCs/>
          <w:sz w:val="24"/>
          <w:szCs w:val="24"/>
        </w:rPr>
        <w:t xml:space="preserve">M. bryophila </w:t>
      </w:r>
      <w:r w:rsidRPr="00364AE7">
        <w:rPr>
          <w:sz w:val="24"/>
          <w:szCs w:val="24"/>
        </w:rPr>
        <w:t>(</w:t>
      </w:r>
      <w:r w:rsidRPr="00364AE7">
        <w:rPr>
          <w:b/>
          <w:bCs/>
          <w:sz w:val="24"/>
          <w:szCs w:val="24"/>
        </w:rPr>
        <w:t>Figure 1</w:t>
      </w:r>
      <w:r w:rsidRPr="00364AE7">
        <w:rPr>
          <w:sz w:val="24"/>
          <w:szCs w:val="24"/>
        </w:rPr>
        <w:t>). To further show the phylogenetic relationship between strain NLS-7</w:t>
      </w:r>
      <w:r w:rsidRPr="00364AE7">
        <w:rPr>
          <w:sz w:val="24"/>
          <w:szCs w:val="24"/>
          <w:vertAlign w:val="superscript"/>
        </w:rPr>
        <w:t>T</w:t>
      </w:r>
      <w:r w:rsidRPr="00364AE7">
        <w:rPr>
          <w:sz w:val="24"/>
          <w:szCs w:val="24"/>
        </w:rPr>
        <w:t xml:space="preserve"> and other relatives of the family</w:t>
      </w:r>
      <w:r w:rsidRPr="00364AE7">
        <w:rPr>
          <w:i/>
          <w:iCs/>
          <w:sz w:val="24"/>
          <w:szCs w:val="24"/>
        </w:rPr>
        <w:t xml:space="preserve"> Methylocystaceae</w:t>
      </w:r>
      <w:r w:rsidRPr="00364AE7">
        <w:rPr>
          <w:sz w:val="24"/>
          <w:szCs w:val="24"/>
        </w:rPr>
        <w:t>, phylogenetic trees were constructed based on nucleotide and conserved deduced amino acid sequences of genes (</w:t>
      </w:r>
      <w:r w:rsidRPr="00364AE7">
        <w:rPr>
          <w:i/>
          <w:iCs/>
          <w:sz w:val="24"/>
          <w:szCs w:val="24"/>
        </w:rPr>
        <w:t>pmoA</w:t>
      </w:r>
      <w:r w:rsidRPr="00364AE7">
        <w:rPr>
          <w:sz w:val="24"/>
          <w:szCs w:val="24"/>
        </w:rPr>
        <w:t xml:space="preserve">) encoding alpha subunit of particulate methane monooxygenase </w:t>
      </w:r>
      <w:r w:rsidRPr="00364AE7">
        <w:rPr>
          <w:sz w:val="24"/>
          <w:szCs w:val="24"/>
        </w:rPr>
        <w:lastRenderedPageBreak/>
        <w:t>(</w:t>
      </w:r>
      <w:r w:rsidRPr="00364AE7">
        <w:rPr>
          <w:b/>
          <w:bCs/>
          <w:sz w:val="24"/>
          <w:szCs w:val="24"/>
        </w:rPr>
        <w:t>Figure 2</w:t>
      </w:r>
      <w:r w:rsidRPr="00364AE7">
        <w:rPr>
          <w:sz w:val="24"/>
          <w:szCs w:val="24"/>
        </w:rPr>
        <w:t xml:space="preserve">). The </w:t>
      </w:r>
      <w:r w:rsidRPr="00364AE7">
        <w:rPr>
          <w:i/>
          <w:iCs/>
          <w:sz w:val="24"/>
          <w:szCs w:val="24"/>
        </w:rPr>
        <w:t>pmoA</w:t>
      </w:r>
      <w:r w:rsidRPr="00364AE7">
        <w:rPr>
          <w:sz w:val="24"/>
          <w:szCs w:val="24"/>
        </w:rPr>
        <w:t xml:space="preserve"> gene is commonly used for ecological studies of methanotrophic bacteria </w:t>
      </w:r>
      <w:r w:rsidRPr="00364AE7">
        <w:rPr>
          <w:sz w:val="24"/>
          <w:szCs w:val="24"/>
        </w:rPr>
        <w:fldChar w:fldCharType="begin"/>
      </w:r>
      <w:r w:rsidRPr="00364AE7">
        <w:rPr>
          <w:sz w:val="24"/>
          <w:szCs w:val="24"/>
        </w:rPr>
        <w:instrText xml:space="preserve"> ADDIN ZOTERO_ITEM CSL_CITATION {"citationID":"IRrGO0m2","properties":{"formattedCitation":"(5,31)","plainCitation":"(5,31)","noteIndex":0},"citationItems":[{"id":48,"uris":["http://zotero.org/users/local/ptYqL6dd/items/GJJPYHFL","http://zotero.org/users/11931443/items/GJJPYHFL"],"itemData":{"id":48,"type":"article-journal","abstract":"Methane-oxidizing bacteria are characterized by their capability to grow on methane as sole source of carbon and energy. Cultivation-dependent and -independent methods have revealed that this functional guild of bacteria comprises a substantial diversity of organisms. In particular the use of cultivation-independent methods targeting a subunit of the particulate methane monooxygenase (pmoA) as functional marker for the detection of aerobic methanotrophs has resulted in thousands of sequences representing “unknown methanotrophic bacteria.” This limits data interpretation due to restricted information about these uncultured methanotrophs. A few groups of uncultivated methanotrophs are assumed to play important roles in methane oxidation in specific habitats, while the biology behind other sequence clusters remains still largely unknown. The discovery of evolutionary related monooxygenases in non-methanotrophic bacteria and of pmoA paralogs in methanotrophs requires that sequence clusters of uncultivated organisms have to be interpreted with care. This review article describes the present diversity of cultivated and uncultivated aerobic methanotrophic bacteria based on pmoA gene sequence diversity. It summarizes current knowledge about cultivated and major clusters of uncultivated methanotrophic bacteria and evaluates habitat specificity of these bacteria at different levels of taxonomic resolution. Habitat specificity exists for diverse lineages and at different taxonomic levels. Methanotrophic genera such as Methylocystis and Methylocaldum are identified as generalists, but they harbor habitat specific methanotrophs at species level. This finding implies that future studies should consider these diverging preferences at different taxonomic levels when analyzing methanotrophic communities.","container-title":"Frontiers in Microbiology","DOI":"10.3389/fmicb.2015.01346","ISSN":"1664-302X","journalAbbreviation":"Front. Microbiol.","page":"1346","source":"Frontiers","title":"Diversity and Habitat Preferences of Cultivated and Uncultivated Aerobic Methanotrophic Bacteria Evaluated Based on pmoA as Molecular Marker","volume":"6","author":[{"family":"Knief","given":"Claudia"}],"issued":{"date-parts":[["2015"]]}}},{"id":365,"uris":["http://zotero.org/users/11931443/items/VM3GKS5X"],"itemData":{"id":365,"type":"article-journal","abstract":"Global warming and eutrophication contribute to the worldwide increase in cyanobacterial blooms, and the level of cyanobacterial biomass is strongly associated with rises in methane emissions from surface lake waters. Hence, methane-metabolizing microorganisms may be important for modulating carbon flow in cyanobacterial blooms. Here, we surveyed methanogenic and methanotrophic communities associated with floating Microcystis aggregates in 10 lakes spanning four continents, through sequencing of 16S rRNA and functional marker genes. Methanogenic archaea (mainly Methanoregula and Methanosaeta) were detectable in 5 of the 10 lakes and constituted the majority (~50%-90%) of the archaeal community in these lakes. Three of the 10 lakes contained relatively more abundant methanotrophs than the other seven lakes, with the methanotrophic genera Methyloparacoccus, Crenothrix, and an uncultured species related to Methylobacter dominating and nearly exclusively found in each of those three lakes. These three are among the five lakes in which methanogens were observed. Operational taxonomic unit (OTU) richness and abundance of methanotrophs were strongly positively correlated with those of methanogens, suggesting that their activities may be coupled. These Microcystis-aggregate-associated methanotrophs may be responsible for a hitherto overlooked sink for methane in surface freshwaters, and their co-occurrence with methanogens sheds light on the methane cycle in cyanobacterial aggregates.","container-title":"Environmental Microbiology","DOI":"10.1111/1462-2920.15691","ISSN":"1462-2920","issue":"11","journalAbbreviation":"Environ Microbiol","language":"eng","note":"PMID: 34327792","page":"6503-6519","source":"PubMed","title":"Global co-occurrence of methanogenic archaea and methanotrophic bacteria in Microcystis aggregates","volume":"23","author":[{"family":"Li","given":"Chuang"},{"family":"Hambright","given":"K. David"},{"family":"Bowen","given":"Hannah G."},{"family":"Trammell","given":"Majoi A."},{"family":"Grossart","given":"Hans-Peter"},{"family":"Burford","given":"Michele A."},{"family":"Hamilton","given":"David P."},{"family":"Jiang","given":"Helong"},{"family":"Latour","given":"Delphine"},{"family":"Meyer","given":"Elisabeth I."},{"family":"Padisák","given":"Judit"},{"family":"Zamor","given":"Richard M."},{"family":"Krumholz","given":"Lee R."}],"issued":{"date-parts":[["2021",11]]}}}],"schema":"https://github.com/citation-style-language/schema/raw/master/csl-citation.json"} </w:instrText>
      </w:r>
      <w:r w:rsidRPr="00364AE7">
        <w:rPr>
          <w:sz w:val="24"/>
          <w:szCs w:val="24"/>
        </w:rPr>
        <w:fldChar w:fldCharType="separate"/>
      </w:r>
      <w:r w:rsidRPr="00364AE7">
        <w:rPr>
          <w:noProof/>
          <w:sz w:val="24"/>
          <w:szCs w:val="24"/>
        </w:rPr>
        <w:t>(5,31)</w:t>
      </w:r>
      <w:r w:rsidRPr="00364AE7">
        <w:rPr>
          <w:sz w:val="24"/>
          <w:szCs w:val="24"/>
        </w:rPr>
        <w:fldChar w:fldCharType="end"/>
      </w:r>
      <w:r w:rsidRPr="00364AE7">
        <w:rPr>
          <w:sz w:val="24"/>
          <w:szCs w:val="24"/>
        </w:rPr>
        <w:t xml:space="preserve">. This was done by extracting the </w:t>
      </w:r>
      <w:r w:rsidRPr="00364AE7">
        <w:rPr>
          <w:i/>
          <w:iCs/>
          <w:sz w:val="24"/>
          <w:szCs w:val="24"/>
        </w:rPr>
        <w:t xml:space="preserve">pmoA </w:t>
      </w:r>
      <w:r w:rsidRPr="00364AE7">
        <w:rPr>
          <w:sz w:val="24"/>
          <w:szCs w:val="24"/>
        </w:rPr>
        <w:t xml:space="preserve">gene nucleotide sequences from the NCBI reference genomes </w:t>
      </w:r>
      <w:r w:rsidRPr="00364AE7">
        <w:rPr>
          <w:sz w:val="24"/>
          <w:szCs w:val="24"/>
        </w:rPr>
        <w:fldChar w:fldCharType="begin"/>
      </w:r>
      <w:r w:rsidRPr="00364AE7">
        <w:rPr>
          <w:sz w:val="24"/>
          <w:szCs w:val="24"/>
        </w:rPr>
        <w:instrText xml:space="preserve"> ADDIN ZOTERO_ITEM CSL_CITATION {"citationID":"zyN9aG9a","properties":{"formattedCitation":"(16)","plainCitation":"(16)","noteIndex":0},"citationItems":[{"id":72,"uris":["http://zotero.org/users/local/ptYqL6dd/items/98QEP4DC","http://zotero.org/users/11931443/items/98QEP4DC"],"itemData":{"id":72,"type":"article-journal","abstract":"The RefSeq project at the National Center for Biotechnology Information (NCBI) maintains and curates a publicly available database of annotated genomic, transcript, and protein sequence records (http://www.ncbi.nlm.nih.gov/refseq/). The RefSeq project leverages the data submitted to the International Nucleotide Sequence Database Collaboration (INSDC) against a combination of computation, manual curation, and collaboration to produce a standard set of stable, non-redundant reference sequences. The RefSeq project augments these reference sequences with current knowledge including publications, functional features and informative nomenclature. The database currently represents sequences from more than 55,000 organisms (&gt;4800 viruses, &gt;40,000 prokaryotes and &gt;10,000 eukaryotes; RefSeq release 71), ranging from a single record to complete genomes. This paper summarizes the current status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taxonomic validation, genome annotation, comparative genomics, and clinical testing. We summarize our approach to utilizing available RNA-Seq and other data types in our manual curation process for vertebrate, plant, and other species, and describe a new direction for prokaryotic genomes and protein name management.","container-title":"Nucleic Acids Research","DOI":"10.1093/nar/gkv1189","ISSN":"1362-4962","issue":"D1","journalAbbreviation":"Nucleic Acids Res","language":"eng","note":"PMID: 26553804\nPMCID: PMC4702849","page":"D733-745","source":"PubMed","title":"Reference sequence (RefSeq) database at NCBI: current status, taxonomic expansion, and functional annotation","title-short":"Reference sequence (RefSeq) database at NCBI","volume":"44","author":[{"family":"O'Leary","given":"Nuala A."},{"family":"Wright","given":"Mathew W."},{"family":"Brister","given":"J. Rodney"},{"family":"Ciufo","given":"Stacy"},{"family":"Haddad","given":"Diana"},{"family":"McVeigh","given":"Rich"},{"family":"Rajput","given":"Bhanu"},{"family":"Robbertse","given":"Barbara"},{"family":"Smith-White","given":"Brian"},{"family":"Ako-Adjei","given":"Danso"},{"family":"Astashyn","given":"Alexander"},{"family":"Badretdin","given":"Azat"},{"family":"Bao","given":"Yiming"},{"family":"Blinkova","given":"Olga"},{"family":"Brover","given":"Vyacheslav"},{"family":"Chetvernin","given":"Vyacheslav"},{"family":"Choi","given":"Jinna"},{"family":"Cox","given":"Eric"},{"family":"Ermolaeva","given":"Olga"},{"family":"Farrell","given":"Catherine M."},{"family":"Goldfarb","given":"Tamara"},{"family":"Gupta","given":"Tripti"},{"family":"Haft","given":"Daniel"},{"family":"Hatcher","given":"Eneida"},{"family":"Hlavina","given":"Wratko"},{"family":"Joardar","given":"Vinita S."},{"family":"Kodali","given":"Vamsi K."},{"family":"Li","given":"Wenjun"},{"family":"Maglott","given":"Donna"},{"family":"Masterson","given":"Patrick"},{"family":"McGarvey","given":"Kelly M."},{"family":"Murphy","given":"Michael R."},{"family":"O'Neill","given":"Kathleen"},{"family":"Pujar","given":"Shashikant"},{"family":"Rangwala","given":"Sanjida H."},{"family":"Rausch","given":"Daniel"},{"family":"Riddick","given":"Lillian D."},{"family":"Schoch","given":"Conrad"},{"family":"Shkeda","given":"Andrei"},{"family":"Storz","given":"Susan S."},{"family":"Sun","given":"Hanzhen"},{"family":"Thibaud-Nissen","given":"Francoise"},{"family":"Tolstoy","given":"Igor"},{"family":"Tully","given":"Raymond E."},{"family":"Vatsan","given":"Anjana R."},{"family":"Wallin","given":"Craig"},{"family":"Webb","given":"David"},{"family":"Wu","given":"Wendy"},{"family":"Landrum","given":"Melissa J."},{"family":"Kimchi","given":"Avi"},{"family":"Tatusova","given":"Tatiana"},{"family":"DiCuccio","given":"Michael"},{"family":"Kitts","given":"Paul"},{"family":"Murphy","given":"Terence D."},{"family":"Pruitt","given":"Kim D."}],"issued":{"date-parts":[["2016",1,4]]}}}],"schema":"https://github.com/citation-style-language/schema/raw/master/csl-citation.json"} </w:instrText>
      </w:r>
      <w:r w:rsidRPr="00364AE7">
        <w:rPr>
          <w:sz w:val="24"/>
          <w:szCs w:val="24"/>
        </w:rPr>
        <w:fldChar w:fldCharType="separate"/>
      </w:r>
      <w:r w:rsidRPr="00364AE7">
        <w:rPr>
          <w:noProof/>
          <w:sz w:val="24"/>
          <w:szCs w:val="24"/>
        </w:rPr>
        <w:t>(16)</w:t>
      </w:r>
      <w:r w:rsidRPr="00364AE7">
        <w:rPr>
          <w:sz w:val="24"/>
          <w:szCs w:val="24"/>
        </w:rPr>
        <w:fldChar w:fldCharType="end"/>
      </w:r>
      <w:r w:rsidRPr="00364AE7">
        <w:rPr>
          <w:sz w:val="24"/>
          <w:szCs w:val="24"/>
        </w:rPr>
        <w:t xml:space="preserve"> by annotation with prokka (v 1.14.6) </w:t>
      </w:r>
      <w:r w:rsidRPr="00364AE7">
        <w:rPr>
          <w:sz w:val="24"/>
          <w:szCs w:val="24"/>
        </w:rPr>
        <w:fldChar w:fldCharType="begin"/>
      </w:r>
      <w:r w:rsidRPr="00364AE7">
        <w:rPr>
          <w:sz w:val="24"/>
          <w:szCs w:val="24"/>
        </w:rPr>
        <w:instrText xml:space="preserve"> ADDIN ZOTERO_ITEM CSL_CITATION {"citationID":"pdZ44q80","properties":{"formattedCitation":"(32)","plainCitation":"(32)","noteIndex":0},"citationItems":[{"id":344,"uris":["http://zotero.org/users/11931443/items/YLQ7ZGXU"],"itemData":{"id":344,"type":"article-journal","abstract":"Summary: The multiplex capability and high yield of current day DNA-sequencing instruments has made bacterial whole genome sequencing a routine affair. The subsequent de novo assembly of reads into contigs has been well addressed. The final step of annotating all relevant genomic features on those contigs can be achieved slowly using existing web- and email-based systems, but these are not applicable for sensitive data or integrating into computational pipelines. Here we introduce Prokka, a command line software tool to fully annotate a draft bacterial genome in about 10 min on a typical desktop computer. It produces standards-compliant output files for further analysis or viewing in genome browsers. Availability and implementation: Prokka is implemented in Perl and is freely available under an open source GPLv2 license from http://vicbioinformatics.com/ . Contact:  torsten.seemann@monash.edu","container-title":"Bioinformatics","DOI":"10.1093/bioinformatics/btu153","ISSN":"1367-4803","issue":"14","journalAbbreviation":"Bioinformatics","page":"2068-2069","source":"Silverchair","title":"Prokka: rapid prokaryotic genome annotation","title-short":"Prokka","volume":"30","author":[{"family":"Seemann","given":"Torsten"}],"issued":{"date-parts":[["2014",7,15]]}}}],"schema":"https://github.com/citation-style-language/schema/raw/master/csl-citation.json"} </w:instrText>
      </w:r>
      <w:r w:rsidRPr="00364AE7">
        <w:rPr>
          <w:sz w:val="24"/>
          <w:szCs w:val="24"/>
        </w:rPr>
        <w:fldChar w:fldCharType="separate"/>
      </w:r>
      <w:r w:rsidRPr="00364AE7">
        <w:rPr>
          <w:noProof/>
          <w:sz w:val="24"/>
          <w:szCs w:val="24"/>
        </w:rPr>
        <w:t>(32)</w:t>
      </w:r>
      <w:r w:rsidRPr="00364AE7">
        <w:rPr>
          <w:sz w:val="24"/>
          <w:szCs w:val="24"/>
        </w:rPr>
        <w:fldChar w:fldCharType="end"/>
      </w:r>
      <w:r w:rsidRPr="00364AE7">
        <w:rPr>
          <w:sz w:val="24"/>
          <w:szCs w:val="24"/>
        </w:rPr>
        <w:t xml:space="preserve"> and then the tree was constructed using FastTree (v2.1) </w:t>
      </w:r>
      <w:r w:rsidRPr="00364AE7">
        <w:rPr>
          <w:sz w:val="24"/>
          <w:szCs w:val="24"/>
        </w:rPr>
        <w:fldChar w:fldCharType="begin"/>
      </w:r>
      <w:r w:rsidRPr="00364AE7">
        <w:rPr>
          <w:sz w:val="24"/>
          <w:szCs w:val="24"/>
        </w:rPr>
        <w:instrText xml:space="preserve"> ADDIN ZOTERO_ITEM CSL_CITATION {"citationID":"Dw9hZ95V","properties":{"formattedCitation":"(33)","plainCitation":"(33)","noteIndex":0},"citationItems":[{"id":340,"uris":["http://zotero.org/users/11931443/items/Z347JEXW"],"itemData":{"id":340,"type":"article-journal","abstract":"Background We recently described FastTree, a tool for inferring phylogenies for alignments with up to hundreds of thousands of sequences. Here, we describe improvements to FastTree that improve its accuracy without sacrificing scalability. Methodology/Principal Findings Where FastTree 1 used nearest-neighbor interchanges (NNIs) and the minimum-evolution criterion to improve the tree, FastTree 2 adds minimum-evolution subtree-pruning-regrafting (SPRs) and maximum-likelihood NNIs. FastTree 2 uses heuristics to restrict the search for better trees and estimates a rate of evolution for each site (the “CAT” approximation). Nevertheless, for both simulated and genuine alignments, FastTree 2 is slightly more accurate than a standard implementation of maximum-likelihood NNIs (PhyML 3 with default settings). Although FastTree 2 is not quite as accurate as methods that use maximum-likelihood SPRs, most of the splits that disagree are poorly supported, and for large alignments, FastTree 2 is 100–1,000 times faster. FastTree 2 inferred a topology and likelihood-based local support values for 237,882 distinct 16S ribosomal RNAs on a desktop computer in 22 hours and 5.8 gigabytes of memory. Conclusions/Significance FastTree 2 allows the inference of maximum-likelihood phylogenies for huge alignments. FastTree 2 is freely available at http://www.microbesonline.org/fasttree.","container-title":"PLOS ONE","DOI":"10.1371/journal.pone.0009490","ISSN":"1932-6203","issue":"3","journalAbbreviation":"PLOS ONE","language":"en","note":"publisher: Public Library of Science","page":"e9490","source":"PLoS Journals","title":"FastTree 2 – Approximately Maximum-Likelihood Trees for Large Alignments","volume":"5","author":[{"family":"Price","given":"Morgan N."},{"family":"Dehal","given":"Paramvir S."},{"family":"Arkin","given":"Adam P."}],"issued":{"date-parts":[["2010",3,10]]}}}],"schema":"https://github.com/citation-style-language/schema/raw/master/csl-citation.json"} </w:instrText>
      </w:r>
      <w:r w:rsidRPr="00364AE7">
        <w:rPr>
          <w:sz w:val="24"/>
          <w:szCs w:val="24"/>
        </w:rPr>
        <w:fldChar w:fldCharType="separate"/>
      </w:r>
      <w:r w:rsidRPr="00364AE7">
        <w:rPr>
          <w:noProof/>
          <w:sz w:val="24"/>
          <w:szCs w:val="24"/>
        </w:rPr>
        <w:t>(33)</w:t>
      </w:r>
      <w:r w:rsidRPr="00364AE7">
        <w:rPr>
          <w:sz w:val="24"/>
          <w:szCs w:val="24"/>
        </w:rPr>
        <w:fldChar w:fldCharType="end"/>
      </w:r>
      <w:r w:rsidR="006E624A">
        <w:rPr>
          <w:sz w:val="24"/>
          <w:szCs w:val="24"/>
        </w:rPr>
        <w:t xml:space="preserve">. </w:t>
      </w:r>
    </w:p>
    <w:p w14:paraId="1EFA6B34" w14:textId="7FA3F474" w:rsidR="00364AE7" w:rsidRDefault="00364AE7" w:rsidP="00364AE7">
      <w:pPr>
        <w:spacing w:line="480" w:lineRule="auto"/>
        <w:rPr>
          <w:sz w:val="24"/>
          <w:szCs w:val="24"/>
        </w:rPr>
      </w:pPr>
      <w:r>
        <w:rPr>
          <w:noProof/>
          <w:sz w:val="24"/>
          <w:szCs w:val="24"/>
          <w14:ligatures w14:val="standardContextual"/>
        </w:rPr>
        <w:drawing>
          <wp:inline distT="0" distB="0" distL="0" distR="0" wp14:anchorId="4603D925" wp14:editId="46EB0CD4">
            <wp:extent cx="5943600" cy="4938738"/>
            <wp:effectExtent l="0" t="0" r="0" b="0"/>
            <wp:docPr id="1007277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77081" name="Picture 1007277081"/>
                    <pic:cNvPicPr/>
                  </pic:nvPicPr>
                  <pic:blipFill>
                    <a:blip r:embed="rId12">
                      <a:extLst>
                        <a:ext uri="{28A0092B-C50C-407E-A947-70E740481C1C}">
                          <a14:useLocalDpi xmlns:a14="http://schemas.microsoft.com/office/drawing/2010/main" val="0"/>
                        </a:ext>
                      </a:extLst>
                    </a:blip>
                    <a:stretch>
                      <a:fillRect/>
                    </a:stretch>
                  </pic:blipFill>
                  <pic:spPr>
                    <a:xfrm>
                      <a:off x="0" y="0"/>
                      <a:ext cx="5950780" cy="4944704"/>
                    </a:xfrm>
                    <a:prstGeom prst="rect">
                      <a:avLst/>
                    </a:prstGeom>
                  </pic:spPr>
                </pic:pic>
              </a:graphicData>
            </a:graphic>
          </wp:inline>
        </w:drawing>
      </w:r>
    </w:p>
    <w:p w14:paraId="4533CA3D" w14:textId="37EBBEEB" w:rsidR="00364AE7" w:rsidRPr="00FA2DD0" w:rsidRDefault="006A2F31" w:rsidP="00FA2DD0">
      <w:pPr>
        <w:pStyle w:val="Heading5"/>
      </w:pPr>
      <w:bookmarkStart w:id="27" w:name="_Toc161933722"/>
      <w:bookmarkStart w:id="28" w:name="_Toc161935359"/>
      <w:r w:rsidRPr="00FA2DD0">
        <w:rPr>
          <w:rStyle w:val="Heading5Char"/>
          <w:b/>
          <w:bCs/>
        </w:rPr>
        <w:t>Figure 1: Methylocystis UBCG Phylogenetic Tree</w:t>
      </w:r>
      <w:bookmarkEnd w:id="27"/>
      <w:bookmarkEnd w:id="28"/>
    </w:p>
    <w:p w14:paraId="7CB7DB1C" w14:textId="0AD91CBF" w:rsidR="00364AE7" w:rsidRPr="00364AE7" w:rsidRDefault="00364AE7" w:rsidP="00364AE7">
      <w:pPr>
        <w:spacing w:line="480" w:lineRule="auto"/>
        <w:rPr>
          <w:sz w:val="24"/>
          <w:szCs w:val="24"/>
        </w:rPr>
      </w:pPr>
      <w:r>
        <w:rPr>
          <w:noProof/>
          <w:sz w:val="24"/>
          <w:szCs w:val="24"/>
          <w14:ligatures w14:val="standardContextual"/>
        </w:rPr>
        <w:lastRenderedPageBreak/>
        <w:drawing>
          <wp:inline distT="0" distB="0" distL="0" distR="0" wp14:anchorId="46308E86" wp14:editId="68F30BAB">
            <wp:extent cx="5829300" cy="2453640"/>
            <wp:effectExtent l="0" t="0" r="0" b="0"/>
            <wp:docPr id="119453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5309" name="Picture 11945309"/>
                    <pic:cNvPicPr/>
                  </pic:nvPicPr>
                  <pic:blipFill rotWithShape="1">
                    <a:blip r:embed="rId13">
                      <a:extLst>
                        <a:ext uri="{28A0092B-C50C-407E-A947-70E740481C1C}">
                          <a14:useLocalDpi xmlns:a14="http://schemas.microsoft.com/office/drawing/2010/main" val="0"/>
                        </a:ext>
                      </a:extLst>
                    </a:blip>
                    <a:srcRect l="6768" t="14870" r="8456" b="16275"/>
                    <a:stretch/>
                  </pic:blipFill>
                  <pic:spPr bwMode="auto">
                    <a:xfrm>
                      <a:off x="0" y="0"/>
                      <a:ext cx="5857876" cy="2465668"/>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X="180" w:tblpY="648"/>
        <w:tblW w:w="9006" w:type="dxa"/>
        <w:tblLook w:val="04A0" w:firstRow="1" w:lastRow="0" w:firstColumn="1" w:lastColumn="0" w:noHBand="0" w:noVBand="1"/>
      </w:tblPr>
      <w:tblGrid>
        <w:gridCol w:w="2548"/>
        <w:gridCol w:w="2762"/>
        <w:gridCol w:w="1012"/>
        <w:gridCol w:w="1012"/>
        <w:gridCol w:w="1672"/>
      </w:tblGrid>
      <w:tr w:rsidR="000E1AC8" w:rsidRPr="00EF45A2" w14:paraId="7F19905A" w14:textId="77777777" w:rsidTr="00D441AA">
        <w:trPr>
          <w:trHeight w:val="196"/>
        </w:trPr>
        <w:tc>
          <w:tcPr>
            <w:tcW w:w="9006" w:type="dxa"/>
            <w:gridSpan w:val="5"/>
            <w:tcBorders>
              <w:bottom w:val="single" w:sz="4" w:space="0" w:color="auto"/>
            </w:tcBorders>
            <w:shd w:val="clear" w:color="auto" w:fill="auto"/>
            <w:noWrap/>
            <w:vAlign w:val="bottom"/>
          </w:tcPr>
          <w:p w14:paraId="5F05DDC4" w14:textId="1608E8D5" w:rsidR="000E1AC8" w:rsidRPr="00EF45A2" w:rsidRDefault="000E1AC8" w:rsidP="00D441AA">
            <w:pPr>
              <w:spacing w:after="0" w:line="240" w:lineRule="auto"/>
              <w:rPr>
                <w:rFonts w:ascii="Calibri" w:eastAsia="Times New Roman" w:hAnsi="Calibri" w:cs="Calibri"/>
                <w:b/>
                <w:bCs/>
                <w:color w:val="000000"/>
                <w:sz w:val="24"/>
                <w:szCs w:val="24"/>
              </w:rPr>
            </w:pPr>
            <w:r w:rsidRPr="00364AE7">
              <w:rPr>
                <w:rFonts w:eastAsia="Times New Roman"/>
                <w:b/>
                <w:bCs/>
                <w:color w:val="000000"/>
                <w:sz w:val="24"/>
                <w:szCs w:val="24"/>
              </w:rPr>
              <w:t>Table 1:</w:t>
            </w:r>
            <w:r w:rsidRPr="00364AE7">
              <w:rPr>
                <w:rFonts w:eastAsia="Times New Roman"/>
                <w:color w:val="000000"/>
                <w:sz w:val="24"/>
                <w:szCs w:val="24"/>
              </w:rPr>
              <w:t xml:space="preserve"> Comparative ANI, AAI, and dDDH values for characterized strains of species in the genus </w:t>
            </w:r>
            <w:r w:rsidRPr="00364AE7">
              <w:rPr>
                <w:rFonts w:eastAsia="Times New Roman"/>
                <w:i/>
                <w:iCs/>
                <w:color w:val="000000"/>
                <w:sz w:val="24"/>
                <w:szCs w:val="24"/>
              </w:rPr>
              <w:t xml:space="preserve">Methylocystis </w:t>
            </w:r>
            <w:r w:rsidRPr="00364AE7">
              <w:rPr>
                <w:rFonts w:eastAsia="Times New Roman"/>
                <w:color w:val="000000"/>
                <w:sz w:val="24"/>
                <w:szCs w:val="24"/>
              </w:rPr>
              <w:t>against strain NLS-7</w:t>
            </w:r>
            <w:r w:rsidRPr="00364AE7">
              <w:rPr>
                <w:rFonts w:eastAsia="Times New Roman"/>
                <w:color w:val="000000"/>
                <w:sz w:val="24"/>
                <w:szCs w:val="24"/>
                <w:vertAlign w:val="superscript"/>
              </w:rPr>
              <w:t>T</w:t>
            </w:r>
            <w:r w:rsidRPr="00364AE7">
              <w:rPr>
                <w:rFonts w:eastAsia="Times New Roman"/>
                <w:color w:val="000000"/>
                <w:sz w:val="24"/>
                <w:szCs w:val="24"/>
              </w:rPr>
              <w:t>. All ANI and AAI values are less than 95% and all dDDH values are less than 70% demonstrating species level delineation of strain NLS-7</w:t>
            </w:r>
            <w:r w:rsidRPr="00364AE7">
              <w:rPr>
                <w:rFonts w:eastAsia="Times New Roman"/>
                <w:color w:val="000000"/>
                <w:sz w:val="24"/>
                <w:szCs w:val="24"/>
                <w:vertAlign w:val="superscript"/>
              </w:rPr>
              <w:t>T</w:t>
            </w:r>
            <w:r w:rsidRPr="00364AE7">
              <w:rPr>
                <w:rFonts w:eastAsia="Times New Roman"/>
                <w:color w:val="000000"/>
                <w:sz w:val="24"/>
                <w:szCs w:val="24"/>
              </w:rPr>
              <w:t>.</w:t>
            </w:r>
          </w:p>
        </w:tc>
      </w:tr>
      <w:tr w:rsidR="00D441AA" w:rsidRPr="00EF45A2" w14:paraId="1F6C0043" w14:textId="77777777" w:rsidTr="00D441AA">
        <w:trPr>
          <w:trHeight w:val="19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1C29F" w14:textId="77777777" w:rsidR="00364AE7" w:rsidRPr="00BE4B05" w:rsidRDefault="00364AE7" w:rsidP="00D441AA">
            <w:pPr>
              <w:spacing w:after="0" w:line="240" w:lineRule="auto"/>
              <w:rPr>
                <w:rFonts w:eastAsia="Times New Roman"/>
                <w:b/>
                <w:bCs/>
                <w:color w:val="000000"/>
                <w:sz w:val="24"/>
                <w:szCs w:val="24"/>
              </w:rPr>
            </w:pPr>
            <w:r w:rsidRPr="00BE4B05">
              <w:rPr>
                <w:rFonts w:eastAsia="Times New Roman"/>
                <w:b/>
                <w:bCs/>
                <w:color w:val="000000"/>
                <w:sz w:val="24"/>
                <w:szCs w:val="24"/>
              </w:rPr>
              <w:t>Organism Name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1742A27" w14:textId="77777777" w:rsidR="00364AE7" w:rsidRPr="00BE4B05" w:rsidRDefault="00364AE7" w:rsidP="00D441AA">
            <w:pPr>
              <w:spacing w:after="0" w:line="240" w:lineRule="auto"/>
              <w:rPr>
                <w:rFonts w:eastAsia="Times New Roman"/>
                <w:b/>
                <w:bCs/>
                <w:color w:val="000000"/>
                <w:sz w:val="24"/>
                <w:szCs w:val="24"/>
              </w:rPr>
            </w:pPr>
            <w:r w:rsidRPr="00BE4B05">
              <w:rPr>
                <w:rFonts w:eastAsia="Times New Roman"/>
                <w:b/>
                <w:bCs/>
                <w:color w:val="000000"/>
                <w:sz w:val="24"/>
                <w:szCs w:val="24"/>
              </w:rPr>
              <w:t>GenBank ID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081CC38" w14:textId="77777777" w:rsidR="00364AE7" w:rsidRPr="00BE4B05" w:rsidRDefault="00364AE7" w:rsidP="00D441AA">
            <w:pPr>
              <w:spacing w:after="0" w:line="240" w:lineRule="auto"/>
              <w:jc w:val="center"/>
              <w:rPr>
                <w:rFonts w:eastAsia="Times New Roman"/>
                <w:b/>
                <w:bCs/>
                <w:color w:val="000000"/>
                <w:sz w:val="24"/>
                <w:szCs w:val="24"/>
              </w:rPr>
            </w:pPr>
            <w:r w:rsidRPr="00BE4B05">
              <w:rPr>
                <w:rFonts w:eastAsia="Times New Roman"/>
                <w:b/>
                <w:bCs/>
                <w:color w:val="000000"/>
                <w:sz w:val="24"/>
                <w:szCs w:val="24"/>
              </w:rPr>
              <w:t>ANI</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E846712" w14:textId="77777777" w:rsidR="00364AE7" w:rsidRPr="00BE4B05" w:rsidRDefault="00364AE7" w:rsidP="00D441AA">
            <w:pPr>
              <w:spacing w:after="0" w:line="240" w:lineRule="auto"/>
              <w:jc w:val="center"/>
              <w:rPr>
                <w:rFonts w:eastAsia="Times New Roman"/>
                <w:b/>
                <w:bCs/>
                <w:color w:val="000000"/>
                <w:sz w:val="24"/>
                <w:szCs w:val="24"/>
              </w:rPr>
            </w:pPr>
            <w:r w:rsidRPr="00BE4B05">
              <w:rPr>
                <w:rFonts w:eastAsia="Times New Roman"/>
                <w:b/>
                <w:bCs/>
                <w:color w:val="000000"/>
                <w:sz w:val="24"/>
                <w:szCs w:val="24"/>
              </w:rPr>
              <w:t>AAI</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687303F7" w14:textId="77777777" w:rsidR="00364AE7" w:rsidRPr="00BE4B05" w:rsidRDefault="00364AE7" w:rsidP="00D441AA">
            <w:pPr>
              <w:spacing w:after="0" w:line="240" w:lineRule="auto"/>
              <w:jc w:val="center"/>
              <w:rPr>
                <w:rFonts w:eastAsia="Times New Roman"/>
                <w:b/>
                <w:bCs/>
                <w:color w:val="000000"/>
                <w:sz w:val="24"/>
                <w:szCs w:val="24"/>
              </w:rPr>
            </w:pPr>
            <w:r w:rsidRPr="00BE4B05">
              <w:rPr>
                <w:rFonts w:eastAsia="Times New Roman"/>
                <w:b/>
                <w:bCs/>
                <w:color w:val="000000"/>
                <w:sz w:val="24"/>
                <w:szCs w:val="24"/>
              </w:rPr>
              <w:t>dDDH</w:t>
            </w:r>
          </w:p>
        </w:tc>
      </w:tr>
      <w:tr w:rsidR="00D441AA" w:rsidRPr="00EF45A2" w14:paraId="5C93A299"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2C28A"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M. bryophila</w:t>
            </w:r>
            <w:r w:rsidRPr="00BE4B05">
              <w:rPr>
                <w:rFonts w:eastAsia="Times New Roman"/>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AFDE473"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GCF_002117405.1</w:t>
            </w:r>
          </w:p>
        </w:tc>
        <w:tc>
          <w:tcPr>
            <w:tcW w:w="0" w:type="auto"/>
            <w:tcBorders>
              <w:top w:val="nil"/>
              <w:left w:val="nil"/>
              <w:bottom w:val="single" w:sz="4" w:space="0" w:color="auto"/>
              <w:right w:val="single" w:sz="4" w:space="0" w:color="auto"/>
            </w:tcBorders>
            <w:shd w:val="clear" w:color="auto" w:fill="auto"/>
            <w:noWrap/>
            <w:vAlign w:val="bottom"/>
            <w:hideMark/>
          </w:tcPr>
          <w:p w14:paraId="3931F216"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78.41</w:t>
            </w:r>
          </w:p>
        </w:tc>
        <w:tc>
          <w:tcPr>
            <w:tcW w:w="0" w:type="auto"/>
            <w:tcBorders>
              <w:top w:val="nil"/>
              <w:left w:val="nil"/>
              <w:bottom w:val="single" w:sz="4" w:space="0" w:color="auto"/>
              <w:right w:val="single" w:sz="4" w:space="0" w:color="auto"/>
            </w:tcBorders>
            <w:shd w:val="clear" w:color="auto" w:fill="auto"/>
            <w:noWrap/>
            <w:vAlign w:val="bottom"/>
            <w:hideMark/>
          </w:tcPr>
          <w:p w14:paraId="4C20F575"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64.60</w:t>
            </w:r>
          </w:p>
        </w:tc>
        <w:tc>
          <w:tcPr>
            <w:tcW w:w="1249" w:type="dxa"/>
            <w:tcBorders>
              <w:top w:val="nil"/>
              <w:left w:val="nil"/>
              <w:bottom w:val="single" w:sz="4" w:space="0" w:color="auto"/>
              <w:right w:val="single" w:sz="4" w:space="0" w:color="auto"/>
            </w:tcBorders>
            <w:shd w:val="clear" w:color="auto" w:fill="auto"/>
            <w:noWrap/>
            <w:vAlign w:val="bottom"/>
            <w:hideMark/>
          </w:tcPr>
          <w:p w14:paraId="27755D93"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20.9</w:t>
            </w:r>
          </w:p>
        </w:tc>
      </w:tr>
      <w:tr w:rsidR="00D441AA" w:rsidRPr="00EF45A2" w14:paraId="0082788D"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D1AB63"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 xml:space="preserve">M. echinoides </w:t>
            </w:r>
          </w:p>
        </w:tc>
        <w:tc>
          <w:tcPr>
            <w:tcW w:w="0" w:type="auto"/>
            <w:tcBorders>
              <w:top w:val="nil"/>
              <w:left w:val="nil"/>
              <w:bottom w:val="single" w:sz="4" w:space="0" w:color="auto"/>
              <w:right w:val="single" w:sz="4" w:space="0" w:color="auto"/>
            </w:tcBorders>
            <w:shd w:val="clear" w:color="auto" w:fill="auto"/>
            <w:noWrap/>
            <w:vAlign w:val="bottom"/>
            <w:hideMark/>
          </w:tcPr>
          <w:p w14:paraId="54A8CCB4"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GCF_027923385.1</w:t>
            </w:r>
          </w:p>
        </w:tc>
        <w:tc>
          <w:tcPr>
            <w:tcW w:w="0" w:type="auto"/>
            <w:tcBorders>
              <w:top w:val="nil"/>
              <w:left w:val="nil"/>
              <w:bottom w:val="single" w:sz="4" w:space="0" w:color="auto"/>
              <w:right w:val="single" w:sz="4" w:space="0" w:color="auto"/>
            </w:tcBorders>
            <w:shd w:val="clear" w:color="auto" w:fill="auto"/>
            <w:noWrap/>
            <w:vAlign w:val="bottom"/>
            <w:hideMark/>
          </w:tcPr>
          <w:p w14:paraId="6AC20A20"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79.89</w:t>
            </w:r>
          </w:p>
        </w:tc>
        <w:tc>
          <w:tcPr>
            <w:tcW w:w="0" w:type="auto"/>
            <w:tcBorders>
              <w:top w:val="nil"/>
              <w:left w:val="nil"/>
              <w:bottom w:val="single" w:sz="4" w:space="0" w:color="auto"/>
              <w:right w:val="single" w:sz="4" w:space="0" w:color="auto"/>
            </w:tcBorders>
            <w:shd w:val="clear" w:color="auto" w:fill="auto"/>
            <w:noWrap/>
            <w:vAlign w:val="bottom"/>
            <w:hideMark/>
          </w:tcPr>
          <w:p w14:paraId="310B6DAE"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70.89</w:t>
            </w:r>
          </w:p>
        </w:tc>
        <w:tc>
          <w:tcPr>
            <w:tcW w:w="1249" w:type="dxa"/>
            <w:tcBorders>
              <w:top w:val="nil"/>
              <w:left w:val="nil"/>
              <w:bottom w:val="single" w:sz="4" w:space="0" w:color="auto"/>
              <w:right w:val="single" w:sz="4" w:space="0" w:color="auto"/>
            </w:tcBorders>
            <w:shd w:val="clear" w:color="auto" w:fill="auto"/>
            <w:noWrap/>
            <w:vAlign w:val="bottom"/>
            <w:hideMark/>
          </w:tcPr>
          <w:p w14:paraId="1E7B6FF3"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22.1</w:t>
            </w:r>
          </w:p>
        </w:tc>
      </w:tr>
      <w:tr w:rsidR="00D441AA" w:rsidRPr="00EF45A2" w14:paraId="17FECD57"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576056"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 xml:space="preserve">M. parva </w:t>
            </w:r>
          </w:p>
        </w:tc>
        <w:tc>
          <w:tcPr>
            <w:tcW w:w="0" w:type="auto"/>
            <w:tcBorders>
              <w:top w:val="nil"/>
              <w:left w:val="nil"/>
              <w:bottom w:val="single" w:sz="4" w:space="0" w:color="auto"/>
              <w:right w:val="single" w:sz="4" w:space="0" w:color="auto"/>
            </w:tcBorders>
            <w:shd w:val="clear" w:color="auto" w:fill="auto"/>
            <w:noWrap/>
            <w:vAlign w:val="bottom"/>
            <w:hideMark/>
          </w:tcPr>
          <w:p w14:paraId="3B17960A"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GCF_009685195.1</w:t>
            </w:r>
          </w:p>
        </w:tc>
        <w:tc>
          <w:tcPr>
            <w:tcW w:w="0" w:type="auto"/>
            <w:tcBorders>
              <w:top w:val="nil"/>
              <w:left w:val="nil"/>
              <w:bottom w:val="single" w:sz="4" w:space="0" w:color="auto"/>
              <w:right w:val="single" w:sz="4" w:space="0" w:color="auto"/>
            </w:tcBorders>
            <w:shd w:val="clear" w:color="auto" w:fill="auto"/>
            <w:noWrap/>
            <w:vAlign w:val="bottom"/>
            <w:hideMark/>
          </w:tcPr>
          <w:p w14:paraId="12E3D7F6"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79.71</w:t>
            </w:r>
          </w:p>
        </w:tc>
        <w:tc>
          <w:tcPr>
            <w:tcW w:w="0" w:type="auto"/>
            <w:tcBorders>
              <w:top w:val="nil"/>
              <w:left w:val="nil"/>
              <w:bottom w:val="single" w:sz="4" w:space="0" w:color="auto"/>
              <w:right w:val="single" w:sz="4" w:space="0" w:color="auto"/>
            </w:tcBorders>
            <w:shd w:val="clear" w:color="auto" w:fill="auto"/>
            <w:noWrap/>
            <w:vAlign w:val="bottom"/>
            <w:hideMark/>
          </w:tcPr>
          <w:p w14:paraId="49E0BDC0"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72.05</w:t>
            </w:r>
          </w:p>
        </w:tc>
        <w:tc>
          <w:tcPr>
            <w:tcW w:w="1249" w:type="dxa"/>
            <w:tcBorders>
              <w:top w:val="nil"/>
              <w:left w:val="nil"/>
              <w:bottom w:val="single" w:sz="4" w:space="0" w:color="auto"/>
              <w:right w:val="single" w:sz="4" w:space="0" w:color="auto"/>
            </w:tcBorders>
            <w:shd w:val="clear" w:color="auto" w:fill="auto"/>
            <w:noWrap/>
            <w:vAlign w:val="bottom"/>
            <w:hideMark/>
          </w:tcPr>
          <w:p w14:paraId="4DDC503B"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22.0</w:t>
            </w:r>
          </w:p>
        </w:tc>
      </w:tr>
      <w:tr w:rsidR="00D441AA" w:rsidRPr="00EF45A2" w14:paraId="1A27A0F4"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183748"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M. iwaonis</w:t>
            </w:r>
            <w:r w:rsidRPr="00BE4B05">
              <w:rPr>
                <w:rFonts w:eastAsia="Times New Roman"/>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D0D933C"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GCF_027925385.1</w:t>
            </w:r>
          </w:p>
        </w:tc>
        <w:tc>
          <w:tcPr>
            <w:tcW w:w="0" w:type="auto"/>
            <w:tcBorders>
              <w:top w:val="nil"/>
              <w:left w:val="nil"/>
              <w:bottom w:val="single" w:sz="4" w:space="0" w:color="auto"/>
              <w:right w:val="single" w:sz="4" w:space="0" w:color="auto"/>
            </w:tcBorders>
            <w:shd w:val="clear" w:color="auto" w:fill="auto"/>
            <w:noWrap/>
            <w:vAlign w:val="bottom"/>
            <w:hideMark/>
          </w:tcPr>
          <w:p w14:paraId="7CD6229C"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79.80</w:t>
            </w:r>
          </w:p>
        </w:tc>
        <w:tc>
          <w:tcPr>
            <w:tcW w:w="0" w:type="auto"/>
            <w:tcBorders>
              <w:top w:val="nil"/>
              <w:left w:val="nil"/>
              <w:bottom w:val="single" w:sz="4" w:space="0" w:color="auto"/>
              <w:right w:val="single" w:sz="4" w:space="0" w:color="auto"/>
            </w:tcBorders>
            <w:shd w:val="clear" w:color="auto" w:fill="auto"/>
            <w:noWrap/>
            <w:vAlign w:val="bottom"/>
            <w:hideMark/>
          </w:tcPr>
          <w:p w14:paraId="3DFAB541"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71.98</w:t>
            </w:r>
          </w:p>
        </w:tc>
        <w:tc>
          <w:tcPr>
            <w:tcW w:w="1249" w:type="dxa"/>
            <w:tcBorders>
              <w:top w:val="nil"/>
              <w:left w:val="nil"/>
              <w:bottom w:val="single" w:sz="4" w:space="0" w:color="auto"/>
              <w:right w:val="single" w:sz="4" w:space="0" w:color="auto"/>
            </w:tcBorders>
            <w:shd w:val="clear" w:color="auto" w:fill="auto"/>
            <w:noWrap/>
            <w:vAlign w:val="bottom"/>
            <w:hideMark/>
          </w:tcPr>
          <w:p w14:paraId="56085EBF"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22.0</w:t>
            </w:r>
          </w:p>
        </w:tc>
      </w:tr>
      <w:tr w:rsidR="00D441AA" w:rsidRPr="00EF45A2" w14:paraId="59566280"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5662C4"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 xml:space="preserve">M. rosea </w:t>
            </w:r>
          </w:p>
        </w:tc>
        <w:tc>
          <w:tcPr>
            <w:tcW w:w="0" w:type="auto"/>
            <w:tcBorders>
              <w:top w:val="nil"/>
              <w:left w:val="nil"/>
              <w:bottom w:val="single" w:sz="4" w:space="0" w:color="auto"/>
              <w:right w:val="single" w:sz="4" w:space="0" w:color="auto"/>
            </w:tcBorders>
            <w:shd w:val="clear" w:color="auto" w:fill="auto"/>
            <w:noWrap/>
            <w:vAlign w:val="bottom"/>
            <w:hideMark/>
          </w:tcPr>
          <w:p w14:paraId="7617E6E5"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GCF_000372845.1</w:t>
            </w:r>
          </w:p>
        </w:tc>
        <w:tc>
          <w:tcPr>
            <w:tcW w:w="0" w:type="auto"/>
            <w:tcBorders>
              <w:top w:val="nil"/>
              <w:left w:val="nil"/>
              <w:bottom w:val="single" w:sz="4" w:space="0" w:color="auto"/>
              <w:right w:val="single" w:sz="4" w:space="0" w:color="auto"/>
            </w:tcBorders>
            <w:shd w:val="clear" w:color="auto" w:fill="auto"/>
            <w:noWrap/>
            <w:vAlign w:val="bottom"/>
            <w:hideMark/>
          </w:tcPr>
          <w:p w14:paraId="0E01DC66"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92.04</w:t>
            </w:r>
          </w:p>
        </w:tc>
        <w:tc>
          <w:tcPr>
            <w:tcW w:w="0" w:type="auto"/>
            <w:tcBorders>
              <w:top w:val="nil"/>
              <w:left w:val="nil"/>
              <w:bottom w:val="single" w:sz="4" w:space="0" w:color="auto"/>
              <w:right w:val="single" w:sz="4" w:space="0" w:color="auto"/>
            </w:tcBorders>
            <w:shd w:val="clear" w:color="auto" w:fill="auto"/>
            <w:noWrap/>
            <w:vAlign w:val="bottom"/>
            <w:hideMark/>
          </w:tcPr>
          <w:p w14:paraId="7870FC9C"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91.53</w:t>
            </w:r>
          </w:p>
        </w:tc>
        <w:tc>
          <w:tcPr>
            <w:tcW w:w="1249" w:type="dxa"/>
            <w:tcBorders>
              <w:top w:val="nil"/>
              <w:left w:val="nil"/>
              <w:bottom w:val="single" w:sz="4" w:space="0" w:color="auto"/>
              <w:right w:val="single" w:sz="4" w:space="0" w:color="auto"/>
            </w:tcBorders>
            <w:shd w:val="clear" w:color="auto" w:fill="auto"/>
            <w:noWrap/>
            <w:vAlign w:val="bottom"/>
            <w:hideMark/>
          </w:tcPr>
          <w:p w14:paraId="2197D86C"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46.1</w:t>
            </w:r>
          </w:p>
        </w:tc>
      </w:tr>
      <w:tr w:rsidR="00D441AA" w:rsidRPr="00EF45A2" w14:paraId="37F1D415"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DBC56"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M. heyeri</w:t>
            </w:r>
            <w:r w:rsidRPr="00BE4B05">
              <w:rPr>
                <w:rFonts w:eastAsia="Times New Roman"/>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3FF2867"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GCF_004802635.2</w:t>
            </w:r>
          </w:p>
        </w:tc>
        <w:tc>
          <w:tcPr>
            <w:tcW w:w="0" w:type="auto"/>
            <w:tcBorders>
              <w:top w:val="nil"/>
              <w:left w:val="nil"/>
              <w:bottom w:val="single" w:sz="4" w:space="0" w:color="auto"/>
              <w:right w:val="single" w:sz="4" w:space="0" w:color="auto"/>
            </w:tcBorders>
            <w:shd w:val="clear" w:color="auto" w:fill="auto"/>
            <w:noWrap/>
            <w:vAlign w:val="bottom"/>
            <w:hideMark/>
          </w:tcPr>
          <w:p w14:paraId="2EBDC63E"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78.41</w:t>
            </w:r>
          </w:p>
        </w:tc>
        <w:tc>
          <w:tcPr>
            <w:tcW w:w="0" w:type="auto"/>
            <w:tcBorders>
              <w:top w:val="nil"/>
              <w:left w:val="nil"/>
              <w:bottom w:val="single" w:sz="4" w:space="0" w:color="auto"/>
              <w:right w:val="single" w:sz="4" w:space="0" w:color="auto"/>
            </w:tcBorders>
            <w:shd w:val="clear" w:color="auto" w:fill="auto"/>
            <w:noWrap/>
            <w:vAlign w:val="bottom"/>
            <w:hideMark/>
          </w:tcPr>
          <w:p w14:paraId="416B15A9"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66.45</w:t>
            </w:r>
          </w:p>
        </w:tc>
        <w:tc>
          <w:tcPr>
            <w:tcW w:w="1249" w:type="dxa"/>
            <w:tcBorders>
              <w:top w:val="nil"/>
              <w:left w:val="nil"/>
              <w:bottom w:val="single" w:sz="4" w:space="0" w:color="auto"/>
              <w:right w:val="single" w:sz="4" w:space="0" w:color="auto"/>
            </w:tcBorders>
            <w:shd w:val="clear" w:color="auto" w:fill="auto"/>
            <w:noWrap/>
            <w:vAlign w:val="bottom"/>
            <w:hideMark/>
          </w:tcPr>
          <w:p w14:paraId="442AC5C4"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20.9</w:t>
            </w:r>
          </w:p>
        </w:tc>
      </w:tr>
      <w:tr w:rsidR="00D441AA" w:rsidRPr="00EF45A2" w14:paraId="1BB91BCD"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620856"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M. hirsuta</w:t>
            </w:r>
            <w:r w:rsidRPr="00BE4B05">
              <w:rPr>
                <w:rFonts w:eastAsia="Times New Roman"/>
                <w:color w:val="000000"/>
                <w:sz w:val="24"/>
                <w:szCs w:val="24"/>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2E6BBDB"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GCF_003722355.1</w:t>
            </w:r>
          </w:p>
        </w:tc>
        <w:tc>
          <w:tcPr>
            <w:tcW w:w="0" w:type="auto"/>
            <w:tcBorders>
              <w:top w:val="nil"/>
              <w:left w:val="nil"/>
              <w:bottom w:val="single" w:sz="4" w:space="0" w:color="auto"/>
              <w:right w:val="single" w:sz="4" w:space="0" w:color="auto"/>
            </w:tcBorders>
            <w:shd w:val="clear" w:color="auto" w:fill="auto"/>
            <w:noWrap/>
            <w:vAlign w:val="bottom"/>
            <w:hideMark/>
          </w:tcPr>
          <w:p w14:paraId="18C1C0FD"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93.65</w:t>
            </w:r>
          </w:p>
        </w:tc>
        <w:tc>
          <w:tcPr>
            <w:tcW w:w="0" w:type="auto"/>
            <w:tcBorders>
              <w:top w:val="nil"/>
              <w:left w:val="nil"/>
              <w:bottom w:val="single" w:sz="4" w:space="0" w:color="auto"/>
              <w:right w:val="single" w:sz="4" w:space="0" w:color="auto"/>
            </w:tcBorders>
            <w:shd w:val="clear" w:color="auto" w:fill="auto"/>
            <w:noWrap/>
            <w:vAlign w:val="bottom"/>
            <w:hideMark/>
          </w:tcPr>
          <w:p w14:paraId="5C156A46"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92.63</w:t>
            </w:r>
          </w:p>
        </w:tc>
        <w:tc>
          <w:tcPr>
            <w:tcW w:w="1249" w:type="dxa"/>
            <w:tcBorders>
              <w:top w:val="nil"/>
              <w:left w:val="nil"/>
              <w:bottom w:val="single" w:sz="4" w:space="0" w:color="auto"/>
              <w:right w:val="single" w:sz="4" w:space="0" w:color="auto"/>
            </w:tcBorders>
            <w:shd w:val="clear" w:color="auto" w:fill="auto"/>
            <w:noWrap/>
            <w:vAlign w:val="bottom"/>
            <w:hideMark/>
          </w:tcPr>
          <w:p w14:paraId="3C9ADA65"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54.1</w:t>
            </w:r>
          </w:p>
        </w:tc>
      </w:tr>
      <w:tr w:rsidR="00D441AA" w:rsidRPr="00EF45A2" w14:paraId="33429C22" w14:textId="77777777" w:rsidTr="00D441AA">
        <w:trPr>
          <w:trHeight w:val="1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6C4969"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i/>
                <w:iCs/>
                <w:color w:val="000000"/>
                <w:sz w:val="24"/>
                <w:szCs w:val="24"/>
              </w:rPr>
              <w:t xml:space="preserve">M. silviterrae </w:t>
            </w:r>
          </w:p>
        </w:tc>
        <w:tc>
          <w:tcPr>
            <w:tcW w:w="0" w:type="auto"/>
            <w:tcBorders>
              <w:top w:val="nil"/>
              <w:left w:val="nil"/>
              <w:bottom w:val="single" w:sz="4" w:space="0" w:color="auto"/>
              <w:right w:val="single" w:sz="4" w:space="0" w:color="auto"/>
            </w:tcBorders>
            <w:shd w:val="clear" w:color="auto" w:fill="auto"/>
            <w:noWrap/>
            <w:vAlign w:val="bottom"/>
            <w:hideMark/>
          </w:tcPr>
          <w:p w14:paraId="004914FE" w14:textId="77777777" w:rsidR="00364AE7" w:rsidRPr="00BE4B05" w:rsidRDefault="00364AE7" w:rsidP="00D441AA">
            <w:pPr>
              <w:spacing w:after="0" w:line="240" w:lineRule="auto"/>
              <w:rPr>
                <w:rFonts w:eastAsia="Times New Roman"/>
                <w:color w:val="000000"/>
                <w:sz w:val="24"/>
                <w:szCs w:val="24"/>
              </w:rPr>
            </w:pPr>
            <w:r w:rsidRPr="00BE4B05">
              <w:rPr>
                <w:rFonts w:eastAsia="Times New Roman"/>
                <w:color w:val="000000"/>
                <w:sz w:val="24"/>
                <w:szCs w:val="24"/>
              </w:rPr>
              <w:t>GCF_013350005.1</w:t>
            </w:r>
          </w:p>
        </w:tc>
        <w:tc>
          <w:tcPr>
            <w:tcW w:w="0" w:type="auto"/>
            <w:tcBorders>
              <w:top w:val="nil"/>
              <w:left w:val="nil"/>
              <w:bottom w:val="single" w:sz="4" w:space="0" w:color="auto"/>
              <w:right w:val="single" w:sz="4" w:space="0" w:color="auto"/>
            </w:tcBorders>
            <w:shd w:val="clear" w:color="auto" w:fill="auto"/>
            <w:noWrap/>
            <w:vAlign w:val="bottom"/>
            <w:hideMark/>
          </w:tcPr>
          <w:p w14:paraId="0EB71191"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93.86</w:t>
            </w:r>
          </w:p>
        </w:tc>
        <w:tc>
          <w:tcPr>
            <w:tcW w:w="0" w:type="auto"/>
            <w:tcBorders>
              <w:top w:val="nil"/>
              <w:left w:val="nil"/>
              <w:bottom w:val="single" w:sz="4" w:space="0" w:color="auto"/>
              <w:right w:val="single" w:sz="4" w:space="0" w:color="auto"/>
            </w:tcBorders>
            <w:shd w:val="clear" w:color="auto" w:fill="auto"/>
            <w:noWrap/>
            <w:vAlign w:val="bottom"/>
            <w:hideMark/>
          </w:tcPr>
          <w:p w14:paraId="2029B17C"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93.03</w:t>
            </w:r>
          </w:p>
        </w:tc>
        <w:tc>
          <w:tcPr>
            <w:tcW w:w="1249" w:type="dxa"/>
            <w:tcBorders>
              <w:top w:val="nil"/>
              <w:left w:val="nil"/>
              <w:bottom w:val="single" w:sz="4" w:space="0" w:color="auto"/>
              <w:right w:val="single" w:sz="4" w:space="0" w:color="auto"/>
            </w:tcBorders>
            <w:shd w:val="clear" w:color="auto" w:fill="auto"/>
            <w:noWrap/>
            <w:vAlign w:val="bottom"/>
            <w:hideMark/>
          </w:tcPr>
          <w:p w14:paraId="7A8AA0AA" w14:textId="77777777" w:rsidR="00364AE7" w:rsidRPr="00BE4B05" w:rsidRDefault="00364AE7" w:rsidP="00D441AA">
            <w:pPr>
              <w:spacing w:after="0" w:line="240" w:lineRule="auto"/>
              <w:jc w:val="center"/>
              <w:rPr>
                <w:rFonts w:eastAsia="Times New Roman"/>
                <w:color w:val="000000"/>
                <w:sz w:val="24"/>
                <w:szCs w:val="24"/>
              </w:rPr>
            </w:pPr>
            <w:r w:rsidRPr="00BE4B05">
              <w:rPr>
                <w:rFonts w:eastAsia="Times New Roman"/>
                <w:color w:val="000000"/>
                <w:sz w:val="24"/>
                <w:szCs w:val="24"/>
              </w:rPr>
              <w:t>53.7</w:t>
            </w:r>
          </w:p>
        </w:tc>
      </w:tr>
    </w:tbl>
    <w:p w14:paraId="2C298349" w14:textId="48C8BFC5" w:rsidR="00364AE7" w:rsidRPr="00FA2DD0" w:rsidRDefault="00044CFD" w:rsidP="00FA2DD0">
      <w:pPr>
        <w:pStyle w:val="Heading5"/>
      </w:pPr>
      <w:bookmarkStart w:id="29" w:name="_Toc161933723"/>
      <w:bookmarkStart w:id="30" w:name="_Toc161935360"/>
      <w:r w:rsidRPr="00FA2DD0">
        <w:t>Figure 2: Methylocystis pmoA Phylogenetic Tree</w:t>
      </w:r>
      <w:bookmarkEnd w:id="29"/>
      <w:bookmarkEnd w:id="30"/>
    </w:p>
    <w:p w14:paraId="4F9E604F" w14:textId="77777777" w:rsidR="00364AE7" w:rsidRPr="002E6274" w:rsidRDefault="00364AE7" w:rsidP="00364AE7">
      <w:pPr>
        <w:spacing w:line="480" w:lineRule="auto"/>
        <w:rPr>
          <w:rFonts w:cstheme="minorHAnsi"/>
          <w:b/>
          <w:bCs/>
        </w:rPr>
      </w:pPr>
    </w:p>
    <w:p w14:paraId="09E199E8" w14:textId="3177DD82" w:rsidR="00364AE7" w:rsidRPr="006A2F31" w:rsidRDefault="006A2F31" w:rsidP="006A2F31">
      <w:pPr>
        <w:pStyle w:val="Heading6"/>
      </w:pPr>
      <w:bookmarkStart w:id="31" w:name="_Toc161934663"/>
      <w:r w:rsidRPr="006A2F31">
        <w:t>Table 1: Comparative ANI, AAI, and dDDH</w:t>
      </w:r>
      <w:bookmarkEnd w:id="31"/>
    </w:p>
    <w:p w14:paraId="2EDA1FA4" w14:textId="77777777" w:rsidR="00364AE7" w:rsidRPr="00364AE7" w:rsidRDefault="00364AE7" w:rsidP="00364AE7">
      <w:pPr>
        <w:spacing w:line="480" w:lineRule="auto"/>
        <w:rPr>
          <w:rFonts w:cstheme="minorHAnsi"/>
          <w:sz w:val="24"/>
          <w:szCs w:val="24"/>
        </w:rPr>
      </w:pPr>
      <w:r w:rsidRPr="00364AE7">
        <w:rPr>
          <w:rFonts w:cstheme="minorHAnsi"/>
          <w:sz w:val="24"/>
          <w:szCs w:val="24"/>
        </w:rPr>
        <w:t xml:space="preserve">A search for common chemotaxonomic markers (membrane polar lipids, peptidoglycan diagnostic diamino acids) identified cardiolipin synthase (EC: 2.7.8.41, K08744), </w:t>
      </w:r>
      <w:r w:rsidRPr="00364AE7">
        <w:rPr>
          <w:rFonts w:cstheme="minorHAnsi"/>
          <w:iCs/>
          <w:sz w:val="24"/>
          <w:szCs w:val="24"/>
        </w:rPr>
        <w:t>CDP-diacylglycerol---serine O-phosphatidyltransferase (EC:2.7.8.8, K17103), phosphatidylserine decarboxylase (EC:4.1.1.65, K01613), and the murE ligase (</w:t>
      </w:r>
      <w:r w:rsidRPr="00364AE7">
        <w:rPr>
          <w:rFonts w:cstheme="minorHAnsi"/>
          <w:sz w:val="24"/>
          <w:szCs w:val="24"/>
        </w:rPr>
        <w:t>EC:6.3.2.13, K01928), associated with the biosynthesis of diphosphatidylglycerol (DPG, cardiolipin), phosphatidylserine (PS), phosphatidylenthanolamine (PE), and the diagnostic diamino acid meso-diaminopimelic acid (m-</w:t>
      </w:r>
      <w:r w:rsidRPr="00364AE7">
        <w:rPr>
          <w:rFonts w:cstheme="minorHAnsi"/>
          <w:sz w:val="24"/>
          <w:szCs w:val="24"/>
        </w:rPr>
        <w:lastRenderedPageBreak/>
        <w:t>DPM), respectively</w:t>
      </w:r>
      <w:r w:rsidRPr="00364AE7">
        <w:rPr>
          <w:rFonts w:cstheme="minorHAnsi"/>
          <w:sz w:val="24"/>
          <w:szCs w:val="24"/>
        </w:rPr>
        <w:fldChar w:fldCharType="begin"/>
      </w:r>
      <w:r w:rsidRPr="00364AE7">
        <w:rPr>
          <w:rFonts w:cstheme="minorHAnsi"/>
          <w:sz w:val="24"/>
          <w:szCs w:val="24"/>
        </w:rPr>
        <w:instrText xml:space="preserve"> ADDIN ZOTERO_ITEM CSL_CITATION {"citationID":"Fq3Um71S","properties":{"formattedCitation":"(34,35)","plainCitation":"(34,35)","noteIndex":0},"citationItems":[{"id":59,"uris":["http://zotero.org/users/local/ptYqL6dd/items/TZUU3CQF","http://zotero.org/users/11931443/items/TZUU3CQF"],"itemData":{"id":59,"type":"article-journal","abstract":"A Gram-stain-positive, non-pigmented, coccus-shaped, facultatively anaerobic and α-hemolytic bacterium designated as INB8T was isolated from a hypersaline marine water sample collected at the Inland Sea of Qatar. The isolate was able to grow at 25–40 °C (optimum, 30 °C), at pH 5–11 and with 2–8% NaCl. Phylogenetic analysis based on 16S rRNA gene sequences indicated that strain INB8T was placed within the family Aerococcaceae with the highest sequence similarity to Facklamia tabacinasalis CCUG 30090T (99.5%), followed by Facklamia hominis CCUG 36813T (93.9%), Facklamia sourekii Y17312T (93.8%), Facklamia ignava CCUG 37419T (93.6%), Facklamia miroungae CCUG 42728T (93.5%), Suicoccus acidiformans ZY16052T (93.5%), Facklamia languida CCUG 37842T (93.2%), Ignavigranum ruoffiae (93.1%), and Dolosicoccus paucivorans DSM 15742T (90.8%). Average nucleotide identity and digital DNA–DNA hybridization values between strain INB8T and F. tabacinasalis CCUG 30090T were determined to be 94.5% and 58.9% respectively, confirming strain INB8T represents a novel species. The major fatty acids were C14:0, C16:0, C18:0 and C18:1 ω9c. The G + C content of strain INB8T determined from the genome was 36.3 mol%. Based on the phylogenetic, chemotaxonomic and phenotypic information, it is proposed that Facklamia tabacinasalis should be reclassified as Ruoffia tabacinasalis, Facklamia ignava be reclassified as Falseniella ignava, and Facklamia sourekii be reclassified Hutsoniella sourekii. It is further proposed that strain INB8T should be classified as a species of the genus Ruoffia for which the name Ruoffia halotolerans sp. nov. is proposed. The type strain is INB8T (= LMG 30291T = CCUG 70701T = QCC/B60/17T).","container-title":"Antonie van Leeuwenhoek","DOI":"10.1007/s10482-021-01587-7","ISSN":"1572-9699","issue":"8","journalAbbreviation":"Antonie van Leeuwenhoek","language":"en","page":"1181-1193","source":"Springer Link","title":"Reclassification of Facklamia ignava, Facklamia sourekii and Facklamia tabacinasalis as Falseniella ignava gen. nov., comb. nov., Hutsoniella sourekii gen. nov., comb. nov., and Ruoffia tabacinasalis gen. nov., comb. nov., and description of Ruoffia halotolerans sp. nov., isolated from hypersaline Inland Sea of Qatar","volume":"114","author":[{"family":"Fotedar","given":"Rashmi"},{"family":"Sankaranarayanan","given":"Krithivasan"},{"family":"Caldwell","given":"Matthew E."},{"family":"Zeyara","given":"Aisha"},{"family":"Al Malki","given":"Amina"},{"family":"Kaul","given":"Ridhima"},{"family":"Al Shamari","given":"Hamad"},{"family":"Ali","given":"Mohammad"},{"family":"Al Marri","given":"Masoud"},{"family":"Lawson","given":"Paul A."}],"issued":{"date-parts":[["2021",8,1]]}}},{"id":37,"uris":["http://zotero.org/users/local/ptYqL6dd/items/NFQGEL7D","http://zotero.org/users/11931443/items/NFQGEL7D"],"itemData":{"id":37,"type":"article-journal","abstract":"Strain B66T was isolated from a marine water sample collected at Al Ruwais, located on the northern tip of Qatar. Cells were Gram-stain-negative, strictly aerobic and short- rod-shaped with a polar flagellum. The isolate was able to grow at 15–45 °C (optimum, 30 °C), at pH 5–11 (optimum, pH 6.5–8) and with 0–6 % NaCl. 16S rRNA gene sequence analysis revealed that strain B66T was affiliated with the family Alteromonadaceae , sharing the highest sequence similarities to the genera Alteromonas (93.7–95.4 %), Aestuariibacter (94.0–95.1 %), Agaribacter (93.3–93.7 %), Glaciecola (92.0–93.7 %), Marisendiminitalea (93.2–93.3 %) and Planctobacterium (92.9 %). In the phylogenetic trees, strain B66T demonstrated the novel organism formed a distinct lineage closely associated with Aestuariibacter and Planctobacterium . Major fatty acids were C16 : 0, summed feature 3 (C16 : 1  ω7c/C16 : 1  ω6c/iso-C15 : 0 2-OH and iso-C15 : 0 3-OH. The major respiratory quinone was ubiquinone-8 and the major polar lipids are phosphatidylglycerol and phosphatidylethanolamine. The DNA G+C content derived from the genome was 43.2 mol%. Based on the phenotypic, chemotaxonomic, phylogenetic and genomic data, strain B66T is considered to represent a novel species and genus for which the name Ningiella ruwaisensis gen. nov., sp. nov., is proposed. The type strain is B66T (=QCC B003/17T=LMG 30288 T=CCUG 70703T).,","container-title":"International Journal of Systematic and Evolutionary Microbiology","DOI":"10.1099/ijsem.0.004256","ISSN":"1466-5034,","issue":"7","journalAbbreviation":"Int. J. Syst. Evol. Microbiol.","note":"publisher: Microbiology Society,","page":"4130-4138","source":"Microbiology Society Journals","title":"Ningiella ruwaisensis gen. nov., sp. nov., a member of the family Alteromonadaceae isolated from marine water of the Arabian Gulf","volume":"70","author":[{"family":"Fotedar","given":"Rashmi"},{"family":"Caldwell","given":"Matthew E."},{"family":"Sankaranarayanan","given":"Krithivasan"},{"family":"Al -Zeyara","given":"Aisha"},{"family":"Al-Malki","given":"Ameena"},{"family":"Kaul","given":"Ridhima"},{"family":"Al Marri","given":"Masoud"},{"family":"Al -Shamari","given":"Hamad S."},{"family":"Lawson","given":"Paul A.YR 2020"}],"issued":{"date-parts":[["2020",7]]}}}],"schema":"https://github.com/citation-style-language/schema/raw/master/csl-citation.json"} </w:instrText>
      </w:r>
      <w:r w:rsidRPr="00364AE7">
        <w:rPr>
          <w:rFonts w:cstheme="minorHAnsi"/>
          <w:sz w:val="24"/>
          <w:szCs w:val="24"/>
        </w:rPr>
        <w:fldChar w:fldCharType="separate"/>
      </w:r>
      <w:r w:rsidRPr="00364AE7">
        <w:rPr>
          <w:rFonts w:ascii="Calibri" w:hAnsi="Calibri" w:cs="Calibri"/>
          <w:sz w:val="24"/>
          <w:szCs w:val="24"/>
        </w:rPr>
        <w:t>(34,35)</w:t>
      </w:r>
      <w:r w:rsidRPr="00364AE7">
        <w:rPr>
          <w:rFonts w:cstheme="minorHAnsi"/>
          <w:sz w:val="24"/>
          <w:szCs w:val="24"/>
        </w:rPr>
        <w:fldChar w:fldCharType="end"/>
      </w:r>
      <w:r w:rsidRPr="00364AE7">
        <w:rPr>
          <w:rFonts w:cstheme="minorHAnsi"/>
          <w:sz w:val="24"/>
          <w:szCs w:val="24"/>
        </w:rPr>
        <w:t xml:space="preserve">. These genes were observed in the genomes of all </w:t>
      </w:r>
      <w:r w:rsidRPr="00364AE7">
        <w:rPr>
          <w:rFonts w:cstheme="minorHAnsi"/>
          <w:i/>
          <w:iCs/>
          <w:sz w:val="24"/>
          <w:szCs w:val="24"/>
        </w:rPr>
        <w:t>Methylocystis</w:t>
      </w:r>
      <w:r w:rsidRPr="00364AE7">
        <w:rPr>
          <w:rFonts w:cstheme="minorHAnsi"/>
          <w:sz w:val="24"/>
          <w:szCs w:val="24"/>
        </w:rPr>
        <w:t xml:space="preserve"> species (including isolate NLS-7</w:t>
      </w:r>
      <w:r w:rsidRPr="00364AE7">
        <w:rPr>
          <w:rFonts w:cstheme="minorHAnsi"/>
          <w:sz w:val="24"/>
          <w:szCs w:val="24"/>
          <w:vertAlign w:val="superscript"/>
        </w:rPr>
        <w:t>T</w:t>
      </w:r>
      <w:r w:rsidRPr="00364AE7">
        <w:rPr>
          <w:rFonts w:cstheme="minorHAnsi"/>
          <w:sz w:val="24"/>
          <w:szCs w:val="24"/>
        </w:rPr>
        <w:t>).</w:t>
      </w:r>
    </w:p>
    <w:p w14:paraId="00FC9F90" w14:textId="77777777" w:rsidR="00364AE7" w:rsidRDefault="00364AE7" w:rsidP="00364AE7">
      <w:pPr>
        <w:spacing w:line="480" w:lineRule="auto"/>
        <w:rPr>
          <w:rFonts w:cstheme="minorHAnsi"/>
          <w:sz w:val="24"/>
          <w:szCs w:val="24"/>
        </w:rPr>
      </w:pPr>
      <w:r w:rsidRPr="00364AE7">
        <w:rPr>
          <w:rFonts w:cstheme="minorHAnsi"/>
          <w:sz w:val="24"/>
          <w:szCs w:val="24"/>
        </w:rPr>
        <w:t>The genetic relationship between strain NLS-7</w:t>
      </w:r>
      <w:r w:rsidRPr="00364AE7">
        <w:rPr>
          <w:rFonts w:cstheme="minorHAnsi"/>
          <w:sz w:val="24"/>
          <w:szCs w:val="24"/>
          <w:vertAlign w:val="superscript"/>
        </w:rPr>
        <w:t>T</w:t>
      </w:r>
      <w:r w:rsidRPr="00364AE7">
        <w:rPr>
          <w:rFonts w:cstheme="minorHAnsi"/>
          <w:sz w:val="24"/>
          <w:szCs w:val="24"/>
        </w:rPr>
        <w:t xml:space="preserve"> and related species of the genus </w:t>
      </w:r>
      <w:r w:rsidRPr="00364AE7">
        <w:rPr>
          <w:rFonts w:cstheme="minorHAnsi"/>
          <w:i/>
          <w:sz w:val="24"/>
          <w:szCs w:val="24"/>
        </w:rPr>
        <w:t>Methylocystis</w:t>
      </w:r>
      <w:r w:rsidRPr="00364AE7">
        <w:rPr>
          <w:rFonts w:cstheme="minorHAnsi"/>
          <w:sz w:val="24"/>
          <w:szCs w:val="24"/>
        </w:rPr>
        <w:t xml:space="preserve"> was further studied by determining the pan-genome of </w:t>
      </w:r>
      <w:r w:rsidRPr="00364AE7">
        <w:rPr>
          <w:rFonts w:cstheme="minorHAnsi"/>
          <w:i/>
          <w:sz w:val="24"/>
          <w:szCs w:val="24"/>
        </w:rPr>
        <w:t>Methylocystis</w:t>
      </w:r>
      <w:r w:rsidRPr="00364AE7">
        <w:rPr>
          <w:rFonts w:cstheme="minorHAnsi"/>
          <w:sz w:val="24"/>
          <w:szCs w:val="24"/>
        </w:rPr>
        <w:t xml:space="preserve"> using the pan-genome workflow of Anvi'o v7 </w:t>
      </w:r>
      <w:r w:rsidRPr="00364AE7">
        <w:rPr>
          <w:rFonts w:cstheme="minorHAnsi"/>
          <w:sz w:val="24"/>
          <w:szCs w:val="24"/>
        </w:rPr>
        <w:fldChar w:fldCharType="begin"/>
      </w:r>
      <w:r w:rsidRPr="00364AE7">
        <w:rPr>
          <w:rFonts w:cstheme="minorHAnsi"/>
          <w:sz w:val="24"/>
          <w:szCs w:val="24"/>
        </w:rPr>
        <w:instrText xml:space="preserve"> ADDIN ZOTERO_ITEM CSL_CITATION {"citationID":"Ou8HgTCO","properties":{"formattedCitation":"(36)","plainCitation":"(36)","noteIndex":0},"citationItems":[{"id":36,"uris":["http://zotero.org/users/local/ptYqL6dd/items/9BWE6VEY","http://zotero.org/users/11931443/items/9BWE6VEY"],"itemData":{"id":36,"type":"article-journal","abstract":"Big data abound in microbiology, but the workflows designed to enable researchers to interpret data can constrain the biological questions that can be asked. Five years after anvi’o was first published, this community-led multi-omics platform is maturing into an open software ecosystem that reduces constraints in ‘omics data analyses.","container-title":"Nature Microbiology","DOI":"10.1038/s41564-020-00834-3","ISSN":"2058-5276","issue":"1","journalAbbreviation":"Nat Microbiol","language":"en","license":"2020 Springer Nature Limited","note":"number: 1\npublisher: Nature Publishing Group","page":"3-6","source":"www.nature.com","title":"Community-led, integrated, reproducible multi-omics with anvi’o","volume":"6","author":[{"family":"Eren","given":"A. Murat"},{"family":"Kiefl","given":"Evan"},{"family":"Shaiber","given":"Alon"},{"family":"Veseli","given":"Iva"},{"family":"Miller","given":"Samuel E."},{"family":"Schechter","given":"Matthew S."},{"family":"Fink","given":"Isaac"},{"family":"Pan","given":"Jessica N."},{"family":"Yousef","given":"Mahmoud"},{"family":"Fogarty","given":"Emily C."},{"family":"Trigodet","given":"Florian"},{"family":"Watson","given":"Andrea R."},{"family":"Esen","given":"Özcan C."},{"family":"Moore","given":"Ryan M."},{"family":"Clayssen","given":"Quentin"},{"family":"Lee","given":"Michael D."},{"family":"Kivenson","given":"Veronika"},{"family":"Graham","given":"Elaina D."},{"family":"Merrill","given":"Bryan D."},{"family":"Karkman","given":"Antti"},{"family":"Blankenberg","given":"Daniel"},{"family":"Eppley","given":"John M."},{"family":"Sjödin","given":"Andreas"},{"family":"Scott","given":"Jarrod J."},{"family":"Vázquez-Campos","given":"Xabier"},{"family":"McKay","given":"Luke J."},{"family":"McDaniel","given":"Elizabeth A."},{"family":"Stevens","given":"Sarah L. R."},{"family":"Anderson","given":"Rika E."},{"family":"Fuessel","given":"Jessika"},{"family":"Fernandez-Guerra","given":"Antonio"},{"family":"Maignien","given":"Lois"},{"family":"Delmont","given":"Tom O."},{"family":"Willis","given":"Amy D."}],"issued":{"date-parts":[["2021",1]]}}}],"schema":"https://github.com/citation-style-language/schema/raw/master/csl-citation.json"} </w:instrText>
      </w:r>
      <w:r w:rsidRPr="00364AE7">
        <w:rPr>
          <w:rFonts w:cstheme="minorHAnsi"/>
          <w:sz w:val="24"/>
          <w:szCs w:val="24"/>
        </w:rPr>
        <w:fldChar w:fldCharType="separate"/>
      </w:r>
      <w:r w:rsidRPr="00364AE7">
        <w:rPr>
          <w:rFonts w:ascii="Calibri" w:hAnsi="Calibri" w:cs="Calibri"/>
          <w:sz w:val="24"/>
          <w:szCs w:val="24"/>
        </w:rPr>
        <w:t>(36)</w:t>
      </w:r>
      <w:r w:rsidRPr="00364AE7">
        <w:rPr>
          <w:rFonts w:cstheme="minorHAnsi"/>
          <w:sz w:val="24"/>
          <w:szCs w:val="24"/>
        </w:rPr>
        <w:fldChar w:fldCharType="end"/>
      </w:r>
      <w:r w:rsidRPr="00364AE7">
        <w:rPr>
          <w:rFonts w:cstheme="minorHAnsi"/>
          <w:sz w:val="24"/>
          <w:szCs w:val="24"/>
        </w:rPr>
        <w:t xml:space="preserve">. The program “anvi-gen-contigs-database” was first used to profile </w:t>
      </w:r>
      <w:r w:rsidRPr="006E624A">
        <w:rPr>
          <w:sz w:val="24"/>
          <w:szCs w:val="24"/>
        </w:rPr>
        <w:t xml:space="preserve">genomes of the genus </w:t>
      </w:r>
      <w:r w:rsidRPr="006E624A">
        <w:rPr>
          <w:i/>
          <w:sz w:val="24"/>
          <w:szCs w:val="24"/>
        </w:rPr>
        <w:t>Methylocystis,</w:t>
      </w:r>
      <w:r w:rsidRPr="006E624A">
        <w:rPr>
          <w:sz w:val="24"/>
          <w:szCs w:val="24"/>
        </w:rPr>
        <w:t xml:space="preserve"> during which Prodigal v2.6.3 with default settings identified open reading frames </w:t>
      </w:r>
      <w:r w:rsidRPr="006E624A">
        <w:rPr>
          <w:sz w:val="24"/>
          <w:szCs w:val="24"/>
        </w:rPr>
        <w:fldChar w:fldCharType="begin"/>
      </w:r>
      <w:r w:rsidRPr="006E624A">
        <w:rPr>
          <w:sz w:val="24"/>
          <w:szCs w:val="24"/>
        </w:rPr>
        <w:instrText xml:space="preserve"> ADDIN ZOTERO_ITEM CSL_CITATION {"citationID":"HEx1wAU8","properties":{"formattedCitation":"(37)","plainCitation":"(37)","noteIndex":0},"citationItems":[{"id":35,"uris":["http://zotero.org/users/local/ptYqL6dd/items/XZFI6ZRR","http://zotero.org/users/11931443/items/XZFI6ZRR"],"itemData":{"id":35,"type":"article-journal","abstract":"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goals.","container-title":"BMC Bioinformatics","DOI":"10.1186/1471-2105-11-119","ISSN":"1471-2105","issue":"1","journalAbbreviation":"BMC Bioinformatics","page":"119","source":"BioMed Central","title":"Prodigal: prokaryotic gene recognition and translation initiation site identification","title-short":"Prodigal","volume":"11","author":[{"family":"Hyatt","given":"Doug"},{"family":"Chen","given":"Gwo-Liang"},{"family":"LoCascio","given":"Philip F."},{"family":"Land","given":"Miriam L."},{"family":"Larimer","given":"Frank W."},{"family":"Hauser","given":"Loren J."}],"issued":{"date-parts":[["2010",3,8]]}}}],"schema":"https://github.com/citation-style-language/schema/raw/master/csl-citation.json"} </w:instrText>
      </w:r>
      <w:r w:rsidRPr="006E624A">
        <w:rPr>
          <w:sz w:val="24"/>
          <w:szCs w:val="24"/>
        </w:rPr>
        <w:fldChar w:fldCharType="separate"/>
      </w:r>
      <w:r w:rsidRPr="006E624A">
        <w:rPr>
          <w:sz w:val="24"/>
          <w:szCs w:val="24"/>
        </w:rPr>
        <w:t>(37)</w:t>
      </w:r>
      <w:r w:rsidRPr="006E624A">
        <w:rPr>
          <w:sz w:val="24"/>
          <w:szCs w:val="24"/>
        </w:rPr>
        <w:fldChar w:fldCharType="end"/>
      </w:r>
      <w:r w:rsidRPr="006E624A">
        <w:rPr>
          <w:sz w:val="24"/>
          <w:szCs w:val="24"/>
        </w:rPr>
        <w:t xml:space="preserve">. The program 'anvi-run-kegg-kofams' was used to annotate genes with functions by searching them against the latest KEGG database using blastp </w:t>
      </w:r>
      <w:r w:rsidRPr="006E624A">
        <w:rPr>
          <w:sz w:val="24"/>
          <w:szCs w:val="24"/>
        </w:rPr>
        <w:fldChar w:fldCharType="begin"/>
      </w:r>
      <w:r w:rsidRPr="006E624A">
        <w:rPr>
          <w:sz w:val="24"/>
          <w:szCs w:val="24"/>
        </w:rPr>
        <w:instrText xml:space="preserve"> ADDIN ZOTERO_ITEM CSL_CITATION {"citationID":"LFGYVADV","properties":{"formattedCitation":"(20)","plainCitation":"(20)","noteIndex":0},"citationItems":[{"id":69,"uris":["http://zotero.org/users/local/ptYqL6dd/items/EZQVN5UK","http://zotero.org/users/11931443/items/EZQVN5UK"],"itemData":{"id":69,"type":"article-journal","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site.\nCONCLUSION: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bioinformatics","DOI":"10.1186/1471-2105-10-421","ISSN":"1471-2105","journalAbbreviation":"BMC Bioinformatics","language":"eng","note":"PMID: 20003500\nPMCID: PMC2803857","page":"421","source":"PubMed","title":"BLAST+: architecture and applications","title-short":"BLAST+","volume":"10","author":[{"family":"Camacho","given":"Christiam"},{"family":"Coulouris","given":"George"},{"family":"Avagyan","given":"Vahram"},{"family":"Ma","given":"Ning"},{"family":"Papadopoulos","given":"Jason"},{"family":"Bealer","given":"Kevin"},{"family":"Madden","given":"Thomas L."}],"issued":{"date-parts":[["2009",12,15]]}}}],"schema":"https://github.com/citation-style-language/schema/raw/master/csl-citation.json"} </w:instrText>
      </w:r>
      <w:r w:rsidRPr="006E624A">
        <w:rPr>
          <w:sz w:val="24"/>
          <w:szCs w:val="24"/>
        </w:rPr>
        <w:fldChar w:fldCharType="separate"/>
      </w:r>
      <w:r w:rsidRPr="006E624A">
        <w:rPr>
          <w:sz w:val="24"/>
          <w:szCs w:val="24"/>
        </w:rPr>
        <w:t>(20)</w:t>
      </w:r>
      <w:r w:rsidRPr="006E624A">
        <w:rPr>
          <w:sz w:val="24"/>
          <w:szCs w:val="24"/>
        </w:rPr>
        <w:fldChar w:fldCharType="end"/>
      </w:r>
      <w:r w:rsidRPr="006E624A">
        <w:rPr>
          <w:sz w:val="24"/>
          <w:szCs w:val="24"/>
        </w:rPr>
        <w:t xml:space="preserve">. The program 'anvi-pan-genome' with the flag ‘--use-ncbi-blast’, and parameters ‘--minbit 0.5′, and ‘--mcl-inflation 8′ was used to run the pan-genomic analysis. </w:t>
      </w:r>
      <w:r w:rsidRPr="006E624A">
        <w:rPr>
          <w:color w:val="000000"/>
          <w:sz w:val="24"/>
          <w:szCs w:val="24"/>
          <w:shd w:val="clear" w:color="auto" w:fill="FFFFFF"/>
        </w:rPr>
        <w:t xml:space="preserve">This program calculates similarities of each amino acid sequence in every genome against every other amino acid sequence in the group of genomes using blastp </w:t>
      </w:r>
      <w:r w:rsidRPr="006E624A">
        <w:rPr>
          <w:color w:val="000000"/>
          <w:sz w:val="24"/>
          <w:szCs w:val="24"/>
          <w:shd w:val="clear" w:color="auto" w:fill="FFFFFF"/>
        </w:rPr>
        <w:fldChar w:fldCharType="begin"/>
      </w:r>
      <w:r w:rsidRPr="006E624A">
        <w:rPr>
          <w:color w:val="000000"/>
          <w:sz w:val="24"/>
          <w:szCs w:val="24"/>
          <w:shd w:val="clear" w:color="auto" w:fill="FFFFFF"/>
        </w:rPr>
        <w:instrText xml:space="preserve"> ADDIN ZOTERO_ITEM CSL_CITATION {"citationID":"wmMxQ6tn","properties":{"formattedCitation":"(20)","plainCitation":"(20)","noteIndex":0},"citationItems":[{"id":69,"uris":["http://zotero.org/users/local/ptYqL6dd/items/EZQVN5UK","http://zotero.org/users/11931443/items/EZQVN5UK"],"itemData":{"id":69,"type":"article-journal","abstract":"BACKGROUND: Sequence similarity searching is a very important bioinformatics task. While Basic Local Alignment Search Tool (BLAST) outperforms exact methods through its use of heuristics, the speed of the current BLAST software is suboptimal for very long queries or database sequences. There are also some shortcomings in the user-interface of the current command-line applications.\nRESULTS: We describe features and improvements of rewritten BLAST software and introduce new command-line applications. Long query sequences are broken into chunks for processing, in some cases leading to dramatically shorter run times. For long database sequences, it is possible to retrieve only the relevant parts of the sequence, reducing CPU time and memory usage for searches of short queries against databases of contigs or chromosomes. The program can now retrieve masking information for database sequences from the BLAST databases. A new modular software library can now access subject sequence data from arbitrary data sources. We introduce several new features, including strategy files that allow a user to save and reuse their favorite set of options. The strategy files can be uploaded to and downloaded from the NCBI BLAST web site.\nCONCLUSION: The new BLAST command-line applications, compared to the current BLAST tools, demonstrate substantial speed improvements for long queries as well as chromosome length database sequences. We have also improved the user interface of the command-line applications.","container-title":"BMC bioinformatics","DOI":"10.1186/1471-2105-10-421","ISSN":"1471-2105","journalAbbreviation":"BMC Bioinformatics","language":"eng","note":"PMID: 20003500\nPMCID: PMC2803857","page":"421","source":"PubMed","title":"BLAST+: architecture and applications","title-short":"BLAST+","volume":"10","author":[{"family":"Camacho","given":"Christiam"},{"family":"Coulouris","given":"George"},{"family":"Avagyan","given":"Vahram"},{"family":"Ma","given":"Ning"},{"family":"Papadopoulos","given":"Jason"},{"family":"Bealer","given":"Kevin"},{"family":"Madden","given":"Thomas L."}],"issued":{"date-parts":[["2009",12,15]]}}}],"schema":"https://github.com/citation-style-language/schema/raw/master/csl-citation.json"} </w:instrText>
      </w:r>
      <w:r w:rsidRPr="006E624A">
        <w:rPr>
          <w:color w:val="000000"/>
          <w:sz w:val="24"/>
          <w:szCs w:val="24"/>
          <w:shd w:val="clear" w:color="auto" w:fill="FFFFFF"/>
        </w:rPr>
        <w:fldChar w:fldCharType="separate"/>
      </w:r>
      <w:r w:rsidRPr="006E624A">
        <w:rPr>
          <w:noProof/>
          <w:color w:val="000000"/>
          <w:sz w:val="24"/>
          <w:szCs w:val="24"/>
          <w:shd w:val="clear" w:color="auto" w:fill="FFFFFF"/>
        </w:rPr>
        <w:t>(20)</w:t>
      </w:r>
      <w:r w:rsidRPr="006E624A">
        <w:rPr>
          <w:color w:val="000000"/>
          <w:sz w:val="24"/>
          <w:szCs w:val="24"/>
          <w:shd w:val="clear" w:color="auto" w:fill="FFFFFF"/>
        </w:rPr>
        <w:fldChar w:fldCharType="end"/>
      </w:r>
      <w:r w:rsidRPr="006E624A">
        <w:rPr>
          <w:color w:val="000000"/>
          <w:sz w:val="24"/>
          <w:szCs w:val="24"/>
          <w:shd w:val="clear" w:color="auto" w:fill="FFFFFF"/>
        </w:rPr>
        <w:t xml:space="preserve"> and uses the MCL algorithm to identify gene clusters </w:t>
      </w:r>
      <w:r w:rsidRPr="006E624A">
        <w:rPr>
          <w:color w:val="000000"/>
          <w:sz w:val="24"/>
          <w:szCs w:val="24"/>
          <w:shd w:val="clear" w:color="auto" w:fill="FFFFFF"/>
        </w:rPr>
        <w:fldChar w:fldCharType="begin"/>
      </w:r>
      <w:r w:rsidRPr="006E624A">
        <w:rPr>
          <w:color w:val="000000"/>
          <w:sz w:val="24"/>
          <w:szCs w:val="24"/>
          <w:shd w:val="clear" w:color="auto" w:fill="FFFFFF"/>
        </w:rPr>
        <w:instrText xml:space="preserve"> ADDIN ZOTERO_ITEM CSL_CITATION {"citationID":"hmakJXDv","properties":{"formattedCitation":"(38)","plainCitation":"(38)","noteIndex":0},"citationItems":[{"id":360,"uris":["http://zotero.org/users/11931443/items/4JLIC8J7"],"itemData":{"id":360,"type":"article-journal","abstract":"MCL is a general purpose cluster algorithm for both weighted and unweighted networks. The algorithm utilises network topology as well as edge weights, is highly scalable and has been applied in a wide variety of bioinformatic methods. In this chapter, we give protocols and case studies for clustering of networks derived from, respectively, protein sequence similarities and gene expression profile correlations.","container-title":"Methods in Molecular Biology (Clifton, N.J.)","DOI":"10.1007/978-1-61779-361-5_15","ISSN":"1940-6029","journalAbbreviation":"Methods Mol Biol","language":"eng","note":"PMID: 22144159","page":"281-295","source":"PubMed","title":"Using MCL to extract clusters from networks","volume":"804","author":[{"family":"Dongen","given":"Stijn","non-dropping-particle":"van"},{"family":"Abreu-Goodger","given":"Cei"}],"issued":{"date-parts":[["2012"]]}}}],"schema":"https://github.com/citation-style-language/schema/raw/master/csl-citation.json"} </w:instrText>
      </w:r>
      <w:r w:rsidRPr="006E624A">
        <w:rPr>
          <w:color w:val="000000"/>
          <w:sz w:val="24"/>
          <w:szCs w:val="24"/>
          <w:shd w:val="clear" w:color="auto" w:fill="FFFFFF"/>
        </w:rPr>
        <w:fldChar w:fldCharType="separate"/>
      </w:r>
      <w:r w:rsidRPr="006E624A">
        <w:rPr>
          <w:noProof/>
          <w:color w:val="000000"/>
          <w:sz w:val="24"/>
          <w:szCs w:val="24"/>
          <w:shd w:val="clear" w:color="auto" w:fill="FFFFFF"/>
        </w:rPr>
        <w:t>(38)</w:t>
      </w:r>
      <w:r w:rsidRPr="006E624A">
        <w:rPr>
          <w:color w:val="000000"/>
          <w:sz w:val="24"/>
          <w:szCs w:val="24"/>
          <w:shd w:val="clear" w:color="auto" w:fill="FFFFFF"/>
        </w:rPr>
        <w:fldChar w:fldCharType="end"/>
      </w:r>
      <w:r w:rsidRPr="006E624A">
        <w:rPr>
          <w:color w:val="000000"/>
          <w:sz w:val="24"/>
          <w:szCs w:val="24"/>
          <w:shd w:val="clear" w:color="auto" w:fill="FFFFFF"/>
        </w:rPr>
        <w:t>.</w:t>
      </w:r>
      <w:r w:rsidRPr="006E624A">
        <w:rPr>
          <w:sz w:val="24"/>
          <w:szCs w:val="24"/>
        </w:rPr>
        <w:t xml:space="preserve">  The flag "anvi-display-pan" was used to visualize the distribution of gene clusters across genomes. In total, 508 gene clusters were identified that are unique to strain NLS-7</w:t>
      </w:r>
      <w:r w:rsidRPr="006E624A">
        <w:rPr>
          <w:sz w:val="24"/>
          <w:szCs w:val="24"/>
          <w:vertAlign w:val="superscript"/>
        </w:rPr>
        <w:t>T</w:t>
      </w:r>
      <w:r w:rsidRPr="006E624A">
        <w:rPr>
          <w:sz w:val="24"/>
          <w:szCs w:val="24"/>
        </w:rPr>
        <w:t xml:space="preserve"> within the genus </w:t>
      </w:r>
      <w:r w:rsidRPr="006E624A">
        <w:rPr>
          <w:i/>
          <w:iCs/>
          <w:sz w:val="24"/>
          <w:szCs w:val="24"/>
        </w:rPr>
        <w:t>Methylocystis</w:t>
      </w:r>
      <w:r w:rsidRPr="006E624A">
        <w:rPr>
          <w:sz w:val="24"/>
          <w:szCs w:val="24"/>
        </w:rPr>
        <w:t>. This work</w:t>
      </w:r>
      <w:r w:rsidRPr="00364AE7">
        <w:rPr>
          <w:rFonts w:cstheme="minorHAnsi"/>
          <w:sz w:val="24"/>
          <w:szCs w:val="24"/>
        </w:rPr>
        <w:t xml:space="preserve"> further supplements our genomic analysis described above, demonstrating that with ortholog clustering and unique gene cluster determination, the proportion of genes unique to NLS-7</w:t>
      </w:r>
      <w:r w:rsidRPr="00364AE7">
        <w:rPr>
          <w:rFonts w:cstheme="minorHAnsi"/>
          <w:sz w:val="24"/>
          <w:szCs w:val="24"/>
          <w:vertAlign w:val="superscript"/>
        </w:rPr>
        <w:t>T</w:t>
      </w:r>
      <w:r w:rsidRPr="00364AE7">
        <w:rPr>
          <w:rFonts w:cstheme="minorHAnsi"/>
          <w:sz w:val="24"/>
          <w:szCs w:val="24"/>
        </w:rPr>
        <w:t xml:space="preserve"> is similar to the proportion of unique genes found in other species of </w:t>
      </w:r>
      <w:r w:rsidRPr="00364AE7">
        <w:rPr>
          <w:rFonts w:cstheme="minorHAnsi"/>
          <w:i/>
          <w:iCs/>
          <w:sz w:val="24"/>
          <w:szCs w:val="24"/>
        </w:rPr>
        <w:t>Methylocystis</w:t>
      </w:r>
      <w:r w:rsidRPr="00364AE7">
        <w:rPr>
          <w:rFonts w:cstheme="minorHAnsi"/>
          <w:sz w:val="24"/>
          <w:szCs w:val="24"/>
        </w:rPr>
        <w:t xml:space="preserve">, especially </w:t>
      </w:r>
      <w:r w:rsidRPr="00364AE7">
        <w:rPr>
          <w:rFonts w:cstheme="minorHAnsi"/>
          <w:i/>
          <w:iCs/>
          <w:sz w:val="24"/>
          <w:szCs w:val="24"/>
        </w:rPr>
        <w:t xml:space="preserve">M. rosea </w:t>
      </w:r>
      <w:r w:rsidRPr="00364AE7">
        <w:rPr>
          <w:rFonts w:cstheme="minorHAnsi"/>
          <w:sz w:val="24"/>
          <w:szCs w:val="24"/>
        </w:rPr>
        <w:t xml:space="preserve">and </w:t>
      </w:r>
      <w:r w:rsidRPr="00364AE7">
        <w:rPr>
          <w:rFonts w:cstheme="minorHAnsi"/>
          <w:i/>
          <w:iCs/>
          <w:sz w:val="24"/>
          <w:szCs w:val="24"/>
        </w:rPr>
        <w:t xml:space="preserve">M. silviterrae </w:t>
      </w:r>
      <w:r w:rsidRPr="00364AE7">
        <w:rPr>
          <w:rFonts w:cstheme="minorHAnsi"/>
          <w:sz w:val="24"/>
          <w:szCs w:val="24"/>
        </w:rPr>
        <w:t>(</w:t>
      </w:r>
      <w:r w:rsidRPr="00364AE7">
        <w:rPr>
          <w:rFonts w:cstheme="minorHAnsi"/>
          <w:b/>
          <w:bCs/>
          <w:sz w:val="24"/>
          <w:szCs w:val="24"/>
        </w:rPr>
        <w:t>Figure 3, Supplemental Table 2, Supplemental Table 3)</w:t>
      </w:r>
      <w:r w:rsidRPr="00364AE7">
        <w:rPr>
          <w:rFonts w:cstheme="minorHAnsi"/>
          <w:sz w:val="24"/>
          <w:szCs w:val="24"/>
        </w:rPr>
        <w:t xml:space="preserve">. </w:t>
      </w:r>
      <w:r w:rsidRPr="00364AE7">
        <w:rPr>
          <w:rFonts w:cstheme="minorHAnsi"/>
          <w:i/>
          <w:iCs/>
          <w:sz w:val="24"/>
          <w:szCs w:val="24"/>
        </w:rPr>
        <w:t xml:space="preserve">M. silviterrae </w:t>
      </w:r>
      <w:r w:rsidRPr="00364AE7">
        <w:rPr>
          <w:rFonts w:cstheme="minorHAnsi"/>
          <w:sz w:val="24"/>
          <w:szCs w:val="24"/>
        </w:rPr>
        <w:t xml:space="preserve">has 334 unique gene clusters, and </w:t>
      </w:r>
      <w:r w:rsidRPr="00364AE7">
        <w:rPr>
          <w:rFonts w:cstheme="minorHAnsi"/>
          <w:i/>
          <w:sz w:val="24"/>
          <w:szCs w:val="24"/>
        </w:rPr>
        <w:t>M. rosea</w:t>
      </w:r>
      <w:r w:rsidRPr="00364AE7">
        <w:rPr>
          <w:rFonts w:cstheme="minorHAnsi"/>
          <w:sz w:val="24"/>
          <w:szCs w:val="24"/>
        </w:rPr>
        <w:t xml:space="preserve"> has 436 unique gene clusters.</w:t>
      </w:r>
      <w:r w:rsidRPr="00364AE7">
        <w:rPr>
          <w:rFonts w:cstheme="minorHAnsi"/>
          <w:i/>
          <w:iCs/>
          <w:sz w:val="24"/>
          <w:szCs w:val="24"/>
        </w:rPr>
        <w:t xml:space="preserve"> M. echinoides </w:t>
      </w:r>
      <w:r w:rsidRPr="00364AE7">
        <w:rPr>
          <w:rFonts w:cstheme="minorHAnsi"/>
          <w:sz w:val="24"/>
          <w:szCs w:val="24"/>
        </w:rPr>
        <w:t>has the most gene clusters unique to its genome with 1629 clusters followed by</w:t>
      </w:r>
      <w:r w:rsidRPr="00364AE7">
        <w:rPr>
          <w:rFonts w:cstheme="minorHAnsi"/>
          <w:i/>
          <w:iCs/>
          <w:sz w:val="24"/>
          <w:szCs w:val="24"/>
        </w:rPr>
        <w:t xml:space="preserve"> M. heyeri </w:t>
      </w:r>
      <w:r w:rsidRPr="00364AE7">
        <w:rPr>
          <w:rFonts w:cstheme="minorHAnsi"/>
          <w:sz w:val="24"/>
          <w:szCs w:val="24"/>
        </w:rPr>
        <w:t xml:space="preserve">with 1226 and </w:t>
      </w:r>
      <w:r w:rsidRPr="00364AE7">
        <w:rPr>
          <w:rFonts w:cstheme="minorHAnsi"/>
          <w:i/>
          <w:iCs/>
          <w:sz w:val="24"/>
          <w:szCs w:val="24"/>
        </w:rPr>
        <w:t xml:space="preserve">M. broyophila </w:t>
      </w:r>
      <w:r w:rsidRPr="00364AE7">
        <w:rPr>
          <w:rFonts w:cstheme="minorHAnsi"/>
          <w:sz w:val="24"/>
          <w:szCs w:val="24"/>
        </w:rPr>
        <w:t>with 1149.</w:t>
      </w:r>
      <w:r w:rsidRPr="00364AE7">
        <w:rPr>
          <w:rFonts w:cstheme="minorHAnsi"/>
          <w:i/>
          <w:iCs/>
          <w:sz w:val="24"/>
          <w:szCs w:val="24"/>
        </w:rPr>
        <w:t xml:space="preserve"> </w:t>
      </w:r>
      <w:r w:rsidRPr="00364AE7">
        <w:rPr>
          <w:rFonts w:cstheme="minorHAnsi"/>
          <w:sz w:val="24"/>
          <w:szCs w:val="24"/>
        </w:rPr>
        <w:t xml:space="preserve">The species with high numbers of unique gene clusters in their genome also have AAI values that are low (&lt;77%) compared to every other species in the genus </w:t>
      </w:r>
      <w:r w:rsidRPr="00364AE7">
        <w:rPr>
          <w:rFonts w:cstheme="minorHAnsi"/>
          <w:i/>
          <w:iCs/>
          <w:sz w:val="24"/>
          <w:szCs w:val="24"/>
        </w:rPr>
        <w:t xml:space="preserve">Methylocystis </w:t>
      </w:r>
      <w:r w:rsidRPr="00364AE7">
        <w:rPr>
          <w:rFonts w:cstheme="minorHAnsi"/>
          <w:sz w:val="24"/>
          <w:szCs w:val="24"/>
        </w:rPr>
        <w:t>(</w:t>
      </w:r>
      <w:r w:rsidRPr="00364AE7">
        <w:rPr>
          <w:rFonts w:cstheme="minorHAnsi"/>
          <w:b/>
          <w:bCs/>
          <w:sz w:val="24"/>
          <w:szCs w:val="24"/>
        </w:rPr>
        <w:t>Supplemental Table 4</w:t>
      </w:r>
      <w:r w:rsidRPr="00364AE7">
        <w:rPr>
          <w:rFonts w:cstheme="minorHAnsi"/>
          <w:sz w:val="24"/>
          <w:szCs w:val="24"/>
        </w:rPr>
        <w:t xml:space="preserve">). Strains that </w:t>
      </w:r>
      <w:r w:rsidRPr="00364AE7">
        <w:rPr>
          <w:rFonts w:cstheme="minorHAnsi"/>
          <w:sz w:val="24"/>
          <w:szCs w:val="24"/>
        </w:rPr>
        <w:lastRenderedPageBreak/>
        <w:t>don’t have as many unique gene clusters have relatively higher AAI values in pairwise comparison (</w:t>
      </w:r>
      <w:r w:rsidRPr="00364AE7">
        <w:rPr>
          <w:rFonts w:cstheme="minorHAnsi"/>
          <w:b/>
          <w:bCs/>
          <w:sz w:val="24"/>
          <w:szCs w:val="24"/>
        </w:rPr>
        <w:t>Supplemental Table 4</w:t>
      </w:r>
      <w:r w:rsidRPr="00364AE7">
        <w:rPr>
          <w:rFonts w:cstheme="minorHAnsi"/>
          <w:sz w:val="24"/>
          <w:szCs w:val="24"/>
        </w:rPr>
        <w:t>). A portion of the genes unique to strain NLS-7</w:t>
      </w:r>
      <w:r w:rsidRPr="00364AE7">
        <w:rPr>
          <w:rFonts w:cstheme="minorHAnsi"/>
          <w:sz w:val="24"/>
          <w:szCs w:val="24"/>
          <w:vertAlign w:val="superscript"/>
        </w:rPr>
        <w:t>T</w:t>
      </w:r>
      <w:r w:rsidRPr="00364AE7">
        <w:rPr>
          <w:rFonts w:cstheme="minorHAnsi"/>
          <w:sz w:val="24"/>
          <w:szCs w:val="24"/>
        </w:rPr>
        <w:t xml:space="preserve"> were annotated to be in the coenzyme transport and metabolism, cell wall/membrane/envelope biogenesis, carbohydrate transport and metabolism, and amino acid transport and metabolism COG20 annotation categories </w:t>
      </w:r>
      <w:r w:rsidRPr="00364AE7">
        <w:rPr>
          <w:rFonts w:cstheme="minorHAnsi"/>
          <w:sz w:val="24"/>
          <w:szCs w:val="24"/>
        </w:rPr>
        <w:fldChar w:fldCharType="begin"/>
      </w:r>
      <w:r w:rsidRPr="00364AE7">
        <w:rPr>
          <w:rFonts w:cstheme="minorHAnsi"/>
          <w:sz w:val="24"/>
          <w:szCs w:val="24"/>
        </w:rPr>
        <w:instrText xml:space="preserve"> ADDIN ZOTERO_ITEM CSL_CITATION {"citationID":"SI3fpBRT","properties":{"formattedCitation":"(39)","plainCitation":"(39)","noteIndex":0},"citationItems":[{"id":362,"uris":["http://zotero.org/users/11931443/items/QU9KMLRR"],"itemData":{"id":362,"type":"article-journal","abstract":"Microbial genome sequencing projects produce numerous sequences of deduced proteins, only a small fraction of which have been or will ever be studied experimentally. This leaves sequence analysis as the only feasible way to annotate these proteins and assign to them tentative functions. The Clusters of Orthologous Groups of proteins (COGs) database (http://www.ncbi.nlm.nih.gov/COG/), first created in 1997, has been a popular tool for functional annotation. Its success was largely based on (i) its reliance on complete microbial genomes, which allowed reliable assignment of orthologs and paralogs for most genes; (ii) orthology-based approach, which used the function(s) of the characterized member(s) of the protein family (COG) to assign function(s) to the entire set of carefully identified orthologs and describe the range of potential functions when there were more than one; and (iii) careful manual curation of the annotation of the COGs, aimed at detailed prediction of the biological function(s) for each COG while avoiding annotation errors and overprediction. Here we present an update of the COGs, the first since 2003, and a comprehensive revision of the COG annotations and expansion of the genome coverage to include representative complete genomes from all bacterial and archaeal lineages down to the genus level. This re-analysis of the COGs shows that the original COG assignments had an error rate below 0.5% and allows an assessment of the progress in functional genomics in the past 12 years. During this time, functions of many previously uncharacterized COGs have been elucidated and tentative functional assignments of many COGs have been validated, either by targeted experiments or through the use of high-throughput methods. A particularly important development is the assignment of functions to several widespread, conserved proteins many of which turned out to participate in translation, in particular rRNA maturation and tRNA modification. The new version of the COGs is expected to become an important tool for microbial genomics.","container-title":"Nucleic Acids Research","DOI":"10.1093/nar/gku1223","ISSN":"1362-4962","issue":"Database issue","journalAbbreviation":"Nucleic Acids Res","language":"eng","note":"PMID: 25428365\nPMCID: PMC4383993","page":"D261-269","source":"PubMed","title":"Expanded microbial genome coverage and improved protein family annotation in the COG database","volume":"43","author":[{"family":"Galperin","given":"Michael Y."},{"family":"Makarova","given":"Kira S."},{"family":"Wolf","given":"Yuri I."},{"family":"Koonin","given":"Eugene V."}],"issued":{"date-parts":[["2015",1]]}}}],"schema":"https://github.com/citation-style-language/schema/raw/master/csl-citation.json"} </w:instrText>
      </w:r>
      <w:r w:rsidRPr="00364AE7">
        <w:rPr>
          <w:rFonts w:cstheme="minorHAnsi"/>
          <w:sz w:val="24"/>
          <w:szCs w:val="24"/>
        </w:rPr>
        <w:fldChar w:fldCharType="separate"/>
      </w:r>
      <w:r w:rsidRPr="00364AE7">
        <w:rPr>
          <w:rFonts w:cstheme="minorHAnsi"/>
          <w:noProof/>
          <w:sz w:val="24"/>
          <w:szCs w:val="24"/>
        </w:rPr>
        <w:t>(39)</w:t>
      </w:r>
      <w:r w:rsidRPr="00364AE7">
        <w:rPr>
          <w:rFonts w:cstheme="minorHAnsi"/>
          <w:sz w:val="24"/>
          <w:szCs w:val="24"/>
        </w:rPr>
        <w:fldChar w:fldCharType="end"/>
      </w:r>
      <w:r w:rsidRPr="00364AE7">
        <w:rPr>
          <w:rFonts w:cstheme="minorHAnsi"/>
          <w:sz w:val="24"/>
          <w:szCs w:val="24"/>
        </w:rPr>
        <w:t xml:space="preserve"> though most were unknown or unannotated (</w:t>
      </w:r>
      <w:r w:rsidRPr="00364AE7">
        <w:rPr>
          <w:rFonts w:cstheme="minorHAnsi"/>
          <w:b/>
          <w:bCs/>
          <w:sz w:val="24"/>
          <w:szCs w:val="24"/>
        </w:rPr>
        <w:t>Supplemental Table 3</w:t>
      </w:r>
      <w:r w:rsidRPr="00364AE7">
        <w:rPr>
          <w:rFonts w:cstheme="minorHAnsi"/>
          <w:sz w:val="24"/>
          <w:szCs w:val="24"/>
        </w:rPr>
        <w:t xml:space="preserve">). </w:t>
      </w:r>
    </w:p>
    <w:p w14:paraId="63AAC515" w14:textId="77777777" w:rsidR="00364AE7" w:rsidRDefault="00364AE7" w:rsidP="00364AE7">
      <w:pPr>
        <w:spacing w:line="480" w:lineRule="auto"/>
        <w:rPr>
          <w:rFonts w:cstheme="minorHAnsi"/>
          <w:sz w:val="24"/>
          <w:szCs w:val="24"/>
        </w:rPr>
      </w:pPr>
    </w:p>
    <w:p w14:paraId="7E1E9450" w14:textId="6EAAE4BE" w:rsidR="00364AE7" w:rsidRPr="00364AE7" w:rsidRDefault="00364AE7" w:rsidP="00364AE7">
      <w:pPr>
        <w:spacing w:line="480" w:lineRule="auto"/>
        <w:rPr>
          <w:rFonts w:cstheme="minorHAnsi"/>
          <w:sz w:val="24"/>
          <w:szCs w:val="24"/>
        </w:rPr>
      </w:pPr>
      <w:r w:rsidRPr="00364AE7">
        <w:rPr>
          <w:rFonts w:cstheme="minorHAnsi"/>
          <w:noProof/>
          <w:sz w:val="24"/>
          <w:szCs w:val="24"/>
        </w:rPr>
        <w:drawing>
          <wp:inline distT="0" distB="0" distL="0" distR="0" wp14:anchorId="2D16358D" wp14:editId="7A7DA417">
            <wp:extent cx="5943600" cy="5477510"/>
            <wp:effectExtent l="0" t="0" r="0" b="0"/>
            <wp:docPr id="1276188365" name="Picture 1" descr="A circular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188365" name="Picture 1" descr="A circular chart with different colored squares&#10;&#10;Description automatically generated"/>
                    <pic:cNvPicPr/>
                  </pic:nvPicPr>
                  <pic:blipFill>
                    <a:blip r:embed="rId14"/>
                    <a:stretch>
                      <a:fillRect/>
                    </a:stretch>
                  </pic:blipFill>
                  <pic:spPr>
                    <a:xfrm>
                      <a:off x="0" y="0"/>
                      <a:ext cx="5943600" cy="5477510"/>
                    </a:xfrm>
                    <a:prstGeom prst="rect">
                      <a:avLst/>
                    </a:prstGeom>
                  </pic:spPr>
                </pic:pic>
              </a:graphicData>
            </a:graphic>
          </wp:inline>
        </w:drawing>
      </w:r>
    </w:p>
    <w:p w14:paraId="1AD8C296" w14:textId="77777777" w:rsidR="006A2F31" w:rsidRDefault="00364AE7" w:rsidP="00364AE7">
      <w:pPr>
        <w:autoSpaceDE w:val="0"/>
        <w:autoSpaceDN w:val="0"/>
        <w:adjustRightInd w:val="0"/>
        <w:spacing w:after="0" w:line="240" w:lineRule="auto"/>
        <w:rPr>
          <w:rFonts w:eastAsiaTheme="minorHAnsi"/>
          <w:sz w:val="24"/>
          <w:szCs w:val="24"/>
          <w14:ligatures w14:val="standardContextual"/>
        </w:rPr>
      </w:pPr>
      <w:r w:rsidRPr="00364AE7">
        <w:rPr>
          <w:rFonts w:eastAsiaTheme="minorHAnsi"/>
          <w:b/>
          <w:bCs/>
          <w:sz w:val="24"/>
          <w:szCs w:val="24"/>
          <w14:ligatures w14:val="standardContextual"/>
        </w:rPr>
        <w:lastRenderedPageBreak/>
        <w:t>Figure 3:</w:t>
      </w:r>
      <w:r w:rsidRPr="00364AE7">
        <w:rPr>
          <w:rFonts w:eastAsiaTheme="minorHAnsi"/>
          <w:sz w:val="24"/>
          <w:szCs w:val="24"/>
          <w14:ligatures w14:val="standardContextual"/>
        </w:rPr>
        <w:t xml:space="preserve"> The pangenome of the genus Methylocystis as determined by the Anvi’o workflow [36]. Overlapping black boxes represent portions of the genome that are shared by any two or more species, while segments of the genome that are unique to a certain species do not overlap with another.</w:t>
      </w:r>
      <w:r w:rsidR="00044CFD">
        <w:rPr>
          <w:rFonts w:eastAsiaTheme="minorHAnsi"/>
          <w:sz w:val="24"/>
          <w:szCs w:val="24"/>
          <w14:ligatures w14:val="standardContextual"/>
        </w:rPr>
        <w:t xml:space="preserve"> </w:t>
      </w:r>
    </w:p>
    <w:p w14:paraId="0C282334" w14:textId="77777777" w:rsidR="006A2F31" w:rsidRDefault="006A2F31" w:rsidP="00364AE7">
      <w:pPr>
        <w:autoSpaceDE w:val="0"/>
        <w:autoSpaceDN w:val="0"/>
        <w:adjustRightInd w:val="0"/>
        <w:spacing w:after="0" w:line="240" w:lineRule="auto"/>
        <w:rPr>
          <w:rFonts w:eastAsiaTheme="minorHAnsi"/>
          <w:sz w:val="24"/>
          <w:szCs w:val="24"/>
          <w14:ligatures w14:val="standardContextual"/>
        </w:rPr>
      </w:pPr>
    </w:p>
    <w:p w14:paraId="6309E676" w14:textId="08ADBC94" w:rsidR="00364AE7" w:rsidRPr="00FA2DD0" w:rsidRDefault="00044CFD" w:rsidP="006A2F31">
      <w:pPr>
        <w:pStyle w:val="Heading5"/>
        <w:rPr>
          <w:rFonts w:eastAsiaTheme="minorHAnsi"/>
          <w:color w:val="000000" w:themeColor="text1"/>
          <w14:ligatures w14:val="standardContextual"/>
        </w:rPr>
      </w:pPr>
      <w:bookmarkStart w:id="32" w:name="_Toc161933724"/>
      <w:bookmarkStart w:id="33" w:name="_Toc161935361"/>
      <w:r w:rsidRPr="00FA2DD0">
        <w:rPr>
          <w:color w:val="000000" w:themeColor="text1"/>
        </w:rPr>
        <w:t xml:space="preserve">Figure 3: Pangenome of </w:t>
      </w:r>
      <w:r w:rsidRPr="00FA2DD0">
        <w:rPr>
          <w:i/>
          <w:iCs/>
          <w:color w:val="000000" w:themeColor="text1"/>
        </w:rPr>
        <w:t xml:space="preserve">Methylocystis </w:t>
      </w:r>
      <w:r w:rsidRPr="00FA2DD0">
        <w:rPr>
          <w:color w:val="000000" w:themeColor="text1"/>
        </w:rPr>
        <w:t>– Unique Genes</w:t>
      </w:r>
      <w:bookmarkEnd w:id="32"/>
      <w:bookmarkEnd w:id="33"/>
    </w:p>
    <w:p w14:paraId="78AADBB7" w14:textId="77777777" w:rsidR="00364AE7" w:rsidRDefault="00364AE7" w:rsidP="00364AE7">
      <w:pPr>
        <w:spacing w:line="480" w:lineRule="auto"/>
        <w:rPr>
          <w:b/>
          <w:bCs/>
          <w:sz w:val="24"/>
          <w:szCs w:val="24"/>
        </w:rPr>
      </w:pPr>
    </w:p>
    <w:p w14:paraId="645335FB" w14:textId="77777777" w:rsidR="0087443B" w:rsidRDefault="0087443B" w:rsidP="006E624A">
      <w:pPr>
        <w:pStyle w:val="Heading3"/>
      </w:pPr>
    </w:p>
    <w:p w14:paraId="768207A3" w14:textId="74BF274A" w:rsidR="00364AE7" w:rsidRPr="00364AE7" w:rsidRDefault="006E624A" w:rsidP="006E624A">
      <w:pPr>
        <w:pStyle w:val="Heading3"/>
      </w:pPr>
      <w:bookmarkStart w:id="34" w:name="_Toc167115825"/>
      <w:r w:rsidRPr="00364AE7">
        <w:t xml:space="preserve">Physiology </w:t>
      </w:r>
      <w:r>
        <w:t>a</w:t>
      </w:r>
      <w:r w:rsidRPr="00364AE7">
        <w:t>nd Chemotaxonomy</w:t>
      </w:r>
      <w:bookmarkEnd w:id="34"/>
    </w:p>
    <w:p w14:paraId="756BFE7C" w14:textId="6F51D94F" w:rsidR="00364AE7" w:rsidRPr="00364AE7" w:rsidRDefault="00364AE7" w:rsidP="00364AE7">
      <w:pPr>
        <w:spacing w:line="480" w:lineRule="auto"/>
        <w:rPr>
          <w:sz w:val="24"/>
          <w:szCs w:val="24"/>
        </w:rPr>
      </w:pPr>
      <w:r w:rsidRPr="00364AE7">
        <w:rPr>
          <w:sz w:val="24"/>
          <w:szCs w:val="24"/>
        </w:rPr>
        <w:t>Cells for microscopy were grown to mid log-phase in the modified NMS medium in air with 10% CH</w:t>
      </w:r>
      <w:r w:rsidRPr="00364AE7">
        <w:rPr>
          <w:sz w:val="24"/>
          <w:szCs w:val="24"/>
          <w:vertAlign w:val="subscript"/>
        </w:rPr>
        <w:t xml:space="preserve">4  </w:t>
      </w:r>
      <w:r w:rsidRPr="00364AE7">
        <w:rPr>
          <w:sz w:val="24"/>
          <w:szCs w:val="24"/>
        </w:rPr>
        <w:t xml:space="preserve">as the carbon and energy source. All the following growth experiments were at 28 </w:t>
      </w:r>
      <w:r w:rsidRPr="00364AE7">
        <w:rPr>
          <w:rFonts w:ascii="Symbol" w:eastAsia="Symbol" w:hAnsi="Symbol" w:cs="Symbol"/>
          <w:sz w:val="24"/>
          <w:szCs w:val="24"/>
        </w:rPr>
        <w:t>°</w:t>
      </w:r>
      <w:r w:rsidRPr="00364AE7">
        <w:rPr>
          <w:sz w:val="24"/>
          <w:szCs w:val="24"/>
        </w:rPr>
        <w:t>C unless otherwise indicated.  Cell size estimates, motility, and morphological descriptions of strain NLS-7</w:t>
      </w:r>
      <w:r w:rsidRPr="00364AE7">
        <w:rPr>
          <w:sz w:val="24"/>
          <w:szCs w:val="24"/>
          <w:vertAlign w:val="superscript"/>
        </w:rPr>
        <w:t>T</w:t>
      </w:r>
      <w:r w:rsidRPr="00364AE7">
        <w:rPr>
          <w:sz w:val="24"/>
          <w:szCs w:val="24"/>
        </w:rPr>
        <w:t xml:space="preserve"> were determined through light microscopy of wet mounts of cells grown in liquid culture using an Olympus BX41 microscope (Olympus Corporation, Japan) fitted with a Jenoptik Gryphax Subra camera and PROGRES GRYPHAX imaging software v 2.0.0.66 (Jenoptik Group, Germany). Cells for transmission electron microscopy were grown to mid log phase, harvested by centrifugation, and resuspended in 1% molten agarose. After cooling, the agarose was cut into blocks and pre-fixed with 4% (w/v) glutaraldehyde in 0.2 M cacodylate buffer (pH 7.4) for 1 h at room temperature and then overnight at 4 </w:t>
      </w:r>
      <w:r w:rsidRPr="00364AE7">
        <w:rPr>
          <w:rFonts w:ascii="Symbol" w:eastAsia="Symbol" w:hAnsi="Symbol" w:cs="Symbol"/>
          <w:sz w:val="24"/>
          <w:szCs w:val="24"/>
        </w:rPr>
        <w:t>°</w:t>
      </w:r>
      <w:r w:rsidRPr="00364AE7">
        <w:rPr>
          <w:sz w:val="24"/>
          <w:szCs w:val="24"/>
        </w:rPr>
        <w:t>C. Cells were then rinsed with 3 changes of cold 0.2 M cacodylate buffer for 10 minutes each and fixed in 2% OsO</w:t>
      </w:r>
      <w:r w:rsidRPr="00364AE7">
        <w:rPr>
          <w:sz w:val="24"/>
          <w:szCs w:val="24"/>
          <w:vertAlign w:val="subscript"/>
        </w:rPr>
        <w:t>4</w:t>
      </w:r>
      <w:r w:rsidRPr="00364AE7">
        <w:rPr>
          <w:sz w:val="24"/>
          <w:szCs w:val="24"/>
        </w:rPr>
        <w:t xml:space="preserve"> for 2 hours on ice. Blocks were then rinsed in cold buffer and stored overnight at 4 </w:t>
      </w:r>
      <w:r w:rsidRPr="00364AE7">
        <w:rPr>
          <w:rFonts w:ascii="Symbol" w:eastAsia="Symbol" w:hAnsi="Symbol" w:cs="Symbol"/>
          <w:sz w:val="24"/>
          <w:szCs w:val="24"/>
        </w:rPr>
        <w:t>°</w:t>
      </w:r>
      <w:r w:rsidRPr="00364AE7">
        <w:rPr>
          <w:sz w:val="24"/>
          <w:szCs w:val="24"/>
        </w:rPr>
        <w:t>C. They were dehydrated in an ethanol series followed by a propylene oxide substitution and embedded in a Spurr epoxy resin. Resin blocks were thin sectioned using a</w:t>
      </w:r>
      <w:r w:rsidR="006E624A">
        <w:rPr>
          <w:sz w:val="24"/>
          <w:szCs w:val="24"/>
        </w:rPr>
        <w:t>n</w:t>
      </w:r>
      <w:r w:rsidRPr="00364AE7">
        <w:rPr>
          <w:sz w:val="24"/>
          <w:szCs w:val="24"/>
        </w:rPr>
        <w:t xml:space="preserve"> Ultramicrotome (Reichert-Jung Ultracut E). Thin sections (50-70 nm) were collected on formovar-coated size 300 mesh copper </w:t>
      </w:r>
      <w:r w:rsidRPr="00364AE7">
        <w:rPr>
          <w:sz w:val="24"/>
          <w:szCs w:val="24"/>
        </w:rPr>
        <w:lastRenderedPageBreak/>
        <w:t>grids and stained with 2% uranyl acetate and 2% lead citrate for 10 minutes each. Thin sections were imaged at 80 kV on a JEOL 2010F TEM, equipped with a cold field emission electron source and a Direct Electron DE-12 (4k x 3k) digital imaging system. TEM imaging was performed at the Oklahoma Medical Research Foundation (Oklahoma City, USA).</w:t>
      </w:r>
      <w:r w:rsidRPr="00364AE7" w:rsidDel="00CE752B">
        <w:rPr>
          <w:sz w:val="24"/>
          <w:szCs w:val="24"/>
        </w:rPr>
        <w:t xml:space="preserve"> </w:t>
      </w:r>
    </w:p>
    <w:p w14:paraId="4B0ED39B" w14:textId="77777777" w:rsidR="00364AE7" w:rsidRPr="00364AE7" w:rsidRDefault="00364AE7" w:rsidP="00364AE7">
      <w:pPr>
        <w:spacing w:line="480" w:lineRule="auto"/>
        <w:rPr>
          <w:sz w:val="24"/>
          <w:szCs w:val="24"/>
        </w:rPr>
      </w:pPr>
      <w:r w:rsidRPr="00364AE7">
        <w:rPr>
          <w:sz w:val="24"/>
          <w:szCs w:val="24"/>
        </w:rPr>
        <w:t>Cell growth was measured for carbon and nitrogen source utilization tests, NaCl concentration tolerance, and temperature and pH range by analyzing the OD</w:t>
      </w:r>
      <w:r w:rsidRPr="00364AE7">
        <w:rPr>
          <w:sz w:val="24"/>
          <w:szCs w:val="24"/>
          <w:vertAlign w:val="subscript"/>
        </w:rPr>
        <w:t>600</w:t>
      </w:r>
      <w:r w:rsidRPr="00364AE7">
        <w:rPr>
          <w:sz w:val="24"/>
          <w:szCs w:val="24"/>
        </w:rPr>
        <w:t xml:space="preserve"> of cultures with a Thermo Spectronic 20 D+ spectrophotometer (Thermo Scientific, USA)</w:t>
      </w:r>
      <w:r w:rsidRPr="00364AE7">
        <w:rPr>
          <w:i/>
          <w:iCs/>
          <w:sz w:val="24"/>
          <w:szCs w:val="24"/>
        </w:rPr>
        <w:t xml:space="preserve"> </w:t>
      </w:r>
      <w:r w:rsidRPr="00364AE7">
        <w:rPr>
          <w:sz w:val="24"/>
          <w:szCs w:val="24"/>
        </w:rPr>
        <w:t xml:space="preserve">in the above medium. </w:t>
      </w:r>
    </w:p>
    <w:p w14:paraId="12D8C531" w14:textId="77777777" w:rsidR="00364AE7" w:rsidRPr="00364AE7" w:rsidRDefault="00364AE7" w:rsidP="00364AE7">
      <w:pPr>
        <w:spacing w:line="480" w:lineRule="auto"/>
        <w:rPr>
          <w:sz w:val="24"/>
          <w:szCs w:val="24"/>
        </w:rPr>
      </w:pPr>
      <w:bookmarkStart w:id="35" w:name="_Hlk123654151"/>
      <w:r w:rsidRPr="00364AE7">
        <w:rPr>
          <w:sz w:val="24"/>
          <w:szCs w:val="24"/>
        </w:rPr>
        <w:t xml:space="preserve">Temperature range was determined by measuring growth rates at 4, 15, 20, 25, 30, 35, 40, and 45 </w:t>
      </w:r>
      <w:r w:rsidRPr="00364AE7">
        <w:rPr>
          <w:rFonts w:cstheme="minorHAnsi"/>
          <w:sz w:val="24"/>
          <w:szCs w:val="24"/>
        </w:rPr>
        <w:t>°</w:t>
      </w:r>
      <w:r w:rsidRPr="00364AE7">
        <w:rPr>
          <w:sz w:val="24"/>
          <w:szCs w:val="24"/>
        </w:rPr>
        <w:t>C. The pH range was examined from 5.0–9.0 in 0.5 pH increments and NaCl tolerance measured at concentrations of 0–2% (w/v) in 0.25% increments</w:t>
      </w:r>
      <w:bookmarkEnd w:id="35"/>
      <w:r w:rsidRPr="00364AE7">
        <w:rPr>
          <w:sz w:val="24"/>
          <w:szCs w:val="24"/>
        </w:rPr>
        <w:t xml:space="preserve">. To determine substrate utilization abilities of the strain, the following carbon sources were individually added to the modified NMS media at 0.1% w/v:  methanol, ethanol, formate, glucose, fructose, lactose, sucrose, maltose, xylose, sorbitol, alanine, serine, glycine, acetate, citrate, oxalate, malate, pyruvate, succinate, urea, methylamine, dimethylamine, dimethylcarbonate, formamide, and methane (10% of tube headspace). Formaldehyde was also tested as a growth substrate, but at 0.01% w/v to compensate for potential toxicity issues and growth was measured using direct cell counts with 0.01% acridine orange stained cells and fluorescence microscopy </w:t>
      </w:r>
      <w:r w:rsidRPr="00364AE7">
        <w:rPr>
          <w:sz w:val="24"/>
          <w:szCs w:val="24"/>
        </w:rPr>
        <w:fldChar w:fldCharType="begin"/>
      </w:r>
      <w:r w:rsidRPr="00364AE7">
        <w:rPr>
          <w:sz w:val="24"/>
          <w:szCs w:val="24"/>
        </w:rPr>
        <w:instrText xml:space="preserve"> ADDIN ZOTERO_ITEM CSL_CITATION {"citationID":"WqAREkcN","properties":{"formattedCitation":"(40)","plainCitation":"(40)","noteIndex":0},"citationItems":[{"id":347,"uris":["http://zotero.org/users/11931443/items/QQ56JE3U"],"itemData":{"id":347,"type":"article-journal","abstract":"Polycarbonate Nuclepore filters are better than cellulose filters for the direct counting of bacteria because they have uniform pore size and a flat surface that retains all of the bacteria on top of the filter. Although cellulose filters also retain all of the bacteria, many are trapped inside the filter where they cannot be counted. Before use, the Nuclepore filters must be dyed with irgalan black to eliminate autofluorescence. Direct counts of bacteria in lake and ocean waters are twice as high with Nuclepore filters as with cellulose filters.","container-title":"Applied and Environmental Microbiology","ISSN":"0099-2240","issue":"5","journalAbbreviation":"Appl Environ Microbiol","note":"PMID: 327932\nPMCID: PMC170856","page":"1225-1228","source":"PubMed Central","title":"Use of nuclepore filters for counting bacteria by fluorescence microscopy.","volume":"33","author":[{"family":"Hobbie","given":"J E"},{"family":"Daley","given":"R J"},{"family":"Jasper","given":"S"}],"issued":{"date-parts":[["1977",5]]}}}],"schema":"https://github.com/citation-style-language/schema/raw/master/csl-citation.json"} </w:instrText>
      </w:r>
      <w:r w:rsidRPr="00364AE7">
        <w:rPr>
          <w:sz w:val="24"/>
          <w:szCs w:val="24"/>
        </w:rPr>
        <w:fldChar w:fldCharType="separate"/>
      </w:r>
      <w:r w:rsidRPr="00364AE7">
        <w:rPr>
          <w:noProof/>
          <w:sz w:val="24"/>
          <w:szCs w:val="24"/>
        </w:rPr>
        <w:t>(40)</w:t>
      </w:r>
      <w:r w:rsidRPr="00364AE7">
        <w:rPr>
          <w:sz w:val="24"/>
          <w:szCs w:val="24"/>
        </w:rPr>
        <w:fldChar w:fldCharType="end"/>
      </w:r>
      <w:r w:rsidRPr="00364AE7">
        <w:rPr>
          <w:b/>
          <w:i/>
          <w:sz w:val="24"/>
          <w:szCs w:val="24"/>
        </w:rPr>
        <w:t>.</w:t>
      </w:r>
      <w:r w:rsidRPr="00364AE7">
        <w:rPr>
          <w:b/>
          <w:i/>
          <w:iCs/>
          <w:sz w:val="24"/>
          <w:szCs w:val="24"/>
        </w:rPr>
        <w:t xml:space="preserve"> </w:t>
      </w:r>
      <w:r w:rsidRPr="00364AE7">
        <w:rPr>
          <w:bCs/>
          <w:iCs/>
          <w:sz w:val="24"/>
          <w:szCs w:val="24"/>
        </w:rPr>
        <w:t xml:space="preserve">Cells were counted using the </w:t>
      </w:r>
      <w:r w:rsidRPr="00364AE7">
        <w:rPr>
          <w:sz w:val="24"/>
          <w:szCs w:val="24"/>
        </w:rPr>
        <w:t xml:space="preserve">Olympus BX41 microscope described above fitted for fluorescence emission at 480 nm (Olympus Corporation, Japan). </w:t>
      </w:r>
      <w:r w:rsidRPr="00364AE7">
        <w:rPr>
          <w:bCs/>
          <w:iCs/>
          <w:sz w:val="24"/>
          <w:szCs w:val="24"/>
        </w:rPr>
        <w:t>For all carbon source utilization experiments,</w:t>
      </w:r>
      <w:r w:rsidRPr="00364AE7">
        <w:rPr>
          <w:rStyle w:val="CommentReference"/>
          <w:b/>
          <w:i/>
          <w:sz w:val="24"/>
          <w:szCs w:val="24"/>
        </w:rPr>
        <w:t xml:space="preserve"> </w:t>
      </w:r>
      <w:r w:rsidRPr="00364AE7">
        <w:rPr>
          <w:sz w:val="24"/>
          <w:szCs w:val="24"/>
        </w:rPr>
        <w:t>growth was measured weekly for 6 weeks. Nitrogen source utilization was tested by adding at 0.1% w/v, the following nitrogen sources to a nitrate free modified NMS medium in tubes containing air and CH</w:t>
      </w:r>
      <w:r w:rsidRPr="00364AE7">
        <w:rPr>
          <w:sz w:val="24"/>
          <w:szCs w:val="24"/>
          <w:vertAlign w:val="subscript"/>
        </w:rPr>
        <w:t>4</w:t>
      </w:r>
      <w:r w:rsidRPr="00364AE7">
        <w:rPr>
          <w:sz w:val="24"/>
          <w:szCs w:val="24"/>
        </w:rPr>
        <w:t xml:space="preserve"> in a 90:10 ratio in the headspace.   Nitrogen sources included ammonium (as NH</w:t>
      </w:r>
      <w:r w:rsidRPr="00364AE7">
        <w:rPr>
          <w:sz w:val="24"/>
          <w:szCs w:val="24"/>
          <w:vertAlign w:val="subscript"/>
        </w:rPr>
        <w:t>4</w:t>
      </w:r>
      <w:r w:rsidRPr="00364AE7">
        <w:rPr>
          <w:sz w:val="24"/>
          <w:szCs w:val="24"/>
        </w:rPr>
        <w:t>Cl), formamide, methylamine, glycine, hydroxylamine, urea, L-serine, L-aspartate, L-arginine, L-</w:t>
      </w:r>
      <w:r w:rsidRPr="00364AE7">
        <w:rPr>
          <w:sz w:val="24"/>
          <w:szCs w:val="24"/>
        </w:rPr>
        <w:lastRenderedPageBreak/>
        <w:t>leucine, L-proline, L-cysteine, L-methionine, L-histidine, L-lysine, L-alanine, L-threonine, glutamine, yeast extract, and nitrite. Each of these nitrogen sources were compared to a no added fixed nitrogen source control. Growth was measured every 1-2 weeks for 5-6 weeks. To determine if strain NLS-7</w:t>
      </w:r>
      <w:r w:rsidRPr="00364AE7">
        <w:rPr>
          <w:sz w:val="24"/>
          <w:szCs w:val="24"/>
          <w:vertAlign w:val="superscript"/>
        </w:rPr>
        <w:t xml:space="preserve">T </w:t>
      </w:r>
      <w:r w:rsidRPr="00364AE7">
        <w:rPr>
          <w:sz w:val="24"/>
          <w:szCs w:val="24"/>
        </w:rPr>
        <w:t>was able to fix atmospheric N</w:t>
      </w:r>
      <w:r w:rsidRPr="00364AE7">
        <w:rPr>
          <w:sz w:val="24"/>
          <w:szCs w:val="24"/>
          <w:vertAlign w:val="subscript"/>
        </w:rPr>
        <w:t>2</w:t>
      </w:r>
      <w:r w:rsidRPr="00364AE7">
        <w:rPr>
          <w:sz w:val="24"/>
          <w:szCs w:val="24"/>
        </w:rPr>
        <w:t>, it was grown in a nitrogen free medium with N</w:t>
      </w:r>
      <w:r w:rsidRPr="00364AE7">
        <w:rPr>
          <w:sz w:val="24"/>
          <w:szCs w:val="24"/>
          <w:vertAlign w:val="subscript"/>
        </w:rPr>
        <w:t>2</w:t>
      </w:r>
      <w:r w:rsidRPr="00364AE7">
        <w:rPr>
          <w:sz w:val="24"/>
          <w:szCs w:val="24"/>
        </w:rPr>
        <w:t>, O</w:t>
      </w:r>
      <w:r w:rsidRPr="00364AE7">
        <w:rPr>
          <w:sz w:val="24"/>
          <w:szCs w:val="24"/>
          <w:vertAlign w:val="subscript"/>
        </w:rPr>
        <w:t>2</w:t>
      </w:r>
      <w:r w:rsidRPr="00364AE7">
        <w:rPr>
          <w:sz w:val="24"/>
          <w:szCs w:val="24"/>
        </w:rPr>
        <w:t>, and CH</w:t>
      </w:r>
      <w:r w:rsidRPr="00364AE7">
        <w:rPr>
          <w:sz w:val="24"/>
          <w:szCs w:val="24"/>
          <w:vertAlign w:val="subscript"/>
        </w:rPr>
        <w:t>4</w:t>
      </w:r>
      <w:r w:rsidRPr="00364AE7">
        <w:rPr>
          <w:sz w:val="24"/>
          <w:szCs w:val="24"/>
        </w:rPr>
        <w:t xml:space="preserve"> gases present in the headspace at a 70:20:10 ratio and compared to a control with He substituted for N</w:t>
      </w:r>
      <w:r w:rsidRPr="00364AE7">
        <w:rPr>
          <w:sz w:val="24"/>
          <w:szCs w:val="24"/>
          <w:vertAlign w:val="subscript"/>
        </w:rPr>
        <w:t>2</w:t>
      </w:r>
      <w:r w:rsidRPr="00364AE7">
        <w:rPr>
          <w:sz w:val="24"/>
          <w:szCs w:val="24"/>
        </w:rPr>
        <w:t>. This control therefore has a headspace gas composition of He, O</w:t>
      </w:r>
      <w:r w:rsidRPr="00364AE7">
        <w:rPr>
          <w:sz w:val="24"/>
          <w:szCs w:val="24"/>
          <w:vertAlign w:val="subscript"/>
        </w:rPr>
        <w:t>2</w:t>
      </w:r>
      <w:r w:rsidRPr="00364AE7">
        <w:rPr>
          <w:sz w:val="24"/>
          <w:szCs w:val="24"/>
        </w:rPr>
        <w:t>, and CH</w:t>
      </w:r>
      <w:r w:rsidRPr="00364AE7">
        <w:rPr>
          <w:sz w:val="24"/>
          <w:szCs w:val="24"/>
          <w:vertAlign w:val="subscript"/>
        </w:rPr>
        <w:t>4</w:t>
      </w:r>
      <w:r w:rsidRPr="00364AE7">
        <w:rPr>
          <w:sz w:val="24"/>
          <w:szCs w:val="24"/>
        </w:rPr>
        <w:t xml:space="preserve"> at the sample 70:20:10 ratio. Growth was measured weekly for 8 weeks. </w:t>
      </w:r>
    </w:p>
    <w:p w14:paraId="2111A126" w14:textId="77777777" w:rsidR="00364AE7" w:rsidRDefault="00364AE7" w:rsidP="00364AE7">
      <w:pPr>
        <w:spacing w:before="240" w:line="480" w:lineRule="auto"/>
        <w:rPr>
          <w:sz w:val="24"/>
          <w:szCs w:val="24"/>
        </w:rPr>
      </w:pPr>
      <w:r w:rsidRPr="00364AE7">
        <w:rPr>
          <w:sz w:val="24"/>
          <w:szCs w:val="24"/>
        </w:rPr>
        <w:t>Strain NLS-7</w:t>
      </w:r>
      <w:r w:rsidRPr="00364AE7">
        <w:rPr>
          <w:sz w:val="24"/>
          <w:szCs w:val="24"/>
          <w:vertAlign w:val="superscript"/>
        </w:rPr>
        <w:t>T</w:t>
      </w:r>
      <w:r w:rsidRPr="00364AE7">
        <w:rPr>
          <w:sz w:val="24"/>
          <w:szCs w:val="24"/>
        </w:rPr>
        <w:t xml:space="preserve"> was capable of growth solely on methane and methanol. It was able to utilize ammonium (as NH</w:t>
      </w:r>
      <w:r w:rsidRPr="00364AE7">
        <w:rPr>
          <w:sz w:val="24"/>
          <w:szCs w:val="24"/>
          <w:vertAlign w:val="subscript"/>
        </w:rPr>
        <w:t>4</w:t>
      </w:r>
      <w:r w:rsidRPr="00364AE7">
        <w:rPr>
          <w:sz w:val="24"/>
          <w:szCs w:val="24"/>
        </w:rPr>
        <w:t xml:space="preserve">Cl), L-aspartate, L-arginine, yeast extract, Nitrate, L-leucine, L-proline, L-methionine, L-lysine, and L-alanine as nitrogen sources. Like all other members of the genus </w:t>
      </w:r>
      <w:r w:rsidRPr="00364AE7">
        <w:rPr>
          <w:i/>
          <w:iCs/>
          <w:sz w:val="24"/>
          <w:szCs w:val="24"/>
        </w:rPr>
        <w:t>Methylocystis</w:t>
      </w:r>
      <w:r w:rsidRPr="00364AE7">
        <w:rPr>
          <w:sz w:val="24"/>
          <w:szCs w:val="24"/>
        </w:rPr>
        <w:t>, strain NLS-7</w:t>
      </w:r>
      <w:r w:rsidRPr="00364AE7">
        <w:rPr>
          <w:sz w:val="24"/>
          <w:szCs w:val="24"/>
          <w:vertAlign w:val="superscript"/>
        </w:rPr>
        <w:t>T</w:t>
      </w:r>
      <w:r w:rsidRPr="00364AE7">
        <w:rPr>
          <w:sz w:val="24"/>
          <w:szCs w:val="24"/>
        </w:rPr>
        <w:t xml:space="preserve"> can fix atmospheric N</w:t>
      </w:r>
      <w:r w:rsidRPr="00364AE7">
        <w:rPr>
          <w:sz w:val="24"/>
          <w:szCs w:val="24"/>
          <w:vertAlign w:val="subscript"/>
        </w:rPr>
        <w:t>2</w:t>
      </w:r>
      <w:r w:rsidRPr="00364AE7">
        <w:rPr>
          <w:sz w:val="24"/>
          <w:szCs w:val="24"/>
        </w:rPr>
        <w:t>. Strain NLS-7</w:t>
      </w:r>
      <w:r w:rsidRPr="00364AE7">
        <w:rPr>
          <w:sz w:val="24"/>
          <w:szCs w:val="24"/>
          <w:vertAlign w:val="superscript"/>
        </w:rPr>
        <w:t>T</w:t>
      </w:r>
      <w:r w:rsidRPr="00364AE7">
        <w:rPr>
          <w:sz w:val="24"/>
          <w:szCs w:val="24"/>
        </w:rPr>
        <w:t xml:space="preserve"> can tolerate up to 0.75% (w/v) NaCl. It grew between 10-35 </w:t>
      </w:r>
      <w:r w:rsidRPr="00364AE7">
        <w:rPr>
          <w:rFonts w:cstheme="minorHAnsi"/>
          <w:sz w:val="24"/>
          <w:szCs w:val="24"/>
        </w:rPr>
        <w:t>°</w:t>
      </w:r>
      <w:r w:rsidRPr="00364AE7">
        <w:rPr>
          <w:sz w:val="24"/>
          <w:szCs w:val="24"/>
        </w:rPr>
        <w:t xml:space="preserve">C with an optimum at 30 </w:t>
      </w:r>
      <w:r w:rsidRPr="00364AE7">
        <w:rPr>
          <w:rFonts w:cstheme="minorHAnsi"/>
          <w:sz w:val="24"/>
          <w:szCs w:val="24"/>
        </w:rPr>
        <w:t>°</w:t>
      </w:r>
      <w:r w:rsidRPr="00364AE7">
        <w:rPr>
          <w:sz w:val="24"/>
          <w:szCs w:val="24"/>
        </w:rPr>
        <w:t xml:space="preserve">C and grew from pH 5.5-8.5 with an optimal pH of 6.5-7.0. When growing at 30 </w:t>
      </w:r>
      <w:r w:rsidRPr="00364AE7">
        <w:rPr>
          <w:rFonts w:cstheme="minorHAnsi"/>
          <w:sz w:val="24"/>
          <w:szCs w:val="24"/>
        </w:rPr>
        <w:t>°</w:t>
      </w:r>
      <w:r w:rsidRPr="00364AE7">
        <w:rPr>
          <w:sz w:val="24"/>
          <w:szCs w:val="24"/>
        </w:rPr>
        <w:t>C and pH 6.8 the strain has a specific growth rate of approximately 0.06 h</w:t>
      </w:r>
      <w:r w:rsidRPr="00364AE7">
        <w:rPr>
          <w:sz w:val="24"/>
          <w:szCs w:val="24"/>
          <w:vertAlign w:val="superscript"/>
        </w:rPr>
        <w:t>-1</w:t>
      </w:r>
      <w:r w:rsidRPr="00364AE7">
        <w:rPr>
          <w:sz w:val="24"/>
          <w:szCs w:val="24"/>
        </w:rPr>
        <w:t xml:space="preserve">. Cells are Gram-stain negative rods and are approximately 0.8 ± 0.14 </w:t>
      </w:r>
      <w:r w:rsidRPr="00364AE7">
        <w:rPr>
          <w:rFonts w:cstheme="minorHAnsi"/>
          <w:sz w:val="24"/>
          <w:szCs w:val="24"/>
        </w:rPr>
        <w:t>µ</w:t>
      </w:r>
      <w:r w:rsidRPr="00364AE7">
        <w:rPr>
          <w:sz w:val="24"/>
          <w:szCs w:val="24"/>
        </w:rPr>
        <w:t xml:space="preserve">m wide by 1.3 ± 0.3 </w:t>
      </w:r>
      <w:r w:rsidRPr="00364AE7">
        <w:rPr>
          <w:rFonts w:cstheme="minorHAnsi"/>
          <w:sz w:val="24"/>
          <w:szCs w:val="24"/>
        </w:rPr>
        <w:t>µ</w:t>
      </w:r>
      <w:r w:rsidRPr="00364AE7">
        <w:rPr>
          <w:sz w:val="24"/>
          <w:szCs w:val="24"/>
        </w:rPr>
        <w:t>m long (</w:t>
      </w:r>
      <w:r w:rsidRPr="00364AE7">
        <w:rPr>
          <w:b/>
          <w:bCs/>
          <w:sz w:val="24"/>
          <w:szCs w:val="24"/>
        </w:rPr>
        <w:t>Figure 4a</w:t>
      </w:r>
      <w:r w:rsidRPr="00364AE7">
        <w:rPr>
          <w:sz w:val="24"/>
          <w:szCs w:val="24"/>
        </w:rPr>
        <w:t>) when observed by light microscopy. When examining thin sections of the cells with transmission electron microscopy, there appears to be accumulation of poly-</w:t>
      </w:r>
      <w:r w:rsidRPr="00364AE7">
        <w:rPr>
          <w:rFonts w:cstheme="minorHAnsi"/>
          <w:sz w:val="24"/>
          <w:szCs w:val="24"/>
        </w:rPr>
        <w:t>β</w:t>
      </w:r>
      <w:r w:rsidRPr="00364AE7">
        <w:rPr>
          <w:sz w:val="24"/>
          <w:szCs w:val="24"/>
        </w:rPr>
        <w:t>-hydroxybutyrate and the cells appear to have a dumbbell shape.(</w:t>
      </w:r>
      <w:r w:rsidRPr="00364AE7">
        <w:rPr>
          <w:b/>
          <w:bCs/>
          <w:sz w:val="24"/>
          <w:szCs w:val="24"/>
        </w:rPr>
        <w:t>Figure 4b and 4c</w:t>
      </w:r>
      <w:r w:rsidRPr="00364AE7">
        <w:rPr>
          <w:sz w:val="24"/>
          <w:szCs w:val="24"/>
        </w:rPr>
        <w:t>).</w:t>
      </w:r>
    </w:p>
    <w:p w14:paraId="5471C019" w14:textId="77777777" w:rsidR="00AB3E06" w:rsidRDefault="00AB3E06" w:rsidP="00364AE7">
      <w:pPr>
        <w:spacing w:before="240" w:line="480" w:lineRule="auto"/>
        <w:rPr>
          <w:sz w:val="24"/>
          <w:szCs w:val="24"/>
        </w:rPr>
      </w:pPr>
    </w:p>
    <w:p w14:paraId="72A2BBB1" w14:textId="77777777" w:rsidR="00AB3E06" w:rsidRDefault="00AB3E06" w:rsidP="00364AE7">
      <w:pPr>
        <w:spacing w:before="240" w:line="480" w:lineRule="auto"/>
        <w:rPr>
          <w:sz w:val="24"/>
          <w:szCs w:val="24"/>
        </w:rPr>
      </w:pPr>
    </w:p>
    <w:p w14:paraId="43E6CDE1" w14:textId="77777777" w:rsidR="00317591" w:rsidRDefault="00317591" w:rsidP="00364AE7">
      <w:pPr>
        <w:spacing w:before="240" w:line="480" w:lineRule="auto"/>
        <w:rPr>
          <w:sz w:val="24"/>
          <w:szCs w:val="24"/>
        </w:rPr>
      </w:pPr>
    </w:p>
    <w:p w14:paraId="1024FC66" w14:textId="77777777" w:rsidR="00317591" w:rsidRDefault="00317591" w:rsidP="00364AE7">
      <w:pPr>
        <w:spacing w:before="240" w:line="480" w:lineRule="auto"/>
        <w:rPr>
          <w:sz w:val="24"/>
          <w:szCs w:val="24"/>
        </w:rPr>
      </w:pPr>
    </w:p>
    <w:p w14:paraId="1B61F43A" w14:textId="77777777" w:rsidR="00317591" w:rsidRDefault="00317591" w:rsidP="00364AE7">
      <w:pPr>
        <w:spacing w:before="240" w:line="480" w:lineRule="auto"/>
        <w:rPr>
          <w:sz w:val="24"/>
          <w:szCs w:val="24"/>
        </w:rPr>
      </w:pPr>
    </w:p>
    <w:p w14:paraId="607F9763" w14:textId="1B511B99" w:rsidR="00364AE7" w:rsidRDefault="00364AE7" w:rsidP="00364AE7">
      <w:pPr>
        <w:spacing w:before="240" w:line="480" w:lineRule="auto"/>
        <w:rPr>
          <w:sz w:val="24"/>
          <w:szCs w:val="24"/>
        </w:rPr>
      </w:pPr>
      <w:r w:rsidRPr="00364AE7">
        <w:rPr>
          <w:noProof/>
          <w:sz w:val="24"/>
          <w:szCs w:val="24"/>
        </w:rPr>
        <w:drawing>
          <wp:inline distT="0" distB="0" distL="0" distR="0" wp14:anchorId="119C78D4" wp14:editId="6B044230">
            <wp:extent cx="5943600" cy="1762760"/>
            <wp:effectExtent l="0" t="0" r="0" b="2540"/>
            <wp:docPr id="1845312453" name="Picture 1" descr="A close-up of a microscope sl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312453" name="Picture 1" descr="A close-up of a microscope slide&#10;&#10;Description automatically generated"/>
                    <pic:cNvPicPr/>
                  </pic:nvPicPr>
                  <pic:blipFill>
                    <a:blip r:embed="rId15"/>
                    <a:stretch>
                      <a:fillRect/>
                    </a:stretch>
                  </pic:blipFill>
                  <pic:spPr>
                    <a:xfrm>
                      <a:off x="0" y="0"/>
                      <a:ext cx="5943600" cy="1762760"/>
                    </a:xfrm>
                    <a:prstGeom prst="rect">
                      <a:avLst/>
                    </a:prstGeom>
                  </pic:spPr>
                </pic:pic>
              </a:graphicData>
            </a:graphic>
          </wp:inline>
        </w:drawing>
      </w:r>
    </w:p>
    <w:p w14:paraId="59B6459E" w14:textId="73893DFF" w:rsidR="00364AE7" w:rsidRPr="00044CFD" w:rsidRDefault="00364AE7" w:rsidP="00364AE7">
      <w:pPr>
        <w:autoSpaceDE w:val="0"/>
        <w:autoSpaceDN w:val="0"/>
        <w:adjustRightInd w:val="0"/>
        <w:spacing w:after="0" w:line="240" w:lineRule="auto"/>
        <w:rPr>
          <w:rFonts w:eastAsiaTheme="minorHAnsi"/>
          <w:sz w:val="24"/>
          <w:szCs w:val="24"/>
          <w14:ligatures w14:val="standardContextual"/>
        </w:rPr>
      </w:pPr>
      <w:r w:rsidRPr="00364AE7">
        <w:rPr>
          <w:rFonts w:eastAsiaTheme="minorHAnsi"/>
          <w:b/>
          <w:bCs/>
          <w:sz w:val="24"/>
          <w:szCs w:val="24"/>
          <w14:ligatures w14:val="standardContextual"/>
        </w:rPr>
        <w:t>Figure 4:</w:t>
      </w:r>
      <w:r w:rsidRPr="00364AE7">
        <w:rPr>
          <w:rFonts w:eastAsiaTheme="minorHAnsi"/>
          <w:sz w:val="24"/>
          <w:szCs w:val="24"/>
          <w14:ligatures w14:val="standardContextual"/>
        </w:rPr>
        <w:t xml:space="preserve"> Microscope images of strain NLS-7. Light microscope image under a X100 oil immersion lens</w:t>
      </w:r>
      <w:r>
        <w:rPr>
          <w:rFonts w:eastAsiaTheme="minorHAnsi"/>
          <w:sz w:val="24"/>
          <w:szCs w:val="24"/>
          <w14:ligatures w14:val="standardContextual"/>
        </w:rPr>
        <w:t xml:space="preserve"> (a)</w:t>
      </w:r>
      <w:r w:rsidRPr="00364AE7">
        <w:rPr>
          <w:rFonts w:eastAsiaTheme="minorHAnsi"/>
          <w:sz w:val="24"/>
          <w:szCs w:val="24"/>
          <w14:ligatures w14:val="standardContextual"/>
        </w:rPr>
        <w:t>. Scale bar is 5 μm.</w:t>
      </w:r>
      <w:r>
        <w:rPr>
          <w:rFonts w:eastAsiaTheme="minorHAnsi"/>
          <w:sz w:val="24"/>
          <w:szCs w:val="24"/>
          <w14:ligatures w14:val="standardContextual"/>
        </w:rPr>
        <w:t xml:space="preserve"> </w:t>
      </w:r>
      <w:r w:rsidRPr="00364AE7">
        <w:rPr>
          <w:rFonts w:eastAsiaTheme="minorHAnsi"/>
          <w:sz w:val="24"/>
          <w:szCs w:val="24"/>
          <w14:ligatures w14:val="standardContextual"/>
        </w:rPr>
        <w:t>Transmission electron microscope images</w:t>
      </w:r>
      <w:r>
        <w:rPr>
          <w:rFonts w:eastAsiaTheme="minorHAnsi"/>
          <w:sz w:val="24"/>
          <w:szCs w:val="24"/>
          <w14:ligatures w14:val="standardContextual"/>
        </w:rPr>
        <w:t xml:space="preserve"> (b, c)</w:t>
      </w:r>
      <w:r w:rsidRPr="00364AE7">
        <w:rPr>
          <w:rFonts w:eastAsiaTheme="minorHAnsi"/>
          <w:sz w:val="24"/>
          <w:szCs w:val="24"/>
          <w14:ligatures w14:val="standardContextual"/>
        </w:rPr>
        <w:t>. High voltage is 80 kV and direct magnification is 5000x. Scale bars are 500 nm.</w:t>
      </w:r>
      <w:r w:rsidR="00044CFD">
        <w:rPr>
          <w:rFonts w:eastAsiaTheme="minorHAnsi"/>
          <w:sz w:val="24"/>
          <w:szCs w:val="24"/>
          <w14:ligatures w14:val="standardContextual"/>
        </w:rPr>
        <w:t xml:space="preserve"> </w:t>
      </w:r>
      <w:r w:rsidR="00044CFD" w:rsidRPr="006A2F31">
        <w:rPr>
          <w:rStyle w:val="Heading5Char"/>
        </w:rPr>
        <w:t>Figure 4: Methylocystis microscopy</w:t>
      </w:r>
    </w:p>
    <w:p w14:paraId="19A24683" w14:textId="77777777" w:rsidR="00364AE7" w:rsidRDefault="00364AE7" w:rsidP="00364AE7">
      <w:pPr>
        <w:spacing w:line="480" w:lineRule="auto"/>
        <w:rPr>
          <w:sz w:val="24"/>
          <w:szCs w:val="24"/>
        </w:rPr>
      </w:pPr>
    </w:p>
    <w:p w14:paraId="74D054E2" w14:textId="77777777" w:rsidR="00364AE7" w:rsidRDefault="00364AE7" w:rsidP="00364AE7">
      <w:pPr>
        <w:spacing w:line="480" w:lineRule="auto"/>
        <w:rPr>
          <w:sz w:val="24"/>
          <w:szCs w:val="24"/>
        </w:rPr>
      </w:pPr>
    </w:p>
    <w:p w14:paraId="3C5FF90F" w14:textId="38461CEC" w:rsidR="00364AE7" w:rsidRPr="00364AE7" w:rsidRDefault="00364AE7" w:rsidP="00364AE7">
      <w:pPr>
        <w:spacing w:line="480" w:lineRule="auto"/>
        <w:rPr>
          <w:sz w:val="24"/>
          <w:szCs w:val="24"/>
        </w:rPr>
      </w:pPr>
      <w:r w:rsidRPr="00364AE7">
        <w:rPr>
          <w:sz w:val="24"/>
          <w:szCs w:val="24"/>
        </w:rPr>
        <w:t xml:space="preserve">Cells for fatty acid analysis were grown in modified NMS medium at 26 </w:t>
      </w:r>
      <w:r w:rsidRPr="00364AE7">
        <w:rPr>
          <w:rFonts w:cstheme="minorHAnsi"/>
          <w:sz w:val="24"/>
          <w:szCs w:val="24"/>
        </w:rPr>
        <w:t>°</w:t>
      </w:r>
      <w:r w:rsidRPr="00364AE7">
        <w:rPr>
          <w:sz w:val="24"/>
          <w:szCs w:val="24"/>
        </w:rPr>
        <w:t>C, harvested in late log phase from batch culture and the cell material was freeze dried. Phospholipid fatty acid analysis with mass spectrometry of strain NLS-7</w:t>
      </w:r>
      <w:r w:rsidRPr="00364AE7">
        <w:rPr>
          <w:sz w:val="24"/>
          <w:szCs w:val="24"/>
          <w:vertAlign w:val="superscript"/>
        </w:rPr>
        <w:t>T</w:t>
      </w:r>
      <w:r w:rsidRPr="00364AE7">
        <w:rPr>
          <w:sz w:val="24"/>
          <w:szCs w:val="24"/>
        </w:rPr>
        <w:t xml:space="preserve"> was carried out by the Identification Service, Leibniz-Institut – Deutsche Sammlung von Mikroorganismen und Zellkulturen GmbH, Braunshweig, Germany.</w:t>
      </w:r>
    </w:p>
    <w:p w14:paraId="48E28E83" w14:textId="2F28FFB4" w:rsidR="00364AE7" w:rsidRPr="00364AE7" w:rsidRDefault="00364AE7" w:rsidP="00364AE7">
      <w:pPr>
        <w:spacing w:line="480" w:lineRule="auto"/>
        <w:rPr>
          <w:sz w:val="24"/>
          <w:szCs w:val="24"/>
        </w:rPr>
      </w:pPr>
      <w:r w:rsidRPr="00364AE7">
        <w:rPr>
          <w:sz w:val="24"/>
          <w:szCs w:val="24"/>
        </w:rPr>
        <w:t>Fatty acid analysis indicates that strain NLS-7</w:t>
      </w:r>
      <w:r w:rsidRPr="00364AE7">
        <w:rPr>
          <w:sz w:val="24"/>
          <w:szCs w:val="24"/>
          <w:vertAlign w:val="superscript"/>
        </w:rPr>
        <w:t>T</w:t>
      </w:r>
      <w:r w:rsidRPr="00364AE7">
        <w:rPr>
          <w:sz w:val="24"/>
          <w:szCs w:val="24"/>
        </w:rPr>
        <w:t xml:space="preserve"> contains the C</w:t>
      </w:r>
      <w:r w:rsidRPr="00364AE7">
        <w:rPr>
          <w:sz w:val="24"/>
          <w:szCs w:val="24"/>
          <w:vertAlign w:val="subscript"/>
        </w:rPr>
        <w:t xml:space="preserve">18 : 1 </w:t>
      </w:r>
      <w:r w:rsidRPr="00364AE7">
        <w:rPr>
          <w:sz w:val="24"/>
          <w:szCs w:val="24"/>
        </w:rPr>
        <w:t>ω8c, C</w:t>
      </w:r>
      <w:r w:rsidRPr="00364AE7">
        <w:rPr>
          <w:sz w:val="24"/>
          <w:szCs w:val="24"/>
          <w:vertAlign w:val="subscript"/>
        </w:rPr>
        <w:t xml:space="preserve">18 : 1 </w:t>
      </w:r>
      <w:r w:rsidRPr="00364AE7">
        <w:rPr>
          <w:sz w:val="24"/>
          <w:szCs w:val="24"/>
        </w:rPr>
        <w:t>ω7c as the predominant fatty acids.  The C</w:t>
      </w:r>
      <w:r w:rsidRPr="00364AE7">
        <w:rPr>
          <w:sz w:val="24"/>
          <w:szCs w:val="24"/>
          <w:vertAlign w:val="subscript"/>
        </w:rPr>
        <w:t xml:space="preserve">18 : 1 </w:t>
      </w:r>
      <w:r w:rsidRPr="00364AE7">
        <w:rPr>
          <w:sz w:val="24"/>
          <w:szCs w:val="24"/>
        </w:rPr>
        <w:t xml:space="preserve">ω8c fatty acid is present in all classified members of the </w:t>
      </w:r>
      <w:r w:rsidRPr="00364AE7">
        <w:rPr>
          <w:i/>
          <w:iCs/>
          <w:sz w:val="24"/>
          <w:szCs w:val="24"/>
        </w:rPr>
        <w:t xml:space="preserve">Methylocystis </w:t>
      </w:r>
      <w:r w:rsidRPr="00364AE7">
        <w:rPr>
          <w:sz w:val="24"/>
          <w:szCs w:val="24"/>
        </w:rPr>
        <w:t>genus, and the C</w:t>
      </w:r>
      <w:r w:rsidRPr="00364AE7">
        <w:rPr>
          <w:sz w:val="24"/>
          <w:szCs w:val="24"/>
          <w:vertAlign w:val="subscript"/>
        </w:rPr>
        <w:t xml:space="preserve">18 : 1 </w:t>
      </w:r>
      <w:r w:rsidRPr="00364AE7">
        <w:rPr>
          <w:sz w:val="24"/>
          <w:szCs w:val="24"/>
        </w:rPr>
        <w:t xml:space="preserve">ω7c fatty acid is present in all species of </w:t>
      </w:r>
      <w:r w:rsidRPr="00364AE7">
        <w:rPr>
          <w:i/>
          <w:iCs/>
          <w:sz w:val="24"/>
          <w:szCs w:val="24"/>
        </w:rPr>
        <w:t xml:space="preserve">Methylocystis </w:t>
      </w:r>
      <w:r w:rsidRPr="00364AE7">
        <w:rPr>
          <w:sz w:val="24"/>
          <w:szCs w:val="24"/>
        </w:rPr>
        <w:t xml:space="preserve">except for </w:t>
      </w:r>
      <w:r w:rsidRPr="00364AE7">
        <w:rPr>
          <w:i/>
          <w:iCs/>
          <w:sz w:val="24"/>
          <w:szCs w:val="24"/>
        </w:rPr>
        <w:t xml:space="preserve">M. iwaonis </w:t>
      </w:r>
      <w:r w:rsidRPr="00364AE7">
        <w:rPr>
          <w:sz w:val="24"/>
          <w:szCs w:val="24"/>
        </w:rPr>
        <w:fldChar w:fldCharType="begin"/>
      </w:r>
      <w:r w:rsidRPr="00364AE7">
        <w:rPr>
          <w:sz w:val="24"/>
          <w:szCs w:val="24"/>
        </w:rPr>
        <w:instrText xml:space="preserve"> ADDIN ZOTERO_ITEM CSL_CITATION {"citationID":"fAhjD2Ei","properties":{"formattedCitation":"(12)","plainCitation":"(12)","noteIndex":0},"citationItems":[{"id":342,"uris":["http://zotero.org/users/11931443/items/PJHHX94P"],"itemData":{"id":342,"type":"article-journal","abstract":"A novel methane-oxidizing bacterial strain SS37A-ReT was isolated from surface soil of a rice paddy field in Japan. Cells were Gram-stain-negative, motile rods with single polar flagellum and type II intracytoplasmic membrane arrangement. The strain grew on methane or methanol as the sole carbon and energy source. It grew at 15–37 °C (optimum 25–30 °C), pH 6.0–9.0 (optimum 7.0–8.0) and with 0–0.1 % (w/w) NaCl (no growth at 0.5 % or above). Cells formed cysts, but not exospores. The results of sequence analysis of the 16S rRNA gene indicated that SS37A-ReT represented a member of the family &amp;#160;&amp;#160;Methylocystaceae&amp;#160;&amp;#160;, with the highest similarity (98.9 %) to Methylocystis parva corrig. OBBPT. Phylogenetic analysis of pmoA and mxaF genes and core genes in the genome indicated that the strain was closely related to the members of the genus &amp;#160;&amp;#160;Methylocystis&amp;#160;&amp;#160;, while the analysis of the mmoX gene indicated the close relationships with the genus &amp;#160;&amp;#160;Methylosinus&amp;#160;&amp;#160;. The values of genome relatedness between SS37A-ReT and species of the genera &amp;#160;&amp;#160;Methylocystis&amp;#160;&amp;#160; and &amp;#160;&amp;#160;Methylosinus&amp;#160;&amp;#160; were 78.6–82.5% and 21.7–24.9 % estimated by the average nucleotide identity and digital DNA–DNA hybridisation, respectively, showing the highest values with &amp;#160;&amp;#160;Methylocystis echinoides&amp;#160;&amp;#160; LMG 27198T. The DNA G+C content was 63.2 mol% (genome). The major quinone and fatty acids were Q-8 and, C18 : 1 (C18 : 1ω8t and C18 : 1ω8c) and C18 : 2, respectively. On the basis of the phenotypic and phylogenetic features, the strain represents a novel species of the genus &amp;#160;&amp;#160;Methylocystis&amp;#160;&amp;#160;, for which the name Methylocystis iwaonis sp. nov. is proposed. The type strain is SS37A-ReT (=JCM 34278T =NBRC 114996T=KCTC 82710T).","container-title":"International Journal of Systematic and Evolutionary Microbiology","DOI":"10.1099/ijsem.0.005925","ISSN":"1466-5034","issue":"6","journalAbbreviation":"Int J Syst Evol Microbiol","note":"publisher: Microbiology Society,","page":"005925","source":"Microbiology Society Journals","title":"Methylocystis iwaonis sp. nov., a type II methane-oxidizing bacterium from surface soil of a rice paddy field in Japan, and emended description of the genus Methylocystis (ex Whittenbury et al. 1970) Bowman et al. 1993","volume":"73","author":[{"family":"Kaise","given":"Hirotaka"},{"family":"Sawadogo","given":"Joseph Benewindé"},{"family":"Alam","given":"Mohammad Saiful"},{"family":"Ueno","given":"Chihoko"},{"family":"Dianou","given":"Dayéri"},{"family":"Shinjo","given":"Rina"},{"family":"Asakawa","given":"Susumu"}],"issued":{"date-parts":[["2023"]]}}}],"schema":"https://github.com/citation-style-language/schema/raw/master/csl-citation.json"} </w:instrText>
      </w:r>
      <w:r w:rsidRPr="00364AE7">
        <w:rPr>
          <w:sz w:val="24"/>
          <w:szCs w:val="24"/>
        </w:rPr>
        <w:fldChar w:fldCharType="separate"/>
      </w:r>
      <w:r w:rsidRPr="00364AE7">
        <w:rPr>
          <w:noProof/>
          <w:sz w:val="24"/>
          <w:szCs w:val="24"/>
        </w:rPr>
        <w:t>(12)</w:t>
      </w:r>
      <w:r w:rsidRPr="00364AE7">
        <w:rPr>
          <w:sz w:val="24"/>
          <w:szCs w:val="24"/>
        </w:rPr>
        <w:fldChar w:fldCharType="end"/>
      </w:r>
      <w:r w:rsidRPr="00364AE7">
        <w:rPr>
          <w:sz w:val="24"/>
          <w:szCs w:val="24"/>
        </w:rPr>
        <w:t xml:space="preserve"> as shown in </w:t>
      </w:r>
      <w:r w:rsidRPr="00364AE7">
        <w:rPr>
          <w:b/>
          <w:bCs/>
          <w:sz w:val="24"/>
          <w:szCs w:val="24"/>
        </w:rPr>
        <w:t>Table 2</w:t>
      </w:r>
      <w:r w:rsidRPr="00364AE7">
        <w:rPr>
          <w:sz w:val="24"/>
          <w:szCs w:val="24"/>
        </w:rPr>
        <w:t xml:space="preserve">. </w:t>
      </w:r>
      <w:bookmarkStart w:id="36" w:name="_Hlk123906858"/>
      <w:r w:rsidRPr="00364AE7">
        <w:rPr>
          <w:sz w:val="24"/>
          <w:szCs w:val="24"/>
        </w:rPr>
        <w:t>For strain NLS-7</w:t>
      </w:r>
      <w:r w:rsidRPr="00364AE7">
        <w:rPr>
          <w:sz w:val="24"/>
          <w:szCs w:val="24"/>
          <w:vertAlign w:val="superscript"/>
        </w:rPr>
        <w:t>T</w:t>
      </w:r>
      <w:r w:rsidRPr="00364AE7">
        <w:rPr>
          <w:sz w:val="24"/>
          <w:szCs w:val="24"/>
        </w:rPr>
        <w:t>, the C</w:t>
      </w:r>
      <w:r w:rsidRPr="00364AE7">
        <w:rPr>
          <w:sz w:val="24"/>
          <w:szCs w:val="24"/>
          <w:vertAlign w:val="subscript"/>
        </w:rPr>
        <w:t xml:space="preserve">18 : 1 </w:t>
      </w:r>
      <w:r w:rsidRPr="00364AE7">
        <w:rPr>
          <w:sz w:val="24"/>
          <w:szCs w:val="24"/>
        </w:rPr>
        <w:t>ω8c and C</w:t>
      </w:r>
      <w:r w:rsidRPr="00364AE7">
        <w:rPr>
          <w:sz w:val="24"/>
          <w:szCs w:val="24"/>
          <w:vertAlign w:val="subscript"/>
        </w:rPr>
        <w:t xml:space="preserve">18 : 1 </w:t>
      </w:r>
      <w:r w:rsidRPr="00364AE7">
        <w:rPr>
          <w:sz w:val="24"/>
          <w:szCs w:val="24"/>
        </w:rPr>
        <w:t xml:space="preserve">ω7c fatty acids are present at the highest abundance at over 97% of the entire fatty acid profile with all </w:t>
      </w:r>
      <w:r w:rsidRPr="00364AE7">
        <w:rPr>
          <w:sz w:val="24"/>
          <w:szCs w:val="24"/>
        </w:rPr>
        <w:lastRenderedPageBreak/>
        <w:t xml:space="preserve">other fatty acids present only at trace amounts.  </w:t>
      </w:r>
      <w:bookmarkEnd w:id="36"/>
      <w:r w:rsidRPr="00364AE7">
        <w:rPr>
          <w:sz w:val="24"/>
          <w:szCs w:val="24"/>
        </w:rPr>
        <w:t xml:space="preserve">Although not grow all nine of the species </w:t>
      </w:r>
      <w:r w:rsidR="00F75AFD">
        <w:rPr>
          <w:sz w:val="24"/>
          <w:szCs w:val="24"/>
        </w:rPr>
        <w:t xml:space="preserve">were grown </w:t>
      </w:r>
      <w:r w:rsidRPr="00364AE7">
        <w:rPr>
          <w:sz w:val="24"/>
          <w:szCs w:val="24"/>
        </w:rPr>
        <w:t xml:space="preserve">in parallel, very similar growth conditions </w:t>
      </w:r>
      <w:r w:rsidR="00F75AFD">
        <w:rPr>
          <w:sz w:val="24"/>
          <w:szCs w:val="24"/>
        </w:rPr>
        <w:t xml:space="preserve">were used </w:t>
      </w:r>
      <w:r w:rsidRPr="00364AE7">
        <w:rPr>
          <w:sz w:val="24"/>
          <w:szCs w:val="24"/>
        </w:rPr>
        <w:t xml:space="preserve">to grow </w:t>
      </w:r>
      <w:r w:rsidR="00F75AFD">
        <w:rPr>
          <w:sz w:val="24"/>
          <w:szCs w:val="24"/>
        </w:rPr>
        <w:t>NLS-7</w:t>
      </w:r>
      <w:r w:rsidR="00F75AFD" w:rsidRPr="00F75AFD">
        <w:rPr>
          <w:sz w:val="24"/>
          <w:szCs w:val="24"/>
          <w:vertAlign w:val="superscript"/>
        </w:rPr>
        <w:t>T</w:t>
      </w:r>
      <w:r w:rsidRPr="00364AE7">
        <w:rPr>
          <w:sz w:val="24"/>
          <w:szCs w:val="24"/>
        </w:rPr>
        <w:t xml:space="preserve"> cells as were used for the other data. Specifically the data from the characterization of </w:t>
      </w:r>
      <w:r w:rsidRPr="00364AE7">
        <w:rPr>
          <w:i/>
          <w:iCs/>
          <w:sz w:val="24"/>
          <w:szCs w:val="24"/>
        </w:rPr>
        <w:t>M. iwaonis</w:t>
      </w:r>
      <w:r w:rsidRPr="00364AE7">
        <w:rPr>
          <w:sz w:val="24"/>
          <w:szCs w:val="24"/>
        </w:rPr>
        <w:t xml:space="preserve"> which grew cells for fatty acid analysis in NMS medium at 30</w:t>
      </w:r>
      <w:r w:rsidRPr="00364AE7">
        <w:rPr>
          <w:rFonts w:cstheme="minorHAnsi"/>
          <w:sz w:val="24"/>
          <w:szCs w:val="24"/>
        </w:rPr>
        <w:t>°</w:t>
      </w:r>
      <w:r w:rsidRPr="00364AE7">
        <w:rPr>
          <w:sz w:val="24"/>
          <w:szCs w:val="24"/>
        </w:rPr>
        <w:t xml:space="preserve">C </w:t>
      </w:r>
      <w:r w:rsidRPr="00364AE7">
        <w:rPr>
          <w:sz w:val="24"/>
          <w:szCs w:val="24"/>
        </w:rPr>
        <w:fldChar w:fldCharType="begin"/>
      </w:r>
      <w:r w:rsidRPr="00364AE7">
        <w:rPr>
          <w:sz w:val="24"/>
          <w:szCs w:val="24"/>
        </w:rPr>
        <w:instrText xml:space="preserve"> ADDIN ZOTERO_ITEM CSL_CITATION {"citationID":"nfBrngTP","properties":{"formattedCitation":"(12)","plainCitation":"(12)","noteIndex":0},"citationItems":[{"id":342,"uris":["http://zotero.org/users/11931443/items/PJHHX94P"],"itemData":{"id":342,"type":"article-journal","abstract":"A novel methane-oxidizing bacterial strain SS37A-ReT was isolated from surface soil of a rice paddy field in Japan. Cells were Gram-stain-negative, motile rods with single polar flagellum and type II intracytoplasmic membrane arrangement. The strain grew on methane or methanol as the sole carbon and energy source. It grew at 15–37 °C (optimum 25–30 °C), pH 6.0–9.0 (optimum 7.0–8.0) and with 0–0.1 % (w/w) NaCl (no growth at 0.5 % or above). Cells formed cysts, but not exospores. The results of sequence analysis of the 16S rRNA gene indicated that SS37A-ReT represented a member of the family &amp;#160;&amp;#160;Methylocystaceae&amp;#160;&amp;#160;, with the highest similarity (98.9 %) to Methylocystis parva corrig. OBBPT. Phylogenetic analysis of pmoA and mxaF genes and core genes in the genome indicated that the strain was closely related to the members of the genus &amp;#160;&amp;#160;Methylocystis&amp;#160;&amp;#160;, while the analysis of the mmoX gene indicated the close relationships with the genus &amp;#160;&amp;#160;Methylosinus&amp;#160;&amp;#160;. The values of genome relatedness between SS37A-ReT and species of the genera &amp;#160;&amp;#160;Methylocystis&amp;#160;&amp;#160; and &amp;#160;&amp;#160;Methylosinus&amp;#160;&amp;#160; were 78.6–82.5% and 21.7–24.9 % estimated by the average nucleotide identity and digital DNA–DNA hybridisation, respectively, showing the highest values with &amp;#160;&amp;#160;Methylocystis echinoides&amp;#160;&amp;#160; LMG 27198T. The DNA G+C content was 63.2 mol% (genome). The major quinone and fatty acids were Q-8 and, C18 : 1 (C18 : 1ω8t and C18 : 1ω8c) and C18 : 2, respectively. On the basis of the phenotypic and phylogenetic features, the strain represents a novel species of the genus &amp;#160;&amp;#160;Methylocystis&amp;#160;&amp;#160;, for which the name Methylocystis iwaonis sp. nov. is proposed. The type strain is SS37A-ReT (=JCM 34278T =NBRC 114996T=KCTC 82710T).","container-title":"International Journal of Systematic and Evolutionary Microbiology","DOI":"10.1099/ijsem.0.005925","ISSN":"1466-5034","issue":"6","journalAbbreviation":"Int J Syst Evol Microbiol","note":"publisher: Microbiology Society,","page":"005925","source":"Microbiology Society Journals","title":"Methylocystis iwaonis sp. nov., a type II methane-oxidizing bacterium from surface soil of a rice paddy field in Japan, and emended description of the genus Methylocystis (ex Whittenbury et al. 1970) Bowman et al. 1993","volume":"73","author":[{"family":"Kaise","given":"Hirotaka"},{"family":"Sawadogo","given":"Joseph Benewindé"},{"family":"Alam","given":"Mohammad Saiful"},{"family":"Ueno","given":"Chihoko"},{"family":"Dianou","given":"Dayéri"},{"family":"Shinjo","given":"Rina"},{"family":"Asakawa","given":"Susumu"}],"issued":{"date-parts":[["2023"]]}}}],"schema":"https://github.com/citation-style-language/schema/raw/master/csl-citation.json"} </w:instrText>
      </w:r>
      <w:r w:rsidRPr="00364AE7">
        <w:rPr>
          <w:sz w:val="24"/>
          <w:szCs w:val="24"/>
        </w:rPr>
        <w:fldChar w:fldCharType="separate"/>
      </w:r>
      <w:r w:rsidRPr="00364AE7">
        <w:rPr>
          <w:noProof/>
          <w:sz w:val="24"/>
          <w:szCs w:val="24"/>
        </w:rPr>
        <w:t>(12)</w:t>
      </w:r>
      <w:r w:rsidRPr="00364AE7">
        <w:rPr>
          <w:sz w:val="24"/>
          <w:szCs w:val="24"/>
        </w:rPr>
        <w:fldChar w:fldCharType="end"/>
      </w:r>
      <w:r w:rsidRPr="00364AE7">
        <w:rPr>
          <w:sz w:val="24"/>
          <w:szCs w:val="24"/>
        </w:rPr>
        <w:t>.</w:t>
      </w:r>
    </w:p>
    <w:p w14:paraId="36821E2B" w14:textId="77777777" w:rsidR="00364AE7" w:rsidRDefault="00364AE7" w:rsidP="00364AE7">
      <w:pPr>
        <w:spacing w:line="480" w:lineRule="auto"/>
        <w:rPr>
          <w:sz w:val="24"/>
          <w:szCs w:val="24"/>
        </w:rPr>
      </w:pPr>
      <w:r w:rsidRPr="00364AE7">
        <w:rPr>
          <w:sz w:val="24"/>
          <w:szCs w:val="24"/>
        </w:rPr>
        <w:t>Based on the data obtained from this polyphasic taxonomic study that included phenotypic and phylogenetic information, strain NLS-7</w:t>
      </w:r>
      <w:r w:rsidRPr="00364AE7">
        <w:rPr>
          <w:sz w:val="24"/>
          <w:szCs w:val="24"/>
          <w:vertAlign w:val="superscript"/>
        </w:rPr>
        <w:t>T</w:t>
      </w:r>
      <w:r w:rsidRPr="00364AE7">
        <w:rPr>
          <w:sz w:val="24"/>
          <w:szCs w:val="24"/>
        </w:rPr>
        <w:t xml:space="preserve"> merits recognition as representing a novel species of the genus </w:t>
      </w:r>
      <w:r w:rsidRPr="00364AE7">
        <w:rPr>
          <w:i/>
          <w:iCs/>
          <w:sz w:val="24"/>
          <w:szCs w:val="24"/>
        </w:rPr>
        <w:t>Methylocystis</w:t>
      </w:r>
      <w:r w:rsidRPr="00364AE7">
        <w:rPr>
          <w:sz w:val="24"/>
          <w:szCs w:val="24"/>
        </w:rPr>
        <w:t xml:space="preserve"> for which the name </w:t>
      </w:r>
      <w:r w:rsidRPr="00364AE7">
        <w:rPr>
          <w:i/>
          <w:iCs/>
          <w:sz w:val="24"/>
          <w:szCs w:val="24"/>
        </w:rPr>
        <w:t xml:space="preserve">Methylocystis suflitae </w:t>
      </w:r>
      <w:r w:rsidRPr="00364AE7">
        <w:rPr>
          <w:sz w:val="24"/>
          <w:szCs w:val="24"/>
        </w:rPr>
        <w:t xml:space="preserve">sp. nov. is proposed. The novel species can be delineated from other members of the genus </w:t>
      </w:r>
      <w:r w:rsidRPr="00364AE7">
        <w:rPr>
          <w:i/>
          <w:iCs/>
          <w:sz w:val="24"/>
          <w:szCs w:val="24"/>
        </w:rPr>
        <w:t>Methylocystis</w:t>
      </w:r>
      <w:r w:rsidRPr="00364AE7">
        <w:rPr>
          <w:sz w:val="24"/>
          <w:szCs w:val="24"/>
        </w:rPr>
        <w:t xml:space="preserve"> based on its ANI and AAI values, digital DNA-DNA hybridization, and proportion of gene clusters unique to the species. It can also be distinguished from other species of </w:t>
      </w:r>
      <w:r w:rsidRPr="00364AE7">
        <w:rPr>
          <w:i/>
          <w:iCs/>
          <w:sz w:val="24"/>
          <w:szCs w:val="24"/>
        </w:rPr>
        <w:t>Methylocystis</w:t>
      </w:r>
      <w:r w:rsidRPr="00364AE7">
        <w:rPr>
          <w:sz w:val="24"/>
          <w:szCs w:val="24"/>
        </w:rPr>
        <w:t xml:space="preserve"> (except </w:t>
      </w:r>
      <w:r w:rsidRPr="00364AE7">
        <w:rPr>
          <w:i/>
          <w:sz w:val="24"/>
          <w:szCs w:val="24"/>
        </w:rPr>
        <w:t>M. silviterrae</w:t>
      </w:r>
      <w:r w:rsidRPr="00364AE7">
        <w:rPr>
          <w:sz w:val="24"/>
          <w:szCs w:val="24"/>
        </w:rPr>
        <w:t>) by its low diversity of fatty acids that comprise &gt;1% of the fatty acid profile (</w:t>
      </w:r>
      <w:r w:rsidRPr="00364AE7">
        <w:rPr>
          <w:b/>
          <w:bCs/>
          <w:sz w:val="24"/>
          <w:szCs w:val="24"/>
        </w:rPr>
        <w:t>Table 2</w:t>
      </w:r>
      <w:r w:rsidRPr="00364AE7">
        <w:rPr>
          <w:sz w:val="24"/>
          <w:szCs w:val="24"/>
        </w:rPr>
        <w:t>). Additionally, it can be distinguished from its nearest neighbors (</w:t>
      </w:r>
      <w:r w:rsidRPr="00364AE7">
        <w:rPr>
          <w:i/>
          <w:iCs/>
          <w:sz w:val="24"/>
          <w:szCs w:val="24"/>
        </w:rPr>
        <w:t xml:space="preserve">M. silviterrae, M. hirsuta </w:t>
      </w:r>
      <w:r w:rsidRPr="00364AE7">
        <w:rPr>
          <w:sz w:val="24"/>
          <w:szCs w:val="24"/>
        </w:rPr>
        <w:t xml:space="preserve">and </w:t>
      </w:r>
      <w:r w:rsidRPr="00364AE7">
        <w:rPr>
          <w:i/>
          <w:iCs/>
          <w:sz w:val="24"/>
          <w:szCs w:val="24"/>
        </w:rPr>
        <w:t>M. rosea</w:t>
      </w:r>
      <w:r w:rsidRPr="00364AE7">
        <w:rPr>
          <w:sz w:val="24"/>
          <w:szCs w:val="24"/>
        </w:rPr>
        <w:t xml:space="preserve">) by other means. Compared to </w:t>
      </w:r>
      <w:r w:rsidRPr="00364AE7">
        <w:rPr>
          <w:i/>
          <w:iCs/>
          <w:sz w:val="24"/>
          <w:szCs w:val="24"/>
        </w:rPr>
        <w:t>M. silviterrae</w:t>
      </w:r>
      <w:r w:rsidRPr="00364AE7">
        <w:rPr>
          <w:sz w:val="24"/>
          <w:szCs w:val="24"/>
        </w:rPr>
        <w:t>, strain NLS-7</w:t>
      </w:r>
      <w:r w:rsidRPr="00364AE7">
        <w:rPr>
          <w:sz w:val="24"/>
          <w:szCs w:val="24"/>
          <w:vertAlign w:val="superscript"/>
        </w:rPr>
        <w:t>T</w:t>
      </w:r>
      <w:r w:rsidRPr="00364AE7">
        <w:rPr>
          <w:sz w:val="24"/>
          <w:szCs w:val="24"/>
        </w:rPr>
        <w:t xml:space="preserve"> can be observed to have a dumbbell shape (using transmission electron microscopy) and is shorter. The shortest </w:t>
      </w:r>
      <w:r w:rsidRPr="00364AE7">
        <w:rPr>
          <w:i/>
          <w:iCs/>
          <w:sz w:val="24"/>
          <w:szCs w:val="24"/>
        </w:rPr>
        <w:t xml:space="preserve">M. silviterrae </w:t>
      </w:r>
      <w:r w:rsidRPr="00364AE7">
        <w:rPr>
          <w:sz w:val="24"/>
          <w:szCs w:val="24"/>
        </w:rPr>
        <w:t xml:space="preserve">cells are reported to be longer than the average NLS-7T cell. Also, </w:t>
      </w:r>
      <w:r w:rsidRPr="00364AE7">
        <w:rPr>
          <w:i/>
          <w:iCs/>
          <w:sz w:val="24"/>
          <w:szCs w:val="24"/>
        </w:rPr>
        <w:t xml:space="preserve">M. silviterrae </w:t>
      </w:r>
      <w:r w:rsidRPr="00364AE7">
        <w:rPr>
          <w:sz w:val="24"/>
          <w:szCs w:val="24"/>
        </w:rPr>
        <w:t xml:space="preserve">has been shown to grow at 4 </w:t>
      </w:r>
      <w:r w:rsidRPr="00364AE7">
        <w:rPr>
          <w:rFonts w:ascii="Symbol" w:eastAsia="Symbol" w:hAnsi="Symbol" w:cs="Symbol"/>
          <w:sz w:val="24"/>
          <w:szCs w:val="24"/>
        </w:rPr>
        <w:t>°</w:t>
      </w:r>
      <w:r w:rsidRPr="00364AE7">
        <w:rPr>
          <w:sz w:val="24"/>
          <w:szCs w:val="24"/>
        </w:rPr>
        <w:t>C while NLS-7</w:t>
      </w:r>
      <w:r w:rsidRPr="00364AE7">
        <w:rPr>
          <w:sz w:val="24"/>
          <w:szCs w:val="24"/>
          <w:vertAlign w:val="superscript"/>
        </w:rPr>
        <w:t>T</w:t>
      </w:r>
      <w:r w:rsidRPr="00364AE7">
        <w:rPr>
          <w:sz w:val="24"/>
          <w:szCs w:val="24"/>
        </w:rPr>
        <w:t xml:space="preserve"> cannot. Strain NLS-7</w:t>
      </w:r>
      <w:r w:rsidRPr="00364AE7">
        <w:rPr>
          <w:sz w:val="24"/>
          <w:szCs w:val="24"/>
          <w:vertAlign w:val="superscript"/>
        </w:rPr>
        <w:t>T</w:t>
      </w:r>
      <w:r w:rsidRPr="00364AE7">
        <w:rPr>
          <w:sz w:val="24"/>
          <w:szCs w:val="24"/>
        </w:rPr>
        <w:t xml:space="preserve"> can be distinguished from </w:t>
      </w:r>
      <w:r w:rsidRPr="00364AE7">
        <w:rPr>
          <w:i/>
          <w:iCs/>
          <w:sz w:val="24"/>
          <w:szCs w:val="24"/>
        </w:rPr>
        <w:t xml:space="preserve">M. hirsuta </w:t>
      </w:r>
      <w:r w:rsidRPr="00364AE7">
        <w:rPr>
          <w:sz w:val="24"/>
          <w:szCs w:val="24"/>
        </w:rPr>
        <w:t>by NLS-7</w:t>
      </w:r>
      <w:r w:rsidRPr="00364AE7">
        <w:rPr>
          <w:sz w:val="24"/>
          <w:szCs w:val="24"/>
          <w:vertAlign w:val="superscript"/>
        </w:rPr>
        <w:t>T</w:t>
      </w:r>
      <w:r w:rsidRPr="00364AE7">
        <w:rPr>
          <w:sz w:val="24"/>
          <w:szCs w:val="24"/>
        </w:rPr>
        <w:t>’s inability to grow on acetate, and its lack of sMMO. Strain NLS-7</w:t>
      </w:r>
      <w:r w:rsidRPr="00364AE7">
        <w:rPr>
          <w:sz w:val="24"/>
          <w:szCs w:val="24"/>
          <w:vertAlign w:val="superscript"/>
        </w:rPr>
        <w:t>T</w:t>
      </w:r>
      <w:r w:rsidRPr="00364AE7">
        <w:rPr>
          <w:sz w:val="24"/>
          <w:szCs w:val="24"/>
        </w:rPr>
        <w:t xml:space="preserve"> can be distinguished from </w:t>
      </w:r>
      <w:r w:rsidRPr="00364AE7">
        <w:rPr>
          <w:i/>
          <w:iCs/>
          <w:sz w:val="24"/>
          <w:szCs w:val="24"/>
        </w:rPr>
        <w:t xml:space="preserve">M. rosea </w:t>
      </w:r>
      <w:r w:rsidRPr="00364AE7">
        <w:rPr>
          <w:sz w:val="24"/>
          <w:szCs w:val="24"/>
        </w:rPr>
        <w:t xml:space="preserve">by </w:t>
      </w:r>
      <w:r w:rsidRPr="00364AE7">
        <w:rPr>
          <w:i/>
          <w:iCs/>
          <w:sz w:val="24"/>
          <w:szCs w:val="24"/>
        </w:rPr>
        <w:t xml:space="preserve">M. rosea’s </w:t>
      </w:r>
      <w:r w:rsidRPr="00364AE7">
        <w:rPr>
          <w:sz w:val="24"/>
          <w:szCs w:val="24"/>
        </w:rPr>
        <w:t xml:space="preserve">ability to form pink colored colonies. The strain’s cellular and physiological characteristics are detailed and summarized in </w:t>
      </w:r>
      <w:r w:rsidRPr="00364AE7">
        <w:rPr>
          <w:b/>
          <w:bCs/>
          <w:sz w:val="24"/>
          <w:szCs w:val="24"/>
        </w:rPr>
        <w:t>Table 3</w:t>
      </w:r>
      <w:r w:rsidRPr="00364AE7">
        <w:rPr>
          <w:sz w:val="24"/>
          <w:szCs w:val="24"/>
        </w:rPr>
        <w:t>.</w:t>
      </w:r>
    </w:p>
    <w:p w14:paraId="7F5C3CD1" w14:textId="77777777" w:rsidR="00AB3E06" w:rsidRDefault="00AB3E06" w:rsidP="00364AE7">
      <w:pPr>
        <w:spacing w:line="480" w:lineRule="auto"/>
        <w:rPr>
          <w:sz w:val="24"/>
          <w:szCs w:val="24"/>
        </w:rPr>
      </w:pPr>
    </w:p>
    <w:p w14:paraId="68D557E8" w14:textId="77777777" w:rsidR="00AB3E06" w:rsidRDefault="00AB3E06" w:rsidP="00364AE7">
      <w:pPr>
        <w:spacing w:line="480" w:lineRule="auto"/>
        <w:rPr>
          <w:sz w:val="24"/>
          <w:szCs w:val="24"/>
        </w:rPr>
      </w:pPr>
    </w:p>
    <w:p w14:paraId="46E747ED" w14:textId="77777777" w:rsidR="00AB3E06" w:rsidRDefault="00AB3E06" w:rsidP="00364AE7">
      <w:pPr>
        <w:spacing w:line="480" w:lineRule="auto"/>
        <w:rPr>
          <w:sz w:val="24"/>
          <w:szCs w:val="24"/>
        </w:rPr>
      </w:pPr>
    </w:p>
    <w:p w14:paraId="0B9B477F" w14:textId="77777777" w:rsidR="00AB3E06" w:rsidRPr="00364AE7" w:rsidRDefault="00AB3E06" w:rsidP="00364AE7">
      <w:pPr>
        <w:spacing w:line="480" w:lineRule="auto"/>
        <w:rPr>
          <w:sz w:val="24"/>
          <w:szCs w:val="24"/>
        </w:rPr>
      </w:pPr>
    </w:p>
    <w:tbl>
      <w:tblPr>
        <w:tblW w:w="9365" w:type="dxa"/>
        <w:tblLayout w:type="fixed"/>
        <w:tblCellMar>
          <w:top w:w="15" w:type="dxa"/>
          <w:left w:w="15" w:type="dxa"/>
          <w:bottom w:w="15" w:type="dxa"/>
          <w:right w:w="15" w:type="dxa"/>
        </w:tblCellMar>
        <w:tblLook w:val="04A0" w:firstRow="1" w:lastRow="0" w:firstColumn="1" w:lastColumn="0" w:noHBand="0" w:noVBand="1"/>
      </w:tblPr>
      <w:tblGrid>
        <w:gridCol w:w="1496"/>
        <w:gridCol w:w="1183"/>
        <w:gridCol w:w="1438"/>
        <w:gridCol w:w="895"/>
        <w:gridCol w:w="799"/>
        <w:gridCol w:w="631"/>
        <w:gridCol w:w="631"/>
        <w:gridCol w:w="631"/>
        <w:gridCol w:w="796"/>
        <w:gridCol w:w="855"/>
        <w:gridCol w:w="10"/>
      </w:tblGrid>
      <w:tr w:rsidR="00364AE7" w:rsidRPr="004B3C3E" w14:paraId="0AA6C3A8" w14:textId="77777777" w:rsidTr="003A1B56">
        <w:trPr>
          <w:trHeight w:val="264"/>
        </w:trPr>
        <w:tc>
          <w:tcPr>
            <w:tcW w:w="9365" w:type="dxa"/>
            <w:gridSpan w:val="11"/>
            <w:tcBorders>
              <w:bottom w:val="single" w:sz="4" w:space="0" w:color="000000"/>
            </w:tcBorders>
            <w:tcMar>
              <w:top w:w="0" w:type="dxa"/>
              <w:left w:w="115" w:type="dxa"/>
              <w:bottom w:w="0" w:type="dxa"/>
              <w:right w:w="115" w:type="dxa"/>
            </w:tcMar>
            <w:vAlign w:val="center"/>
            <w:hideMark/>
          </w:tcPr>
          <w:p w14:paraId="38CC24A6" w14:textId="77777777" w:rsidR="00364AE7" w:rsidRPr="006E624A" w:rsidRDefault="00364AE7" w:rsidP="001D6813">
            <w:pPr>
              <w:rPr>
                <w:rFonts w:eastAsia="Times New Roman"/>
                <w:b/>
                <w:bCs/>
                <w:color w:val="000000"/>
                <w:sz w:val="24"/>
                <w:szCs w:val="24"/>
              </w:rPr>
            </w:pPr>
            <w:r w:rsidRPr="006E624A">
              <w:rPr>
                <w:rFonts w:eastAsia="Times New Roman"/>
                <w:b/>
                <w:bCs/>
                <w:color w:val="000000"/>
                <w:sz w:val="24"/>
                <w:szCs w:val="24"/>
              </w:rPr>
              <w:t xml:space="preserve">Table 2: </w:t>
            </w:r>
            <w:r w:rsidRPr="006E624A">
              <w:rPr>
                <w:rFonts w:eastAsia="Times New Roman"/>
                <w:color w:val="000000"/>
                <w:sz w:val="24"/>
                <w:szCs w:val="24"/>
              </w:rPr>
              <w:t>Fatty acid profile of strain NLS-7</w:t>
            </w:r>
            <w:r w:rsidRPr="006E624A">
              <w:rPr>
                <w:rFonts w:eastAsia="Times New Roman"/>
                <w:color w:val="000000"/>
                <w:sz w:val="24"/>
                <w:szCs w:val="24"/>
                <w:vertAlign w:val="superscript"/>
              </w:rPr>
              <w:t>T</w:t>
            </w:r>
            <w:r w:rsidRPr="006E624A">
              <w:rPr>
                <w:rFonts w:eastAsia="Times New Roman"/>
                <w:color w:val="000000"/>
                <w:sz w:val="24"/>
                <w:szCs w:val="24"/>
              </w:rPr>
              <w:t xml:space="preserve"> compared to other members of the genus </w:t>
            </w:r>
            <w:r w:rsidRPr="006E624A">
              <w:rPr>
                <w:rFonts w:eastAsia="Times New Roman"/>
                <w:i/>
                <w:iCs/>
                <w:color w:val="000000"/>
                <w:sz w:val="24"/>
                <w:szCs w:val="24"/>
              </w:rPr>
              <w:t>Methylocystis</w:t>
            </w:r>
            <w:r w:rsidRPr="006E624A">
              <w:rPr>
                <w:rFonts w:eastAsia="Times New Roman"/>
                <w:color w:val="000000"/>
                <w:sz w:val="24"/>
                <w:szCs w:val="24"/>
              </w:rPr>
              <w:t xml:space="preserve">. Numbers represent the relative percentage of the acid. The comparative strains are: 1. </w:t>
            </w:r>
            <w:r w:rsidRPr="006E624A">
              <w:rPr>
                <w:rFonts w:eastAsia="Times New Roman"/>
                <w:i/>
                <w:iCs/>
                <w:color w:val="000000"/>
                <w:sz w:val="24"/>
                <w:szCs w:val="24"/>
              </w:rPr>
              <w:t>M. heyeri</w:t>
            </w:r>
            <w:r w:rsidRPr="006E624A">
              <w:rPr>
                <w:rFonts w:eastAsia="Times New Roman"/>
                <w:color w:val="000000"/>
                <w:sz w:val="24"/>
                <w:szCs w:val="24"/>
              </w:rPr>
              <w:t xml:space="preserve">; 2. </w:t>
            </w:r>
            <w:r w:rsidRPr="006E624A">
              <w:rPr>
                <w:rFonts w:eastAsia="Times New Roman"/>
                <w:i/>
                <w:iCs/>
                <w:color w:val="000000"/>
                <w:sz w:val="24"/>
                <w:szCs w:val="24"/>
              </w:rPr>
              <w:t xml:space="preserve">M. rosea; </w:t>
            </w:r>
            <w:r w:rsidRPr="006E624A">
              <w:rPr>
                <w:rFonts w:eastAsia="Times New Roman"/>
                <w:color w:val="000000"/>
                <w:sz w:val="24"/>
                <w:szCs w:val="24"/>
              </w:rPr>
              <w:t>3.</w:t>
            </w:r>
            <w:r w:rsidRPr="006E624A">
              <w:rPr>
                <w:rFonts w:eastAsia="Times New Roman"/>
                <w:i/>
                <w:iCs/>
                <w:color w:val="000000"/>
                <w:sz w:val="24"/>
                <w:szCs w:val="24"/>
              </w:rPr>
              <w:t xml:space="preserve"> M. echinoides</w:t>
            </w:r>
            <w:r w:rsidRPr="006E624A">
              <w:rPr>
                <w:rFonts w:eastAsia="Times New Roman"/>
                <w:color w:val="000000"/>
                <w:sz w:val="24"/>
                <w:szCs w:val="24"/>
              </w:rPr>
              <w:t>; 4.</w:t>
            </w:r>
            <w:r w:rsidRPr="006E624A">
              <w:rPr>
                <w:rFonts w:eastAsia="Times New Roman"/>
                <w:i/>
                <w:iCs/>
                <w:color w:val="000000"/>
                <w:sz w:val="24"/>
                <w:szCs w:val="24"/>
              </w:rPr>
              <w:t xml:space="preserve"> M. parva</w:t>
            </w:r>
            <w:r w:rsidRPr="006E624A">
              <w:rPr>
                <w:rFonts w:eastAsia="Times New Roman"/>
                <w:color w:val="000000"/>
                <w:sz w:val="24"/>
                <w:szCs w:val="24"/>
              </w:rPr>
              <w:t xml:space="preserve">; 5. </w:t>
            </w:r>
            <w:r w:rsidRPr="006E624A">
              <w:rPr>
                <w:rFonts w:eastAsia="Times New Roman"/>
                <w:i/>
                <w:iCs/>
                <w:color w:val="000000"/>
                <w:sz w:val="24"/>
                <w:szCs w:val="24"/>
              </w:rPr>
              <w:t>M. hirsuta</w:t>
            </w:r>
            <w:r w:rsidRPr="006E624A">
              <w:rPr>
                <w:rFonts w:eastAsia="Times New Roman"/>
                <w:color w:val="000000"/>
                <w:sz w:val="24"/>
                <w:szCs w:val="24"/>
              </w:rPr>
              <w:t xml:space="preserve">; 6. </w:t>
            </w:r>
            <w:r w:rsidRPr="006E624A">
              <w:rPr>
                <w:rFonts w:eastAsia="Times New Roman"/>
                <w:i/>
                <w:iCs/>
                <w:color w:val="000000"/>
                <w:sz w:val="24"/>
                <w:szCs w:val="24"/>
              </w:rPr>
              <w:t>M. bryophila</w:t>
            </w:r>
            <w:r w:rsidRPr="006E624A">
              <w:rPr>
                <w:rFonts w:eastAsia="Times New Roman"/>
                <w:color w:val="000000"/>
                <w:sz w:val="24"/>
                <w:szCs w:val="24"/>
              </w:rPr>
              <w:t xml:space="preserve">; 7. </w:t>
            </w:r>
            <w:r w:rsidRPr="006E624A">
              <w:rPr>
                <w:rFonts w:eastAsia="Times New Roman"/>
                <w:i/>
                <w:iCs/>
                <w:color w:val="000000"/>
                <w:sz w:val="24"/>
                <w:szCs w:val="24"/>
              </w:rPr>
              <w:t xml:space="preserve">M. silviterrae </w:t>
            </w:r>
            <w:r w:rsidRPr="006E624A">
              <w:rPr>
                <w:rFonts w:eastAsia="Times New Roman"/>
                <w:color w:val="000000"/>
                <w:sz w:val="24"/>
                <w:szCs w:val="24"/>
              </w:rPr>
              <w:t xml:space="preserve">; 8. </w:t>
            </w:r>
            <w:r w:rsidRPr="006E624A">
              <w:rPr>
                <w:rFonts w:eastAsia="Times New Roman"/>
                <w:i/>
                <w:iCs/>
                <w:color w:val="000000"/>
                <w:sz w:val="24"/>
                <w:szCs w:val="24"/>
              </w:rPr>
              <w:t>M. iwaonis</w:t>
            </w:r>
            <w:r w:rsidRPr="006E624A">
              <w:rPr>
                <w:rFonts w:eastAsia="Times New Roman"/>
                <w:color w:val="000000"/>
                <w:sz w:val="24"/>
                <w:szCs w:val="24"/>
              </w:rPr>
              <w:t>.  The data for strain NLS-7</w:t>
            </w:r>
            <w:r w:rsidRPr="006E624A">
              <w:rPr>
                <w:rFonts w:eastAsia="Times New Roman"/>
                <w:color w:val="000000"/>
                <w:sz w:val="24"/>
                <w:szCs w:val="24"/>
                <w:vertAlign w:val="superscript"/>
              </w:rPr>
              <w:t>T</w:t>
            </w:r>
            <w:r w:rsidRPr="006E624A">
              <w:rPr>
                <w:rFonts w:eastAsia="Times New Roman"/>
                <w:color w:val="000000"/>
                <w:sz w:val="24"/>
                <w:szCs w:val="24"/>
              </w:rPr>
              <w:t xml:space="preserve"> were obtained in this study with the rest of the data obtained in the work describing the characterization of </w:t>
            </w:r>
            <w:r w:rsidRPr="006E624A">
              <w:rPr>
                <w:rFonts w:eastAsia="Times New Roman"/>
                <w:i/>
                <w:iCs/>
                <w:color w:val="000000"/>
                <w:sz w:val="24"/>
                <w:szCs w:val="24"/>
              </w:rPr>
              <w:t xml:space="preserve">M. iwanois </w:t>
            </w:r>
            <w:r w:rsidRPr="006E624A">
              <w:rPr>
                <w:rFonts w:eastAsia="Times New Roman"/>
                <w:color w:val="000000"/>
                <w:sz w:val="24"/>
                <w:szCs w:val="24"/>
              </w:rPr>
              <w:t>(12). Trace fatty acids comprising &lt;1% of the total profile are not presented and shown as a dash.</w:t>
            </w:r>
          </w:p>
        </w:tc>
      </w:tr>
      <w:tr w:rsidR="00364AE7" w:rsidRPr="004B3C3E" w14:paraId="488F9548" w14:textId="77777777" w:rsidTr="003A1B56">
        <w:trPr>
          <w:gridAfter w:val="1"/>
          <w:wAfter w:w="10" w:type="dxa"/>
          <w:trHeight w:val="264"/>
        </w:trPr>
        <w:tc>
          <w:tcPr>
            <w:tcW w:w="1496" w:type="dxa"/>
            <w:tcBorders>
              <w:top w:val="single" w:sz="4" w:space="0" w:color="000000"/>
              <w:left w:val="single" w:sz="4" w:space="0" w:color="000000"/>
              <w:bottom w:val="single" w:sz="4" w:space="0" w:color="000000"/>
            </w:tcBorders>
            <w:tcMar>
              <w:top w:w="0" w:type="dxa"/>
              <w:left w:w="115" w:type="dxa"/>
              <w:bottom w:w="0" w:type="dxa"/>
              <w:right w:w="115" w:type="dxa"/>
            </w:tcMar>
            <w:vAlign w:val="center"/>
            <w:hideMark/>
          </w:tcPr>
          <w:p w14:paraId="3AACC53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Fatty acid</w:t>
            </w:r>
          </w:p>
        </w:tc>
        <w:tc>
          <w:tcPr>
            <w:tcW w:w="1183" w:type="dxa"/>
            <w:tcBorders>
              <w:top w:val="single" w:sz="4" w:space="0" w:color="000000"/>
              <w:bottom w:val="single" w:sz="4" w:space="0" w:color="000000"/>
            </w:tcBorders>
            <w:tcMar>
              <w:top w:w="0" w:type="dxa"/>
              <w:left w:w="115" w:type="dxa"/>
              <w:bottom w:w="0" w:type="dxa"/>
              <w:right w:w="115" w:type="dxa"/>
            </w:tcMar>
            <w:vAlign w:val="center"/>
            <w:hideMark/>
          </w:tcPr>
          <w:p w14:paraId="1116D03C" w14:textId="77777777" w:rsidR="00364AE7" w:rsidRPr="004B3C3E" w:rsidRDefault="00364AE7" w:rsidP="001D6813">
            <w:pPr>
              <w:jc w:val="center"/>
              <w:rPr>
                <w:rFonts w:eastAsia="Times New Roman"/>
              </w:rPr>
            </w:pPr>
            <w:r w:rsidRPr="004B3C3E">
              <w:rPr>
                <w:rFonts w:ascii="Calibri" w:eastAsia="Times New Roman" w:hAnsi="Calibri" w:cs="Calibri"/>
                <w:i/>
                <w:iCs/>
                <w:color w:val="000000"/>
                <w:sz w:val="16"/>
                <w:szCs w:val="16"/>
              </w:rPr>
              <w:t xml:space="preserve">M. suflitae </w:t>
            </w:r>
            <w:r w:rsidRPr="004B3C3E">
              <w:rPr>
                <w:rFonts w:ascii="Calibri" w:eastAsia="Times New Roman" w:hAnsi="Calibri" w:cs="Calibri"/>
                <w:color w:val="000000"/>
                <w:sz w:val="16"/>
                <w:szCs w:val="16"/>
              </w:rPr>
              <w:t>NLS-7</w:t>
            </w:r>
            <w:r w:rsidRPr="004B3C3E">
              <w:rPr>
                <w:rFonts w:ascii="Calibri" w:eastAsia="Times New Roman" w:hAnsi="Calibri" w:cs="Calibri"/>
                <w:color w:val="000000"/>
                <w:sz w:val="10"/>
                <w:szCs w:val="10"/>
                <w:vertAlign w:val="superscript"/>
              </w:rPr>
              <w:t>T</w:t>
            </w:r>
          </w:p>
        </w:tc>
        <w:tc>
          <w:tcPr>
            <w:tcW w:w="1438" w:type="dxa"/>
            <w:tcBorders>
              <w:top w:val="single" w:sz="4" w:space="0" w:color="000000"/>
              <w:bottom w:val="single" w:sz="4" w:space="0" w:color="000000"/>
            </w:tcBorders>
            <w:tcMar>
              <w:top w:w="0" w:type="dxa"/>
              <w:left w:w="115" w:type="dxa"/>
              <w:bottom w:w="0" w:type="dxa"/>
              <w:right w:w="115" w:type="dxa"/>
            </w:tcMar>
            <w:vAlign w:val="center"/>
            <w:hideMark/>
          </w:tcPr>
          <w:p w14:paraId="333F4DF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w:t>
            </w:r>
          </w:p>
        </w:tc>
        <w:tc>
          <w:tcPr>
            <w:tcW w:w="895" w:type="dxa"/>
            <w:tcBorders>
              <w:top w:val="single" w:sz="4" w:space="0" w:color="000000"/>
              <w:bottom w:val="single" w:sz="4" w:space="0" w:color="000000"/>
            </w:tcBorders>
            <w:tcMar>
              <w:top w:w="0" w:type="dxa"/>
              <w:left w:w="115" w:type="dxa"/>
              <w:bottom w:w="0" w:type="dxa"/>
              <w:right w:w="115" w:type="dxa"/>
            </w:tcMar>
            <w:vAlign w:val="center"/>
            <w:hideMark/>
          </w:tcPr>
          <w:p w14:paraId="1E9DB63F"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2</w:t>
            </w:r>
          </w:p>
        </w:tc>
        <w:tc>
          <w:tcPr>
            <w:tcW w:w="799" w:type="dxa"/>
            <w:tcBorders>
              <w:top w:val="single" w:sz="4" w:space="0" w:color="000000"/>
              <w:bottom w:val="single" w:sz="4" w:space="0" w:color="000000"/>
            </w:tcBorders>
            <w:tcMar>
              <w:top w:w="0" w:type="dxa"/>
              <w:left w:w="115" w:type="dxa"/>
              <w:bottom w:w="0" w:type="dxa"/>
              <w:right w:w="115" w:type="dxa"/>
            </w:tcMar>
            <w:vAlign w:val="center"/>
            <w:hideMark/>
          </w:tcPr>
          <w:p w14:paraId="2365625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3</w:t>
            </w:r>
          </w:p>
        </w:tc>
        <w:tc>
          <w:tcPr>
            <w:tcW w:w="631" w:type="dxa"/>
            <w:tcBorders>
              <w:top w:val="single" w:sz="4" w:space="0" w:color="000000"/>
              <w:bottom w:val="single" w:sz="4" w:space="0" w:color="000000"/>
            </w:tcBorders>
            <w:tcMar>
              <w:top w:w="0" w:type="dxa"/>
              <w:left w:w="115" w:type="dxa"/>
              <w:bottom w:w="0" w:type="dxa"/>
              <w:right w:w="115" w:type="dxa"/>
            </w:tcMar>
            <w:vAlign w:val="center"/>
            <w:hideMark/>
          </w:tcPr>
          <w:p w14:paraId="037B243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4</w:t>
            </w:r>
          </w:p>
        </w:tc>
        <w:tc>
          <w:tcPr>
            <w:tcW w:w="631" w:type="dxa"/>
            <w:tcBorders>
              <w:top w:val="single" w:sz="4" w:space="0" w:color="000000"/>
              <w:bottom w:val="single" w:sz="4" w:space="0" w:color="000000"/>
            </w:tcBorders>
            <w:tcMar>
              <w:top w:w="0" w:type="dxa"/>
              <w:left w:w="115" w:type="dxa"/>
              <w:bottom w:w="0" w:type="dxa"/>
              <w:right w:w="115" w:type="dxa"/>
            </w:tcMar>
            <w:vAlign w:val="center"/>
            <w:hideMark/>
          </w:tcPr>
          <w:p w14:paraId="2629F03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5</w:t>
            </w:r>
          </w:p>
        </w:tc>
        <w:tc>
          <w:tcPr>
            <w:tcW w:w="631" w:type="dxa"/>
            <w:tcBorders>
              <w:top w:val="single" w:sz="4" w:space="0" w:color="000000"/>
              <w:bottom w:val="single" w:sz="4" w:space="0" w:color="000000"/>
            </w:tcBorders>
            <w:tcMar>
              <w:top w:w="0" w:type="dxa"/>
              <w:left w:w="115" w:type="dxa"/>
              <w:bottom w:w="0" w:type="dxa"/>
              <w:right w:w="115" w:type="dxa"/>
            </w:tcMar>
            <w:vAlign w:val="center"/>
            <w:hideMark/>
          </w:tcPr>
          <w:p w14:paraId="31F0F60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6</w:t>
            </w:r>
          </w:p>
        </w:tc>
        <w:tc>
          <w:tcPr>
            <w:tcW w:w="796" w:type="dxa"/>
            <w:tcBorders>
              <w:top w:val="single" w:sz="4" w:space="0" w:color="000000"/>
              <w:bottom w:val="single" w:sz="4" w:space="0" w:color="000000"/>
            </w:tcBorders>
            <w:tcMar>
              <w:top w:w="0" w:type="dxa"/>
              <w:left w:w="115" w:type="dxa"/>
              <w:bottom w:w="0" w:type="dxa"/>
              <w:right w:w="115" w:type="dxa"/>
            </w:tcMar>
            <w:vAlign w:val="center"/>
            <w:hideMark/>
          </w:tcPr>
          <w:p w14:paraId="041A223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7</w:t>
            </w:r>
          </w:p>
        </w:tc>
        <w:tc>
          <w:tcPr>
            <w:tcW w:w="855" w:type="dxa"/>
            <w:tcBorders>
              <w:top w:val="single" w:sz="4" w:space="0" w:color="000000"/>
              <w:bottom w:val="single" w:sz="4" w:space="0" w:color="000000"/>
              <w:right w:val="single" w:sz="4" w:space="0" w:color="000000"/>
            </w:tcBorders>
            <w:vAlign w:val="center"/>
          </w:tcPr>
          <w:p w14:paraId="799E4A26"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8</w:t>
            </w:r>
          </w:p>
        </w:tc>
      </w:tr>
      <w:tr w:rsidR="00364AE7" w:rsidRPr="004B3C3E" w14:paraId="4865F4E7" w14:textId="77777777" w:rsidTr="003A1B56">
        <w:trPr>
          <w:gridAfter w:val="1"/>
          <w:wAfter w:w="10" w:type="dxa"/>
          <w:trHeight w:val="264"/>
        </w:trPr>
        <w:tc>
          <w:tcPr>
            <w:tcW w:w="1496" w:type="dxa"/>
            <w:tcBorders>
              <w:top w:val="single" w:sz="4" w:space="0" w:color="000000"/>
              <w:left w:val="single" w:sz="4" w:space="0" w:color="000000"/>
            </w:tcBorders>
            <w:tcMar>
              <w:top w:w="0" w:type="dxa"/>
              <w:left w:w="115" w:type="dxa"/>
              <w:bottom w:w="0" w:type="dxa"/>
              <w:right w:w="115" w:type="dxa"/>
            </w:tcMar>
            <w:vAlign w:val="center"/>
            <w:hideMark/>
          </w:tcPr>
          <w:p w14:paraId="475EC03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10-Methyl C</w:t>
            </w:r>
            <w:r w:rsidRPr="004B3C3E">
              <w:rPr>
                <w:rFonts w:ascii="Calibri" w:eastAsia="Times New Roman" w:hAnsi="Calibri" w:cs="Calibri"/>
                <w:color w:val="000000"/>
                <w:sz w:val="10"/>
                <w:szCs w:val="10"/>
                <w:vertAlign w:val="subscript"/>
              </w:rPr>
              <w:t>16</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0</w:t>
            </w:r>
          </w:p>
        </w:tc>
        <w:tc>
          <w:tcPr>
            <w:tcW w:w="1183" w:type="dxa"/>
            <w:tcBorders>
              <w:top w:val="single" w:sz="4" w:space="0" w:color="000000"/>
            </w:tcBorders>
            <w:tcMar>
              <w:top w:w="0" w:type="dxa"/>
              <w:left w:w="115" w:type="dxa"/>
              <w:bottom w:w="0" w:type="dxa"/>
              <w:right w:w="115" w:type="dxa"/>
            </w:tcMar>
            <w:vAlign w:val="center"/>
            <w:hideMark/>
          </w:tcPr>
          <w:p w14:paraId="1900449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Borders>
              <w:top w:val="single" w:sz="4" w:space="0" w:color="000000"/>
            </w:tcBorders>
            <w:tcMar>
              <w:top w:w="0" w:type="dxa"/>
              <w:left w:w="115" w:type="dxa"/>
              <w:bottom w:w="0" w:type="dxa"/>
              <w:right w:w="115" w:type="dxa"/>
            </w:tcMar>
            <w:vAlign w:val="center"/>
            <w:hideMark/>
          </w:tcPr>
          <w:p w14:paraId="3A540316"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3.5</w:t>
            </w:r>
          </w:p>
        </w:tc>
        <w:tc>
          <w:tcPr>
            <w:tcW w:w="895" w:type="dxa"/>
            <w:tcBorders>
              <w:top w:val="single" w:sz="4" w:space="0" w:color="000000"/>
            </w:tcBorders>
            <w:tcMar>
              <w:top w:w="0" w:type="dxa"/>
              <w:left w:w="115" w:type="dxa"/>
              <w:bottom w:w="0" w:type="dxa"/>
              <w:right w:w="115" w:type="dxa"/>
            </w:tcMar>
            <w:vAlign w:val="center"/>
            <w:hideMark/>
          </w:tcPr>
          <w:p w14:paraId="44073F9B"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Borders>
              <w:top w:val="single" w:sz="4" w:space="0" w:color="000000"/>
            </w:tcBorders>
            <w:tcMar>
              <w:top w:w="0" w:type="dxa"/>
              <w:left w:w="115" w:type="dxa"/>
              <w:bottom w:w="0" w:type="dxa"/>
              <w:right w:w="115" w:type="dxa"/>
            </w:tcMar>
            <w:vAlign w:val="center"/>
            <w:hideMark/>
          </w:tcPr>
          <w:p w14:paraId="651FE444"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Borders>
              <w:top w:val="single" w:sz="4" w:space="0" w:color="000000"/>
            </w:tcBorders>
            <w:tcMar>
              <w:top w:w="0" w:type="dxa"/>
              <w:left w:w="115" w:type="dxa"/>
              <w:bottom w:w="0" w:type="dxa"/>
              <w:right w:w="115" w:type="dxa"/>
            </w:tcMar>
            <w:vAlign w:val="center"/>
            <w:hideMark/>
          </w:tcPr>
          <w:p w14:paraId="1384DF12"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Borders>
              <w:top w:val="single" w:sz="4" w:space="0" w:color="000000"/>
            </w:tcBorders>
            <w:tcMar>
              <w:top w:w="0" w:type="dxa"/>
              <w:left w:w="115" w:type="dxa"/>
              <w:bottom w:w="0" w:type="dxa"/>
              <w:right w:w="115" w:type="dxa"/>
            </w:tcMar>
            <w:vAlign w:val="center"/>
            <w:hideMark/>
          </w:tcPr>
          <w:p w14:paraId="6B6E6B4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Borders>
              <w:top w:val="single" w:sz="4" w:space="0" w:color="000000"/>
            </w:tcBorders>
            <w:tcMar>
              <w:top w:w="0" w:type="dxa"/>
              <w:left w:w="115" w:type="dxa"/>
              <w:bottom w:w="0" w:type="dxa"/>
              <w:right w:w="115" w:type="dxa"/>
            </w:tcMar>
            <w:vAlign w:val="center"/>
            <w:hideMark/>
          </w:tcPr>
          <w:p w14:paraId="0615CC4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Borders>
              <w:top w:val="single" w:sz="4" w:space="0" w:color="000000"/>
            </w:tcBorders>
            <w:tcMar>
              <w:top w:w="0" w:type="dxa"/>
              <w:left w:w="115" w:type="dxa"/>
              <w:bottom w:w="0" w:type="dxa"/>
              <w:right w:w="115" w:type="dxa"/>
            </w:tcMar>
            <w:vAlign w:val="center"/>
            <w:hideMark/>
          </w:tcPr>
          <w:p w14:paraId="0D495DB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top w:val="single" w:sz="4" w:space="0" w:color="000000"/>
              <w:right w:val="single" w:sz="4" w:space="0" w:color="000000"/>
            </w:tcBorders>
          </w:tcPr>
          <w:p w14:paraId="529DCEC3" w14:textId="77777777" w:rsidR="00364AE7"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p w14:paraId="0B11E409" w14:textId="77777777" w:rsidR="00364AE7" w:rsidRPr="004B3C3E" w:rsidRDefault="00364AE7" w:rsidP="001D6813">
            <w:pPr>
              <w:jc w:val="center"/>
              <w:rPr>
                <w:rFonts w:ascii="Calibri" w:eastAsia="Times New Roman" w:hAnsi="Calibri" w:cs="Calibri"/>
                <w:color w:val="000000"/>
                <w:sz w:val="17"/>
                <w:szCs w:val="17"/>
              </w:rPr>
            </w:pPr>
          </w:p>
        </w:tc>
      </w:tr>
      <w:tr w:rsidR="00364AE7" w:rsidRPr="004B3C3E" w14:paraId="36E1EFAA"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0A710E46"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6"/>
                <w:szCs w:val="16"/>
              </w:rPr>
              <w:t>C</w:t>
            </w:r>
            <w:r w:rsidRPr="004B3C3E">
              <w:rPr>
                <w:rFonts w:ascii="Calibri" w:eastAsia="Times New Roman" w:hAnsi="Calibri" w:cs="Calibri"/>
                <w:color w:val="000000"/>
                <w:sz w:val="11"/>
                <w:szCs w:val="11"/>
              </w:rPr>
              <w:t>16 : 1 ω</w:t>
            </w:r>
            <w:r w:rsidRPr="004B3C3E">
              <w:rPr>
                <w:rFonts w:ascii="Calibri" w:eastAsia="Times New Roman" w:hAnsi="Calibri" w:cs="Calibri"/>
                <w:color w:val="000000"/>
                <w:sz w:val="17"/>
                <w:szCs w:val="17"/>
              </w:rPr>
              <w:t>8</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2E3D4A6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005D1DE1"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29.0</w:t>
            </w:r>
          </w:p>
        </w:tc>
        <w:tc>
          <w:tcPr>
            <w:tcW w:w="895" w:type="dxa"/>
            <w:tcMar>
              <w:top w:w="0" w:type="dxa"/>
              <w:left w:w="115" w:type="dxa"/>
              <w:bottom w:w="0" w:type="dxa"/>
              <w:right w:w="115" w:type="dxa"/>
            </w:tcMar>
            <w:vAlign w:val="center"/>
            <w:hideMark/>
          </w:tcPr>
          <w:p w14:paraId="0F4FF1E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08FF97AB"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506A22D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12C6719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62008CB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4A2320A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40A9384E"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tc>
      </w:tr>
      <w:tr w:rsidR="00364AE7" w:rsidRPr="004B3C3E" w14:paraId="10DB37F7"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14B412B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0"/>
                <w:szCs w:val="10"/>
                <w:vertAlign w:val="subscript"/>
              </w:rPr>
              <w:t>16</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 xml:space="preserve">1 </w:t>
            </w:r>
            <w:r w:rsidRPr="004B3C3E">
              <w:rPr>
                <w:rFonts w:ascii="Calibri" w:eastAsia="Times New Roman" w:hAnsi="Calibri" w:cs="Calibri"/>
                <w:color w:val="000000"/>
                <w:sz w:val="17"/>
                <w:szCs w:val="17"/>
              </w:rPr>
              <w:t>ω7</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5B3FCF86"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3A0932F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3.4</w:t>
            </w:r>
          </w:p>
        </w:tc>
        <w:tc>
          <w:tcPr>
            <w:tcW w:w="895" w:type="dxa"/>
            <w:tcMar>
              <w:top w:w="0" w:type="dxa"/>
              <w:left w:w="115" w:type="dxa"/>
              <w:bottom w:w="0" w:type="dxa"/>
              <w:right w:w="115" w:type="dxa"/>
            </w:tcMar>
            <w:vAlign w:val="center"/>
            <w:hideMark/>
          </w:tcPr>
          <w:p w14:paraId="0DF57ED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6.1</w:t>
            </w:r>
          </w:p>
        </w:tc>
        <w:tc>
          <w:tcPr>
            <w:tcW w:w="799" w:type="dxa"/>
            <w:tcMar>
              <w:top w:w="0" w:type="dxa"/>
              <w:left w:w="115" w:type="dxa"/>
              <w:bottom w:w="0" w:type="dxa"/>
              <w:right w:w="115" w:type="dxa"/>
            </w:tcMar>
            <w:vAlign w:val="center"/>
            <w:hideMark/>
          </w:tcPr>
          <w:p w14:paraId="1E106FD4"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779ECA7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21C93442"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3EE68E56"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15.4</w:t>
            </w:r>
          </w:p>
        </w:tc>
        <w:tc>
          <w:tcPr>
            <w:tcW w:w="796" w:type="dxa"/>
            <w:tcMar>
              <w:top w:w="0" w:type="dxa"/>
              <w:left w:w="115" w:type="dxa"/>
              <w:bottom w:w="0" w:type="dxa"/>
              <w:right w:w="115" w:type="dxa"/>
            </w:tcMar>
            <w:vAlign w:val="center"/>
            <w:hideMark/>
          </w:tcPr>
          <w:p w14:paraId="2DEF4239"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4ECC5B66"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1.2</w:t>
            </w:r>
          </w:p>
        </w:tc>
      </w:tr>
      <w:tr w:rsidR="00364AE7" w:rsidRPr="004B3C3E" w14:paraId="1D236013"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44FEC56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6"/>
                <w:szCs w:val="16"/>
              </w:rPr>
              <w:t>C</w:t>
            </w:r>
            <w:r w:rsidRPr="004B3C3E">
              <w:rPr>
                <w:rFonts w:ascii="Calibri" w:eastAsia="Times New Roman" w:hAnsi="Calibri" w:cs="Calibri"/>
                <w:color w:val="000000"/>
                <w:sz w:val="11"/>
                <w:szCs w:val="11"/>
              </w:rPr>
              <w:t xml:space="preserve">16 : 1 </w:t>
            </w:r>
            <w:r w:rsidRPr="004B3C3E">
              <w:rPr>
                <w:rFonts w:ascii="Calibri" w:eastAsia="Times New Roman" w:hAnsi="Calibri" w:cs="Calibri"/>
                <w:i/>
                <w:iCs/>
                <w:color w:val="000000"/>
                <w:sz w:val="16"/>
                <w:szCs w:val="16"/>
              </w:rPr>
              <w:t>ω</w:t>
            </w:r>
            <w:r w:rsidRPr="004B3C3E">
              <w:rPr>
                <w:rFonts w:ascii="Calibri" w:eastAsia="Times New Roman" w:hAnsi="Calibri" w:cs="Calibri"/>
                <w:color w:val="000000"/>
                <w:sz w:val="17"/>
                <w:szCs w:val="17"/>
              </w:rPr>
              <w:t>5</w:t>
            </w:r>
            <w:r w:rsidRPr="004B3C3E">
              <w:rPr>
                <w:rFonts w:ascii="Calibri" w:eastAsia="Times New Roman" w:hAnsi="Calibri" w:cs="Calibri"/>
                <w:i/>
                <w:iCs/>
                <w:color w:val="000000"/>
                <w:sz w:val="17"/>
                <w:szCs w:val="17"/>
              </w:rPr>
              <w:t>t</w:t>
            </w:r>
          </w:p>
        </w:tc>
        <w:tc>
          <w:tcPr>
            <w:tcW w:w="1183" w:type="dxa"/>
            <w:tcMar>
              <w:top w:w="0" w:type="dxa"/>
              <w:left w:w="115" w:type="dxa"/>
              <w:bottom w:w="0" w:type="dxa"/>
              <w:right w:w="115" w:type="dxa"/>
            </w:tcMar>
            <w:vAlign w:val="center"/>
            <w:hideMark/>
          </w:tcPr>
          <w:p w14:paraId="7CE74BD1"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50547D7F"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2.8</w:t>
            </w:r>
          </w:p>
        </w:tc>
        <w:tc>
          <w:tcPr>
            <w:tcW w:w="895" w:type="dxa"/>
            <w:tcMar>
              <w:top w:w="0" w:type="dxa"/>
              <w:left w:w="115" w:type="dxa"/>
              <w:bottom w:w="0" w:type="dxa"/>
              <w:right w:w="115" w:type="dxa"/>
            </w:tcMar>
            <w:vAlign w:val="center"/>
            <w:hideMark/>
          </w:tcPr>
          <w:p w14:paraId="545F529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67F15D4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31952E0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4312F72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49A0EA7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3D4E9EE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0C330A6B"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tc>
      </w:tr>
      <w:tr w:rsidR="00364AE7" w:rsidRPr="004B3C3E" w14:paraId="077C8F84"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71296B0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0"/>
                <w:szCs w:val="10"/>
                <w:vertAlign w:val="subscript"/>
              </w:rPr>
              <w:t>16</w:t>
            </w:r>
            <w:r w:rsidRPr="004B3C3E">
              <w:rPr>
                <w:rFonts w:ascii="Calibri" w:eastAsia="Times New Roman" w:hAnsi="Calibri" w:cs="Calibri"/>
                <w:color w:val="000000"/>
                <w:sz w:val="11"/>
                <w:szCs w:val="11"/>
              </w:rPr>
              <w:t xml:space="preserve"> : 0</w:t>
            </w:r>
          </w:p>
        </w:tc>
        <w:tc>
          <w:tcPr>
            <w:tcW w:w="1183" w:type="dxa"/>
            <w:tcMar>
              <w:top w:w="0" w:type="dxa"/>
              <w:left w:w="115" w:type="dxa"/>
              <w:bottom w:w="0" w:type="dxa"/>
              <w:right w:w="115" w:type="dxa"/>
            </w:tcMar>
            <w:vAlign w:val="center"/>
            <w:hideMark/>
          </w:tcPr>
          <w:p w14:paraId="5CFBD93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44C9D001"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1.2</w:t>
            </w:r>
          </w:p>
        </w:tc>
        <w:tc>
          <w:tcPr>
            <w:tcW w:w="895" w:type="dxa"/>
            <w:tcMar>
              <w:top w:w="0" w:type="dxa"/>
              <w:left w:w="115" w:type="dxa"/>
              <w:bottom w:w="0" w:type="dxa"/>
              <w:right w:w="115" w:type="dxa"/>
            </w:tcMar>
            <w:vAlign w:val="center"/>
            <w:hideMark/>
          </w:tcPr>
          <w:p w14:paraId="0D3D7DD9"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0B11AC4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4009D27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53DCEAF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5D2DD7B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2.4</w:t>
            </w:r>
          </w:p>
        </w:tc>
        <w:tc>
          <w:tcPr>
            <w:tcW w:w="796" w:type="dxa"/>
            <w:tcMar>
              <w:top w:w="0" w:type="dxa"/>
              <w:left w:w="115" w:type="dxa"/>
              <w:bottom w:w="0" w:type="dxa"/>
              <w:right w:w="115" w:type="dxa"/>
            </w:tcMar>
            <w:vAlign w:val="center"/>
            <w:hideMark/>
          </w:tcPr>
          <w:p w14:paraId="42BA9D11"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0C28777C"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4.7</w:t>
            </w:r>
          </w:p>
        </w:tc>
      </w:tr>
      <w:tr w:rsidR="00364AE7" w:rsidRPr="004B3C3E" w14:paraId="30C9372B"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509A68A9"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C18</w:t>
            </w:r>
            <w:r w:rsidRPr="004B3C3E">
              <w:rPr>
                <w:rFonts w:ascii="Calibri" w:eastAsia="Times New Roman" w:hAnsi="Calibri" w:cs="Calibri"/>
                <w:color w:val="000000"/>
                <w:sz w:val="11"/>
                <w:szCs w:val="11"/>
              </w:rPr>
              <w:t xml:space="preserve"> : 1 ω</w:t>
            </w:r>
            <w:r w:rsidRPr="004B3C3E">
              <w:rPr>
                <w:rFonts w:ascii="Calibri" w:eastAsia="Times New Roman" w:hAnsi="Calibri" w:cs="Calibri"/>
                <w:color w:val="000000"/>
                <w:sz w:val="17"/>
                <w:szCs w:val="17"/>
              </w:rPr>
              <w:t>9</w:t>
            </w:r>
            <w:r w:rsidRPr="004B3C3E">
              <w:rPr>
                <w:rFonts w:ascii="Calibri" w:eastAsia="Times New Roman" w:hAnsi="Calibri" w:cs="Calibri"/>
                <w:i/>
                <w:iCs/>
                <w:color w:val="000000"/>
                <w:sz w:val="17"/>
                <w:szCs w:val="17"/>
              </w:rPr>
              <w:t>t</w:t>
            </w:r>
          </w:p>
        </w:tc>
        <w:tc>
          <w:tcPr>
            <w:tcW w:w="1183" w:type="dxa"/>
            <w:tcMar>
              <w:top w:w="0" w:type="dxa"/>
              <w:left w:w="115" w:type="dxa"/>
              <w:bottom w:w="0" w:type="dxa"/>
              <w:right w:w="115" w:type="dxa"/>
            </w:tcMar>
            <w:vAlign w:val="center"/>
            <w:hideMark/>
          </w:tcPr>
          <w:p w14:paraId="4EADED9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01809DA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14.7</w:t>
            </w:r>
          </w:p>
        </w:tc>
        <w:tc>
          <w:tcPr>
            <w:tcW w:w="895" w:type="dxa"/>
            <w:tcMar>
              <w:top w:w="0" w:type="dxa"/>
              <w:left w:w="115" w:type="dxa"/>
              <w:bottom w:w="0" w:type="dxa"/>
              <w:right w:w="115" w:type="dxa"/>
            </w:tcMar>
            <w:vAlign w:val="center"/>
            <w:hideMark/>
          </w:tcPr>
          <w:p w14:paraId="3E2D342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6735F11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1.5</w:t>
            </w:r>
          </w:p>
        </w:tc>
        <w:tc>
          <w:tcPr>
            <w:tcW w:w="631" w:type="dxa"/>
            <w:tcMar>
              <w:top w:w="0" w:type="dxa"/>
              <w:left w:w="115" w:type="dxa"/>
              <w:bottom w:w="0" w:type="dxa"/>
              <w:right w:w="115" w:type="dxa"/>
            </w:tcMar>
            <w:vAlign w:val="center"/>
            <w:hideMark/>
          </w:tcPr>
          <w:p w14:paraId="1B6EE48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0841315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480D749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473FD832"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7755C73C"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tc>
      </w:tr>
      <w:tr w:rsidR="00364AE7" w:rsidRPr="004B3C3E" w14:paraId="4409E2C1"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3256358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1"/>
                <w:szCs w:val="11"/>
              </w:rPr>
              <w:t>18 : 1 ω</w:t>
            </w:r>
            <w:r w:rsidRPr="004B3C3E">
              <w:rPr>
                <w:rFonts w:ascii="Calibri" w:eastAsia="Times New Roman" w:hAnsi="Calibri" w:cs="Calibri"/>
                <w:color w:val="000000"/>
                <w:sz w:val="17"/>
                <w:szCs w:val="17"/>
              </w:rPr>
              <w:t>8</w:t>
            </w:r>
            <w:r w:rsidRPr="004B3C3E">
              <w:rPr>
                <w:rFonts w:ascii="Calibri" w:eastAsia="Times New Roman" w:hAnsi="Calibri" w:cs="Calibri"/>
                <w:i/>
                <w:iCs/>
                <w:color w:val="000000"/>
                <w:sz w:val="17"/>
                <w:szCs w:val="17"/>
              </w:rPr>
              <w:t>t</w:t>
            </w:r>
          </w:p>
        </w:tc>
        <w:tc>
          <w:tcPr>
            <w:tcW w:w="1183" w:type="dxa"/>
            <w:tcMar>
              <w:top w:w="0" w:type="dxa"/>
              <w:left w:w="115" w:type="dxa"/>
              <w:bottom w:w="0" w:type="dxa"/>
              <w:right w:w="115" w:type="dxa"/>
            </w:tcMar>
            <w:vAlign w:val="center"/>
            <w:hideMark/>
          </w:tcPr>
          <w:p w14:paraId="30504BC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1377823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95" w:type="dxa"/>
            <w:tcMar>
              <w:top w:w="0" w:type="dxa"/>
              <w:left w:w="115" w:type="dxa"/>
              <w:bottom w:w="0" w:type="dxa"/>
              <w:right w:w="115" w:type="dxa"/>
            </w:tcMar>
            <w:vAlign w:val="center"/>
            <w:hideMark/>
          </w:tcPr>
          <w:p w14:paraId="6ACBFE14"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2EDF2DA4"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42E6C777"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2A7F06B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1.5</w:t>
            </w:r>
          </w:p>
        </w:tc>
        <w:tc>
          <w:tcPr>
            <w:tcW w:w="631" w:type="dxa"/>
            <w:tcMar>
              <w:top w:w="0" w:type="dxa"/>
              <w:left w:w="115" w:type="dxa"/>
              <w:bottom w:w="0" w:type="dxa"/>
              <w:right w:w="115" w:type="dxa"/>
            </w:tcMar>
            <w:vAlign w:val="center"/>
            <w:hideMark/>
          </w:tcPr>
          <w:p w14:paraId="6632205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2C10168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003D2039"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51.8</w:t>
            </w:r>
          </w:p>
        </w:tc>
      </w:tr>
      <w:tr w:rsidR="00364AE7" w:rsidRPr="004B3C3E" w14:paraId="59699CE2"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4A4CDAD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0"/>
                <w:szCs w:val="10"/>
                <w:vertAlign w:val="subscript"/>
              </w:rPr>
              <w:t>18</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 xml:space="preserve">1 </w:t>
            </w:r>
            <w:r w:rsidRPr="004B3C3E">
              <w:rPr>
                <w:rFonts w:ascii="Calibri" w:eastAsia="Times New Roman" w:hAnsi="Calibri" w:cs="Calibri"/>
                <w:color w:val="000000"/>
                <w:sz w:val="17"/>
                <w:szCs w:val="17"/>
              </w:rPr>
              <w:t>ω9</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0174FC7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00074E0F"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w:t>
            </w:r>
          </w:p>
        </w:tc>
        <w:tc>
          <w:tcPr>
            <w:tcW w:w="895" w:type="dxa"/>
            <w:tcMar>
              <w:top w:w="0" w:type="dxa"/>
              <w:left w:w="115" w:type="dxa"/>
              <w:bottom w:w="0" w:type="dxa"/>
              <w:right w:w="115" w:type="dxa"/>
            </w:tcMar>
            <w:vAlign w:val="center"/>
            <w:hideMark/>
          </w:tcPr>
          <w:p w14:paraId="334A5896"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46354E3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0607626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6457ACB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128AB0E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6DB0F9A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3967AD21"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tc>
      </w:tr>
      <w:tr w:rsidR="00364AE7" w:rsidRPr="004B3C3E" w14:paraId="5E775035"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43B4786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1"/>
                <w:szCs w:val="11"/>
              </w:rPr>
              <w:t>18 : 1 ω</w:t>
            </w:r>
            <w:r w:rsidRPr="004B3C3E">
              <w:rPr>
                <w:rFonts w:ascii="Calibri" w:eastAsia="Times New Roman" w:hAnsi="Calibri" w:cs="Calibri"/>
                <w:color w:val="000000"/>
                <w:sz w:val="17"/>
                <w:szCs w:val="17"/>
              </w:rPr>
              <w:t>8</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7D7BA2E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69.2</w:t>
            </w:r>
          </w:p>
        </w:tc>
        <w:tc>
          <w:tcPr>
            <w:tcW w:w="1438" w:type="dxa"/>
            <w:tcMar>
              <w:top w:w="0" w:type="dxa"/>
              <w:left w:w="115" w:type="dxa"/>
              <w:bottom w:w="0" w:type="dxa"/>
              <w:right w:w="115" w:type="dxa"/>
            </w:tcMar>
            <w:vAlign w:val="center"/>
            <w:hideMark/>
          </w:tcPr>
          <w:p w14:paraId="0B25DE4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32.0</w:t>
            </w:r>
          </w:p>
        </w:tc>
        <w:tc>
          <w:tcPr>
            <w:tcW w:w="895" w:type="dxa"/>
            <w:tcMar>
              <w:top w:w="0" w:type="dxa"/>
              <w:left w:w="115" w:type="dxa"/>
              <w:bottom w:w="0" w:type="dxa"/>
              <w:right w:w="115" w:type="dxa"/>
            </w:tcMar>
            <w:vAlign w:val="center"/>
            <w:hideMark/>
          </w:tcPr>
          <w:p w14:paraId="46CBFED0"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74.8</w:t>
            </w:r>
          </w:p>
        </w:tc>
        <w:tc>
          <w:tcPr>
            <w:tcW w:w="799" w:type="dxa"/>
            <w:tcMar>
              <w:top w:w="0" w:type="dxa"/>
              <w:left w:w="115" w:type="dxa"/>
              <w:bottom w:w="0" w:type="dxa"/>
              <w:right w:w="115" w:type="dxa"/>
            </w:tcMar>
            <w:vAlign w:val="center"/>
            <w:hideMark/>
          </w:tcPr>
          <w:p w14:paraId="1AFB48E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51.9</w:t>
            </w:r>
          </w:p>
        </w:tc>
        <w:tc>
          <w:tcPr>
            <w:tcW w:w="631" w:type="dxa"/>
            <w:tcMar>
              <w:top w:w="0" w:type="dxa"/>
              <w:left w:w="115" w:type="dxa"/>
              <w:bottom w:w="0" w:type="dxa"/>
              <w:right w:w="115" w:type="dxa"/>
            </w:tcMar>
            <w:vAlign w:val="center"/>
            <w:hideMark/>
          </w:tcPr>
          <w:p w14:paraId="3529A45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45.5</w:t>
            </w:r>
          </w:p>
        </w:tc>
        <w:tc>
          <w:tcPr>
            <w:tcW w:w="631" w:type="dxa"/>
            <w:tcMar>
              <w:top w:w="0" w:type="dxa"/>
              <w:left w:w="115" w:type="dxa"/>
              <w:bottom w:w="0" w:type="dxa"/>
              <w:right w:w="115" w:type="dxa"/>
            </w:tcMar>
            <w:vAlign w:val="center"/>
            <w:hideMark/>
          </w:tcPr>
          <w:p w14:paraId="1993255B"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71.1</w:t>
            </w:r>
          </w:p>
        </w:tc>
        <w:tc>
          <w:tcPr>
            <w:tcW w:w="631" w:type="dxa"/>
            <w:tcMar>
              <w:top w:w="0" w:type="dxa"/>
              <w:left w:w="115" w:type="dxa"/>
              <w:bottom w:w="0" w:type="dxa"/>
              <w:right w:w="115" w:type="dxa"/>
            </w:tcMar>
            <w:vAlign w:val="center"/>
            <w:hideMark/>
          </w:tcPr>
          <w:p w14:paraId="3D0CD5E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53.1</w:t>
            </w:r>
          </w:p>
        </w:tc>
        <w:tc>
          <w:tcPr>
            <w:tcW w:w="796" w:type="dxa"/>
            <w:tcMar>
              <w:top w:w="0" w:type="dxa"/>
              <w:left w:w="115" w:type="dxa"/>
              <w:bottom w:w="0" w:type="dxa"/>
              <w:right w:w="115" w:type="dxa"/>
            </w:tcMar>
            <w:vAlign w:val="center"/>
            <w:hideMark/>
          </w:tcPr>
          <w:p w14:paraId="30778B9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74.5</w:t>
            </w:r>
          </w:p>
        </w:tc>
        <w:tc>
          <w:tcPr>
            <w:tcW w:w="855" w:type="dxa"/>
            <w:tcBorders>
              <w:right w:val="single" w:sz="4" w:space="0" w:color="000000"/>
            </w:tcBorders>
          </w:tcPr>
          <w:p w14:paraId="7533C772"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27.3</w:t>
            </w:r>
          </w:p>
        </w:tc>
      </w:tr>
      <w:tr w:rsidR="00364AE7" w:rsidRPr="004B3C3E" w14:paraId="083E00A2"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224CDB6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1"/>
                <w:szCs w:val="11"/>
              </w:rPr>
              <w:t>18 : 1 ω</w:t>
            </w:r>
            <w:r w:rsidRPr="004B3C3E">
              <w:rPr>
                <w:rFonts w:ascii="Calibri" w:eastAsia="Times New Roman" w:hAnsi="Calibri" w:cs="Calibri"/>
                <w:color w:val="000000"/>
                <w:sz w:val="17"/>
                <w:szCs w:val="17"/>
              </w:rPr>
              <w:t>7</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798978D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28.3</w:t>
            </w:r>
          </w:p>
        </w:tc>
        <w:tc>
          <w:tcPr>
            <w:tcW w:w="1438" w:type="dxa"/>
            <w:tcMar>
              <w:top w:w="0" w:type="dxa"/>
              <w:left w:w="115" w:type="dxa"/>
              <w:bottom w:w="0" w:type="dxa"/>
              <w:right w:w="115" w:type="dxa"/>
            </w:tcMar>
            <w:vAlign w:val="center"/>
            <w:hideMark/>
          </w:tcPr>
          <w:p w14:paraId="29EEF24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w:t>
            </w:r>
            <w:r>
              <w:rPr>
                <w:rFonts w:ascii="Calibri" w:eastAsia="Times New Roman" w:hAnsi="Calibri" w:cs="Calibri"/>
                <w:color w:val="000000"/>
                <w:sz w:val="17"/>
                <w:szCs w:val="17"/>
              </w:rPr>
              <w:t>0.9</w:t>
            </w:r>
          </w:p>
        </w:tc>
        <w:tc>
          <w:tcPr>
            <w:tcW w:w="895" w:type="dxa"/>
            <w:tcMar>
              <w:top w:w="0" w:type="dxa"/>
              <w:left w:w="115" w:type="dxa"/>
              <w:bottom w:w="0" w:type="dxa"/>
              <w:right w:w="115" w:type="dxa"/>
            </w:tcMar>
            <w:vAlign w:val="center"/>
            <w:hideMark/>
          </w:tcPr>
          <w:p w14:paraId="4ED183F4"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23.7</w:t>
            </w:r>
          </w:p>
        </w:tc>
        <w:tc>
          <w:tcPr>
            <w:tcW w:w="799" w:type="dxa"/>
            <w:tcMar>
              <w:top w:w="0" w:type="dxa"/>
              <w:left w:w="115" w:type="dxa"/>
              <w:bottom w:w="0" w:type="dxa"/>
              <w:right w:w="115" w:type="dxa"/>
            </w:tcMar>
            <w:vAlign w:val="center"/>
            <w:hideMark/>
          </w:tcPr>
          <w:p w14:paraId="56C012A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18.1</w:t>
            </w:r>
          </w:p>
        </w:tc>
        <w:tc>
          <w:tcPr>
            <w:tcW w:w="631" w:type="dxa"/>
            <w:tcMar>
              <w:top w:w="0" w:type="dxa"/>
              <w:left w:w="115" w:type="dxa"/>
              <w:bottom w:w="0" w:type="dxa"/>
              <w:right w:w="115" w:type="dxa"/>
            </w:tcMar>
            <w:vAlign w:val="center"/>
            <w:hideMark/>
          </w:tcPr>
          <w:p w14:paraId="2197DFB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23.7</w:t>
            </w:r>
          </w:p>
        </w:tc>
        <w:tc>
          <w:tcPr>
            <w:tcW w:w="631" w:type="dxa"/>
            <w:tcMar>
              <w:top w:w="0" w:type="dxa"/>
              <w:left w:w="115" w:type="dxa"/>
              <w:bottom w:w="0" w:type="dxa"/>
              <w:right w:w="115" w:type="dxa"/>
            </w:tcMar>
            <w:vAlign w:val="center"/>
            <w:hideMark/>
          </w:tcPr>
          <w:p w14:paraId="5A6F3E69"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26.1</w:t>
            </w:r>
          </w:p>
        </w:tc>
        <w:tc>
          <w:tcPr>
            <w:tcW w:w="631" w:type="dxa"/>
            <w:tcMar>
              <w:top w:w="0" w:type="dxa"/>
              <w:left w:w="115" w:type="dxa"/>
              <w:bottom w:w="0" w:type="dxa"/>
              <w:right w:w="115" w:type="dxa"/>
            </w:tcMar>
            <w:vAlign w:val="center"/>
            <w:hideMark/>
          </w:tcPr>
          <w:p w14:paraId="78BA196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19.3</w:t>
            </w:r>
          </w:p>
        </w:tc>
        <w:tc>
          <w:tcPr>
            <w:tcW w:w="796" w:type="dxa"/>
            <w:tcMar>
              <w:top w:w="0" w:type="dxa"/>
              <w:left w:w="115" w:type="dxa"/>
              <w:bottom w:w="0" w:type="dxa"/>
              <w:right w:w="115" w:type="dxa"/>
            </w:tcMar>
            <w:vAlign w:val="center"/>
            <w:hideMark/>
          </w:tcPr>
          <w:p w14:paraId="166EA89E"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24.7</w:t>
            </w:r>
          </w:p>
        </w:tc>
        <w:tc>
          <w:tcPr>
            <w:tcW w:w="855" w:type="dxa"/>
            <w:tcBorders>
              <w:right w:val="single" w:sz="4" w:space="0" w:color="000000"/>
            </w:tcBorders>
          </w:tcPr>
          <w:p w14:paraId="2E478174"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w:t>
            </w:r>
          </w:p>
        </w:tc>
      </w:tr>
      <w:tr w:rsidR="00364AE7" w:rsidRPr="004B3C3E" w14:paraId="65FBE484"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4DAAF0E3"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1"/>
                <w:szCs w:val="11"/>
              </w:rPr>
              <w:t>18 : 0</w:t>
            </w:r>
          </w:p>
        </w:tc>
        <w:tc>
          <w:tcPr>
            <w:tcW w:w="1183" w:type="dxa"/>
            <w:tcMar>
              <w:top w:w="0" w:type="dxa"/>
              <w:left w:w="115" w:type="dxa"/>
              <w:bottom w:w="0" w:type="dxa"/>
              <w:right w:w="115" w:type="dxa"/>
            </w:tcMar>
            <w:vAlign w:val="center"/>
            <w:hideMark/>
          </w:tcPr>
          <w:p w14:paraId="31E80A7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2DE6FE9B"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0.7</w:t>
            </w:r>
          </w:p>
        </w:tc>
        <w:tc>
          <w:tcPr>
            <w:tcW w:w="895" w:type="dxa"/>
            <w:tcMar>
              <w:top w:w="0" w:type="dxa"/>
              <w:left w:w="115" w:type="dxa"/>
              <w:bottom w:w="0" w:type="dxa"/>
              <w:right w:w="115" w:type="dxa"/>
            </w:tcMar>
            <w:vAlign w:val="center"/>
            <w:hideMark/>
          </w:tcPr>
          <w:p w14:paraId="11C245B2"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64F878C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2B3E768F"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165726F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287F85F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Mar>
              <w:top w:w="0" w:type="dxa"/>
              <w:left w:w="115" w:type="dxa"/>
              <w:bottom w:w="0" w:type="dxa"/>
              <w:right w:w="115" w:type="dxa"/>
            </w:tcMar>
            <w:vAlign w:val="center"/>
            <w:hideMark/>
          </w:tcPr>
          <w:p w14:paraId="3F43F8B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2DA9CBCB" w14:textId="77777777" w:rsidR="00364AE7" w:rsidRPr="004B3C3E" w:rsidRDefault="00364AE7" w:rsidP="001D6813">
            <w:pPr>
              <w:jc w:val="center"/>
              <w:rPr>
                <w:rFonts w:ascii="Calibri" w:eastAsia="Times New Roman" w:hAnsi="Calibri" w:cs="Calibri"/>
                <w:color w:val="000000"/>
                <w:sz w:val="17"/>
                <w:szCs w:val="17"/>
              </w:rPr>
            </w:pPr>
            <w:r>
              <w:rPr>
                <w:rFonts w:ascii="Calibri" w:eastAsia="Times New Roman" w:hAnsi="Calibri" w:cs="Calibri"/>
                <w:color w:val="000000"/>
                <w:sz w:val="17"/>
                <w:szCs w:val="17"/>
              </w:rPr>
              <w:t>1.4</w:t>
            </w:r>
          </w:p>
        </w:tc>
      </w:tr>
      <w:tr w:rsidR="00364AE7" w:rsidRPr="004B3C3E" w14:paraId="62D24B3D" w14:textId="77777777" w:rsidTr="003A1B56">
        <w:trPr>
          <w:gridAfter w:val="1"/>
          <w:wAfter w:w="10" w:type="dxa"/>
          <w:trHeight w:val="264"/>
        </w:trPr>
        <w:tc>
          <w:tcPr>
            <w:tcW w:w="1496" w:type="dxa"/>
            <w:tcBorders>
              <w:left w:val="single" w:sz="4" w:space="0" w:color="000000"/>
            </w:tcBorders>
            <w:tcMar>
              <w:top w:w="0" w:type="dxa"/>
              <w:left w:w="115" w:type="dxa"/>
              <w:bottom w:w="0" w:type="dxa"/>
              <w:right w:w="115" w:type="dxa"/>
            </w:tcMar>
            <w:vAlign w:val="center"/>
            <w:hideMark/>
          </w:tcPr>
          <w:p w14:paraId="0B7A7785"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0"/>
                <w:szCs w:val="10"/>
                <w:vertAlign w:val="subscript"/>
              </w:rPr>
              <w:t>18</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 xml:space="preserve">2 </w:t>
            </w:r>
            <w:r w:rsidRPr="004B3C3E">
              <w:rPr>
                <w:rFonts w:ascii="Calibri" w:eastAsia="Times New Roman" w:hAnsi="Calibri" w:cs="Calibri"/>
                <w:i/>
                <w:iCs/>
                <w:color w:val="000000"/>
                <w:sz w:val="16"/>
                <w:szCs w:val="16"/>
              </w:rPr>
              <w:t>ω</w:t>
            </w:r>
            <w:r w:rsidRPr="004B3C3E">
              <w:rPr>
                <w:rFonts w:ascii="Calibri" w:eastAsia="Times New Roman" w:hAnsi="Calibri" w:cs="Calibri"/>
                <w:color w:val="000000"/>
                <w:sz w:val="17"/>
                <w:szCs w:val="17"/>
              </w:rPr>
              <w:t>7,12</w:t>
            </w:r>
            <w:r w:rsidRPr="004B3C3E">
              <w:rPr>
                <w:rFonts w:ascii="Calibri" w:eastAsia="Times New Roman" w:hAnsi="Calibri" w:cs="Calibri"/>
                <w:i/>
                <w:iCs/>
                <w:color w:val="000000"/>
                <w:sz w:val="17"/>
                <w:szCs w:val="17"/>
              </w:rPr>
              <w:t>c</w:t>
            </w:r>
          </w:p>
        </w:tc>
        <w:tc>
          <w:tcPr>
            <w:tcW w:w="1183" w:type="dxa"/>
            <w:tcMar>
              <w:top w:w="0" w:type="dxa"/>
              <w:left w:w="115" w:type="dxa"/>
              <w:bottom w:w="0" w:type="dxa"/>
              <w:right w:w="115" w:type="dxa"/>
            </w:tcMar>
            <w:vAlign w:val="center"/>
            <w:hideMark/>
          </w:tcPr>
          <w:p w14:paraId="7447DB71"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Mar>
              <w:top w:w="0" w:type="dxa"/>
              <w:left w:w="115" w:type="dxa"/>
              <w:bottom w:w="0" w:type="dxa"/>
              <w:right w:w="115" w:type="dxa"/>
            </w:tcMar>
            <w:vAlign w:val="center"/>
            <w:hideMark/>
          </w:tcPr>
          <w:p w14:paraId="03BA6BC0"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95" w:type="dxa"/>
            <w:tcMar>
              <w:top w:w="0" w:type="dxa"/>
              <w:left w:w="115" w:type="dxa"/>
              <w:bottom w:w="0" w:type="dxa"/>
              <w:right w:w="115" w:type="dxa"/>
            </w:tcMar>
            <w:vAlign w:val="center"/>
            <w:hideMark/>
          </w:tcPr>
          <w:p w14:paraId="21C4553B"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Mar>
              <w:top w:w="0" w:type="dxa"/>
              <w:left w:w="115" w:type="dxa"/>
              <w:bottom w:w="0" w:type="dxa"/>
              <w:right w:w="115" w:type="dxa"/>
            </w:tcMar>
            <w:vAlign w:val="center"/>
            <w:hideMark/>
          </w:tcPr>
          <w:p w14:paraId="04067FEB"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22.7</w:t>
            </w:r>
          </w:p>
        </w:tc>
        <w:tc>
          <w:tcPr>
            <w:tcW w:w="631" w:type="dxa"/>
            <w:tcMar>
              <w:top w:w="0" w:type="dxa"/>
              <w:left w:w="115" w:type="dxa"/>
              <w:bottom w:w="0" w:type="dxa"/>
              <w:right w:w="115" w:type="dxa"/>
            </w:tcMar>
            <w:vAlign w:val="center"/>
            <w:hideMark/>
          </w:tcPr>
          <w:p w14:paraId="086618C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8.0</w:t>
            </w:r>
          </w:p>
        </w:tc>
        <w:tc>
          <w:tcPr>
            <w:tcW w:w="631" w:type="dxa"/>
            <w:tcMar>
              <w:top w:w="0" w:type="dxa"/>
              <w:left w:w="115" w:type="dxa"/>
              <w:bottom w:w="0" w:type="dxa"/>
              <w:right w:w="115" w:type="dxa"/>
            </w:tcMar>
            <w:vAlign w:val="center"/>
            <w:hideMark/>
          </w:tcPr>
          <w:p w14:paraId="4FD1BC9F"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w:t>
            </w:r>
          </w:p>
        </w:tc>
        <w:tc>
          <w:tcPr>
            <w:tcW w:w="631" w:type="dxa"/>
            <w:tcMar>
              <w:top w:w="0" w:type="dxa"/>
              <w:left w:w="115" w:type="dxa"/>
              <w:bottom w:w="0" w:type="dxa"/>
              <w:right w:w="115" w:type="dxa"/>
            </w:tcMar>
            <w:vAlign w:val="center"/>
            <w:hideMark/>
          </w:tcPr>
          <w:p w14:paraId="3C3E054A"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7.8</w:t>
            </w:r>
          </w:p>
        </w:tc>
        <w:tc>
          <w:tcPr>
            <w:tcW w:w="796" w:type="dxa"/>
            <w:tcMar>
              <w:top w:w="0" w:type="dxa"/>
              <w:left w:w="115" w:type="dxa"/>
              <w:bottom w:w="0" w:type="dxa"/>
              <w:right w:w="115" w:type="dxa"/>
            </w:tcMar>
            <w:vAlign w:val="center"/>
            <w:hideMark/>
          </w:tcPr>
          <w:p w14:paraId="325DC672"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55" w:type="dxa"/>
            <w:tcBorders>
              <w:right w:val="single" w:sz="4" w:space="0" w:color="000000"/>
            </w:tcBorders>
          </w:tcPr>
          <w:p w14:paraId="5292BFBB" w14:textId="77777777" w:rsidR="00364AE7" w:rsidRPr="004B3C3E" w:rsidRDefault="00364AE7" w:rsidP="001D6813">
            <w:pPr>
              <w:jc w:val="center"/>
              <w:rPr>
                <w:rFonts w:ascii="Calibri" w:eastAsia="Times New Roman" w:hAnsi="Calibri" w:cs="Calibri"/>
                <w:color w:val="000000"/>
                <w:sz w:val="17"/>
                <w:szCs w:val="17"/>
              </w:rPr>
            </w:pPr>
          </w:p>
        </w:tc>
      </w:tr>
      <w:tr w:rsidR="00364AE7" w:rsidRPr="004B3C3E" w14:paraId="116C4106" w14:textId="77777777" w:rsidTr="003A1B56">
        <w:trPr>
          <w:gridAfter w:val="1"/>
          <w:wAfter w:w="10" w:type="dxa"/>
          <w:trHeight w:val="264"/>
        </w:trPr>
        <w:tc>
          <w:tcPr>
            <w:tcW w:w="1496" w:type="dxa"/>
            <w:tcBorders>
              <w:left w:val="single" w:sz="4" w:space="0" w:color="000000"/>
              <w:bottom w:val="single" w:sz="4" w:space="0" w:color="000000"/>
            </w:tcBorders>
            <w:tcMar>
              <w:top w:w="0" w:type="dxa"/>
              <w:left w:w="115" w:type="dxa"/>
              <w:bottom w:w="0" w:type="dxa"/>
              <w:right w:w="115" w:type="dxa"/>
            </w:tcMar>
            <w:vAlign w:val="center"/>
            <w:hideMark/>
          </w:tcPr>
          <w:p w14:paraId="389D48F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C</w:t>
            </w:r>
            <w:r w:rsidRPr="004B3C3E">
              <w:rPr>
                <w:rFonts w:ascii="Calibri" w:eastAsia="Times New Roman" w:hAnsi="Calibri" w:cs="Calibri"/>
                <w:color w:val="000000"/>
                <w:sz w:val="10"/>
                <w:szCs w:val="10"/>
                <w:vertAlign w:val="subscript"/>
              </w:rPr>
              <w:t>18</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w:t>
            </w:r>
            <w:r w:rsidRPr="004B3C3E">
              <w:rPr>
                <w:rFonts w:ascii="Calibri" w:eastAsia="Times New Roman" w:hAnsi="Calibri" w:cs="Calibri"/>
                <w:color w:val="000000"/>
                <w:sz w:val="17"/>
                <w:szCs w:val="17"/>
              </w:rPr>
              <w:t xml:space="preserve"> </w:t>
            </w:r>
            <w:r w:rsidRPr="004B3C3E">
              <w:rPr>
                <w:rFonts w:ascii="Calibri" w:eastAsia="Times New Roman" w:hAnsi="Calibri" w:cs="Calibri"/>
                <w:color w:val="000000"/>
                <w:sz w:val="10"/>
                <w:szCs w:val="10"/>
                <w:vertAlign w:val="subscript"/>
              </w:rPr>
              <w:t xml:space="preserve">2 </w:t>
            </w:r>
            <w:r w:rsidRPr="004B3C3E">
              <w:rPr>
                <w:rFonts w:ascii="Calibri" w:eastAsia="Times New Roman" w:hAnsi="Calibri" w:cs="Calibri"/>
                <w:color w:val="000000"/>
                <w:sz w:val="17"/>
                <w:szCs w:val="17"/>
              </w:rPr>
              <w:t>ω6,12</w:t>
            </w:r>
            <w:r w:rsidRPr="004B3C3E">
              <w:rPr>
                <w:rFonts w:ascii="Calibri" w:eastAsia="Times New Roman" w:hAnsi="Calibri" w:cs="Calibri"/>
                <w:i/>
                <w:iCs/>
                <w:color w:val="000000"/>
                <w:sz w:val="17"/>
                <w:szCs w:val="17"/>
              </w:rPr>
              <w:t>c</w:t>
            </w:r>
          </w:p>
        </w:tc>
        <w:tc>
          <w:tcPr>
            <w:tcW w:w="1183" w:type="dxa"/>
            <w:tcBorders>
              <w:bottom w:val="single" w:sz="4" w:space="0" w:color="000000"/>
            </w:tcBorders>
            <w:tcMar>
              <w:top w:w="0" w:type="dxa"/>
              <w:left w:w="115" w:type="dxa"/>
              <w:bottom w:w="0" w:type="dxa"/>
              <w:right w:w="115" w:type="dxa"/>
            </w:tcMar>
            <w:vAlign w:val="center"/>
            <w:hideMark/>
          </w:tcPr>
          <w:p w14:paraId="0505E5F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1438" w:type="dxa"/>
            <w:tcBorders>
              <w:bottom w:val="single" w:sz="4" w:space="0" w:color="000000"/>
            </w:tcBorders>
            <w:tcMar>
              <w:top w:w="0" w:type="dxa"/>
              <w:left w:w="115" w:type="dxa"/>
              <w:bottom w:w="0" w:type="dxa"/>
              <w:right w:w="115" w:type="dxa"/>
            </w:tcMar>
            <w:vAlign w:val="center"/>
            <w:hideMark/>
          </w:tcPr>
          <w:p w14:paraId="4E54A061"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895" w:type="dxa"/>
            <w:tcBorders>
              <w:bottom w:val="single" w:sz="4" w:space="0" w:color="000000"/>
            </w:tcBorders>
            <w:tcMar>
              <w:top w:w="0" w:type="dxa"/>
              <w:left w:w="115" w:type="dxa"/>
              <w:bottom w:w="0" w:type="dxa"/>
              <w:right w:w="115" w:type="dxa"/>
            </w:tcMar>
            <w:vAlign w:val="center"/>
            <w:hideMark/>
          </w:tcPr>
          <w:p w14:paraId="1F998D0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9" w:type="dxa"/>
            <w:tcBorders>
              <w:bottom w:val="single" w:sz="4" w:space="0" w:color="000000"/>
            </w:tcBorders>
            <w:tcMar>
              <w:top w:w="0" w:type="dxa"/>
              <w:left w:w="115" w:type="dxa"/>
              <w:bottom w:w="0" w:type="dxa"/>
              <w:right w:w="115" w:type="dxa"/>
            </w:tcMar>
            <w:vAlign w:val="center"/>
            <w:hideMark/>
          </w:tcPr>
          <w:p w14:paraId="60C4B6BC"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4.4</w:t>
            </w:r>
          </w:p>
        </w:tc>
        <w:tc>
          <w:tcPr>
            <w:tcW w:w="631" w:type="dxa"/>
            <w:tcBorders>
              <w:bottom w:val="single" w:sz="4" w:space="0" w:color="000000"/>
            </w:tcBorders>
            <w:tcMar>
              <w:top w:w="0" w:type="dxa"/>
              <w:left w:w="115" w:type="dxa"/>
              <w:bottom w:w="0" w:type="dxa"/>
              <w:right w:w="115" w:type="dxa"/>
            </w:tcMar>
            <w:vAlign w:val="center"/>
            <w:hideMark/>
          </w:tcPr>
          <w:p w14:paraId="75A33F08"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22.1</w:t>
            </w:r>
          </w:p>
        </w:tc>
        <w:tc>
          <w:tcPr>
            <w:tcW w:w="631" w:type="dxa"/>
            <w:tcBorders>
              <w:bottom w:val="single" w:sz="4" w:space="0" w:color="000000"/>
            </w:tcBorders>
            <w:tcMar>
              <w:top w:w="0" w:type="dxa"/>
              <w:left w:w="115" w:type="dxa"/>
              <w:bottom w:w="0" w:type="dxa"/>
              <w:right w:w="115" w:type="dxa"/>
            </w:tcMar>
            <w:vAlign w:val="center"/>
            <w:hideMark/>
          </w:tcPr>
          <w:p w14:paraId="12B615F6" w14:textId="77777777" w:rsidR="00364AE7" w:rsidRPr="004B3C3E" w:rsidRDefault="00364AE7" w:rsidP="001D6813">
            <w:pPr>
              <w:jc w:val="center"/>
              <w:rPr>
                <w:rFonts w:eastAsia="Times New Roman"/>
              </w:rPr>
            </w:pPr>
            <w:r>
              <w:rPr>
                <w:rFonts w:ascii="Calibri" w:eastAsia="Times New Roman" w:hAnsi="Calibri" w:cs="Calibri"/>
                <w:color w:val="000000"/>
                <w:sz w:val="17"/>
                <w:szCs w:val="17"/>
              </w:rPr>
              <w:t>-</w:t>
            </w:r>
          </w:p>
        </w:tc>
        <w:tc>
          <w:tcPr>
            <w:tcW w:w="631" w:type="dxa"/>
            <w:tcBorders>
              <w:bottom w:val="single" w:sz="4" w:space="0" w:color="000000"/>
            </w:tcBorders>
            <w:tcMar>
              <w:top w:w="0" w:type="dxa"/>
              <w:left w:w="115" w:type="dxa"/>
              <w:bottom w:w="0" w:type="dxa"/>
              <w:right w:w="115" w:type="dxa"/>
            </w:tcMar>
            <w:vAlign w:val="center"/>
            <w:hideMark/>
          </w:tcPr>
          <w:p w14:paraId="6E75422D" w14:textId="77777777" w:rsidR="00364AE7" w:rsidRPr="004B3C3E" w:rsidRDefault="00364AE7" w:rsidP="001D6813">
            <w:pPr>
              <w:jc w:val="center"/>
              <w:rPr>
                <w:rFonts w:eastAsia="Times New Roman"/>
              </w:rPr>
            </w:pPr>
            <w:r w:rsidRPr="004B3C3E">
              <w:rPr>
                <w:rFonts w:ascii="Calibri" w:eastAsia="Times New Roman" w:hAnsi="Calibri" w:cs="Calibri"/>
                <w:color w:val="000000"/>
                <w:sz w:val="17"/>
                <w:szCs w:val="17"/>
              </w:rPr>
              <w:t>-</w:t>
            </w:r>
          </w:p>
        </w:tc>
        <w:tc>
          <w:tcPr>
            <w:tcW w:w="796" w:type="dxa"/>
            <w:tcBorders>
              <w:bottom w:val="single" w:sz="4" w:space="0" w:color="000000"/>
            </w:tcBorders>
            <w:tcMar>
              <w:top w:w="0" w:type="dxa"/>
              <w:left w:w="115" w:type="dxa"/>
              <w:bottom w:w="0" w:type="dxa"/>
              <w:right w:w="115" w:type="dxa"/>
            </w:tcMar>
            <w:vAlign w:val="center"/>
            <w:hideMark/>
          </w:tcPr>
          <w:p w14:paraId="2378A0F3" w14:textId="77777777" w:rsidR="00364AE7" w:rsidRPr="004B3C3E" w:rsidRDefault="00364AE7" w:rsidP="001D6813">
            <w:pPr>
              <w:jc w:val="center"/>
              <w:rPr>
                <w:rFonts w:eastAsia="Times New Roman"/>
              </w:rPr>
            </w:pPr>
          </w:p>
        </w:tc>
        <w:tc>
          <w:tcPr>
            <w:tcW w:w="855" w:type="dxa"/>
            <w:tcBorders>
              <w:bottom w:val="single" w:sz="4" w:space="0" w:color="000000"/>
              <w:right w:val="single" w:sz="4" w:space="0" w:color="000000"/>
            </w:tcBorders>
          </w:tcPr>
          <w:p w14:paraId="65C353A1" w14:textId="77777777" w:rsidR="00364AE7" w:rsidRPr="004B3C3E" w:rsidRDefault="00364AE7" w:rsidP="001D6813">
            <w:pPr>
              <w:jc w:val="center"/>
              <w:rPr>
                <w:rFonts w:eastAsia="Times New Roman"/>
              </w:rPr>
            </w:pPr>
          </w:p>
        </w:tc>
      </w:tr>
    </w:tbl>
    <w:p w14:paraId="01074E7D" w14:textId="77777777" w:rsidR="00364AE7" w:rsidRDefault="00364AE7" w:rsidP="00364AE7">
      <w:pPr>
        <w:spacing w:line="480" w:lineRule="auto"/>
      </w:pPr>
    </w:p>
    <w:p w14:paraId="184CE45E" w14:textId="4020BF3A" w:rsidR="00AB3E06" w:rsidRPr="00AB3E06" w:rsidRDefault="006A2F31" w:rsidP="003A1B56">
      <w:pPr>
        <w:pStyle w:val="Heading6"/>
      </w:pPr>
      <w:bookmarkStart w:id="37" w:name="_Toc161934664"/>
      <w:r w:rsidRPr="00AB3E06">
        <w:t>Table 2: Fatty acid pro</w:t>
      </w:r>
      <w:bookmarkEnd w:id="37"/>
    </w:p>
    <w:tbl>
      <w:tblPr>
        <w:tblW w:w="9367" w:type="dxa"/>
        <w:tblLayout w:type="fixed"/>
        <w:tblCellMar>
          <w:top w:w="15" w:type="dxa"/>
          <w:left w:w="15" w:type="dxa"/>
          <w:bottom w:w="15" w:type="dxa"/>
          <w:right w:w="15" w:type="dxa"/>
        </w:tblCellMar>
        <w:tblLook w:val="04A0" w:firstRow="1" w:lastRow="0" w:firstColumn="1" w:lastColumn="0" w:noHBand="0" w:noVBand="1"/>
      </w:tblPr>
      <w:tblGrid>
        <w:gridCol w:w="1143"/>
        <w:gridCol w:w="986"/>
        <w:gridCol w:w="817"/>
        <w:gridCol w:w="1133"/>
        <w:gridCol w:w="469"/>
        <w:gridCol w:w="1028"/>
        <w:gridCol w:w="973"/>
        <w:gridCol w:w="794"/>
        <w:gridCol w:w="1155"/>
        <w:gridCol w:w="869"/>
      </w:tblGrid>
      <w:tr w:rsidR="00364AE7" w:rsidRPr="002C6EA7" w14:paraId="02A80804" w14:textId="77777777" w:rsidTr="003A1B56">
        <w:trPr>
          <w:trHeight w:val="307"/>
        </w:trPr>
        <w:tc>
          <w:tcPr>
            <w:tcW w:w="9367" w:type="dxa"/>
            <w:gridSpan w:val="10"/>
            <w:tcBorders>
              <w:bottom w:val="single" w:sz="4" w:space="0" w:color="000000"/>
            </w:tcBorders>
            <w:hideMark/>
          </w:tcPr>
          <w:p w14:paraId="105AB395" w14:textId="77777777" w:rsidR="00364AE7" w:rsidRPr="006E624A" w:rsidRDefault="00364AE7" w:rsidP="001D6813">
            <w:pPr>
              <w:rPr>
                <w:b/>
                <w:bCs/>
                <w:sz w:val="24"/>
                <w:szCs w:val="24"/>
              </w:rPr>
            </w:pPr>
            <w:r w:rsidRPr="006E624A">
              <w:rPr>
                <w:b/>
                <w:bCs/>
                <w:sz w:val="24"/>
                <w:szCs w:val="24"/>
              </w:rPr>
              <w:t xml:space="preserve">Table 3: </w:t>
            </w:r>
            <w:r w:rsidRPr="006E624A">
              <w:rPr>
                <w:sz w:val="24"/>
                <w:szCs w:val="24"/>
              </w:rPr>
              <w:t xml:space="preserve">Compilation of the characterizing features of the genus </w:t>
            </w:r>
            <w:r w:rsidRPr="006E624A">
              <w:rPr>
                <w:i/>
                <w:iCs/>
                <w:sz w:val="24"/>
                <w:szCs w:val="24"/>
              </w:rPr>
              <w:t>Methylocystis</w:t>
            </w:r>
            <w:r w:rsidRPr="006E624A">
              <w:rPr>
                <w:sz w:val="24"/>
                <w:szCs w:val="24"/>
              </w:rPr>
              <w:t>. Reference strains:</w:t>
            </w:r>
            <w:r w:rsidRPr="006E624A">
              <w:rPr>
                <w:i/>
                <w:iCs/>
                <w:sz w:val="24"/>
                <w:szCs w:val="24"/>
              </w:rPr>
              <w:t xml:space="preserve"> </w:t>
            </w:r>
            <w:r w:rsidRPr="006E624A">
              <w:rPr>
                <w:sz w:val="24"/>
                <w:szCs w:val="24"/>
              </w:rPr>
              <w:t xml:space="preserve">1. </w:t>
            </w:r>
            <w:r w:rsidRPr="006E624A">
              <w:rPr>
                <w:i/>
                <w:iCs/>
                <w:sz w:val="24"/>
                <w:szCs w:val="24"/>
              </w:rPr>
              <w:t>M. bryophila;</w:t>
            </w:r>
            <w:r w:rsidRPr="006E624A">
              <w:rPr>
                <w:sz w:val="24"/>
                <w:szCs w:val="24"/>
              </w:rPr>
              <w:t xml:space="preserve"> 2. </w:t>
            </w:r>
            <w:r w:rsidRPr="006E624A">
              <w:rPr>
                <w:i/>
                <w:iCs/>
                <w:sz w:val="24"/>
                <w:szCs w:val="24"/>
              </w:rPr>
              <w:t>M. heyeri</w:t>
            </w:r>
            <w:r w:rsidRPr="006E624A">
              <w:rPr>
                <w:sz w:val="24"/>
                <w:szCs w:val="24"/>
              </w:rPr>
              <w:t xml:space="preserve">; 3, </w:t>
            </w:r>
            <w:r w:rsidRPr="006E624A">
              <w:rPr>
                <w:i/>
                <w:iCs/>
                <w:sz w:val="24"/>
                <w:szCs w:val="24"/>
              </w:rPr>
              <w:t>M. rosea</w:t>
            </w:r>
            <w:r w:rsidRPr="006E624A">
              <w:rPr>
                <w:sz w:val="24"/>
                <w:szCs w:val="24"/>
              </w:rPr>
              <w:t xml:space="preserve">; 4. </w:t>
            </w:r>
            <w:r w:rsidRPr="006E624A">
              <w:rPr>
                <w:i/>
                <w:iCs/>
                <w:sz w:val="24"/>
                <w:szCs w:val="24"/>
              </w:rPr>
              <w:t xml:space="preserve">M. echinoides; </w:t>
            </w:r>
            <w:r w:rsidRPr="006E624A">
              <w:rPr>
                <w:sz w:val="24"/>
                <w:szCs w:val="24"/>
              </w:rPr>
              <w:t xml:space="preserve">5. </w:t>
            </w:r>
            <w:r w:rsidRPr="006E624A">
              <w:rPr>
                <w:i/>
                <w:iCs/>
                <w:sz w:val="24"/>
                <w:szCs w:val="24"/>
              </w:rPr>
              <w:t xml:space="preserve">M. parva; </w:t>
            </w:r>
            <w:r w:rsidRPr="006E624A">
              <w:rPr>
                <w:sz w:val="24"/>
                <w:szCs w:val="24"/>
              </w:rPr>
              <w:t xml:space="preserve">6. </w:t>
            </w:r>
            <w:r w:rsidRPr="006E624A">
              <w:rPr>
                <w:i/>
                <w:iCs/>
                <w:sz w:val="24"/>
                <w:szCs w:val="24"/>
              </w:rPr>
              <w:t xml:space="preserve">M. hirsuta; </w:t>
            </w:r>
            <w:r w:rsidRPr="006E624A">
              <w:rPr>
                <w:sz w:val="24"/>
                <w:szCs w:val="24"/>
              </w:rPr>
              <w:t xml:space="preserve">7. </w:t>
            </w:r>
            <w:r w:rsidRPr="006E624A">
              <w:rPr>
                <w:i/>
                <w:iCs/>
                <w:sz w:val="24"/>
                <w:szCs w:val="24"/>
              </w:rPr>
              <w:t xml:space="preserve">M. silviterrae; </w:t>
            </w:r>
            <w:r w:rsidRPr="006E624A">
              <w:rPr>
                <w:sz w:val="24"/>
                <w:szCs w:val="24"/>
              </w:rPr>
              <w:t xml:space="preserve">8. </w:t>
            </w:r>
            <w:r w:rsidRPr="006E624A">
              <w:rPr>
                <w:i/>
                <w:iCs/>
                <w:sz w:val="24"/>
                <w:szCs w:val="24"/>
              </w:rPr>
              <w:t xml:space="preserve">M. iwanois. </w:t>
            </w:r>
            <w:r w:rsidRPr="006E624A">
              <w:rPr>
                <w:sz w:val="24"/>
                <w:szCs w:val="24"/>
              </w:rPr>
              <w:t xml:space="preserve">ND, No data available; W, weakly positive. </w:t>
            </w:r>
          </w:p>
        </w:tc>
      </w:tr>
      <w:tr w:rsidR="00364AE7" w:rsidRPr="002C6EA7" w14:paraId="617E7D02" w14:textId="77777777" w:rsidTr="003A1B56">
        <w:trPr>
          <w:trHeight w:val="307"/>
        </w:trPr>
        <w:tc>
          <w:tcPr>
            <w:tcW w:w="1143" w:type="dxa"/>
            <w:tcBorders>
              <w:top w:val="single" w:sz="4" w:space="0" w:color="000000"/>
              <w:left w:val="single" w:sz="4" w:space="0" w:color="000000"/>
              <w:bottom w:val="single" w:sz="4" w:space="0" w:color="000000"/>
            </w:tcBorders>
            <w:hideMark/>
          </w:tcPr>
          <w:p w14:paraId="034838DE" w14:textId="77777777" w:rsidR="00364AE7" w:rsidRPr="002C6EA7" w:rsidRDefault="00364AE7" w:rsidP="001D6813">
            <w:pPr>
              <w:rPr>
                <w:sz w:val="21"/>
                <w:szCs w:val="21"/>
              </w:rPr>
            </w:pPr>
            <w:r w:rsidRPr="002C6EA7">
              <w:rPr>
                <w:sz w:val="21"/>
                <w:szCs w:val="21"/>
              </w:rPr>
              <w:t>Characteristic</w:t>
            </w:r>
          </w:p>
        </w:tc>
        <w:tc>
          <w:tcPr>
            <w:tcW w:w="986" w:type="dxa"/>
            <w:tcBorders>
              <w:top w:val="single" w:sz="4" w:space="0" w:color="000000"/>
              <w:bottom w:val="single" w:sz="4" w:space="0" w:color="000000"/>
            </w:tcBorders>
            <w:hideMark/>
          </w:tcPr>
          <w:p w14:paraId="04BA4959" w14:textId="77777777" w:rsidR="00364AE7" w:rsidRPr="002C6EA7" w:rsidRDefault="00364AE7" w:rsidP="001D6813">
            <w:pPr>
              <w:rPr>
                <w:sz w:val="21"/>
                <w:szCs w:val="21"/>
              </w:rPr>
            </w:pPr>
            <w:r w:rsidRPr="002C6EA7">
              <w:rPr>
                <w:i/>
                <w:iCs/>
                <w:sz w:val="21"/>
                <w:szCs w:val="21"/>
              </w:rPr>
              <w:t xml:space="preserve">M. suflitae </w:t>
            </w:r>
            <w:r w:rsidRPr="002C6EA7">
              <w:rPr>
                <w:sz w:val="21"/>
                <w:szCs w:val="21"/>
              </w:rPr>
              <w:t>NLS-7</w:t>
            </w:r>
            <w:r w:rsidRPr="002C6EA7">
              <w:rPr>
                <w:sz w:val="21"/>
                <w:szCs w:val="21"/>
                <w:vertAlign w:val="superscript"/>
              </w:rPr>
              <w:t>T</w:t>
            </w:r>
          </w:p>
        </w:tc>
        <w:tc>
          <w:tcPr>
            <w:tcW w:w="817" w:type="dxa"/>
            <w:tcBorders>
              <w:top w:val="single" w:sz="4" w:space="0" w:color="000000"/>
              <w:bottom w:val="single" w:sz="4" w:space="0" w:color="000000"/>
            </w:tcBorders>
            <w:hideMark/>
          </w:tcPr>
          <w:p w14:paraId="799C9FFF" w14:textId="77777777" w:rsidR="00364AE7" w:rsidRPr="002C6EA7" w:rsidRDefault="00364AE7" w:rsidP="001D6813">
            <w:pPr>
              <w:rPr>
                <w:sz w:val="21"/>
                <w:szCs w:val="21"/>
              </w:rPr>
            </w:pPr>
            <w:r w:rsidRPr="002C6EA7">
              <w:rPr>
                <w:sz w:val="21"/>
                <w:szCs w:val="21"/>
              </w:rPr>
              <w:t>1</w:t>
            </w:r>
          </w:p>
        </w:tc>
        <w:tc>
          <w:tcPr>
            <w:tcW w:w="1133" w:type="dxa"/>
            <w:tcBorders>
              <w:top w:val="single" w:sz="4" w:space="0" w:color="000000"/>
              <w:bottom w:val="single" w:sz="4" w:space="0" w:color="000000"/>
            </w:tcBorders>
            <w:hideMark/>
          </w:tcPr>
          <w:p w14:paraId="08B2F134" w14:textId="77777777" w:rsidR="00364AE7" w:rsidRPr="002C6EA7" w:rsidRDefault="00364AE7" w:rsidP="001D6813">
            <w:pPr>
              <w:rPr>
                <w:sz w:val="21"/>
                <w:szCs w:val="21"/>
              </w:rPr>
            </w:pPr>
            <w:r w:rsidRPr="002C6EA7">
              <w:rPr>
                <w:sz w:val="21"/>
                <w:szCs w:val="21"/>
              </w:rPr>
              <w:t>2</w:t>
            </w:r>
          </w:p>
        </w:tc>
        <w:tc>
          <w:tcPr>
            <w:tcW w:w="469" w:type="dxa"/>
            <w:tcBorders>
              <w:top w:val="single" w:sz="4" w:space="0" w:color="000000"/>
              <w:bottom w:val="single" w:sz="4" w:space="0" w:color="000000"/>
            </w:tcBorders>
            <w:hideMark/>
          </w:tcPr>
          <w:p w14:paraId="53DC07C5" w14:textId="77777777" w:rsidR="00364AE7" w:rsidRPr="002C6EA7" w:rsidRDefault="00364AE7" w:rsidP="001D6813">
            <w:pPr>
              <w:rPr>
                <w:sz w:val="21"/>
                <w:szCs w:val="21"/>
              </w:rPr>
            </w:pPr>
            <w:r w:rsidRPr="002C6EA7">
              <w:rPr>
                <w:sz w:val="21"/>
                <w:szCs w:val="21"/>
              </w:rPr>
              <w:t>3</w:t>
            </w:r>
          </w:p>
        </w:tc>
        <w:tc>
          <w:tcPr>
            <w:tcW w:w="1028" w:type="dxa"/>
            <w:tcBorders>
              <w:top w:val="single" w:sz="4" w:space="0" w:color="000000"/>
              <w:bottom w:val="single" w:sz="4" w:space="0" w:color="000000"/>
            </w:tcBorders>
            <w:hideMark/>
          </w:tcPr>
          <w:p w14:paraId="3B22ED07" w14:textId="77777777" w:rsidR="00364AE7" w:rsidRPr="002C6EA7" w:rsidRDefault="00364AE7" w:rsidP="001D6813">
            <w:pPr>
              <w:rPr>
                <w:sz w:val="21"/>
                <w:szCs w:val="21"/>
              </w:rPr>
            </w:pPr>
            <w:r w:rsidRPr="002C6EA7">
              <w:rPr>
                <w:sz w:val="21"/>
                <w:szCs w:val="21"/>
              </w:rPr>
              <w:t>4</w:t>
            </w:r>
          </w:p>
        </w:tc>
        <w:tc>
          <w:tcPr>
            <w:tcW w:w="973" w:type="dxa"/>
            <w:tcBorders>
              <w:top w:val="single" w:sz="4" w:space="0" w:color="000000"/>
              <w:bottom w:val="single" w:sz="4" w:space="0" w:color="000000"/>
            </w:tcBorders>
            <w:hideMark/>
          </w:tcPr>
          <w:p w14:paraId="45EC04ED" w14:textId="77777777" w:rsidR="00364AE7" w:rsidRPr="002C6EA7" w:rsidRDefault="00364AE7" w:rsidP="001D6813">
            <w:pPr>
              <w:rPr>
                <w:sz w:val="21"/>
                <w:szCs w:val="21"/>
              </w:rPr>
            </w:pPr>
            <w:r w:rsidRPr="002C6EA7">
              <w:rPr>
                <w:sz w:val="21"/>
                <w:szCs w:val="21"/>
              </w:rPr>
              <w:t>5</w:t>
            </w:r>
          </w:p>
        </w:tc>
        <w:tc>
          <w:tcPr>
            <w:tcW w:w="794" w:type="dxa"/>
            <w:tcBorders>
              <w:top w:val="single" w:sz="4" w:space="0" w:color="000000"/>
              <w:bottom w:val="single" w:sz="4" w:space="0" w:color="000000"/>
            </w:tcBorders>
            <w:hideMark/>
          </w:tcPr>
          <w:p w14:paraId="0A85DAB5" w14:textId="77777777" w:rsidR="00364AE7" w:rsidRPr="002C6EA7" w:rsidRDefault="00364AE7" w:rsidP="001D6813">
            <w:pPr>
              <w:rPr>
                <w:sz w:val="21"/>
                <w:szCs w:val="21"/>
              </w:rPr>
            </w:pPr>
            <w:r w:rsidRPr="002C6EA7">
              <w:rPr>
                <w:sz w:val="21"/>
                <w:szCs w:val="21"/>
              </w:rPr>
              <w:t>6</w:t>
            </w:r>
          </w:p>
        </w:tc>
        <w:tc>
          <w:tcPr>
            <w:tcW w:w="1155" w:type="dxa"/>
            <w:tcBorders>
              <w:top w:val="single" w:sz="4" w:space="0" w:color="000000"/>
              <w:bottom w:val="single" w:sz="4" w:space="0" w:color="000000"/>
            </w:tcBorders>
            <w:hideMark/>
          </w:tcPr>
          <w:p w14:paraId="4C2406BA" w14:textId="77777777" w:rsidR="00364AE7" w:rsidRPr="002C6EA7" w:rsidRDefault="00364AE7" w:rsidP="001D6813">
            <w:pPr>
              <w:rPr>
                <w:sz w:val="21"/>
                <w:szCs w:val="21"/>
              </w:rPr>
            </w:pPr>
            <w:r w:rsidRPr="002C6EA7">
              <w:rPr>
                <w:sz w:val="21"/>
                <w:szCs w:val="21"/>
              </w:rPr>
              <w:t>7</w:t>
            </w:r>
          </w:p>
        </w:tc>
        <w:tc>
          <w:tcPr>
            <w:tcW w:w="867" w:type="dxa"/>
            <w:tcBorders>
              <w:top w:val="single" w:sz="4" w:space="0" w:color="000000"/>
              <w:bottom w:val="single" w:sz="4" w:space="0" w:color="000000"/>
              <w:right w:val="single" w:sz="4" w:space="0" w:color="000000"/>
            </w:tcBorders>
          </w:tcPr>
          <w:p w14:paraId="1D22F785" w14:textId="77777777" w:rsidR="00364AE7" w:rsidRPr="002C6EA7" w:rsidRDefault="00364AE7" w:rsidP="001D6813">
            <w:pPr>
              <w:rPr>
                <w:sz w:val="21"/>
                <w:szCs w:val="21"/>
              </w:rPr>
            </w:pPr>
            <w:r>
              <w:rPr>
                <w:sz w:val="21"/>
                <w:szCs w:val="21"/>
              </w:rPr>
              <w:t>8</w:t>
            </w:r>
          </w:p>
        </w:tc>
      </w:tr>
      <w:tr w:rsidR="00364AE7" w:rsidRPr="002C6EA7" w14:paraId="70397445" w14:textId="77777777" w:rsidTr="003A1B56">
        <w:trPr>
          <w:trHeight w:val="286"/>
        </w:trPr>
        <w:tc>
          <w:tcPr>
            <w:tcW w:w="1143" w:type="dxa"/>
            <w:tcBorders>
              <w:top w:val="single" w:sz="4" w:space="0" w:color="000000"/>
              <w:left w:val="single" w:sz="4" w:space="0" w:color="000000"/>
            </w:tcBorders>
            <w:hideMark/>
          </w:tcPr>
          <w:p w14:paraId="4C8EB1CF" w14:textId="77777777" w:rsidR="00364AE7" w:rsidRPr="002C6EA7" w:rsidRDefault="00364AE7" w:rsidP="001D6813">
            <w:pPr>
              <w:rPr>
                <w:sz w:val="21"/>
                <w:szCs w:val="21"/>
              </w:rPr>
            </w:pPr>
            <w:r w:rsidRPr="002C6EA7">
              <w:rPr>
                <w:sz w:val="21"/>
                <w:szCs w:val="21"/>
              </w:rPr>
              <w:lastRenderedPageBreak/>
              <w:t>Cell shape</w:t>
            </w:r>
          </w:p>
        </w:tc>
        <w:tc>
          <w:tcPr>
            <w:tcW w:w="986" w:type="dxa"/>
            <w:tcBorders>
              <w:top w:val="single" w:sz="4" w:space="0" w:color="000000"/>
            </w:tcBorders>
            <w:hideMark/>
          </w:tcPr>
          <w:p w14:paraId="19482440" w14:textId="77777777" w:rsidR="00364AE7" w:rsidRPr="002C6EA7" w:rsidRDefault="00364AE7" w:rsidP="001D6813">
            <w:pPr>
              <w:rPr>
                <w:sz w:val="21"/>
                <w:szCs w:val="21"/>
              </w:rPr>
            </w:pPr>
            <w:r w:rsidRPr="002C6EA7">
              <w:rPr>
                <w:sz w:val="21"/>
                <w:szCs w:val="21"/>
              </w:rPr>
              <w:t>Rods, dumbbells</w:t>
            </w:r>
          </w:p>
        </w:tc>
        <w:tc>
          <w:tcPr>
            <w:tcW w:w="817" w:type="dxa"/>
            <w:tcBorders>
              <w:top w:val="single" w:sz="4" w:space="0" w:color="000000"/>
            </w:tcBorders>
            <w:hideMark/>
          </w:tcPr>
          <w:p w14:paraId="7FA35AC0" w14:textId="77777777" w:rsidR="00364AE7" w:rsidRPr="002C6EA7" w:rsidRDefault="00364AE7" w:rsidP="001D6813">
            <w:pPr>
              <w:rPr>
                <w:sz w:val="21"/>
                <w:szCs w:val="21"/>
              </w:rPr>
            </w:pPr>
            <w:r w:rsidRPr="002C6EA7">
              <w:rPr>
                <w:sz w:val="21"/>
                <w:szCs w:val="21"/>
              </w:rPr>
              <w:t>Small, curved coccoids, short rods</w:t>
            </w:r>
          </w:p>
        </w:tc>
        <w:tc>
          <w:tcPr>
            <w:tcW w:w="1133" w:type="dxa"/>
            <w:tcBorders>
              <w:top w:val="single" w:sz="4" w:space="0" w:color="000000"/>
            </w:tcBorders>
            <w:hideMark/>
          </w:tcPr>
          <w:p w14:paraId="38DD7E19" w14:textId="77777777" w:rsidR="00364AE7" w:rsidRPr="002C6EA7" w:rsidRDefault="00364AE7" w:rsidP="001D6813">
            <w:pPr>
              <w:rPr>
                <w:sz w:val="21"/>
                <w:szCs w:val="21"/>
              </w:rPr>
            </w:pPr>
            <w:r w:rsidRPr="002C6EA7">
              <w:rPr>
                <w:sz w:val="21"/>
                <w:szCs w:val="21"/>
              </w:rPr>
              <w:t>Straight, polymorphic or regularly curved rod, ovoids</w:t>
            </w:r>
          </w:p>
        </w:tc>
        <w:tc>
          <w:tcPr>
            <w:tcW w:w="469" w:type="dxa"/>
            <w:tcBorders>
              <w:top w:val="single" w:sz="4" w:space="0" w:color="000000"/>
            </w:tcBorders>
            <w:hideMark/>
          </w:tcPr>
          <w:p w14:paraId="243B52C9" w14:textId="77777777" w:rsidR="00364AE7" w:rsidRPr="002C6EA7" w:rsidRDefault="00364AE7" w:rsidP="001D6813">
            <w:pPr>
              <w:rPr>
                <w:sz w:val="21"/>
                <w:szCs w:val="21"/>
              </w:rPr>
            </w:pPr>
            <w:r w:rsidRPr="002C6EA7">
              <w:rPr>
                <w:sz w:val="21"/>
                <w:szCs w:val="21"/>
              </w:rPr>
              <w:t>Rods</w:t>
            </w:r>
          </w:p>
        </w:tc>
        <w:tc>
          <w:tcPr>
            <w:tcW w:w="1028" w:type="dxa"/>
            <w:tcBorders>
              <w:top w:val="single" w:sz="4" w:space="0" w:color="000000"/>
            </w:tcBorders>
            <w:hideMark/>
          </w:tcPr>
          <w:p w14:paraId="12E3AA5C" w14:textId="77777777" w:rsidR="00364AE7" w:rsidRPr="002C6EA7" w:rsidRDefault="00364AE7" w:rsidP="001D6813">
            <w:pPr>
              <w:rPr>
                <w:sz w:val="21"/>
                <w:szCs w:val="21"/>
              </w:rPr>
            </w:pPr>
            <w:r w:rsidRPr="002C6EA7">
              <w:rPr>
                <w:sz w:val="21"/>
                <w:szCs w:val="21"/>
              </w:rPr>
              <w:t>Coccobacilli, rods</w:t>
            </w:r>
          </w:p>
        </w:tc>
        <w:tc>
          <w:tcPr>
            <w:tcW w:w="973" w:type="dxa"/>
            <w:tcBorders>
              <w:top w:val="single" w:sz="4" w:space="0" w:color="000000"/>
            </w:tcBorders>
            <w:hideMark/>
          </w:tcPr>
          <w:p w14:paraId="430B4DE2" w14:textId="77777777" w:rsidR="00364AE7" w:rsidRPr="002C6EA7" w:rsidRDefault="00364AE7" w:rsidP="001D6813">
            <w:pPr>
              <w:rPr>
                <w:sz w:val="21"/>
                <w:szCs w:val="21"/>
              </w:rPr>
            </w:pPr>
            <w:r w:rsidRPr="002C6EA7">
              <w:rPr>
                <w:sz w:val="21"/>
                <w:szCs w:val="21"/>
              </w:rPr>
              <w:t>Rods, coccobacilli</w:t>
            </w:r>
          </w:p>
        </w:tc>
        <w:tc>
          <w:tcPr>
            <w:tcW w:w="794" w:type="dxa"/>
            <w:tcBorders>
              <w:top w:val="single" w:sz="4" w:space="0" w:color="000000"/>
            </w:tcBorders>
            <w:hideMark/>
          </w:tcPr>
          <w:p w14:paraId="23B7B55D" w14:textId="77777777" w:rsidR="00364AE7" w:rsidRPr="002C6EA7" w:rsidRDefault="00364AE7" w:rsidP="001D6813">
            <w:pPr>
              <w:rPr>
                <w:sz w:val="21"/>
                <w:szCs w:val="21"/>
              </w:rPr>
            </w:pPr>
            <w:r w:rsidRPr="002C6EA7">
              <w:rPr>
                <w:sz w:val="21"/>
                <w:szCs w:val="21"/>
              </w:rPr>
              <w:t>Dumbbell</w:t>
            </w:r>
          </w:p>
        </w:tc>
        <w:tc>
          <w:tcPr>
            <w:tcW w:w="1155" w:type="dxa"/>
            <w:tcBorders>
              <w:top w:val="single" w:sz="4" w:space="0" w:color="000000"/>
            </w:tcBorders>
            <w:hideMark/>
          </w:tcPr>
          <w:p w14:paraId="59B57797" w14:textId="77777777" w:rsidR="00364AE7" w:rsidRPr="002C6EA7" w:rsidRDefault="00364AE7" w:rsidP="001D6813">
            <w:pPr>
              <w:rPr>
                <w:sz w:val="21"/>
                <w:szCs w:val="21"/>
              </w:rPr>
            </w:pPr>
            <w:r w:rsidRPr="002C6EA7">
              <w:rPr>
                <w:sz w:val="21"/>
                <w:szCs w:val="21"/>
              </w:rPr>
              <w:t>Small curved coccoids/rods</w:t>
            </w:r>
          </w:p>
        </w:tc>
        <w:tc>
          <w:tcPr>
            <w:tcW w:w="867" w:type="dxa"/>
            <w:tcBorders>
              <w:top w:val="single" w:sz="4" w:space="0" w:color="000000"/>
              <w:right w:val="single" w:sz="4" w:space="0" w:color="000000"/>
            </w:tcBorders>
          </w:tcPr>
          <w:p w14:paraId="21B9CEA6" w14:textId="77777777" w:rsidR="00364AE7" w:rsidRPr="002C6EA7" w:rsidRDefault="00364AE7" w:rsidP="001D6813">
            <w:pPr>
              <w:rPr>
                <w:sz w:val="21"/>
                <w:szCs w:val="21"/>
              </w:rPr>
            </w:pPr>
            <w:r>
              <w:rPr>
                <w:sz w:val="21"/>
                <w:szCs w:val="21"/>
              </w:rPr>
              <w:t>Rods</w:t>
            </w:r>
          </w:p>
        </w:tc>
      </w:tr>
      <w:tr w:rsidR="00364AE7" w:rsidRPr="002C6EA7" w14:paraId="4816E079" w14:textId="77777777" w:rsidTr="003A1B56">
        <w:trPr>
          <w:trHeight w:val="220"/>
        </w:trPr>
        <w:tc>
          <w:tcPr>
            <w:tcW w:w="1143" w:type="dxa"/>
            <w:tcBorders>
              <w:left w:val="single" w:sz="4" w:space="0" w:color="000000"/>
            </w:tcBorders>
            <w:hideMark/>
          </w:tcPr>
          <w:p w14:paraId="672E5D38" w14:textId="77777777" w:rsidR="00364AE7" w:rsidRPr="002C6EA7" w:rsidRDefault="00364AE7" w:rsidP="001D6813">
            <w:pPr>
              <w:rPr>
                <w:sz w:val="21"/>
                <w:szCs w:val="21"/>
              </w:rPr>
            </w:pPr>
          </w:p>
        </w:tc>
        <w:tc>
          <w:tcPr>
            <w:tcW w:w="986" w:type="dxa"/>
            <w:hideMark/>
          </w:tcPr>
          <w:p w14:paraId="78BB2BBF" w14:textId="77777777" w:rsidR="00364AE7" w:rsidRPr="002C6EA7" w:rsidRDefault="00364AE7" w:rsidP="001D6813">
            <w:pPr>
              <w:rPr>
                <w:sz w:val="21"/>
                <w:szCs w:val="21"/>
              </w:rPr>
            </w:pPr>
          </w:p>
        </w:tc>
        <w:tc>
          <w:tcPr>
            <w:tcW w:w="817" w:type="dxa"/>
            <w:hideMark/>
          </w:tcPr>
          <w:p w14:paraId="3F8A28A3" w14:textId="77777777" w:rsidR="00364AE7" w:rsidRPr="002C6EA7" w:rsidRDefault="00364AE7" w:rsidP="001D6813">
            <w:pPr>
              <w:rPr>
                <w:sz w:val="21"/>
                <w:szCs w:val="21"/>
              </w:rPr>
            </w:pPr>
          </w:p>
        </w:tc>
        <w:tc>
          <w:tcPr>
            <w:tcW w:w="1133" w:type="dxa"/>
            <w:hideMark/>
          </w:tcPr>
          <w:p w14:paraId="3245BE92" w14:textId="77777777" w:rsidR="00364AE7" w:rsidRPr="002C6EA7" w:rsidRDefault="00364AE7" w:rsidP="001D6813">
            <w:pPr>
              <w:rPr>
                <w:sz w:val="21"/>
                <w:szCs w:val="21"/>
              </w:rPr>
            </w:pPr>
          </w:p>
        </w:tc>
        <w:tc>
          <w:tcPr>
            <w:tcW w:w="469" w:type="dxa"/>
            <w:hideMark/>
          </w:tcPr>
          <w:p w14:paraId="38ACBA36" w14:textId="77777777" w:rsidR="00364AE7" w:rsidRPr="002C6EA7" w:rsidRDefault="00364AE7" w:rsidP="001D6813">
            <w:pPr>
              <w:rPr>
                <w:sz w:val="21"/>
                <w:szCs w:val="21"/>
              </w:rPr>
            </w:pPr>
          </w:p>
        </w:tc>
        <w:tc>
          <w:tcPr>
            <w:tcW w:w="1028" w:type="dxa"/>
            <w:hideMark/>
          </w:tcPr>
          <w:p w14:paraId="557074EB" w14:textId="77777777" w:rsidR="00364AE7" w:rsidRPr="002C6EA7" w:rsidRDefault="00364AE7" w:rsidP="001D6813">
            <w:pPr>
              <w:rPr>
                <w:sz w:val="21"/>
                <w:szCs w:val="21"/>
              </w:rPr>
            </w:pPr>
          </w:p>
        </w:tc>
        <w:tc>
          <w:tcPr>
            <w:tcW w:w="973" w:type="dxa"/>
            <w:hideMark/>
          </w:tcPr>
          <w:p w14:paraId="56424A44" w14:textId="77777777" w:rsidR="00364AE7" w:rsidRPr="002C6EA7" w:rsidRDefault="00364AE7" w:rsidP="001D6813">
            <w:pPr>
              <w:rPr>
                <w:sz w:val="21"/>
                <w:szCs w:val="21"/>
              </w:rPr>
            </w:pPr>
          </w:p>
        </w:tc>
        <w:tc>
          <w:tcPr>
            <w:tcW w:w="794" w:type="dxa"/>
            <w:hideMark/>
          </w:tcPr>
          <w:p w14:paraId="4827E5F3" w14:textId="77777777" w:rsidR="00364AE7" w:rsidRPr="002C6EA7" w:rsidRDefault="00364AE7" w:rsidP="001D6813">
            <w:pPr>
              <w:rPr>
                <w:sz w:val="21"/>
                <w:szCs w:val="21"/>
              </w:rPr>
            </w:pPr>
          </w:p>
        </w:tc>
        <w:tc>
          <w:tcPr>
            <w:tcW w:w="1155" w:type="dxa"/>
            <w:hideMark/>
          </w:tcPr>
          <w:p w14:paraId="3DAD6D8D" w14:textId="77777777" w:rsidR="00364AE7" w:rsidRPr="002C6EA7" w:rsidRDefault="00364AE7" w:rsidP="001D6813">
            <w:pPr>
              <w:rPr>
                <w:sz w:val="21"/>
                <w:szCs w:val="21"/>
              </w:rPr>
            </w:pPr>
          </w:p>
        </w:tc>
        <w:tc>
          <w:tcPr>
            <w:tcW w:w="867" w:type="dxa"/>
            <w:tcBorders>
              <w:right w:val="single" w:sz="4" w:space="0" w:color="000000"/>
            </w:tcBorders>
          </w:tcPr>
          <w:p w14:paraId="41507EA2" w14:textId="77777777" w:rsidR="00364AE7" w:rsidRPr="002C6EA7" w:rsidRDefault="00364AE7" w:rsidP="001D6813">
            <w:pPr>
              <w:rPr>
                <w:sz w:val="21"/>
                <w:szCs w:val="21"/>
              </w:rPr>
            </w:pPr>
          </w:p>
        </w:tc>
      </w:tr>
      <w:tr w:rsidR="00364AE7" w:rsidRPr="002C6EA7" w14:paraId="45D81D49" w14:textId="77777777" w:rsidTr="003A1B56">
        <w:trPr>
          <w:trHeight w:val="219"/>
        </w:trPr>
        <w:tc>
          <w:tcPr>
            <w:tcW w:w="1143" w:type="dxa"/>
            <w:tcBorders>
              <w:left w:val="single" w:sz="4" w:space="0" w:color="000000"/>
            </w:tcBorders>
            <w:hideMark/>
          </w:tcPr>
          <w:p w14:paraId="30AE50B5" w14:textId="77777777" w:rsidR="00364AE7" w:rsidRPr="002C6EA7" w:rsidRDefault="00364AE7" w:rsidP="001D6813">
            <w:pPr>
              <w:rPr>
                <w:sz w:val="21"/>
                <w:szCs w:val="21"/>
              </w:rPr>
            </w:pPr>
            <w:r w:rsidRPr="002C6EA7">
              <w:rPr>
                <w:sz w:val="21"/>
                <w:szCs w:val="21"/>
              </w:rPr>
              <w:t>Cell width (µm)</w:t>
            </w:r>
          </w:p>
        </w:tc>
        <w:tc>
          <w:tcPr>
            <w:tcW w:w="986" w:type="dxa"/>
            <w:hideMark/>
          </w:tcPr>
          <w:p w14:paraId="2A5B05EC" w14:textId="77777777" w:rsidR="00364AE7" w:rsidRPr="002C6EA7" w:rsidRDefault="00364AE7" w:rsidP="001D6813">
            <w:pPr>
              <w:rPr>
                <w:sz w:val="21"/>
                <w:szCs w:val="21"/>
              </w:rPr>
            </w:pPr>
            <w:r w:rsidRPr="002C6EA7">
              <w:rPr>
                <w:sz w:val="21"/>
                <w:szCs w:val="21"/>
              </w:rPr>
              <w:t>0.8</w:t>
            </w:r>
          </w:p>
        </w:tc>
        <w:tc>
          <w:tcPr>
            <w:tcW w:w="817" w:type="dxa"/>
            <w:hideMark/>
          </w:tcPr>
          <w:p w14:paraId="00FF043B" w14:textId="77777777" w:rsidR="00364AE7" w:rsidRPr="002C6EA7" w:rsidRDefault="00364AE7" w:rsidP="001D6813">
            <w:pPr>
              <w:rPr>
                <w:sz w:val="21"/>
                <w:szCs w:val="21"/>
              </w:rPr>
            </w:pPr>
            <w:r w:rsidRPr="002C6EA7">
              <w:rPr>
                <w:sz w:val="21"/>
                <w:szCs w:val="21"/>
              </w:rPr>
              <w:t>0.9–1.4</w:t>
            </w:r>
          </w:p>
        </w:tc>
        <w:tc>
          <w:tcPr>
            <w:tcW w:w="1133" w:type="dxa"/>
            <w:hideMark/>
          </w:tcPr>
          <w:p w14:paraId="52520893" w14:textId="77777777" w:rsidR="00364AE7" w:rsidRPr="002C6EA7" w:rsidRDefault="00364AE7" w:rsidP="001D6813">
            <w:pPr>
              <w:rPr>
                <w:sz w:val="21"/>
                <w:szCs w:val="21"/>
              </w:rPr>
            </w:pPr>
            <w:r w:rsidRPr="002C6EA7">
              <w:rPr>
                <w:sz w:val="21"/>
                <w:szCs w:val="21"/>
              </w:rPr>
              <w:t>0.8–1.2</w:t>
            </w:r>
          </w:p>
        </w:tc>
        <w:tc>
          <w:tcPr>
            <w:tcW w:w="469" w:type="dxa"/>
            <w:hideMark/>
          </w:tcPr>
          <w:p w14:paraId="301FD1A3" w14:textId="77777777" w:rsidR="00364AE7" w:rsidRPr="002C6EA7" w:rsidRDefault="00364AE7" w:rsidP="001D6813">
            <w:pPr>
              <w:rPr>
                <w:sz w:val="21"/>
                <w:szCs w:val="21"/>
              </w:rPr>
            </w:pPr>
            <w:r w:rsidRPr="002C6EA7">
              <w:rPr>
                <w:sz w:val="21"/>
                <w:szCs w:val="21"/>
              </w:rPr>
              <w:t>0.8–1.1</w:t>
            </w:r>
          </w:p>
        </w:tc>
        <w:tc>
          <w:tcPr>
            <w:tcW w:w="1028" w:type="dxa"/>
            <w:hideMark/>
          </w:tcPr>
          <w:p w14:paraId="4FBA1E2D" w14:textId="77777777" w:rsidR="00364AE7" w:rsidRPr="002C6EA7" w:rsidRDefault="00364AE7" w:rsidP="001D6813">
            <w:pPr>
              <w:rPr>
                <w:sz w:val="21"/>
                <w:szCs w:val="21"/>
              </w:rPr>
            </w:pPr>
            <w:r w:rsidRPr="002C6EA7">
              <w:rPr>
                <w:sz w:val="21"/>
                <w:szCs w:val="21"/>
              </w:rPr>
              <w:t>0.6</w:t>
            </w:r>
          </w:p>
        </w:tc>
        <w:tc>
          <w:tcPr>
            <w:tcW w:w="973" w:type="dxa"/>
            <w:hideMark/>
          </w:tcPr>
          <w:p w14:paraId="32247486" w14:textId="77777777" w:rsidR="00364AE7" w:rsidRPr="002C6EA7" w:rsidRDefault="00364AE7" w:rsidP="001D6813">
            <w:pPr>
              <w:rPr>
                <w:sz w:val="21"/>
                <w:szCs w:val="21"/>
              </w:rPr>
            </w:pPr>
            <w:r w:rsidRPr="002C6EA7">
              <w:rPr>
                <w:sz w:val="21"/>
                <w:szCs w:val="21"/>
              </w:rPr>
              <w:t>0.5–0.8</w:t>
            </w:r>
          </w:p>
        </w:tc>
        <w:tc>
          <w:tcPr>
            <w:tcW w:w="794" w:type="dxa"/>
            <w:hideMark/>
          </w:tcPr>
          <w:p w14:paraId="3B96F9CB" w14:textId="77777777" w:rsidR="00364AE7" w:rsidRPr="002C6EA7" w:rsidRDefault="00364AE7" w:rsidP="001D6813">
            <w:pPr>
              <w:rPr>
                <w:sz w:val="21"/>
                <w:szCs w:val="21"/>
              </w:rPr>
            </w:pPr>
            <w:r w:rsidRPr="002C6EA7">
              <w:rPr>
                <w:sz w:val="21"/>
                <w:szCs w:val="21"/>
              </w:rPr>
              <w:t>0.3–0.6</w:t>
            </w:r>
          </w:p>
        </w:tc>
        <w:tc>
          <w:tcPr>
            <w:tcW w:w="1155" w:type="dxa"/>
            <w:hideMark/>
          </w:tcPr>
          <w:p w14:paraId="29F9B4AB" w14:textId="77777777" w:rsidR="00364AE7" w:rsidRPr="002C6EA7" w:rsidRDefault="00364AE7" w:rsidP="001D6813">
            <w:pPr>
              <w:rPr>
                <w:sz w:val="21"/>
                <w:szCs w:val="21"/>
              </w:rPr>
            </w:pPr>
            <w:r w:rsidRPr="002C6EA7">
              <w:rPr>
                <w:sz w:val="21"/>
                <w:szCs w:val="21"/>
              </w:rPr>
              <w:t>0.5-0.7</w:t>
            </w:r>
          </w:p>
        </w:tc>
        <w:tc>
          <w:tcPr>
            <w:tcW w:w="867" w:type="dxa"/>
            <w:tcBorders>
              <w:right w:val="single" w:sz="4" w:space="0" w:color="000000"/>
            </w:tcBorders>
          </w:tcPr>
          <w:p w14:paraId="6B94C861" w14:textId="77777777" w:rsidR="00364AE7" w:rsidRPr="002C6EA7" w:rsidRDefault="00364AE7" w:rsidP="001D6813">
            <w:pPr>
              <w:rPr>
                <w:sz w:val="21"/>
                <w:szCs w:val="21"/>
              </w:rPr>
            </w:pPr>
            <w:r>
              <w:rPr>
                <w:sz w:val="21"/>
                <w:szCs w:val="21"/>
              </w:rPr>
              <w:t>1.1</w:t>
            </w:r>
          </w:p>
        </w:tc>
      </w:tr>
      <w:tr w:rsidR="00364AE7" w:rsidRPr="002C6EA7" w14:paraId="56434E30" w14:textId="77777777" w:rsidTr="003A1B56">
        <w:trPr>
          <w:trHeight w:val="219"/>
        </w:trPr>
        <w:tc>
          <w:tcPr>
            <w:tcW w:w="1143" w:type="dxa"/>
            <w:tcBorders>
              <w:left w:val="single" w:sz="4" w:space="0" w:color="000000"/>
            </w:tcBorders>
            <w:hideMark/>
          </w:tcPr>
          <w:p w14:paraId="0EE850AA" w14:textId="77777777" w:rsidR="00364AE7" w:rsidRPr="002C6EA7" w:rsidRDefault="00364AE7" w:rsidP="001D6813">
            <w:pPr>
              <w:rPr>
                <w:sz w:val="21"/>
                <w:szCs w:val="21"/>
              </w:rPr>
            </w:pPr>
            <w:r w:rsidRPr="002C6EA7">
              <w:rPr>
                <w:sz w:val="21"/>
                <w:szCs w:val="21"/>
              </w:rPr>
              <w:t>Cell length (µm)</w:t>
            </w:r>
          </w:p>
        </w:tc>
        <w:tc>
          <w:tcPr>
            <w:tcW w:w="986" w:type="dxa"/>
            <w:hideMark/>
          </w:tcPr>
          <w:p w14:paraId="016B46C1" w14:textId="77777777" w:rsidR="00364AE7" w:rsidRPr="002C6EA7" w:rsidRDefault="00364AE7" w:rsidP="001D6813">
            <w:pPr>
              <w:rPr>
                <w:sz w:val="21"/>
                <w:szCs w:val="21"/>
              </w:rPr>
            </w:pPr>
            <w:r w:rsidRPr="002C6EA7">
              <w:rPr>
                <w:sz w:val="21"/>
                <w:szCs w:val="21"/>
              </w:rPr>
              <w:t>1.3</w:t>
            </w:r>
          </w:p>
        </w:tc>
        <w:tc>
          <w:tcPr>
            <w:tcW w:w="817" w:type="dxa"/>
            <w:hideMark/>
          </w:tcPr>
          <w:p w14:paraId="0B86080C" w14:textId="77777777" w:rsidR="00364AE7" w:rsidRPr="002C6EA7" w:rsidRDefault="00364AE7" w:rsidP="001D6813">
            <w:pPr>
              <w:rPr>
                <w:sz w:val="21"/>
                <w:szCs w:val="21"/>
              </w:rPr>
            </w:pPr>
            <w:r w:rsidRPr="002C6EA7">
              <w:rPr>
                <w:sz w:val="21"/>
                <w:szCs w:val="21"/>
              </w:rPr>
              <w:t>1.8–3.4</w:t>
            </w:r>
          </w:p>
        </w:tc>
        <w:tc>
          <w:tcPr>
            <w:tcW w:w="1133" w:type="dxa"/>
            <w:hideMark/>
          </w:tcPr>
          <w:p w14:paraId="2FEF751A" w14:textId="77777777" w:rsidR="00364AE7" w:rsidRPr="002C6EA7" w:rsidRDefault="00364AE7" w:rsidP="001D6813">
            <w:pPr>
              <w:rPr>
                <w:sz w:val="21"/>
                <w:szCs w:val="21"/>
              </w:rPr>
            </w:pPr>
            <w:r w:rsidRPr="002C6EA7">
              <w:rPr>
                <w:sz w:val="21"/>
                <w:szCs w:val="21"/>
              </w:rPr>
              <w:t>1.4–4.0</w:t>
            </w:r>
          </w:p>
        </w:tc>
        <w:tc>
          <w:tcPr>
            <w:tcW w:w="469" w:type="dxa"/>
            <w:hideMark/>
          </w:tcPr>
          <w:p w14:paraId="106C2307" w14:textId="77777777" w:rsidR="00364AE7" w:rsidRPr="002C6EA7" w:rsidRDefault="00364AE7" w:rsidP="001D6813">
            <w:pPr>
              <w:rPr>
                <w:sz w:val="21"/>
                <w:szCs w:val="21"/>
              </w:rPr>
            </w:pPr>
            <w:r w:rsidRPr="002C6EA7">
              <w:rPr>
                <w:sz w:val="21"/>
                <w:szCs w:val="21"/>
              </w:rPr>
              <w:t>1.1–2.5</w:t>
            </w:r>
          </w:p>
        </w:tc>
        <w:tc>
          <w:tcPr>
            <w:tcW w:w="1028" w:type="dxa"/>
            <w:hideMark/>
          </w:tcPr>
          <w:p w14:paraId="1F8884B2" w14:textId="77777777" w:rsidR="00364AE7" w:rsidRPr="002C6EA7" w:rsidRDefault="00364AE7" w:rsidP="001D6813">
            <w:pPr>
              <w:rPr>
                <w:sz w:val="21"/>
                <w:szCs w:val="21"/>
              </w:rPr>
            </w:pPr>
            <w:r w:rsidRPr="002C6EA7">
              <w:rPr>
                <w:sz w:val="21"/>
                <w:szCs w:val="21"/>
              </w:rPr>
              <w:t>0.8–1.2</w:t>
            </w:r>
          </w:p>
        </w:tc>
        <w:tc>
          <w:tcPr>
            <w:tcW w:w="973" w:type="dxa"/>
            <w:hideMark/>
          </w:tcPr>
          <w:p w14:paraId="535764E3" w14:textId="77777777" w:rsidR="00364AE7" w:rsidRPr="002C6EA7" w:rsidRDefault="00364AE7" w:rsidP="001D6813">
            <w:pPr>
              <w:rPr>
                <w:sz w:val="21"/>
                <w:szCs w:val="21"/>
              </w:rPr>
            </w:pPr>
            <w:r w:rsidRPr="002C6EA7">
              <w:rPr>
                <w:sz w:val="21"/>
                <w:szCs w:val="21"/>
              </w:rPr>
              <w:t>1.0–2.0</w:t>
            </w:r>
          </w:p>
        </w:tc>
        <w:tc>
          <w:tcPr>
            <w:tcW w:w="794" w:type="dxa"/>
            <w:hideMark/>
          </w:tcPr>
          <w:p w14:paraId="5AC62DD8" w14:textId="77777777" w:rsidR="00364AE7" w:rsidRPr="002C6EA7" w:rsidRDefault="00364AE7" w:rsidP="001D6813">
            <w:pPr>
              <w:rPr>
                <w:sz w:val="21"/>
                <w:szCs w:val="21"/>
              </w:rPr>
            </w:pPr>
            <w:r w:rsidRPr="002C6EA7">
              <w:rPr>
                <w:sz w:val="21"/>
                <w:szCs w:val="21"/>
              </w:rPr>
              <w:t>0.7–1.0</w:t>
            </w:r>
          </w:p>
        </w:tc>
        <w:tc>
          <w:tcPr>
            <w:tcW w:w="1155" w:type="dxa"/>
            <w:hideMark/>
          </w:tcPr>
          <w:p w14:paraId="7FD9A3A9" w14:textId="77777777" w:rsidR="00364AE7" w:rsidRPr="002C6EA7" w:rsidRDefault="00364AE7" w:rsidP="001D6813">
            <w:pPr>
              <w:rPr>
                <w:sz w:val="21"/>
                <w:szCs w:val="21"/>
              </w:rPr>
            </w:pPr>
            <w:r w:rsidRPr="002C6EA7">
              <w:rPr>
                <w:sz w:val="21"/>
                <w:szCs w:val="21"/>
              </w:rPr>
              <w:t>1.7-3.4</w:t>
            </w:r>
          </w:p>
        </w:tc>
        <w:tc>
          <w:tcPr>
            <w:tcW w:w="867" w:type="dxa"/>
            <w:tcBorders>
              <w:right w:val="single" w:sz="4" w:space="0" w:color="000000"/>
            </w:tcBorders>
          </w:tcPr>
          <w:p w14:paraId="5B6895AF" w14:textId="77777777" w:rsidR="00364AE7" w:rsidRPr="002C6EA7" w:rsidRDefault="00364AE7" w:rsidP="001D6813">
            <w:pPr>
              <w:rPr>
                <w:sz w:val="21"/>
                <w:szCs w:val="21"/>
              </w:rPr>
            </w:pPr>
            <w:r>
              <w:rPr>
                <w:sz w:val="21"/>
                <w:szCs w:val="21"/>
              </w:rPr>
              <w:t>2.7</w:t>
            </w:r>
          </w:p>
        </w:tc>
      </w:tr>
      <w:tr w:rsidR="00364AE7" w:rsidRPr="002C6EA7" w14:paraId="509DAF7B" w14:textId="77777777" w:rsidTr="003A1B56">
        <w:trPr>
          <w:trHeight w:val="200"/>
        </w:trPr>
        <w:tc>
          <w:tcPr>
            <w:tcW w:w="1143" w:type="dxa"/>
            <w:tcBorders>
              <w:left w:val="single" w:sz="4" w:space="0" w:color="000000"/>
            </w:tcBorders>
            <w:hideMark/>
          </w:tcPr>
          <w:p w14:paraId="6F1B6BB0" w14:textId="77777777" w:rsidR="00364AE7" w:rsidRPr="002C6EA7" w:rsidRDefault="00364AE7" w:rsidP="001D6813">
            <w:pPr>
              <w:rPr>
                <w:sz w:val="21"/>
                <w:szCs w:val="21"/>
              </w:rPr>
            </w:pPr>
            <w:r w:rsidRPr="002C6EA7">
              <w:rPr>
                <w:sz w:val="21"/>
                <w:szCs w:val="21"/>
              </w:rPr>
              <w:t>Color of colonies</w:t>
            </w:r>
          </w:p>
        </w:tc>
        <w:tc>
          <w:tcPr>
            <w:tcW w:w="986" w:type="dxa"/>
            <w:hideMark/>
          </w:tcPr>
          <w:p w14:paraId="09FF407E" w14:textId="77777777" w:rsidR="00364AE7" w:rsidRPr="002C6EA7" w:rsidRDefault="00364AE7" w:rsidP="001D6813">
            <w:pPr>
              <w:rPr>
                <w:sz w:val="21"/>
                <w:szCs w:val="21"/>
              </w:rPr>
            </w:pPr>
            <w:r w:rsidRPr="002C6EA7">
              <w:rPr>
                <w:sz w:val="21"/>
                <w:szCs w:val="21"/>
              </w:rPr>
              <w:t>Yellow</w:t>
            </w:r>
          </w:p>
        </w:tc>
        <w:tc>
          <w:tcPr>
            <w:tcW w:w="817" w:type="dxa"/>
            <w:hideMark/>
          </w:tcPr>
          <w:p w14:paraId="2059D780" w14:textId="77777777" w:rsidR="00364AE7" w:rsidRPr="002C6EA7" w:rsidRDefault="00364AE7" w:rsidP="001D6813">
            <w:pPr>
              <w:rPr>
                <w:sz w:val="21"/>
                <w:szCs w:val="21"/>
              </w:rPr>
            </w:pPr>
            <w:r w:rsidRPr="002C6EA7">
              <w:rPr>
                <w:sz w:val="21"/>
                <w:szCs w:val="21"/>
              </w:rPr>
              <w:t>Light cream</w:t>
            </w:r>
          </w:p>
        </w:tc>
        <w:tc>
          <w:tcPr>
            <w:tcW w:w="1133" w:type="dxa"/>
            <w:hideMark/>
          </w:tcPr>
          <w:p w14:paraId="31AD060B" w14:textId="77777777" w:rsidR="00364AE7" w:rsidRPr="002C6EA7" w:rsidRDefault="00364AE7" w:rsidP="001D6813">
            <w:pPr>
              <w:rPr>
                <w:sz w:val="21"/>
                <w:szCs w:val="21"/>
              </w:rPr>
            </w:pPr>
            <w:r w:rsidRPr="002C6EA7">
              <w:rPr>
                <w:sz w:val="21"/>
                <w:szCs w:val="21"/>
              </w:rPr>
              <w:t>White</w:t>
            </w:r>
          </w:p>
        </w:tc>
        <w:tc>
          <w:tcPr>
            <w:tcW w:w="469" w:type="dxa"/>
            <w:hideMark/>
          </w:tcPr>
          <w:p w14:paraId="55CDA4D8" w14:textId="77777777" w:rsidR="00364AE7" w:rsidRPr="002C6EA7" w:rsidRDefault="00364AE7" w:rsidP="001D6813">
            <w:pPr>
              <w:rPr>
                <w:sz w:val="21"/>
                <w:szCs w:val="21"/>
              </w:rPr>
            </w:pPr>
            <w:r w:rsidRPr="002C6EA7">
              <w:rPr>
                <w:sz w:val="21"/>
                <w:szCs w:val="21"/>
              </w:rPr>
              <w:t>Pink–red</w:t>
            </w:r>
          </w:p>
        </w:tc>
        <w:tc>
          <w:tcPr>
            <w:tcW w:w="1028" w:type="dxa"/>
            <w:hideMark/>
          </w:tcPr>
          <w:p w14:paraId="4D39CBEF" w14:textId="77777777" w:rsidR="00364AE7" w:rsidRPr="002C6EA7" w:rsidRDefault="00364AE7" w:rsidP="001D6813">
            <w:pPr>
              <w:rPr>
                <w:sz w:val="21"/>
                <w:szCs w:val="21"/>
              </w:rPr>
            </w:pPr>
            <w:r w:rsidRPr="002C6EA7">
              <w:rPr>
                <w:sz w:val="21"/>
                <w:szCs w:val="21"/>
              </w:rPr>
              <w:t>White, buff, pale pink</w:t>
            </w:r>
          </w:p>
        </w:tc>
        <w:tc>
          <w:tcPr>
            <w:tcW w:w="973" w:type="dxa"/>
            <w:hideMark/>
          </w:tcPr>
          <w:p w14:paraId="3D516505" w14:textId="77777777" w:rsidR="00364AE7" w:rsidRPr="002C6EA7" w:rsidRDefault="00364AE7" w:rsidP="001D6813">
            <w:pPr>
              <w:rPr>
                <w:sz w:val="21"/>
                <w:szCs w:val="21"/>
              </w:rPr>
            </w:pPr>
            <w:r w:rsidRPr="002C6EA7">
              <w:rPr>
                <w:sz w:val="21"/>
                <w:szCs w:val="21"/>
              </w:rPr>
              <w:t>Diffusible brown, pale pink</w:t>
            </w:r>
          </w:p>
        </w:tc>
        <w:tc>
          <w:tcPr>
            <w:tcW w:w="794" w:type="dxa"/>
            <w:hideMark/>
          </w:tcPr>
          <w:p w14:paraId="769D3872" w14:textId="77777777" w:rsidR="00364AE7" w:rsidRPr="002C6EA7" w:rsidRDefault="00364AE7" w:rsidP="001D6813">
            <w:pPr>
              <w:rPr>
                <w:sz w:val="21"/>
                <w:szCs w:val="21"/>
              </w:rPr>
            </w:pPr>
            <w:r w:rsidRPr="002C6EA7">
              <w:rPr>
                <w:sz w:val="21"/>
                <w:szCs w:val="21"/>
              </w:rPr>
              <w:t>Cream</w:t>
            </w:r>
          </w:p>
        </w:tc>
        <w:tc>
          <w:tcPr>
            <w:tcW w:w="1155" w:type="dxa"/>
            <w:hideMark/>
          </w:tcPr>
          <w:p w14:paraId="088B6022" w14:textId="77777777" w:rsidR="00364AE7" w:rsidRPr="002C6EA7" w:rsidRDefault="00364AE7" w:rsidP="001D6813">
            <w:pPr>
              <w:rPr>
                <w:sz w:val="21"/>
                <w:szCs w:val="21"/>
              </w:rPr>
            </w:pPr>
            <w:r w:rsidRPr="002C6EA7">
              <w:rPr>
                <w:sz w:val="21"/>
                <w:szCs w:val="21"/>
              </w:rPr>
              <w:t>Cream</w:t>
            </w:r>
          </w:p>
        </w:tc>
        <w:tc>
          <w:tcPr>
            <w:tcW w:w="867" w:type="dxa"/>
            <w:tcBorders>
              <w:right w:val="single" w:sz="4" w:space="0" w:color="000000"/>
            </w:tcBorders>
          </w:tcPr>
          <w:p w14:paraId="65F3AF6C" w14:textId="77777777" w:rsidR="00364AE7" w:rsidRPr="002C6EA7" w:rsidRDefault="00364AE7" w:rsidP="001D6813">
            <w:pPr>
              <w:rPr>
                <w:sz w:val="21"/>
                <w:szCs w:val="21"/>
              </w:rPr>
            </w:pPr>
            <w:r>
              <w:rPr>
                <w:sz w:val="21"/>
                <w:szCs w:val="21"/>
              </w:rPr>
              <w:t>White</w:t>
            </w:r>
          </w:p>
        </w:tc>
      </w:tr>
      <w:tr w:rsidR="00364AE7" w:rsidRPr="002C6EA7" w14:paraId="0A76A046" w14:textId="77777777" w:rsidTr="003A1B56">
        <w:trPr>
          <w:trHeight w:val="240"/>
        </w:trPr>
        <w:tc>
          <w:tcPr>
            <w:tcW w:w="1143" w:type="dxa"/>
            <w:tcBorders>
              <w:left w:val="single" w:sz="4" w:space="0" w:color="000000"/>
            </w:tcBorders>
            <w:hideMark/>
          </w:tcPr>
          <w:p w14:paraId="4C61D514" w14:textId="77777777" w:rsidR="00364AE7" w:rsidRPr="002C6EA7" w:rsidRDefault="00364AE7" w:rsidP="001D6813">
            <w:pPr>
              <w:rPr>
                <w:sz w:val="21"/>
                <w:szCs w:val="21"/>
              </w:rPr>
            </w:pPr>
            <w:r w:rsidRPr="002C6EA7">
              <w:rPr>
                <w:sz w:val="21"/>
                <w:szCs w:val="21"/>
              </w:rPr>
              <w:t>Temperature for growth (°C)</w:t>
            </w:r>
          </w:p>
        </w:tc>
        <w:tc>
          <w:tcPr>
            <w:tcW w:w="986" w:type="dxa"/>
            <w:hideMark/>
          </w:tcPr>
          <w:p w14:paraId="60384079" w14:textId="77777777" w:rsidR="00364AE7" w:rsidRPr="002C6EA7" w:rsidRDefault="00364AE7" w:rsidP="001D6813">
            <w:pPr>
              <w:rPr>
                <w:sz w:val="21"/>
                <w:szCs w:val="21"/>
              </w:rPr>
            </w:pPr>
          </w:p>
        </w:tc>
        <w:tc>
          <w:tcPr>
            <w:tcW w:w="817" w:type="dxa"/>
            <w:hideMark/>
          </w:tcPr>
          <w:p w14:paraId="690E447C" w14:textId="77777777" w:rsidR="00364AE7" w:rsidRPr="002C6EA7" w:rsidRDefault="00364AE7" w:rsidP="001D6813">
            <w:pPr>
              <w:rPr>
                <w:sz w:val="21"/>
                <w:szCs w:val="21"/>
              </w:rPr>
            </w:pPr>
          </w:p>
        </w:tc>
        <w:tc>
          <w:tcPr>
            <w:tcW w:w="1133" w:type="dxa"/>
            <w:hideMark/>
          </w:tcPr>
          <w:p w14:paraId="636643C7" w14:textId="77777777" w:rsidR="00364AE7" w:rsidRPr="002C6EA7" w:rsidRDefault="00364AE7" w:rsidP="001D6813">
            <w:pPr>
              <w:rPr>
                <w:sz w:val="21"/>
                <w:szCs w:val="21"/>
              </w:rPr>
            </w:pPr>
          </w:p>
        </w:tc>
        <w:tc>
          <w:tcPr>
            <w:tcW w:w="469" w:type="dxa"/>
            <w:hideMark/>
          </w:tcPr>
          <w:p w14:paraId="6543175C" w14:textId="77777777" w:rsidR="00364AE7" w:rsidRPr="002C6EA7" w:rsidRDefault="00364AE7" w:rsidP="001D6813">
            <w:pPr>
              <w:rPr>
                <w:sz w:val="21"/>
                <w:szCs w:val="21"/>
              </w:rPr>
            </w:pPr>
          </w:p>
        </w:tc>
        <w:tc>
          <w:tcPr>
            <w:tcW w:w="1028" w:type="dxa"/>
            <w:hideMark/>
          </w:tcPr>
          <w:p w14:paraId="59E41E1B" w14:textId="77777777" w:rsidR="00364AE7" w:rsidRPr="002C6EA7" w:rsidRDefault="00364AE7" w:rsidP="001D6813">
            <w:pPr>
              <w:rPr>
                <w:sz w:val="21"/>
                <w:szCs w:val="21"/>
              </w:rPr>
            </w:pPr>
          </w:p>
        </w:tc>
        <w:tc>
          <w:tcPr>
            <w:tcW w:w="973" w:type="dxa"/>
            <w:hideMark/>
          </w:tcPr>
          <w:p w14:paraId="1F63CB0D" w14:textId="77777777" w:rsidR="00364AE7" w:rsidRPr="002C6EA7" w:rsidRDefault="00364AE7" w:rsidP="001D6813">
            <w:pPr>
              <w:rPr>
                <w:sz w:val="21"/>
                <w:szCs w:val="21"/>
              </w:rPr>
            </w:pPr>
          </w:p>
        </w:tc>
        <w:tc>
          <w:tcPr>
            <w:tcW w:w="794" w:type="dxa"/>
            <w:hideMark/>
          </w:tcPr>
          <w:p w14:paraId="52717203" w14:textId="77777777" w:rsidR="00364AE7" w:rsidRPr="002C6EA7" w:rsidRDefault="00364AE7" w:rsidP="001D6813">
            <w:pPr>
              <w:rPr>
                <w:sz w:val="21"/>
                <w:szCs w:val="21"/>
              </w:rPr>
            </w:pPr>
          </w:p>
        </w:tc>
        <w:tc>
          <w:tcPr>
            <w:tcW w:w="1155" w:type="dxa"/>
            <w:hideMark/>
          </w:tcPr>
          <w:p w14:paraId="652FB115" w14:textId="77777777" w:rsidR="00364AE7" w:rsidRPr="002C6EA7" w:rsidRDefault="00364AE7" w:rsidP="001D6813">
            <w:pPr>
              <w:rPr>
                <w:sz w:val="21"/>
                <w:szCs w:val="21"/>
              </w:rPr>
            </w:pPr>
          </w:p>
        </w:tc>
        <w:tc>
          <w:tcPr>
            <w:tcW w:w="867" w:type="dxa"/>
            <w:tcBorders>
              <w:right w:val="single" w:sz="4" w:space="0" w:color="000000"/>
            </w:tcBorders>
          </w:tcPr>
          <w:p w14:paraId="71A96438" w14:textId="77777777" w:rsidR="00364AE7" w:rsidRPr="002C6EA7" w:rsidRDefault="00364AE7" w:rsidP="001D6813">
            <w:pPr>
              <w:rPr>
                <w:sz w:val="21"/>
                <w:szCs w:val="21"/>
              </w:rPr>
            </w:pPr>
          </w:p>
        </w:tc>
      </w:tr>
      <w:tr w:rsidR="00364AE7" w:rsidRPr="002C6EA7" w14:paraId="1EEC91CD" w14:textId="77777777" w:rsidTr="003A1B56">
        <w:trPr>
          <w:trHeight w:val="219"/>
        </w:trPr>
        <w:tc>
          <w:tcPr>
            <w:tcW w:w="1143" w:type="dxa"/>
            <w:tcBorders>
              <w:left w:val="single" w:sz="4" w:space="0" w:color="000000"/>
            </w:tcBorders>
            <w:hideMark/>
          </w:tcPr>
          <w:p w14:paraId="03EF4E83" w14:textId="77777777" w:rsidR="00364AE7" w:rsidRPr="002C6EA7" w:rsidRDefault="00364AE7" w:rsidP="001D6813">
            <w:pPr>
              <w:rPr>
                <w:sz w:val="21"/>
                <w:szCs w:val="21"/>
              </w:rPr>
            </w:pPr>
            <w:r w:rsidRPr="002C6EA7">
              <w:rPr>
                <w:sz w:val="21"/>
                <w:szCs w:val="21"/>
              </w:rPr>
              <w:t>Optimum</w:t>
            </w:r>
          </w:p>
        </w:tc>
        <w:tc>
          <w:tcPr>
            <w:tcW w:w="986" w:type="dxa"/>
            <w:hideMark/>
          </w:tcPr>
          <w:p w14:paraId="0EA3AA18" w14:textId="77777777" w:rsidR="00364AE7" w:rsidRPr="002C6EA7" w:rsidRDefault="00364AE7" w:rsidP="001D6813">
            <w:pPr>
              <w:rPr>
                <w:sz w:val="21"/>
                <w:szCs w:val="21"/>
              </w:rPr>
            </w:pPr>
            <w:r w:rsidRPr="002C6EA7">
              <w:rPr>
                <w:sz w:val="21"/>
                <w:szCs w:val="21"/>
              </w:rPr>
              <w:t>30</w:t>
            </w:r>
          </w:p>
        </w:tc>
        <w:tc>
          <w:tcPr>
            <w:tcW w:w="817" w:type="dxa"/>
            <w:hideMark/>
          </w:tcPr>
          <w:p w14:paraId="37C11E88" w14:textId="77777777" w:rsidR="00364AE7" w:rsidRPr="002C6EA7" w:rsidRDefault="00364AE7" w:rsidP="001D6813">
            <w:pPr>
              <w:rPr>
                <w:sz w:val="21"/>
                <w:szCs w:val="21"/>
              </w:rPr>
            </w:pPr>
            <w:r w:rsidRPr="002C6EA7">
              <w:rPr>
                <w:sz w:val="21"/>
                <w:szCs w:val="21"/>
              </w:rPr>
              <w:t>25–30</w:t>
            </w:r>
          </w:p>
        </w:tc>
        <w:tc>
          <w:tcPr>
            <w:tcW w:w="1133" w:type="dxa"/>
            <w:hideMark/>
          </w:tcPr>
          <w:p w14:paraId="06BD09A6" w14:textId="77777777" w:rsidR="00364AE7" w:rsidRPr="002C6EA7" w:rsidRDefault="00364AE7" w:rsidP="001D6813">
            <w:pPr>
              <w:rPr>
                <w:sz w:val="21"/>
                <w:szCs w:val="21"/>
              </w:rPr>
            </w:pPr>
            <w:r w:rsidRPr="002C6EA7">
              <w:rPr>
                <w:sz w:val="21"/>
                <w:szCs w:val="21"/>
              </w:rPr>
              <w:t>25</w:t>
            </w:r>
          </w:p>
        </w:tc>
        <w:tc>
          <w:tcPr>
            <w:tcW w:w="469" w:type="dxa"/>
            <w:hideMark/>
          </w:tcPr>
          <w:p w14:paraId="1D27C84C" w14:textId="77777777" w:rsidR="00364AE7" w:rsidRPr="002C6EA7" w:rsidRDefault="00364AE7" w:rsidP="001D6813">
            <w:pPr>
              <w:rPr>
                <w:sz w:val="21"/>
                <w:szCs w:val="21"/>
              </w:rPr>
            </w:pPr>
            <w:r w:rsidRPr="002C6EA7">
              <w:rPr>
                <w:sz w:val="21"/>
                <w:szCs w:val="21"/>
              </w:rPr>
              <w:t>27</w:t>
            </w:r>
          </w:p>
        </w:tc>
        <w:tc>
          <w:tcPr>
            <w:tcW w:w="1028" w:type="dxa"/>
            <w:hideMark/>
          </w:tcPr>
          <w:p w14:paraId="1A3BDEC8" w14:textId="77777777" w:rsidR="00364AE7" w:rsidRPr="002C6EA7" w:rsidRDefault="00364AE7" w:rsidP="001D6813">
            <w:pPr>
              <w:rPr>
                <w:sz w:val="21"/>
                <w:szCs w:val="21"/>
              </w:rPr>
            </w:pPr>
            <w:r w:rsidRPr="002C6EA7">
              <w:rPr>
                <w:sz w:val="21"/>
                <w:szCs w:val="21"/>
              </w:rPr>
              <w:t>27–30</w:t>
            </w:r>
          </w:p>
        </w:tc>
        <w:tc>
          <w:tcPr>
            <w:tcW w:w="973" w:type="dxa"/>
            <w:hideMark/>
          </w:tcPr>
          <w:p w14:paraId="05DE69F7" w14:textId="77777777" w:rsidR="00364AE7" w:rsidRPr="002C6EA7" w:rsidRDefault="00364AE7" w:rsidP="001D6813">
            <w:pPr>
              <w:rPr>
                <w:sz w:val="21"/>
                <w:szCs w:val="21"/>
              </w:rPr>
            </w:pPr>
            <w:r w:rsidRPr="002C6EA7">
              <w:rPr>
                <w:sz w:val="21"/>
                <w:szCs w:val="21"/>
              </w:rPr>
              <w:t>28–30</w:t>
            </w:r>
          </w:p>
        </w:tc>
        <w:tc>
          <w:tcPr>
            <w:tcW w:w="794" w:type="dxa"/>
            <w:hideMark/>
          </w:tcPr>
          <w:p w14:paraId="4093CAE6" w14:textId="77777777" w:rsidR="00364AE7" w:rsidRPr="002C6EA7" w:rsidRDefault="00364AE7" w:rsidP="001D6813">
            <w:pPr>
              <w:rPr>
                <w:sz w:val="21"/>
                <w:szCs w:val="21"/>
              </w:rPr>
            </w:pPr>
            <w:r w:rsidRPr="002C6EA7">
              <w:rPr>
                <w:sz w:val="21"/>
                <w:szCs w:val="21"/>
              </w:rPr>
              <w:t>30</w:t>
            </w:r>
          </w:p>
        </w:tc>
        <w:tc>
          <w:tcPr>
            <w:tcW w:w="1155" w:type="dxa"/>
            <w:hideMark/>
          </w:tcPr>
          <w:p w14:paraId="00DBACCE" w14:textId="77777777" w:rsidR="00364AE7" w:rsidRPr="002C6EA7" w:rsidRDefault="00364AE7" w:rsidP="001D6813">
            <w:pPr>
              <w:rPr>
                <w:sz w:val="21"/>
                <w:szCs w:val="21"/>
              </w:rPr>
            </w:pPr>
            <w:r w:rsidRPr="002C6EA7">
              <w:rPr>
                <w:sz w:val="21"/>
                <w:szCs w:val="21"/>
              </w:rPr>
              <w:t>4-37</w:t>
            </w:r>
          </w:p>
        </w:tc>
        <w:tc>
          <w:tcPr>
            <w:tcW w:w="867" w:type="dxa"/>
            <w:tcBorders>
              <w:right w:val="single" w:sz="4" w:space="0" w:color="000000"/>
            </w:tcBorders>
          </w:tcPr>
          <w:p w14:paraId="068106BF" w14:textId="77777777" w:rsidR="00364AE7" w:rsidRPr="002C6EA7" w:rsidRDefault="00364AE7" w:rsidP="001D6813">
            <w:pPr>
              <w:rPr>
                <w:sz w:val="21"/>
                <w:szCs w:val="21"/>
              </w:rPr>
            </w:pPr>
            <w:r>
              <w:rPr>
                <w:sz w:val="21"/>
                <w:szCs w:val="21"/>
              </w:rPr>
              <w:t>25-30</w:t>
            </w:r>
          </w:p>
        </w:tc>
      </w:tr>
      <w:tr w:rsidR="00364AE7" w:rsidRPr="002C6EA7" w14:paraId="7E582608" w14:textId="77777777" w:rsidTr="003A1B56">
        <w:trPr>
          <w:trHeight w:val="220"/>
        </w:trPr>
        <w:tc>
          <w:tcPr>
            <w:tcW w:w="1143" w:type="dxa"/>
            <w:tcBorders>
              <w:left w:val="single" w:sz="4" w:space="0" w:color="000000"/>
            </w:tcBorders>
            <w:hideMark/>
          </w:tcPr>
          <w:p w14:paraId="74A21E39" w14:textId="77777777" w:rsidR="00364AE7" w:rsidRPr="002C6EA7" w:rsidRDefault="00364AE7" w:rsidP="001D6813">
            <w:pPr>
              <w:rPr>
                <w:sz w:val="21"/>
                <w:szCs w:val="21"/>
              </w:rPr>
            </w:pPr>
            <w:r w:rsidRPr="002C6EA7">
              <w:rPr>
                <w:sz w:val="21"/>
                <w:szCs w:val="21"/>
              </w:rPr>
              <w:t>Range</w:t>
            </w:r>
          </w:p>
        </w:tc>
        <w:tc>
          <w:tcPr>
            <w:tcW w:w="986" w:type="dxa"/>
            <w:hideMark/>
          </w:tcPr>
          <w:p w14:paraId="0A6E6CD4" w14:textId="77777777" w:rsidR="00364AE7" w:rsidRPr="002C6EA7" w:rsidRDefault="00364AE7" w:rsidP="001D6813">
            <w:pPr>
              <w:rPr>
                <w:sz w:val="21"/>
                <w:szCs w:val="21"/>
              </w:rPr>
            </w:pPr>
            <w:r w:rsidRPr="002C6EA7">
              <w:rPr>
                <w:sz w:val="21"/>
                <w:szCs w:val="21"/>
              </w:rPr>
              <w:t>10-35</w:t>
            </w:r>
          </w:p>
        </w:tc>
        <w:tc>
          <w:tcPr>
            <w:tcW w:w="817" w:type="dxa"/>
            <w:hideMark/>
          </w:tcPr>
          <w:p w14:paraId="4951C37A" w14:textId="77777777" w:rsidR="00364AE7" w:rsidRPr="002C6EA7" w:rsidRDefault="00364AE7" w:rsidP="001D6813">
            <w:pPr>
              <w:rPr>
                <w:sz w:val="21"/>
                <w:szCs w:val="21"/>
              </w:rPr>
            </w:pPr>
            <w:r w:rsidRPr="002C6EA7">
              <w:rPr>
                <w:sz w:val="21"/>
                <w:szCs w:val="21"/>
              </w:rPr>
              <w:t>8–37</w:t>
            </w:r>
          </w:p>
        </w:tc>
        <w:tc>
          <w:tcPr>
            <w:tcW w:w="1133" w:type="dxa"/>
            <w:hideMark/>
          </w:tcPr>
          <w:p w14:paraId="60C4FD94" w14:textId="77777777" w:rsidR="00364AE7" w:rsidRPr="002C6EA7" w:rsidRDefault="00364AE7" w:rsidP="001D6813">
            <w:pPr>
              <w:rPr>
                <w:sz w:val="21"/>
                <w:szCs w:val="21"/>
              </w:rPr>
            </w:pPr>
            <w:r w:rsidRPr="002C6EA7">
              <w:rPr>
                <w:sz w:val="21"/>
                <w:szCs w:val="21"/>
              </w:rPr>
              <w:t>5–30</w:t>
            </w:r>
          </w:p>
        </w:tc>
        <w:tc>
          <w:tcPr>
            <w:tcW w:w="469" w:type="dxa"/>
            <w:hideMark/>
          </w:tcPr>
          <w:p w14:paraId="004103F1" w14:textId="77777777" w:rsidR="00364AE7" w:rsidRPr="002C6EA7" w:rsidRDefault="00364AE7" w:rsidP="001D6813">
            <w:pPr>
              <w:rPr>
                <w:sz w:val="21"/>
                <w:szCs w:val="21"/>
              </w:rPr>
            </w:pPr>
            <w:r w:rsidRPr="002C6EA7">
              <w:rPr>
                <w:sz w:val="21"/>
                <w:szCs w:val="21"/>
              </w:rPr>
              <w:t>5–37</w:t>
            </w:r>
          </w:p>
        </w:tc>
        <w:tc>
          <w:tcPr>
            <w:tcW w:w="1028" w:type="dxa"/>
            <w:hideMark/>
          </w:tcPr>
          <w:p w14:paraId="5940DA9D" w14:textId="77777777" w:rsidR="00364AE7" w:rsidRPr="002C6EA7" w:rsidRDefault="00364AE7" w:rsidP="001D6813">
            <w:pPr>
              <w:rPr>
                <w:sz w:val="21"/>
                <w:szCs w:val="21"/>
              </w:rPr>
            </w:pPr>
            <w:r w:rsidRPr="002C6EA7">
              <w:rPr>
                <w:sz w:val="21"/>
                <w:szCs w:val="21"/>
              </w:rPr>
              <w:t>15–30</w:t>
            </w:r>
          </w:p>
        </w:tc>
        <w:tc>
          <w:tcPr>
            <w:tcW w:w="973" w:type="dxa"/>
            <w:hideMark/>
          </w:tcPr>
          <w:p w14:paraId="280F9D5E" w14:textId="77777777" w:rsidR="00364AE7" w:rsidRPr="002C6EA7" w:rsidRDefault="00364AE7" w:rsidP="001D6813">
            <w:pPr>
              <w:rPr>
                <w:sz w:val="21"/>
                <w:szCs w:val="21"/>
              </w:rPr>
            </w:pPr>
            <w:r w:rsidRPr="002C6EA7">
              <w:rPr>
                <w:sz w:val="21"/>
                <w:szCs w:val="21"/>
              </w:rPr>
              <w:t>15–37</w:t>
            </w:r>
          </w:p>
        </w:tc>
        <w:tc>
          <w:tcPr>
            <w:tcW w:w="794" w:type="dxa"/>
            <w:hideMark/>
          </w:tcPr>
          <w:p w14:paraId="7A14E953" w14:textId="77777777" w:rsidR="00364AE7" w:rsidRPr="002C6EA7" w:rsidRDefault="00364AE7" w:rsidP="001D6813">
            <w:pPr>
              <w:rPr>
                <w:sz w:val="21"/>
                <w:szCs w:val="21"/>
              </w:rPr>
            </w:pPr>
            <w:r w:rsidRPr="002C6EA7">
              <w:rPr>
                <w:sz w:val="21"/>
                <w:szCs w:val="21"/>
              </w:rPr>
              <w:t>ND</w:t>
            </w:r>
          </w:p>
        </w:tc>
        <w:tc>
          <w:tcPr>
            <w:tcW w:w="1155" w:type="dxa"/>
            <w:hideMark/>
          </w:tcPr>
          <w:p w14:paraId="0F480E9D" w14:textId="77777777" w:rsidR="00364AE7" w:rsidRPr="002C6EA7" w:rsidRDefault="00364AE7" w:rsidP="001D6813">
            <w:pPr>
              <w:rPr>
                <w:sz w:val="21"/>
                <w:szCs w:val="21"/>
              </w:rPr>
            </w:pPr>
            <w:r w:rsidRPr="002C6EA7">
              <w:rPr>
                <w:sz w:val="21"/>
                <w:szCs w:val="21"/>
              </w:rPr>
              <w:t>25-30</w:t>
            </w:r>
          </w:p>
        </w:tc>
        <w:tc>
          <w:tcPr>
            <w:tcW w:w="867" w:type="dxa"/>
            <w:tcBorders>
              <w:right w:val="single" w:sz="4" w:space="0" w:color="000000"/>
            </w:tcBorders>
          </w:tcPr>
          <w:p w14:paraId="5A656172" w14:textId="77777777" w:rsidR="00364AE7" w:rsidRPr="002C6EA7" w:rsidRDefault="00364AE7" w:rsidP="001D6813">
            <w:pPr>
              <w:rPr>
                <w:sz w:val="21"/>
                <w:szCs w:val="21"/>
              </w:rPr>
            </w:pPr>
            <w:r>
              <w:rPr>
                <w:sz w:val="21"/>
                <w:szCs w:val="21"/>
              </w:rPr>
              <w:t>15-37</w:t>
            </w:r>
          </w:p>
        </w:tc>
      </w:tr>
      <w:tr w:rsidR="00364AE7" w:rsidRPr="002C6EA7" w14:paraId="7DF5AAF5" w14:textId="77777777" w:rsidTr="003A1B56">
        <w:trPr>
          <w:trHeight w:val="220"/>
        </w:trPr>
        <w:tc>
          <w:tcPr>
            <w:tcW w:w="1143" w:type="dxa"/>
            <w:tcBorders>
              <w:left w:val="single" w:sz="4" w:space="0" w:color="000000"/>
            </w:tcBorders>
            <w:hideMark/>
          </w:tcPr>
          <w:p w14:paraId="16B7F606" w14:textId="77777777" w:rsidR="00364AE7" w:rsidRPr="002C6EA7" w:rsidRDefault="00364AE7" w:rsidP="001D6813">
            <w:pPr>
              <w:rPr>
                <w:sz w:val="21"/>
                <w:szCs w:val="21"/>
              </w:rPr>
            </w:pPr>
            <w:r w:rsidRPr="002C6EA7">
              <w:rPr>
                <w:sz w:val="21"/>
                <w:szCs w:val="21"/>
              </w:rPr>
              <w:t>pH for growth</w:t>
            </w:r>
          </w:p>
        </w:tc>
        <w:tc>
          <w:tcPr>
            <w:tcW w:w="986" w:type="dxa"/>
            <w:hideMark/>
          </w:tcPr>
          <w:p w14:paraId="2A65F40F" w14:textId="77777777" w:rsidR="00364AE7" w:rsidRPr="002C6EA7" w:rsidRDefault="00364AE7" w:rsidP="001D6813">
            <w:pPr>
              <w:rPr>
                <w:sz w:val="21"/>
                <w:szCs w:val="21"/>
              </w:rPr>
            </w:pPr>
          </w:p>
        </w:tc>
        <w:tc>
          <w:tcPr>
            <w:tcW w:w="817" w:type="dxa"/>
            <w:hideMark/>
          </w:tcPr>
          <w:p w14:paraId="2450BFEA" w14:textId="77777777" w:rsidR="00364AE7" w:rsidRPr="002C6EA7" w:rsidRDefault="00364AE7" w:rsidP="001D6813">
            <w:pPr>
              <w:rPr>
                <w:sz w:val="21"/>
                <w:szCs w:val="21"/>
              </w:rPr>
            </w:pPr>
          </w:p>
        </w:tc>
        <w:tc>
          <w:tcPr>
            <w:tcW w:w="1133" w:type="dxa"/>
            <w:hideMark/>
          </w:tcPr>
          <w:p w14:paraId="48DF2D07" w14:textId="77777777" w:rsidR="00364AE7" w:rsidRPr="002C6EA7" w:rsidRDefault="00364AE7" w:rsidP="001D6813">
            <w:pPr>
              <w:rPr>
                <w:sz w:val="21"/>
                <w:szCs w:val="21"/>
              </w:rPr>
            </w:pPr>
          </w:p>
        </w:tc>
        <w:tc>
          <w:tcPr>
            <w:tcW w:w="469" w:type="dxa"/>
            <w:hideMark/>
          </w:tcPr>
          <w:p w14:paraId="34CF4826" w14:textId="77777777" w:rsidR="00364AE7" w:rsidRPr="002C6EA7" w:rsidRDefault="00364AE7" w:rsidP="001D6813">
            <w:pPr>
              <w:rPr>
                <w:sz w:val="21"/>
                <w:szCs w:val="21"/>
              </w:rPr>
            </w:pPr>
          </w:p>
        </w:tc>
        <w:tc>
          <w:tcPr>
            <w:tcW w:w="1028" w:type="dxa"/>
            <w:hideMark/>
          </w:tcPr>
          <w:p w14:paraId="0F0FB525" w14:textId="77777777" w:rsidR="00364AE7" w:rsidRPr="002C6EA7" w:rsidRDefault="00364AE7" w:rsidP="001D6813">
            <w:pPr>
              <w:rPr>
                <w:sz w:val="21"/>
                <w:szCs w:val="21"/>
              </w:rPr>
            </w:pPr>
          </w:p>
        </w:tc>
        <w:tc>
          <w:tcPr>
            <w:tcW w:w="973" w:type="dxa"/>
            <w:hideMark/>
          </w:tcPr>
          <w:p w14:paraId="68A51006" w14:textId="77777777" w:rsidR="00364AE7" w:rsidRPr="002C6EA7" w:rsidRDefault="00364AE7" w:rsidP="001D6813">
            <w:pPr>
              <w:rPr>
                <w:sz w:val="21"/>
                <w:szCs w:val="21"/>
              </w:rPr>
            </w:pPr>
          </w:p>
        </w:tc>
        <w:tc>
          <w:tcPr>
            <w:tcW w:w="794" w:type="dxa"/>
            <w:hideMark/>
          </w:tcPr>
          <w:p w14:paraId="1F64B03D" w14:textId="77777777" w:rsidR="00364AE7" w:rsidRPr="002C6EA7" w:rsidRDefault="00364AE7" w:rsidP="001D6813">
            <w:pPr>
              <w:rPr>
                <w:sz w:val="21"/>
                <w:szCs w:val="21"/>
              </w:rPr>
            </w:pPr>
          </w:p>
        </w:tc>
        <w:tc>
          <w:tcPr>
            <w:tcW w:w="1155" w:type="dxa"/>
            <w:hideMark/>
          </w:tcPr>
          <w:p w14:paraId="74C9E9E0" w14:textId="77777777" w:rsidR="00364AE7" w:rsidRPr="002C6EA7" w:rsidRDefault="00364AE7" w:rsidP="001D6813">
            <w:pPr>
              <w:rPr>
                <w:sz w:val="21"/>
                <w:szCs w:val="21"/>
              </w:rPr>
            </w:pPr>
          </w:p>
        </w:tc>
        <w:tc>
          <w:tcPr>
            <w:tcW w:w="867" w:type="dxa"/>
            <w:tcBorders>
              <w:right w:val="single" w:sz="4" w:space="0" w:color="000000"/>
            </w:tcBorders>
          </w:tcPr>
          <w:p w14:paraId="011E2ECA" w14:textId="77777777" w:rsidR="00364AE7" w:rsidRPr="002C6EA7" w:rsidRDefault="00364AE7" w:rsidP="001D6813">
            <w:pPr>
              <w:rPr>
                <w:sz w:val="21"/>
                <w:szCs w:val="21"/>
              </w:rPr>
            </w:pPr>
          </w:p>
        </w:tc>
      </w:tr>
      <w:tr w:rsidR="00364AE7" w:rsidRPr="002C6EA7" w14:paraId="736D3848" w14:textId="77777777" w:rsidTr="003A1B56">
        <w:trPr>
          <w:trHeight w:val="219"/>
        </w:trPr>
        <w:tc>
          <w:tcPr>
            <w:tcW w:w="1143" w:type="dxa"/>
            <w:tcBorders>
              <w:left w:val="single" w:sz="4" w:space="0" w:color="000000"/>
            </w:tcBorders>
            <w:hideMark/>
          </w:tcPr>
          <w:p w14:paraId="54AC8652" w14:textId="77777777" w:rsidR="00364AE7" w:rsidRPr="002C6EA7" w:rsidRDefault="00364AE7" w:rsidP="001D6813">
            <w:pPr>
              <w:rPr>
                <w:sz w:val="21"/>
                <w:szCs w:val="21"/>
              </w:rPr>
            </w:pPr>
            <w:r w:rsidRPr="002C6EA7">
              <w:rPr>
                <w:sz w:val="21"/>
                <w:szCs w:val="21"/>
              </w:rPr>
              <w:t>Range</w:t>
            </w:r>
          </w:p>
        </w:tc>
        <w:tc>
          <w:tcPr>
            <w:tcW w:w="986" w:type="dxa"/>
            <w:hideMark/>
          </w:tcPr>
          <w:p w14:paraId="79A9CCD4" w14:textId="77777777" w:rsidR="00364AE7" w:rsidRPr="002C6EA7" w:rsidRDefault="00364AE7" w:rsidP="001D6813">
            <w:pPr>
              <w:rPr>
                <w:sz w:val="21"/>
                <w:szCs w:val="21"/>
              </w:rPr>
            </w:pPr>
            <w:r w:rsidRPr="002C6EA7">
              <w:rPr>
                <w:sz w:val="21"/>
                <w:szCs w:val="21"/>
              </w:rPr>
              <w:t>5.5-8.5</w:t>
            </w:r>
          </w:p>
        </w:tc>
        <w:tc>
          <w:tcPr>
            <w:tcW w:w="817" w:type="dxa"/>
            <w:hideMark/>
          </w:tcPr>
          <w:p w14:paraId="0223E771" w14:textId="77777777" w:rsidR="00364AE7" w:rsidRPr="002C6EA7" w:rsidRDefault="00364AE7" w:rsidP="001D6813">
            <w:pPr>
              <w:rPr>
                <w:sz w:val="21"/>
                <w:szCs w:val="21"/>
              </w:rPr>
            </w:pPr>
            <w:r w:rsidRPr="002C6EA7">
              <w:rPr>
                <w:sz w:val="21"/>
                <w:szCs w:val="21"/>
              </w:rPr>
              <w:t>4.2–7.5</w:t>
            </w:r>
          </w:p>
        </w:tc>
        <w:tc>
          <w:tcPr>
            <w:tcW w:w="1133" w:type="dxa"/>
            <w:hideMark/>
          </w:tcPr>
          <w:p w14:paraId="3672886F" w14:textId="77777777" w:rsidR="00364AE7" w:rsidRPr="002C6EA7" w:rsidRDefault="00364AE7" w:rsidP="001D6813">
            <w:pPr>
              <w:rPr>
                <w:sz w:val="21"/>
                <w:szCs w:val="21"/>
              </w:rPr>
            </w:pPr>
            <w:r w:rsidRPr="002C6EA7">
              <w:rPr>
                <w:sz w:val="21"/>
                <w:szCs w:val="21"/>
              </w:rPr>
              <w:t>4.4–7.5</w:t>
            </w:r>
          </w:p>
        </w:tc>
        <w:tc>
          <w:tcPr>
            <w:tcW w:w="469" w:type="dxa"/>
            <w:hideMark/>
          </w:tcPr>
          <w:p w14:paraId="62E8CE82" w14:textId="77777777" w:rsidR="00364AE7" w:rsidRPr="002C6EA7" w:rsidRDefault="00364AE7" w:rsidP="001D6813">
            <w:pPr>
              <w:rPr>
                <w:sz w:val="21"/>
                <w:szCs w:val="21"/>
              </w:rPr>
            </w:pPr>
            <w:r w:rsidRPr="002C6EA7">
              <w:rPr>
                <w:sz w:val="21"/>
                <w:szCs w:val="21"/>
              </w:rPr>
              <w:t>5.0-9.0</w:t>
            </w:r>
          </w:p>
        </w:tc>
        <w:tc>
          <w:tcPr>
            <w:tcW w:w="1028" w:type="dxa"/>
            <w:hideMark/>
          </w:tcPr>
          <w:p w14:paraId="18474D50" w14:textId="77777777" w:rsidR="00364AE7" w:rsidRPr="002C6EA7" w:rsidRDefault="00364AE7" w:rsidP="001D6813">
            <w:pPr>
              <w:rPr>
                <w:sz w:val="21"/>
                <w:szCs w:val="21"/>
              </w:rPr>
            </w:pPr>
            <w:r w:rsidRPr="002C6EA7">
              <w:rPr>
                <w:sz w:val="21"/>
                <w:szCs w:val="21"/>
              </w:rPr>
              <w:t>5.5–8.5</w:t>
            </w:r>
          </w:p>
        </w:tc>
        <w:tc>
          <w:tcPr>
            <w:tcW w:w="973" w:type="dxa"/>
            <w:hideMark/>
          </w:tcPr>
          <w:p w14:paraId="026DA1C0" w14:textId="77777777" w:rsidR="00364AE7" w:rsidRPr="002C6EA7" w:rsidRDefault="00364AE7" w:rsidP="001D6813">
            <w:pPr>
              <w:rPr>
                <w:sz w:val="21"/>
                <w:szCs w:val="21"/>
              </w:rPr>
            </w:pPr>
            <w:r w:rsidRPr="002C6EA7">
              <w:rPr>
                <w:sz w:val="21"/>
                <w:szCs w:val="21"/>
              </w:rPr>
              <w:t>5.0–9.0</w:t>
            </w:r>
          </w:p>
        </w:tc>
        <w:tc>
          <w:tcPr>
            <w:tcW w:w="794" w:type="dxa"/>
            <w:hideMark/>
          </w:tcPr>
          <w:p w14:paraId="42E2F241" w14:textId="77777777" w:rsidR="00364AE7" w:rsidRPr="002C6EA7" w:rsidRDefault="00364AE7" w:rsidP="001D6813">
            <w:pPr>
              <w:rPr>
                <w:sz w:val="21"/>
                <w:szCs w:val="21"/>
              </w:rPr>
            </w:pPr>
            <w:r w:rsidRPr="002C6EA7">
              <w:rPr>
                <w:sz w:val="21"/>
                <w:szCs w:val="21"/>
              </w:rPr>
              <w:t>ND</w:t>
            </w:r>
          </w:p>
        </w:tc>
        <w:tc>
          <w:tcPr>
            <w:tcW w:w="1155" w:type="dxa"/>
            <w:hideMark/>
          </w:tcPr>
          <w:p w14:paraId="1774879A" w14:textId="77777777" w:rsidR="00364AE7" w:rsidRPr="002C6EA7" w:rsidRDefault="00364AE7" w:rsidP="001D6813">
            <w:pPr>
              <w:rPr>
                <w:sz w:val="21"/>
                <w:szCs w:val="21"/>
              </w:rPr>
            </w:pPr>
            <w:r w:rsidRPr="002C6EA7">
              <w:rPr>
                <w:sz w:val="21"/>
                <w:szCs w:val="21"/>
              </w:rPr>
              <w:t>4.5-7.5</w:t>
            </w:r>
          </w:p>
        </w:tc>
        <w:tc>
          <w:tcPr>
            <w:tcW w:w="867" w:type="dxa"/>
            <w:tcBorders>
              <w:right w:val="single" w:sz="4" w:space="0" w:color="000000"/>
            </w:tcBorders>
          </w:tcPr>
          <w:p w14:paraId="6C82DD35" w14:textId="77777777" w:rsidR="00364AE7" w:rsidRPr="002C6EA7" w:rsidRDefault="00364AE7" w:rsidP="001D6813">
            <w:pPr>
              <w:rPr>
                <w:sz w:val="21"/>
                <w:szCs w:val="21"/>
              </w:rPr>
            </w:pPr>
            <w:r>
              <w:rPr>
                <w:sz w:val="21"/>
                <w:szCs w:val="21"/>
              </w:rPr>
              <w:t>6.0-9.0</w:t>
            </w:r>
          </w:p>
        </w:tc>
      </w:tr>
      <w:tr w:rsidR="00364AE7" w:rsidRPr="002C6EA7" w14:paraId="31EEB6EE" w14:textId="77777777" w:rsidTr="003A1B56">
        <w:trPr>
          <w:trHeight w:val="196"/>
        </w:trPr>
        <w:tc>
          <w:tcPr>
            <w:tcW w:w="1143" w:type="dxa"/>
            <w:tcBorders>
              <w:left w:val="single" w:sz="4" w:space="0" w:color="000000"/>
            </w:tcBorders>
            <w:hideMark/>
          </w:tcPr>
          <w:p w14:paraId="40151014" w14:textId="77777777" w:rsidR="00364AE7" w:rsidRPr="002C6EA7" w:rsidRDefault="00364AE7" w:rsidP="001D6813">
            <w:pPr>
              <w:rPr>
                <w:sz w:val="21"/>
                <w:szCs w:val="21"/>
              </w:rPr>
            </w:pPr>
            <w:r w:rsidRPr="002C6EA7">
              <w:rPr>
                <w:sz w:val="21"/>
                <w:szCs w:val="21"/>
              </w:rPr>
              <w:t>Optimum</w:t>
            </w:r>
          </w:p>
        </w:tc>
        <w:tc>
          <w:tcPr>
            <w:tcW w:w="986" w:type="dxa"/>
            <w:hideMark/>
          </w:tcPr>
          <w:p w14:paraId="031694BA" w14:textId="77777777" w:rsidR="00364AE7" w:rsidRPr="002C6EA7" w:rsidRDefault="00364AE7" w:rsidP="001D6813">
            <w:pPr>
              <w:rPr>
                <w:sz w:val="21"/>
                <w:szCs w:val="21"/>
              </w:rPr>
            </w:pPr>
            <w:r w:rsidRPr="002C6EA7">
              <w:rPr>
                <w:sz w:val="21"/>
                <w:szCs w:val="21"/>
              </w:rPr>
              <w:t>6.5-7.0</w:t>
            </w:r>
          </w:p>
        </w:tc>
        <w:tc>
          <w:tcPr>
            <w:tcW w:w="817" w:type="dxa"/>
            <w:hideMark/>
          </w:tcPr>
          <w:p w14:paraId="145465A9" w14:textId="77777777" w:rsidR="00364AE7" w:rsidRPr="002C6EA7" w:rsidRDefault="00364AE7" w:rsidP="001D6813">
            <w:pPr>
              <w:rPr>
                <w:sz w:val="21"/>
                <w:szCs w:val="21"/>
              </w:rPr>
            </w:pPr>
            <w:r w:rsidRPr="002C6EA7">
              <w:rPr>
                <w:sz w:val="21"/>
                <w:szCs w:val="21"/>
              </w:rPr>
              <w:t>6.0–6.5</w:t>
            </w:r>
          </w:p>
        </w:tc>
        <w:tc>
          <w:tcPr>
            <w:tcW w:w="1133" w:type="dxa"/>
            <w:hideMark/>
          </w:tcPr>
          <w:p w14:paraId="04CCBFD2" w14:textId="77777777" w:rsidR="00364AE7" w:rsidRPr="002C6EA7" w:rsidRDefault="00364AE7" w:rsidP="001D6813">
            <w:pPr>
              <w:rPr>
                <w:sz w:val="21"/>
                <w:szCs w:val="21"/>
              </w:rPr>
            </w:pPr>
            <w:r w:rsidRPr="002C6EA7">
              <w:rPr>
                <w:sz w:val="21"/>
                <w:szCs w:val="21"/>
              </w:rPr>
              <w:t>5.8–6.2</w:t>
            </w:r>
          </w:p>
        </w:tc>
        <w:tc>
          <w:tcPr>
            <w:tcW w:w="469" w:type="dxa"/>
            <w:hideMark/>
          </w:tcPr>
          <w:p w14:paraId="3DE780FA" w14:textId="77777777" w:rsidR="00364AE7" w:rsidRPr="002C6EA7" w:rsidRDefault="00364AE7" w:rsidP="001D6813">
            <w:pPr>
              <w:rPr>
                <w:sz w:val="21"/>
                <w:szCs w:val="21"/>
              </w:rPr>
            </w:pPr>
            <w:r w:rsidRPr="002C6EA7">
              <w:rPr>
                <w:sz w:val="21"/>
                <w:szCs w:val="21"/>
              </w:rPr>
              <w:t>ND</w:t>
            </w:r>
          </w:p>
        </w:tc>
        <w:tc>
          <w:tcPr>
            <w:tcW w:w="1028" w:type="dxa"/>
            <w:hideMark/>
          </w:tcPr>
          <w:p w14:paraId="754BDEAB" w14:textId="77777777" w:rsidR="00364AE7" w:rsidRPr="002C6EA7" w:rsidRDefault="00364AE7" w:rsidP="001D6813">
            <w:pPr>
              <w:rPr>
                <w:sz w:val="21"/>
                <w:szCs w:val="21"/>
              </w:rPr>
            </w:pPr>
            <w:r w:rsidRPr="002C6EA7">
              <w:rPr>
                <w:sz w:val="21"/>
                <w:szCs w:val="21"/>
              </w:rPr>
              <w:t>6.5–7.5</w:t>
            </w:r>
          </w:p>
        </w:tc>
        <w:tc>
          <w:tcPr>
            <w:tcW w:w="973" w:type="dxa"/>
            <w:hideMark/>
          </w:tcPr>
          <w:p w14:paraId="7AAA3CE1" w14:textId="77777777" w:rsidR="00364AE7" w:rsidRPr="002C6EA7" w:rsidRDefault="00364AE7" w:rsidP="001D6813">
            <w:pPr>
              <w:rPr>
                <w:sz w:val="21"/>
                <w:szCs w:val="21"/>
              </w:rPr>
            </w:pPr>
            <w:r w:rsidRPr="002C6EA7">
              <w:rPr>
                <w:sz w:val="21"/>
                <w:szCs w:val="21"/>
              </w:rPr>
              <w:t>6.5–7.5</w:t>
            </w:r>
          </w:p>
        </w:tc>
        <w:tc>
          <w:tcPr>
            <w:tcW w:w="794" w:type="dxa"/>
            <w:hideMark/>
          </w:tcPr>
          <w:p w14:paraId="6FEE8031" w14:textId="77777777" w:rsidR="00364AE7" w:rsidRPr="002C6EA7" w:rsidRDefault="00364AE7" w:rsidP="001D6813">
            <w:pPr>
              <w:rPr>
                <w:sz w:val="21"/>
                <w:szCs w:val="21"/>
              </w:rPr>
            </w:pPr>
            <w:r w:rsidRPr="002C6EA7">
              <w:rPr>
                <w:sz w:val="21"/>
                <w:szCs w:val="21"/>
              </w:rPr>
              <w:t>7.0</w:t>
            </w:r>
          </w:p>
        </w:tc>
        <w:tc>
          <w:tcPr>
            <w:tcW w:w="1155" w:type="dxa"/>
            <w:hideMark/>
          </w:tcPr>
          <w:p w14:paraId="2BB8CCC4" w14:textId="77777777" w:rsidR="00364AE7" w:rsidRPr="002C6EA7" w:rsidRDefault="00364AE7" w:rsidP="001D6813">
            <w:pPr>
              <w:rPr>
                <w:sz w:val="21"/>
                <w:szCs w:val="21"/>
              </w:rPr>
            </w:pPr>
            <w:r w:rsidRPr="002C6EA7">
              <w:rPr>
                <w:sz w:val="21"/>
                <w:szCs w:val="21"/>
              </w:rPr>
              <w:t>6.0-6.5</w:t>
            </w:r>
          </w:p>
        </w:tc>
        <w:tc>
          <w:tcPr>
            <w:tcW w:w="867" w:type="dxa"/>
            <w:tcBorders>
              <w:right w:val="single" w:sz="4" w:space="0" w:color="000000"/>
            </w:tcBorders>
          </w:tcPr>
          <w:p w14:paraId="6B944382" w14:textId="77777777" w:rsidR="00364AE7" w:rsidRPr="002C6EA7" w:rsidRDefault="00364AE7" w:rsidP="001D6813">
            <w:pPr>
              <w:rPr>
                <w:sz w:val="21"/>
                <w:szCs w:val="21"/>
              </w:rPr>
            </w:pPr>
            <w:r>
              <w:rPr>
                <w:sz w:val="21"/>
                <w:szCs w:val="21"/>
              </w:rPr>
              <w:t>7.0-8.0</w:t>
            </w:r>
          </w:p>
        </w:tc>
      </w:tr>
      <w:tr w:rsidR="00364AE7" w:rsidRPr="002C6EA7" w14:paraId="515EE0BC" w14:textId="77777777" w:rsidTr="003A1B56">
        <w:trPr>
          <w:trHeight w:val="248"/>
        </w:trPr>
        <w:tc>
          <w:tcPr>
            <w:tcW w:w="1143" w:type="dxa"/>
            <w:tcBorders>
              <w:left w:val="single" w:sz="4" w:space="0" w:color="000000"/>
            </w:tcBorders>
            <w:hideMark/>
          </w:tcPr>
          <w:p w14:paraId="2DECA719" w14:textId="77777777" w:rsidR="00364AE7" w:rsidRPr="002C6EA7" w:rsidRDefault="00364AE7" w:rsidP="001D6813">
            <w:pPr>
              <w:rPr>
                <w:sz w:val="21"/>
                <w:szCs w:val="21"/>
              </w:rPr>
            </w:pPr>
            <w:r w:rsidRPr="002C6EA7">
              <w:rPr>
                <w:sz w:val="21"/>
                <w:szCs w:val="21"/>
              </w:rPr>
              <w:t>Growth on methanol (%)</w:t>
            </w:r>
          </w:p>
        </w:tc>
        <w:tc>
          <w:tcPr>
            <w:tcW w:w="986" w:type="dxa"/>
            <w:hideMark/>
          </w:tcPr>
          <w:p w14:paraId="6AD32D5E" w14:textId="77777777" w:rsidR="00364AE7" w:rsidRPr="002C6EA7" w:rsidRDefault="00364AE7" w:rsidP="001D6813">
            <w:pPr>
              <w:rPr>
                <w:sz w:val="21"/>
                <w:szCs w:val="21"/>
              </w:rPr>
            </w:pPr>
            <w:r w:rsidRPr="002C6EA7">
              <w:rPr>
                <w:sz w:val="21"/>
                <w:szCs w:val="21"/>
              </w:rPr>
              <w:t>+</w:t>
            </w:r>
          </w:p>
        </w:tc>
        <w:tc>
          <w:tcPr>
            <w:tcW w:w="817" w:type="dxa"/>
            <w:hideMark/>
          </w:tcPr>
          <w:p w14:paraId="42804D55" w14:textId="77777777" w:rsidR="00364AE7" w:rsidRPr="002C6EA7" w:rsidRDefault="00364AE7" w:rsidP="001D6813">
            <w:pPr>
              <w:rPr>
                <w:sz w:val="21"/>
                <w:szCs w:val="21"/>
              </w:rPr>
            </w:pPr>
            <w:r w:rsidRPr="002C6EA7">
              <w:rPr>
                <w:sz w:val="21"/>
                <w:szCs w:val="21"/>
              </w:rPr>
              <w:t>≤0.15</w:t>
            </w:r>
          </w:p>
        </w:tc>
        <w:tc>
          <w:tcPr>
            <w:tcW w:w="1133" w:type="dxa"/>
            <w:hideMark/>
          </w:tcPr>
          <w:p w14:paraId="4F239C28" w14:textId="77777777" w:rsidR="00364AE7" w:rsidRPr="002C6EA7" w:rsidRDefault="00364AE7" w:rsidP="001D6813">
            <w:pPr>
              <w:rPr>
                <w:sz w:val="21"/>
                <w:szCs w:val="21"/>
              </w:rPr>
            </w:pPr>
            <w:r w:rsidRPr="002C6EA7">
              <w:rPr>
                <w:sz w:val="21"/>
                <w:szCs w:val="21"/>
              </w:rPr>
              <w:t>≤1</w:t>
            </w:r>
          </w:p>
        </w:tc>
        <w:tc>
          <w:tcPr>
            <w:tcW w:w="469" w:type="dxa"/>
            <w:hideMark/>
          </w:tcPr>
          <w:p w14:paraId="242A820D" w14:textId="77777777" w:rsidR="00364AE7" w:rsidRPr="002C6EA7" w:rsidRDefault="00364AE7" w:rsidP="001D6813">
            <w:pPr>
              <w:rPr>
                <w:sz w:val="21"/>
                <w:szCs w:val="21"/>
              </w:rPr>
            </w:pPr>
            <w:r w:rsidRPr="002C6EA7">
              <w:rPr>
                <w:sz w:val="21"/>
                <w:szCs w:val="21"/>
              </w:rPr>
              <w:t>–</w:t>
            </w:r>
          </w:p>
        </w:tc>
        <w:tc>
          <w:tcPr>
            <w:tcW w:w="1028" w:type="dxa"/>
            <w:hideMark/>
          </w:tcPr>
          <w:p w14:paraId="0DCBE632" w14:textId="77777777" w:rsidR="00364AE7" w:rsidRPr="002C6EA7" w:rsidRDefault="00364AE7" w:rsidP="001D6813">
            <w:pPr>
              <w:rPr>
                <w:sz w:val="21"/>
                <w:szCs w:val="21"/>
              </w:rPr>
            </w:pPr>
            <w:r w:rsidRPr="002C6EA7">
              <w:rPr>
                <w:sz w:val="21"/>
                <w:szCs w:val="21"/>
              </w:rPr>
              <w:t>0.2</w:t>
            </w:r>
          </w:p>
        </w:tc>
        <w:tc>
          <w:tcPr>
            <w:tcW w:w="973" w:type="dxa"/>
            <w:hideMark/>
          </w:tcPr>
          <w:p w14:paraId="624ACBDA" w14:textId="77777777" w:rsidR="00364AE7" w:rsidRPr="002C6EA7" w:rsidRDefault="00364AE7" w:rsidP="001D6813">
            <w:pPr>
              <w:rPr>
                <w:sz w:val="21"/>
                <w:szCs w:val="21"/>
              </w:rPr>
            </w:pPr>
            <w:r w:rsidRPr="002C6EA7">
              <w:rPr>
                <w:sz w:val="21"/>
                <w:szCs w:val="21"/>
              </w:rPr>
              <w:t>0.1–0.3</w:t>
            </w:r>
          </w:p>
        </w:tc>
        <w:tc>
          <w:tcPr>
            <w:tcW w:w="794" w:type="dxa"/>
            <w:hideMark/>
          </w:tcPr>
          <w:p w14:paraId="6A7B532B" w14:textId="77777777" w:rsidR="00364AE7" w:rsidRPr="002C6EA7" w:rsidRDefault="00364AE7" w:rsidP="001D6813">
            <w:pPr>
              <w:rPr>
                <w:sz w:val="21"/>
                <w:szCs w:val="21"/>
              </w:rPr>
            </w:pPr>
            <w:r w:rsidRPr="002C6EA7">
              <w:rPr>
                <w:sz w:val="21"/>
                <w:szCs w:val="21"/>
              </w:rPr>
              <w:t>+</w:t>
            </w:r>
          </w:p>
        </w:tc>
        <w:tc>
          <w:tcPr>
            <w:tcW w:w="1155" w:type="dxa"/>
            <w:hideMark/>
          </w:tcPr>
          <w:p w14:paraId="183284D2" w14:textId="77777777" w:rsidR="00364AE7" w:rsidRPr="002C6EA7" w:rsidRDefault="00364AE7" w:rsidP="001D6813">
            <w:pPr>
              <w:rPr>
                <w:sz w:val="21"/>
                <w:szCs w:val="21"/>
              </w:rPr>
            </w:pPr>
            <w:r w:rsidRPr="002C6EA7">
              <w:rPr>
                <w:sz w:val="21"/>
                <w:szCs w:val="21"/>
              </w:rPr>
              <w:t>+</w:t>
            </w:r>
          </w:p>
        </w:tc>
        <w:tc>
          <w:tcPr>
            <w:tcW w:w="867" w:type="dxa"/>
            <w:tcBorders>
              <w:right w:val="single" w:sz="4" w:space="0" w:color="000000"/>
            </w:tcBorders>
          </w:tcPr>
          <w:p w14:paraId="651E2ADA" w14:textId="77777777" w:rsidR="00364AE7" w:rsidRPr="002C6EA7" w:rsidRDefault="00364AE7" w:rsidP="001D6813">
            <w:pPr>
              <w:rPr>
                <w:sz w:val="21"/>
                <w:szCs w:val="21"/>
              </w:rPr>
            </w:pPr>
            <w:r>
              <w:rPr>
                <w:sz w:val="21"/>
                <w:szCs w:val="21"/>
              </w:rPr>
              <w:t>+</w:t>
            </w:r>
          </w:p>
        </w:tc>
      </w:tr>
      <w:tr w:rsidR="00364AE7" w:rsidRPr="002C6EA7" w14:paraId="45A274D8" w14:textId="77777777" w:rsidTr="003A1B56">
        <w:trPr>
          <w:trHeight w:val="212"/>
        </w:trPr>
        <w:tc>
          <w:tcPr>
            <w:tcW w:w="1143" w:type="dxa"/>
            <w:tcBorders>
              <w:left w:val="single" w:sz="4" w:space="0" w:color="000000"/>
            </w:tcBorders>
            <w:hideMark/>
          </w:tcPr>
          <w:p w14:paraId="3FE06995" w14:textId="77777777" w:rsidR="00364AE7" w:rsidRPr="002C6EA7" w:rsidRDefault="00364AE7" w:rsidP="001D6813">
            <w:pPr>
              <w:rPr>
                <w:sz w:val="21"/>
                <w:szCs w:val="21"/>
              </w:rPr>
            </w:pPr>
            <w:r w:rsidRPr="002C6EA7">
              <w:rPr>
                <w:sz w:val="21"/>
                <w:szCs w:val="21"/>
              </w:rPr>
              <w:t>Growth on acetate</w:t>
            </w:r>
          </w:p>
        </w:tc>
        <w:tc>
          <w:tcPr>
            <w:tcW w:w="986" w:type="dxa"/>
            <w:hideMark/>
          </w:tcPr>
          <w:p w14:paraId="1F3F5871" w14:textId="77777777" w:rsidR="00364AE7" w:rsidRPr="002C6EA7" w:rsidRDefault="00364AE7" w:rsidP="001D6813">
            <w:pPr>
              <w:rPr>
                <w:sz w:val="21"/>
                <w:szCs w:val="21"/>
              </w:rPr>
            </w:pPr>
            <w:r w:rsidRPr="002C6EA7">
              <w:rPr>
                <w:sz w:val="21"/>
                <w:szCs w:val="21"/>
              </w:rPr>
              <w:t>-</w:t>
            </w:r>
          </w:p>
        </w:tc>
        <w:tc>
          <w:tcPr>
            <w:tcW w:w="817" w:type="dxa"/>
            <w:hideMark/>
          </w:tcPr>
          <w:p w14:paraId="5C309C53" w14:textId="77777777" w:rsidR="00364AE7" w:rsidRPr="002C6EA7" w:rsidRDefault="00364AE7" w:rsidP="001D6813">
            <w:pPr>
              <w:rPr>
                <w:sz w:val="21"/>
                <w:szCs w:val="21"/>
              </w:rPr>
            </w:pPr>
            <w:r w:rsidRPr="002C6EA7">
              <w:rPr>
                <w:sz w:val="21"/>
                <w:szCs w:val="21"/>
              </w:rPr>
              <w:t>+</w:t>
            </w:r>
          </w:p>
        </w:tc>
        <w:tc>
          <w:tcPr>
            <w:tcW w:w="1133" w:type="dxa"/>
            <w:hideMark/>
          </w:tcPr>
          <w:p w14:paraId="4FE9FB9C" w14:textId="77777777" w:rsidR="00364AE7" w:rsidRPr="002C6EA7" w:rsidRDefault="00364AE7" w:rsidP="001D6813">
            <w:pPr>
              <w:rPr>
                <w:sz w:val="21"/>
                <w:szCs w:val="21"/>
              </w:rPr>
            </w:pPr>
            <w:r w:rsidRPr="002C6EA7">
              <w:rPr>
                <w:sz w:val="21"/>
                <w:szCs w:val="21"/>
              </w:rPr>
              <w:t>W</w:t>
            </w:r>
          </w:p>
        </w:tc>
        <w:tc>
          <w:tcPr>
            <w:tcW w:w="469" w:type="dxa"/>
            <w:hideMark/>
          </w:tcPr>
          <w:p w14:paraId="5E66793F" w14:textId="77777777" w:rsidR="00364AE7" w:rsidRPr="002C6EA7" w:rsidRDefault="00364AE7" w:rsidP="001D6813">
            <w:pPr>
              <w:rPr>
                <w:sz w:val="21"/>
                <w:szCs w:val="21"/>
              </w:rPr>
            </w:pPr>
            <w:r w:rsidRPr="002C6EA7">
              <w:rPr>
                <w:sz w:val="21"/>
                <w:szCs w:val="21"/>
              </w:rPr>
              <w:t>-</w:t>
            </w:r>
          </w:p>
        </w:tc>
        <w:tc>
          <w:tcPr>
            <w:tcW w:w="1028" w:type="dxa"/>
            <w:hideMark/>
          </w:tcPr>
          <w:p w14:paraId="1C463D1B" w14:textId="77777777" w:rsidR="00364AE7" w:rsidRPr="002C6EA7" w:rsidRDefault="00364AE7" w:rsidP="001D6813">
            <w:pPr>
              <w:rPr>
                <w:sz w:val="21"/>
                <w:szCs w:val="21"/>
              </w:rPr>
            </w:pPr>
            <w:r w:rsidRPr="002C6EA7">
              <w:rPr>
                <w:sz w:val="21"/>
                <w:szCs w:val="21"/>
              </w:rPr>
              <w:t>W</w:t>
            </w:r>
          </w:p>
        </w:tc>
        <w:tc>
          <w:tcPr>
            <w:tcW w:w="973" w:type="dxa"/>
            <w:hideMark/>
          </w:tcPr>
          <w:p w14:paraId="4DA2F8C5" w14:textId="77777777" w:rsidR="00364AE7" w:rsidRPr="002C6EA7" w:rsidRDefault="00364AE7" w:rsidP="001D6813">
            <w:pPr>
              <w:rPr>
                <w:sz w:val="21"/>
                <w:szCs w:val="21"/>
              </w:rPr>
            </w:pPr>
            <w:r w:rsidRPr="002C6EA7">
              <w:rPr>
                <w:sz w:val="21"/>
                <w:szCs w:val="21"/>
              </w:rPr>
              <w:t>-</w:t>
            </w:r>
          </w:p>
        </w:tc>
        <w:tc>
          <w:tcPr>
            <w:tcW w:w="794" w:type="dxa"/>
            <w:hideMark/>
          </w:tcPr>
          <w:p w14:paraId="002E6DBE" w14:textId="77777777" w:rsidR="00364AE7" w:rsidRPr="002C6EA7" w:rsidRDefault="00364AE7" w:rsidP="001D6813">
            <w:pPr>
              <w:rPr>
                <w:sz w:val="21"/>
                <w:szCs w:val="21"/>
              </w:rPr>
            </w:pPr>
            <w:r w:rsidRPr="002C6EA7">
              <w:rPr>
                <w:sz w:val="21"/>
                <w:szCs w:val="21"/>
              </w:rPr>
              <w:t>W</w:t>
            </w:r>
          </w:p>
        </w:tc>
        <w:tc>
          <w:tcPr>
            <w:tcW w:w="1155" w:type="dxa"/>
            <w:hideMark/>
          </w:tcPr>
          <w:p w14:paraId="1034D324" w14:textId="77777777" w:rsidR="00364AE7" w:rsidRPr="002C6EA7" w:rsidRDefault="00364AE7" w:rsidP="001D6813">
            <w:pPr>
              <w:rPr>
                <w:sz w:val="21"/>
                <w:szCs w:val="21"/>
              </w:rPr>
            </w:pPr>
            <w:r w:rsidRPr="002C6EA7">
              <w:rPr>
                <w:sz w:val="21"/>
                <w:szCs w:val="21"/>
              </w:rPr>
              <w:t>-</w:t>
            </w:r>
          </w:p>
        </w:tc>
        <w:tc>
          <w:tcPr>
            <w:tcW w:w="867" w:type="dxa"/>
            <w:tcBorders>
              <w:right w:val="single" w:sz="4" w:space="0" w:color="000000"/>
            </w:tcBorders>
          </w:tcPr>
          <w:p w14:paraId="5594B9A3" w14:textId="77777777" w:rsidR="00364AE7" w:rsidRPr="002C6EA7" w:rsidRDefault="00364AE7" w:rsidP="001D6813">
            <w:pPr>
              <w:rPr>
                <w:sz w:val="21"/>
                <w:szCs w:val="21"/>
              </w:rPr>
            </w:pPr>
            <w:r>
              <w:rPr>
                <w:sz w:val="21"/>
                <w:szCs w:val="21"/>
              </w:rPr>
              <w:t>-</w:t>
            </w:r>
          </w:p>
        </w:tc>
      </w:tr>
      <w:tr w:rsidR="00364AE7" w:rsidRPr="002C6EA7" w14:paraId="0CA5DED8" w14:textId="77777777" w:rsidTr="003A1B56">
        <w:trPr>
          <w:trHeight w:val="223"/>
        </w:trPr>
        <w:tc>
          <w:tcPr>
            <w:tcW w:w="1143" w:type="dxa"/>
            <w:tcBorders>
              <w:left w:val="single" w:sz="4" w:space="0" w:color="000000"/>
            </w:tcBorders>
            <w:hideMark/>
          </w:tcPr>
          <w:p w14:paraId="04694B3A" w14:textId="77777777" w:rsidR="00364AE7" w:rsidRPr="002C6EA7" w:rsidRDefault="00364AE7" w:rsidP="001D6813">
            <w:pPr>
              <w:rPr>
                <w:sz w:val="21"/>
                <w:szCs w:val="21"/>
              </w:rPr>
            </w:pPr>
            <w:r w:rsidRPr="002C6EA7">
              <w:rPr>
                <w:sz w:val="21"/>
                <w:szCs w:val="21"/>
              </w:rPr>
              <w:t>sMMO</w:t>
            </w:r>
          </w:p>
        </w:tc>
        <w:tc>
          <w:tcPr>
            <w:tcW w:w="986" w:type="dxa"/>
            <w:hideMark/>
          </w:tcPr>
          <w:p w14:paraId="5677B1DB" w14:textId="77777777" w:rsidR="00364AE7" w:rsidRPr="002C6EA7" w:rsidRDefault="00364AE7" w:rsidP="001D6813">
            <w:pPr>
              <w:rPr>
                <w:sz w:val="21"/>
                <w:szCs w:val="21"/>
              </w:rPr>
            </w:pPr>
            <w:r w:rsidRPr="002C6EA7">
              <w:rPr>
                <w:sz w:val="21"/>
                <w:szCs w:val="21"/>
              </w:rPr>
              <w:t>-</w:t>
            </w:r>
          </w:p>
        </w:tc>
        <w:tc>
          <w:tcPr>
            <w:tcW w:w="817" w:type="dxa"/>
            <w:hideMark/>
          </w:tcPr>
          <w:p w14:paraId="48EF0AD4" w14:textId="77777777" w:rsidR="00364AE7" w:rsidRPr="002C6EA7" w:rsidRDefault="00364AE7" w:rsidP="001D6813">
            <w:pPr>
              <w:rPr>
                <w:sz w:val="21"/>
                <w:szCs w:val="21"/>
              </w:rPr>
            </w:pPr>
            <w:r w:rsidRPr="002C6EA7">
              <w:rPr>
                <w:sz w:val="21"/>
                <w:szCs w:val="21"/>
              </w:rPr>
              <w:t>+</w:t>
            </w:r>
          </w:p>
        </w:tc>
        <w:tc>
          <w:tcPr>
            <w:tcW w:w="1133" w:type="dxa"/>
            <w:hideMark/>
          </w:tcPr>
          <w:p w14:paraId="157F52EA" w14:textId="77777777" w:rsidR="00364AE7" w:rsidRPr="002C6EA7" w:rsidRDefault="00364AE7" w:rsidP="001D6813">
            <w:pPr>
              <w:rPr>
                <w:sz w:val="21"/>
                <w:szCs w:val="21"/>
              </w:rPr>
            </w:pPr>
            <w:r w:rsidRPr="002C6EA7">
              <w:rPr>
                <w:sz w:val="21"/>
                <w:szCs w:val="21"/>
              </w:rPr>
              <w:t>+</w:t>
            </w:r>
          </w:p>
        </w:tc>
        <w:tc>
          <w:tcPr>
            <w:tcW w:w="469" w:type="dxa"/>
            <w:hideMark/>
          </w:tcPr>
          <w:p w14:paraId="509CA410" w14:textId="77777777" w:rsidR="00364AE7" w:rsidRPr="002C6EA7" w:rsidRDefault="00364AE7" w:rsidP="001D6813">
            <w:pPr>
              <w:rPr>
                <w:sz w:val="21"/>
                <w:szCs w:val="21"/>
              </w:rPr>
            </w:pPr>
            <w:r w:rsidRPr="002C6EA7">
              <w:rPr>
                <w:sz w:val="21"/>
                <w:szCs w:val="21"/>
              </w:rPr>
              <w:t>-</w:t>
            </w:r>
          </w:p>
        </w:tc>
        <w:tc>
          <w:tcPr>
            <w:tcW w:w="1028" w:type="dxa"/>
            <w:hideMark/>
          </w:tcPr>
          <w:p w14:paraId="244ED77A" w14:textId="77777777" w:rsidR="00364AE7" w:rsidRPr="002C6EA7" w:rsidRDefault="00364AE7" w:rsidP="001D6813">
            <w:pPr>
              <w:rPr>
                <w:sz w:val="21"/>
                <w:szCs w:val="21"/>
              </w:rPr>
            </w:pPr>
            <w:r w:rsidRPr="002C6EA7">
              <w:rPr>
                <w:sz w:val="21"/>
                <w:szCs w:val="21"/>
              </w:rPr>
              <w:t>-</w:t>
            </w:r>
          </w:p>
        </w:tc>
        <w:tc>
          <w:tcPr>
            <w:tcW w:w="973" w:type="dxa"/>
            <w:hideMark/>
          </w:tcPr>
          <w:p w14:paraId="7FAD18BE" w14:textId="77777777" w:rsidR="00364AE7" w:rsidRPr="002C6EA7" w:rsidRDefault="00364AE7" w:rsidP="001D6813">
            <w:pPr>
              <w:rPr>
                <w:sz w:val="21"/>
                <w:szCs w:val="21"/>
              </w:rPr>
            </w:pPr>
            <w:r w:rsidRPr="002C6EA7">
              <w:rPr>
                <w:sz w:val="21"/>
                <w:szCs w:val="21"/>
              </w:rPr>
              <w:t>-</w:t>
            </w:r>
          </w:p>
        </w:tc>
        <w:tc>
          <w:tcPr>
            <w:tcW w:w="794" w:type="dxa"/>
            <w:hideMark/>
          </w:tcPr>
          <w:p w14:paraId="2E9B1E6C" w14:textId="77777777" w:rsidR="00364AE7" w:rsidRPr="002C6EA7" w:rsidRDefault="00364AE7" w:rsidP="001D6813">
            <w:pPr>
              <w:rPr>
                <w:sz w:val="21"/>
                <w:szCs w:val="21"/>
              </w:rPr>
            </w:pPr>
            <w:r w:rsidRPr="002C6EA7">
              <w:rPr>
                <w:sz w:val="21"/>
                <w:szCs w:val="21"/>
              </w:rPr>
              <w:t>+</w:t>
            </w:r>
          </w:p>
        </w:tc>
        <w:tc>
          <w:tcPr>
            <w:tcW w:w="1155" w:type="dxa"/>
            <w:hideMark/>
          </w:tcPr>
          <w:p w14:paraId="0FEAD035" w14:textId="77777777" w:rsidR="00364AE7" w:rsidRPr="002C6EA7" w:rsidRDefault="00364AE7" w:rsidP="001D6813">
            <w:pPr>
              <w:rPr>
                <w:sz w:val="21"/>
                <w:szCs w:val="21"/>
              </w:rPr>
            </w:pPr>
            <w:r w:rsidRPr="002C6EA7">
              <w:rPr>
                <w:sz w:val="21"/>
                <w:szCs w:val="21"/>
              </w:rPr>
              <w:t>-</w:t>
            </w:r>
          </w:p>
        </w:tc>
        <w:tc>
          <w:tcPr>
            <w:tcW w:w="867" w:type="dxa"/>
            <w:tcBorders>
              <w:right w:val="single" w:sz="4" w:space="0" w:color="000000"/>
            </w:tcBorders>
          </w:tcPr>
          <w:p w14:paraId="3E4232DB" w14:textId="77777777" w:rsidR="00364AE7" w:rsidRPr="002C6EA7" w:rsidRDefault="00364AE7" w:rsidP="001D6813">
            <w:pPr>
              <w:rPr>
                <w:sz w:val="21"/>
                <w:szCs w:val="21"/>
              </w:rPr>
            </w:pPr>
            <w:r>
              <w:rPr>
                <w:sz w:val="21"/>
                <w:szCs w:val="21"/>
              </w:rPr>
              <w:t>+</w:t>
            </w:r>
          </w:p>
        </w:tc>
      </w:tr>
      <w:tr w:rsidR="00364AE7" w:rsidRPr="002C6EA7" w14:paraId="568DF727" w14:textId="77777777" w:rsidTr="003A1B56">
        <w:trPr>
          <w:trHeight w:val="217"/>
        </w:trPr>
        <w:tc>
          <w:tcPr>
            <w:tcW w:w="1143" w:type="dxa"/>
            <w:tcBorders>
              <w:left w:val="single" w:sz="4" w:space="0" w:color="000000"/>
            </w:tcBorders>
            <w:hideMark/>
          </w:tcPr>
          <w:p w14:paraId="5262AB6E" w14:textId="77777777" w:rsidR="00364AE7" w:rsidRPr="002C6EA7" w:rsidRDefault="00364AE7" w:rsidP="001D6813">
            <w:pPr>
              <w:rPr>
                <w:sz w:val="21"/>
                <w:szCs w:val="21"/>
              </w:rPr>
            </w:pPr>
            <w:r w:rsidRPr="002C6EA7">
              <w:rPr>
                <w:sz w:val="21"/>
                <w:szCs w:val="21"/>
              </w:rPr>
              <w:t>Major quinone</w:t>
            </w:r>
          </w:p>
        </w:tc>
        <w:tc>
          <w:tcPr>
            <w:tcW w:w="986" w:type="dxa"/>
            <w:hideMark/>
          </w:tcPr>
          <w:p w14:paraId="2E57862F" w14:textId="77777777" w:rsidR="00364AE7" w:rsidRPr="002C6EA7" w:rsidRDefault="00364AE7" w:rsidP="001D6813">
            <w:pPr>
              <w:rPr>
                <w:sz w:val="21"/>
                <w:szCs w:val="21"/>
              </w:rPr>
            </w:pPr>
            <w:r w:rsidRPr="002C6EA7">
              <w:rPr>
                <w:sz w:val="21"/>
                <w:szCs w:val="21"/>
              </w:rPr>
              <w:t>Not Determined</w:t>
            </w:r>
          </w:p>
        </w:tc>
        <w:tc>
          <w:tcPr>
            <w:tcW w:w="817" w:type="dxa"/>
            <w:hideMark/>
          </w:tcPr>
          <w:p w14:paraId="6EC39023" w14:textId="77777777" w:rsidR="00364AE7" w:rsidRPr="002C6EA7" w:rsidRDefault="00364AE7" w:rsidP="001D6813">
            <w:pPr>
              <w:rPr>
                <w:sz w:val="21"/>
                <w:szCs w:val="21"/>
              </w:rPr>
            </w:pPr>
            <w:r w:rsidRPr="002C6EA7">
              <w:rPr>
                <w:sz w:val="21"/>
                <w:szCs w:val="21"/>
              </w:rPr>
              <w:t>Q-8</w:t>
            </w:r>
          </w:p>
        </w:tc>
        <w:tc>
          <w:tcPr>
            <w:tcW w:w="1133" w:type="dxa"/>
            <w:hideMark/>
          </w:tcPr>
          <w:p w14:paraId="5F7D9177" w14:textId="77777777" w:rsidR="00364AE7" w:rsidRPr="002C6EA7" w:rsidRDefault="00364AE7" w:rsidP="001D6813">
            <w:pPr>
              <w:rPr>
                <w:sz w:val="21"/>
                <w:szCs w:val="21"/>
              </w:rPr>
            </w:pPr>
            <w:r w:rsidRPr="002C6EA7">
              <w:rPr>
                <w:sz w:val="21"/>
                <w:szCs w:val="21"/>
              </w:rPr>
              <w:t>Q-8</w:t>
            </w:r>
          </w:p>
        </w:tc>
        <w:tc>
          <w:tcPr>
            <w:tcW w:w="469" w:type="dxa"/>
            <w:hideMark/>
          </w:tcPr>
          <w:p w14:paraId="6F425AB8" w14:textId="77777777" w:rsidR="00364AE7" w:rsidRPr="002C6EA7" w:rsidRDefault="00364AE7" w:rsidP="001D6813">
            <w:pPr>
              <w:rPr>
                <w:sz w:val="21"/>
                <w:szCs w:val="21"/>
              </w:rPr>
            </w:pPr>
            <w:r w:rsidRPr="002C6EA7">
              <w:rPr>
                <w:sz w:val="21"/>
                <w:szCs w:val="21"/>
              </w:rPr>
              <w:t>ND</w:t>
            </w:r>
          </w:p>
        </w:tc>
        <w:tc>
          <w:tcPr>
            <w:tcW w:w="1028" w:type="dxa"/>
            <w:hideMark/>
          </w:tcPr>
          <w:p w14:paraId="5F9F328A" w14:textId="77777777" w:rsidR="00364AE7" w:rsidRPr="002C6EA7" w:rsidRDefault="00364AE7" w:rsidP="001D6813">
            <w:pPr>
              <w:rPr>
                <w:sz w:val="21"/>
                <w:szCs w:val="21"/>
              </w:rPr>
            </w:pPr>
            <w:r w:rsidRPr="002C6EA7">
              <w:rPr>
                <w:sz w:val="21"/>
                <w:szCs w:val="21"/>
              </w:rPr>
              <w:t>Q-8</w:t>
            </w:r>
          </w:p>
        </w:tc>
        <w:tc>
          <w:tcPr>
            <w:tcW w:w="973" w:type="dxa"/>
            <w:hideMark/>
          </w:tcPr>
          <w:p w14:paraId="7962AEF9" w14:textId="77777777" w:rsidR="00364AE7" w:rsidRPr="002C6EA7" w:rsidRDefault="00364AE7" w:rsidP="001D6813">
            <w:pPr>
              <w:rPr>
                <w:sz w:val="21"/>
                <w:szCs w:val="21"/>
              </w:rPr>
            </w:pPr>
            <w:r w:rsidRPr="002C6EA7">
              <w:rPr>
                <w:sz w:val="21"/>
                <w:szCs w:val="21"/>
              </w:rPr>
              <w:t>Q-8</w:t>
            </w:r>
          </w:p>
        </w:tc>
        <w:tc>
          <w:tcPr>
            <w:tcW w:w="794" w:type="dxa"/>
            <w:hideMark/>
          </w:tcPr>
          <w:p w14:paraId="59DF744D" w14:textId="77777777" w:rsidR="00364AE7" w:rsidRPr="002C6EA7" w:rsidRDefault="00364AE7" w:rsidP="001D6813">
            <w:pPr>
              <w:rPr>
                <w:sz w:val="21"/>
                <w:szCs w:val="21"/>
              </w:rPr>
            </w:pPr>
            <w:r w:rsidRPr="002C6EA7">
              <w:rPr>
                <w:sz w:val="21"/>
                <w:szCs w:val="21"/>
              </w:rPr>
              <w:t>Q-8</w:t>
            </w:r>
          </w:p>
        </w:tc>
        <w:tc>
          <w:tcPr>
            <w:tcW w:w="1155" w:type="dxa"/>
            <w:hideMark/>
          </w:tcPr>
          <w:p w14:paraId="6C7D92E6" w14:textId="77777777" w:rsidR="00364AE7" w:rsidRPr="002C6EA7" w:rsidRDefault="00364AE7" w:rsidP="001D6813">
            <w:pPr>
              <w:rPr>
                <w:sz w:val="21"/>
                <w:szCs w:val="21"/>
              </w:rPr>
            </w:pPr>
            <w:r w:rsidRPr="002C6EA7">
              <w:rPr>
                <w:sz w:val="21"/>
                <w:szCs w:val="21"/>
              </w:rPr>
              <w:t>Q-8</w:t>
            </w:r>
          </w:p>
        </w:tc>
        <w:tc>
          <w:tcPr>
            <w:tcW w:w="867" w:type="dxa"/>
            <w:tcBorders>
              <w:right w:val="single" w:sz="4" w:space="0" w:color="000000"/>
            </w:tcBorders>
          </w:tcPr>
          <w:p w14:paraId="28797519" w14:textId="77777777" w:rsidR="00364AE7" w:rsidRPr="002C6EA7" w:rsidRDefault="00364AE7" w:rsidP="001D6813">
            <w:pPr>
              <w:rPr>
                <w:sz w:val="21"/>
                <w:szCs w:val="21"/>
              </w:rPr>
            </w:pPr>
            <w:r>
              <w:rPr>
                <w:sz w:val="21"/>
                <w:szCs w:val="21"/>
              </w:rPr>
              <w:t>Q-8</w:t>
            </w:r>
          </w:p>
        </w:tc>
      </w:tr>
      <w:tr w:rsidR="00364AE7" w:rsidRPr="002C6EA7" w14:paraId="63E7B38D" w14:textId="77777777" w:rsidTr="003A1B56">
        <w:trPr>
          <w:trHeight w:val="228"/>
        </w:trPr>
        <w:tc>
          <w:tcPr>
            <w:tcW w:w="1143" w:type="dxa"/>
            <w:tcBorders>
              <w:left w:val="single" w:sz="4" w:space="0" w:color="000000"/>
            </w:tcBorders>
            <w:hideMark/>
          </w:tcPr>
          <w:p w14:paraId="1F4F806A" w14:textId="77777777" w:rsidR="00364AE7" w:rsidRPr="002C6EA7" w:rsidRDefault="00364AE7" w:rsidP="001D6813">
            <w:pPr>
              <w:rPr>
                <w:sz w:val="21"/>
                <w:szCs w:val="21"/>
              </w:rPr>
            </w:pPr>
            <w:r w:rsidRPr="002C6EA7">
              <w:rPr>
                <w:sz w:val="21"/>
                <w:szCs w:val="21"/>
              </w:rPr>
              <w:t>Presence of C</w:t>
            </w:r>
            <w:r w:rsidRPr="002C6EA7">
              <w:rPr>
                <w:sz w:val="21"/>
                <w:szCs w:val="21"/>
                <w:vertAlign w:val="subscript"/>
              </w:rPr>
              <w:t>18</w:t>
            </w:r>
            <w:r w:rsidRPr="002C6EA7">
              <w:rPr>
                <w:sz w:val="21"/>
                <w:szCs w:val="21"/>
              </w:rPr>
              <w:t xml:space="preserve"> </w:t>
            </w:r>
            <w:r w:rsidRPr="002C6EA7">
              <w:rPr>
                <w:sz w:val="21"/>
                <w:szCs w:val="21"/>
                <w:vertAlign w:val="subscript"/>
              </w:rPr>
              <w:t>:</w:t>
            </w:r>
            <w:r w:rsidRPr="002C6EA7">
              <w:rPr>
                <w:sz w:val="21"/>
                <w:szCs w:val="21"/>
              </w:rPr>
              <w:t xml:space="preserve"> </w:t>
            </w:r>
            <w:r w:rsidRPr="002C6EA7">
              <w:rPr>
                <w:sz w:val="21"/>
                <w:szCs w:val="21"/>
                <w:vertAlign w:val="subscript"/>
              </w:rPr>
              <w:t>2</w:t>
            </w:r>
            <w:r w:rsidRPr="002C6EA7">
              <w:rPr>
                <w:sz w:val="21"/>
                <w:szCs w:val="21"/>
              </w:rPr>
              <w:t>ω7,12</w:t>
            </w:r>
            <w:r w:rsidRPr="002C6EA7">
              <w:rPr>
                <w:i/>
                <w:iCs/>
                <w:sz w:val="21"/>
                <w:szCs w:val="21"/>
              </w:rPr>
              <w:t>c</w:t>
            </w:r>
          </w:p>
        </w:tc>
        <w:tc>
          <w:tcPr>
            <w:tcW w:w="986" w:type="dxa"/>
            <w:hideMark/>
          </w:tcPr>
          <w:p w14:paraId="47FE35E7" w14:textId="77777777" w:rsidR="00364AE7" w:rsidRPr="002C6EA7" w:rsidRDefault="00364AE7" w:rsidP="001D6813">
            <w:pPr>
              <w:rPr>
                <w:sz w:val="21"/>
                <w:szCs w:val="21"/>
              </w:rPr>
            </w:pPr>
            <w:r w:rsidRPr="002C6EA7">
              <w:rPr>
                <w:sz w:val="21"/>
                <w:szCs w:val="21"/>
              </w:rPr>
              <w:t>-</w:t>
            </w:r>
          </w:p>
        </w:tc>
        <w:tc>
          <w:tcPr>
            <w:tcW w:w="817" w:type="dxa"/>
            <w:hideMark/>
          </w:tcPr>
          <w:p w14:paraId="7E66BF1F" w14:textId="77777777" w:rsidR="00364AE7" w:rsidRPr="002C6EA7" w:rsidRDefault="00364AE7" w:rsidP="001D6813">
            <w:pPr>
              <w:rPr>
                <w:sz w:val="21"/>
                <w:szCs w:val="21"/>
              </w:rPr>
            </w:pPr>
            <w:r w:rsidRPr="002C6EA7">
              <w:rPr>
                <w:sz w:val="21"/>
                <w:szCs w:val="21"/>
              </w:rPr>
              <w:t>+</w:t>
            </w:r>
          </w:p>
        </w:tc>
        <w:tc>
          <w:tcPr>
            <w:tcW w:w="1133" w:type="dxa"/>
            <w:hideMark/>
          </w:tcPr>
          <w:p w14:paraId="46BF1128" w14:textId="77777777" w:rsidR="00364AE7" w:rsidRPr="002C6EA7" w:rsidRDefault="00364AE7" w:rsidP="001D6813">
            <w:pPr>
              <w:rPr>
                <w:sz w:val="21"/>
                <w:szCs w:val="21"/>
              </w:rPr>
            </w:pPr>
            <w:r w:rsidRPr="002C6EA7">
              <w:rPr>
                <w:sz w:val="21"/>
                <w:szCs w:val="21"/>
              </w:rPr>
              <w:t>-</w:t>
            </w:r>
          </w:p>
        </w:tc>
        <w:tc>
          <w:tcPr>
            <w:tcW w:w="469" w:type="dxa"/>
            <w:hideMark/>
          </w:tcPr>
          <w:p w14:paraId="2B01FFFA" w14:textId="77777777" w:rsidR="00364AE7" w:rsidRPr="002C6EA7" w:rsidRDefault="00364AE7" w:rsidP="001D6813">
            <w:pPr>
              <w:rPr>
                <w:sz w:val="21"/>
                <w:szCs w:val="21"/>
              </w:rPr>
            </w:pPr>
            <w:r w:rsidRPr="002C6EA7">
              <w:rPr>
                <w:sz w:val="21"/>
                <w:szCs w:val="21"/>
              </w:rPr>
              <w:t>-</w:t>
            </w:r>
          </w:p>
        </w:tc>
        <w:tc>
          <w:tcPr>
            <w:tcW w:w="1028" w:type="dxa"/>
            <w:hideMark/>
          </w:tcPr>
          <w:p w14:paraId="06C5E880" w14:textId="77777777" w:rsidR="00364AE7" w:rsidRPr="002C6EA7" w:rsidRDefault="00364AE7" w:rsidP="001D6813">
            <w:pPr>
              <w:rPr>
                <w:sz w:val="21"/>
                <w:szCs w:val="21"/>
              </w:rPr>
            </w:pPr>
            <w:r w:rsidRPr="002C6EA7">
              <w:rPr>
                <w:sz w:val="21"/>
                <w:szCs w:val="21"/>
              </w:rPr>
              <w:t>+</w:t>
            </w:r>
          </w:p>
        </w:tc>
        <w:tc>
          <w:tcPr>
            <w:tcW w:w="973" w:type="dxa"/>
            <w:hideMark/>
          </w:tcPr>
          <w:p w14:paraId="71751F55" w14:textId="77777777" w:rsidR="00364AE7" w:rsidRPr="002C6EA7" w:rsidRDefault="00364AE7" w:rsidP="001D6813">
            <w:pPr>
              <w:rPr>
                <w:sz w:val="21"/>
                <w:szCs w:val="21"/>
              </w:rPr>
            </w:pPr>
            <w:r w:rsidRPr="002C6EA7">
              <w:rPr>
                <w:sz w:val="21"/>
                <w:szCs w:val="21"/>
              </w:rPr>
              <w:t>+</w:t>
            </w:r>
          </w:p>
        </w:tc>
        <w:tc>
          <w:tcPr>
            <w:tcW w:w="794" w:type="dxa"/>
            <w:hideMark/>
          </w:tcPr>
          <w:p w14:paraId="353FFFDB" w14:textId="77777777" w:rsidR="00364AE7" w:rsidRPr="002C6EA7" w:rsidRDefault="00364AE7" w:rsidP="001D6813">
            <w:pPr>
              <w:rPr>
                <w:sz w:val="21"/>
                <w:szCs w:val="21"/>
              </w:rPr>
            </w:pPr>
            <w:r w:rsidRPr="002C6EA7">
              <w:rPr>
                <w:sz w:val="21"/>
                <w:szCs w:val="21"/>
              </w:rPr>
              <w:t>+</w:t>
            </w:r>
          </w:p>
        </w:tc>
        <w:tc>
          <w:tcPr>
            <w:tcW w:w="1155" w:type="dxa"/>
            <w:hideMark/>
          </w:tcPr>
          <w:p w14:paraId="734757B0" w14:textId="77777777" w:rsidR="00364AE7" w:rsidRPr="002C6EA7" w:rsidRDefault="00364AE7" w:rsidP="001D6813">
            <w:pPr>
              <w:rPr>
                <w:sz w:val="21"/>
                <w:szCs w:val="21"/>
              </w:rPr>
            </w:pPr>
            <w:r w:rsidRPr="002C6EA7">
              <w:rPr>
                <w:sz w:val="21"/>
                <w:szCs w:val="21"/>
              </w:rPr>
              <w:t>-</w:t>
            </w:r>
          </w:p>
        </w:tc>
        <w:tc>
          <w:tcPr>
            <w:tcW w:w="867" w:type="dxa"/>
            <w:tcBorders>
              <w:right w:val="single" w:sz="4" w:space="0" w:color="000000"/>
            </w:tcBorders>
          </w:tcPr>
          <w:p w14:paraId="12FBE0B1" w14:textId="77777777" w:rsidR="00364AE7" w:rsidRPr="002C6EA7" w:rsidRDefault="00364AE7" w:rsidP="001D6813">
            <w:pPr>
              <w:rPr>
                <w:sz w:val="21"/>
                <w:szCs w:val="21"/>
              </w:rPr>
            </w:pPr>
            <w:r>
              <w:rPr>
                <w:sz w:val="21"/>
                <w:szCs w:val="21"/>
              </w:rPr>
              <w:t>-</w:t>
            </w:r>
          </w:p>
        </w:tc>
      </w:tr>
      <w:tr w:rsidR="00364AE7" w:rsidRPr="002C6EA7" w14:paraId="26E066FF" w14:textId="77777777" w:rsidTr="003A1B56">
        <w:trPr>
          <w:trHeight w:val="346"/>
        </w:trPr>
        <w:tc>
          <w:tcPr>
            <w:tcW w:w="1143" w:type="dxa"/>
            <w:tcBorders>
              <w:left w:val="single" w:sz="4" w:space="0" w:color="000000"/>
              <w:bottom w:val="single" w:sz="4" w:space="0" w:color="000000"/>
            </w:tcBorders>
            <w:hideMark/>
          </w:tcPr>
          <w:p w14:paraId="4AE00C7A" w14:textId="77777777" w:rsidR="00364AE7" w:rsidRPr="002C6EA7" w:rsidRDefault="00364AE7" w:rsidP="001D6813">
            <w:pPr>
              <w:rPr>
                <w:sz w:val="21"/>
                <w:szCs w:val="21"/>
              </w:rPr>
            </w:pPr>
            <w:r w:rsidRPr="002C6EA7">
              <w:rPr>
                <w:sz w:val="21"/>
                <w:szCs w:val="21"/>
              </w:rPr>
              <w:t>DNA G+C content (mol%)</w:t>
            </w:r>
          </w:p>
        </w:tc>
        <w:tc>
          <w:tcPr>
            <w:tcW w:w="986" w:type="dxa"/>
            <w:tcBorders>
              <w:bottom w:val="single" w:sz="4" w:space="0" w:color="000000"/>
            </w:tcBorders>
            <w:hideMark/>
          </w:tcPr>
          <w:p w14:paraId="104B7F83" w14:textId="77777777" w:rsidR="00364AE7" w:rsidRPr="002C6EA7" w:rsidRDefault="00364AE7" w:rsidP="001D6813">
            <w:pPr>
              <w:rPr>
                <w:sz w:val="21"/>
                <w:szCs w:val="21"/>
              </w:rPr>
            </w:pPr>
            <w:r w:rsidRPr="002C6EA7">
              <w:rPr>
                <w:sz w:val="21"/>
                <w:szCs w:val="21"/>
              </w:rPr>
              <w:t>62.5</w:t>
            </w:r>
          </w:p>
        </w:tc>
        <w:tc>
          <w:tcPr>
            <w:tcW w:w="817" w:type="dxa"/>
            <w:tcBorders>
              <w:bottom w:val="single" w:sz="4" w:space="0" w:color="000000"/>
            </w:tcBorders>
            <w:hideMark/>
          </w:tcPr>
          <w:p w14:paraId="3B677A3D" w14:textId="77777777" w:rsidR="00364AE7" w:rsidRPr="002C6EA7" w:rsidRDefault="00364AE7" w:rsidP="001D6813">
            <w:pPr>
              <w:rPr>
                <w:sz w:val="21"/>
                <w:szCs w:val="21"/>
              </w:rPr>
            </w:pPr>
            <w:r w:rsidRPr="002C6EA7">
              <w:rPr>
                <w:sz w:val="21"/>
                <w:szCs w:val="21"/>
              </w:rPr>
              <w:t>62.3</w:t>
            </w:r>
          </w:p>
        </w:tc>
        <w:tc>
          <w:tcPr>
            <w:tcW w:w="1133" w:type="dxa"/>
            <w:tcBorders>
              <w:bottom w:val="single" w:sz="4" w:space="0" w:color="000000"/>
            </w:tcBorders>
            <w:hideMark/>
          </w:tcPr>
          <w:p w14:paraId="0BC9521A" w14:textId="77777777" w:rsidR="00364AE7" w:rsidRPr="002C6EA7" w:rsidRDefault="00364AE7" w:rsidP="001D6813">
            <w:pPr>
              <w:rPr>
                <w:sz w:val="21"/>
                <w:szCs w:val="21"/>
              </w:rPr>
            </w:pPr>
            <w:r w:rsidRPr="002C6EA7">
              <w:rPr>
                <w:sz w:val="21"/>
                <w:szCs w:val="21"/>
              </w:rPr>
              <w:t>61.5–62.1</w:t>
            </w:r>
          </w:p>
        </w:tc>
        <w:tc>
          <w:tcPr>
            <w:tcW w:w="469" w:type="dxa"/>
            <w:tcBorders>
              <w:bottom w:val="single" w:sz="4" w:space="0" w:color="000000"/>
            </w:tcBorders>
            <w:hideMark/>
          </w:tcPr>
          <w:p w14:paraId="455F5E0D" w14:textId="77777777" w:rsidR="00364AE7" w:rsidRPr="002C6EA7" w:rsidRDefault="00364AE7" w:rsidP="001D6813">
            <w:pPr>
              <w:rPr>
                <w:sz w:val="21"/>
                <w:szCs w:val="21"/>
              </w:rPr>
            </w:pPr>
            <w:r w:rsidRPr="002C6EA7">
              <w:rPr>
                <w:sz w:val="21"/>
                <w:szCs w:val="21"/>
              </w:rPr>
              <w:t>62</w:t>
            </w:r>
          </w:p>
        </w:tc>
        <w:tc>
          <w:tcPr>
            <w:tcW w:w="1028" w:type="dxa"/>
            <w:tcBorders>
              <w:bottom w:val="single" w:sz="4" w:space="0" w:color="000000"/>
            </w:tcBorders>
            <w:hideMark/>
          </w:tcPr>
          <w:p w14:paraId="76A7F1CF" w14:textId="77777777" w:rsidR="00364AE7" w:rsidRPr="002C6EA7" w:rsidRDefault="00364AE7" w:rsidP="001D6813">
            <w:pPr>
              <w:rPr>
                <w:sz w:val="21"/>
                <w:szCs w:val="21"/>
              </w:rPr>
            </w:pPr>
            <w:r w:rsidRPr="002C6EA7">
              <w:rPr>
                <w:sz w:val="21"/>
                <w:szCs w:val="21"/>
              </w:rPr>
              <w:t>62</w:t>
            </w:r>
          </w:p>
        </w:tc>
        <w:tc>
          <w:tcPr>
            <w:tcW w:w="973" w:type="dxa"/>
            <w:tcBorders>
              <w:bottom w:val="single" w:sz="4" w:space="0" w:color="000000"/>
            </w:tcBorders>
            <w:hideMark/>
          </w:tcPr>
          <w:p w14:paraId="23F49148" w14:textId="77777777" w:rsidR="00364AE7" w:rsidRPr="002C6EA7" w:rsidRDefault="00364AE7" w:rsidP="001D6813">
            <w:pPr>
              <w:rPr>
                <w:sz w:val="21"/>
                <w:szCs w:val="21"/>
              </w:rPr>
            </w:pPr>
            <w:r w:rsidRPr="002C6EA7">
              <w:rPr>
                <w:sz w:val="21"/>
                <w:szCs w:val="21"/>
              </w:rPr>
              <w:t>64–67</w:t>
            </w:r>
          </w:p>
        </w:tc>
        <w:tc>
          <w:tcPr>
            <w:tcW w:w="794" w:type="dxa"/>
            <w:tcBorders>
              <w:bottom w:val="single" w:sz="4" w:space="0" w:color="000000"/>
            </w:tcBorders>
            <w:hideMark/>
          </w:tcPr>
          <w:p w14:paraId="78762D07" w14:textId="77777777" w:rsidR="00364AE7" w:rsidRPr="002C6EA7" w:rsidRDefault="00364AE7" w:rsidP="001D6813">
            <w:pPr>
              <w:rPr>
                <w:sz w:val="21"/>
                <w:szCs w:val="21"/>
              </w:rPr>
            </w:pPr>
            <w:r w:rsidRPr="002C6EA7">
              <w:rPr>
                <w:sz w:val="21"/>
                <w:szCs w:val="21"/>
              </w:rPr>
              <w:t>ND</w:t>
            </w:r>
          </w:p>
        </w:tc>
        <w:tc>
          <w:tcPr>
            <w:tcW w:w="1155" w:type="dxa"/>
            <w:tcBorders>
              <w:bottom w:val="single" w:sz="4" w:space="0" w:color="000000"/>
            </w:tcBorders>
            <w:hideMark/>
          </w:tcPr>
          <w:p w14:paraId="68AA5662" w14:textId="77777777" w:rsidR="00364AE7" w:rsidRPr="002C6EA7" w:rsidRDefault="00364AE7" w:rsidP="001D6813">
            <w:pPr>
              <w:rPr>
                <w:sz w:val="21"/>
                <w:szCs w:val="21"/>
              </w:rPr>
            </w:pPr>
            <w:r w:rsidRPr="002C6EA7">
              <w:rPr>
                <w:sz w:val="21"/>
                <w:szCs w:val="21"/>
              </w:rPr>
              <w:t>62.6</w:t>
            </w:r>
          </w:p>
        </w:tc>
        <w:tc>
          <w:tcPr>
            <w:tcW w:w="867" w:type="dxa"/>
            <w:tcBorders>
              <w:bottom w:val="single" w:sz="4" w:space="0" w:color="000000"/>
              <w:right w:val="single" w:sz="4" w:space="0" w:color="000000"/>
            </w:tcBorders>
          </w:tcPr>
          <w:p w14:paraId="69C0DCB8" w14:textId="77777777" w:rsidR="00364AE7" w:rsidRPr="002C6EA7" w:rsidRDefault="00364AE7" w:rsidP="001D6813">
            <w:pPr>
              <w:rPr>
                <w:sz w:val="21"/>
                <w:szCs w:val="21"/>
              </w:rPr>
            </w:pPr>
            <w:r>
              <w:rPr>
                <w:sz w:val="21"/>
                <w:szCs w:val="21"/>
              </w:rPr>
              <w:t>62-64</w:t>
            </w:r>
          </w:p>
        </w:tc>
      </w:tr>
    </w:tbl>
    <w:p w14:paraId="6797D62D" w14:textId="322F5738" w:rsidR="00364AE7" w:rsidRDefault="00364AE7" w:rsidP="00364AE7">
      <w:pPr>
        <w:spacing w:line="480" w:lineRule="auto"/>
        <w:rPr>
          <w:b/>
          <w:bCs/>
        </w:rPr>
      </w:pPr>
    </w:p>
    <w:p w14:paraId="5CFB2B05" w14:textId="143D3373" w:rsidR="006A2F31" w:rsidRDefault="006A2F31" w:rsidP="006A2F31">
      <w:pPr>
        <w:pStyle w:val="Heading6"/>
      </w:pPr>
      <w:bookmarkStart w:id="38" w:name="_Toc161934665"/>
      <w:r>
        <w:t>Table 3: Strain characteristics</w:t>
      </w:r>
      <w:bookmarkEnd w:id="38"/>
      <w:r>
        <w:t xml:space="preserve"> </w:t>
      </w:r>
    </w:p>
    <w:p w14:paraId="29BF71C5" w14:textId="77777777" w:rsidR="003A1B56" w:rsidRDefault="003A1B56" w:rsidP="006E624A">
      <w:pPr>
        <w:pStyle w:val="Heading3"/>
      </w:pPr>
    </w:p>
    <w:p w14:paraId="598D6264" w14:textId="4354DD6D" w:rsidR="00364AE7" w:rsidRPr="00364AE7" w:rsidRDefault="00364AE7" w:rsidP="006E624A">
      <w:pPr>
        <w:pStyle w:val="Heading3"/>
      </w:pPr>
      <w:bookmarkStart w:id="39" w:name="_Toc167115826"/>
      <w:r w:rsidRPr="00364AE7">
        <w:t xml:space="preserve">Description of </w:t>
      </w:r>
      <w:r w:rsidRPr="006E624A">
        <w:rPr>
          <w:i/>
          <w:iCs/>
        </w:rPr>
        <w:t>Methylocystis suflitae</w:t>
      </w:r>
      <w:bookmarkEnd w:id="39"/>
      <w:r w:rsidRPr="00364AE7">
        <w:t xml:space="preserve"> </w:t>
      </w:r>
    </w:p>
    <w:p w14:paraId="688BCE0C" w14:textId="7BA40D84" w:rsidR="00364AE7" w:rsidRDefault="00364AE7" w:rsidP="00364AE7">
      <w:pPr>
        <w:spacing w:line="480" w:lineRule="auto"/>
        <w:rPr>
          <w:rFonts w:eastAsia="Times New Roman"/>
          <w:sz w:val="24"/>
          <w:szCs w:val="24"/>
        </w:rPr>
      </w:pPr>
      <w:r w:rsidRPr="00364AE7">
        <w:rPr>
          <w:i/>
          <w:iCs/>
          <w:sz w:val="24"/>
          <w:szCs w:val="24"/>
        </w:rPr>
        <w:t xml:space="preserve">Methylocystis suflitae </w:t>
      </w:r>
      <w:r w:rsidRPr="00364AE7">
        <w:rPr>
          <w:sz w:val="24"/>
          <w:szCs w:val="24"/>
        </w:rPr>
        <w:t>(</w:t>
      </w:r>
      <w:r w:rsidRPr="00364AE7">
        <w:rPr>
          <w:rFonts w:eastAsia="Times New Roman"/>
          <w:sz w:val="24"/>
          <w:szCs w:val="24"/>
        </w:rPr>
        <w:t xml:space="preserve">suf.li’tae. N.L. gen. n. </w:t>
      </w:r>
      <w:r w:rsidRPr="00364AE7">
        <w:rPr>
          <w:rFonts w:eastAsia="Times New Roman"/>
          <w:i/>
          <w:iCs/>
          <w:sz w:val="24"/>
          <w:szCs w:val="24"/>
        </w:rPr>
        <w:t>suflitae</w:t>
      </w:r>
      <w:r w:rsidRPr="00364AE7">
        <w:rPr>
          <w:rFonts w:eastAsia="Times New Roman"/>
          <w:sz w:val="24"/>
          <w:szCs w:val="24"/>
        </w:rPr>
        <w:t>)</w:t>
      </w:r>
      <w:r w:rsidRPr="00364AE7">
        <w:rPr>
          <w:i/>
          <w:iCs/>
          <w:sz w:val="24"/>
          <w:szCs w:val="24"/>
        </w:rPr>
        <w:t xml:space="preserve"> </w:t>
      </w:r>
      <w:r w:rsidRPr="00364AE7">
        <w:rPr>
          <w:sz w:val="24"/>
          <w:szCs w:val="24"/>
        </w:rPr>
        <w:t>was</w:t>
      </w:r>
      <w:r w:rsidRPr="00364AE7">
        <w:rPr>
          <w:i/>
          <w:iCs/>
          <w:sz w:val="24"/>
          <w:szCs w:val="24"/>
        </w:rPr>
        <w:t xml:space="preserve"> </w:t>
      </w:r>
      <w:r w:rsidRPr="00364AE7">
        <w:rPr>
          <w:sz w:val="24"/>
          <w:szCs w:val="24"/>
        </w:rPr>
        <w:t>named to honor Joseph M. Suflita, a contemporary American microbiologist, for his pioneering work in understanding biodegradation at the United States Geological Survey Norman Landfill Environmental Research Site.</w:t>
      </w:r>
      <w:r w:rsidRPr="00364AE7">
        <w:rPr>
          <w:i/>
          <w:iCs/>
          <w:sz w:val="24"/>
          <w:szCs w:val="24"/>
        </w:rPr>
        <w:t xml:space="preserve"> </w:t>
      </w:r>
      <w:r w:rsidRPr="00364AE7">
        <w:rPr>
          <w:sz w:val="24"/>
          <w:szCs w:val="24"/>
        </w:rPr>
        <w:t xml:space="preserve">It is a member of the type II </w:t>
      </w:r>
      <w:r w:rsidRPr="00364AE7">
        <w:rPr>
          <w:i/>
          <w:iCs/>
          <w:sz w:val="24"/>
          <w:szCs w:val="24"/>
        </w:rPr>
        <w:t>Alphaproteobacterial</w:t>
      </w:r>
      <w:r w:rsidRPr="00364AE7">
        <w:rPr>
          <w:sz w:val="24"/>
          <w:szCs w:val="24"/>
        </w:rPr>
        <w:t xml:space="preserve"> methanotrophic genus </w:t>
      </w:r>
      <w:r w:rsidRPr="00364AE7">
        <w:rPr>
          <w:i/>
          <w:iCs/>
          <w:sz w:val="24"/>
          <w:szCs w:val="24"/>
        </w:rPr>
        <w:t>Methylocystis</w:t>
      </w:r>
      <w:r w:rsidRPr="00364AE7">
        <w:rPr>
          <w:sz w:val="24"/>
          <w:szCs w:val="24"/>
        </w:rPr>
        <w:t xml:space="preserve">. </w:t>
      </w:r>
      <w:r w:rsidRPr="00364AE7">
        <w:rPr>
          <w:color w:val="000000" w:themeColor="text1"/>
          <w:sz w:val="24"/>
          <w:szCs w:val="24"/>
        </w:rPr>
        <w:t xml:space="preserve">It is a Gram-negative, non-motile, rod approximately </w:t>
      </w:r>
      <w:r w:rsidRPr="00364AE7">
        <w:rPr>
          <w:sz w:val="24"/>
          <w:szCs w:val="24"/>
        </w:rPr>
        <w:t>0.8 µm wide by 1.3 µm long. When growing on solid media in the presence of methane, it is yellow, circular, and convex with an entire margin and has a diameter of approximately 3 mm. It is capable of growth on methane and methanol. It grows optimally at 30 °C but can tolerate temperatures between 10-35 °C. It also grows optimally between pH 6.5-7.0 but can tolerate pH values between 5.5-8.5. Strain NLS-7</w:t>
      </w:r>
      <w:r w:rsidRPr="00364AE7">
        <w:rPr>
          <w:sz w:val="24"/>
          <w:szCs w:val="24"/>
          <w:vertAlign w:val="superscript"/>
        </w:rPr>
        <w:t>T</w:t>
      </w:r>
      <w:r w:rsidRPr="00364AE7">
        <w:rPr>
          <w:sz w:val="24"/>
          <w:szCs w:val="24"/>
        </w:rPr>
        <w:t xml:space="preserve"> tolerates NaCl concentrations up to 0.75% (w/v). Strain NLS-7</w:t>
      </w:r>
      <w:r w:rsidRPr="00364AE7">
        <w:rPr>
          <w:sz w:val="24"/>
          <w:szCs w:val="24"/>
          <w:vertAlign w:val="superscript"/>
        </w:rPr>
        <w:t>T</w:t>
      </w:r>
      <w:r w:rsidRPr="00364AE7">
        <w:rPr>
          <w:sz w:val="24"/>
          <w:szCs w:val="24"/>
        </w:rPr>
        <w:t xml:space="preserve"> is capable of atmospheric dinitrogen fixation and can use ammonium (as NH</w:t>
      </w:r>
      <w:r w:rsidRPr="00364AE7">
        <w:rPr>
          <w:sz w:val="24"/>
          <w:szCs w:val="24"/>
          <w:vertAlign w:val="subscript"/>
        </w:rPr>
        <w:t>4</w:t>
      </w:r>
      <w:r w:rsidRPr="00364AE7">
        <w:rPr>
          <w:sz w:val="24"/>
          <w:szCs w:val="24"/>
        </w:rPr>
        <w:t xml:space="preserve">Cl), L-aspartate, L-arginine, yeast extract, nitrate, L-leucine, L-proline, L-methionine, L-lysine, and L-alanine as nitrogen sources. The major fatty acids are C18 : 1 ω8c, C18 : 1 ω7c. </w:t>
      </w:r>
      <w:r w:rsidRPr="00364AE7">
        <w:rPr>
          <w:rFonts w:eastAsia="Times New Roman"/>
          <w:sz w:val="24"/>
          <w:szCs w:val="24"/>
        </w:rPr>
        <w:t>The type strain is NLS-7</w:t>
      </w:r>
      <w:r w:rsidRPr="00364AE7">
        <w:rPr>
          <w:rFonts w:eastAsia="Times New Roman"/>
          <w:sz w:val="24"/>
          <w:szCs w:val="24"/>
          <w:vertAlign w:val="superscript"/>
        </w:rPr>
        <w:t>T</w:t>
      </w:r>
      <w:r w:rsidRPr="00364AE7">
        <w:rPr>
          <w:rFonts w:eastAsia="Times New Roman"/>
          <w:sz w:val="24"/>
          <w:szCs w:val="24"/>
        </w:rPr>
        <w:t xml:space="preserve"> (= ATCC TSD-256 = DSM 112294). The 16S rRNA gene and genome sequences of strain </w:t>
      </w:r>
      <w:r w:rsidRPr="00364AE7">
        <w:rPr>
          <w:color w:val="000000" w:themeColor="text1"/>
          <w:sz w:val="24"/>
          <w:szCs w:val="24"/>
        </w:rPr>
        <w:t>NLS-7</w:t>
      </w:r>
      <w:r w:rsidRPr="00364AE7">
        <w:rPr>
          <w:color w:val="000000" w:themeColor="text1"/>
          <w:sz w:val="24"/>
          <w:szCs w:val="24"/>
          <w:vertAlign w:val="superscript"/>
        </w:rPr>
        <w:t xml:space="preserve">T </w:t>
      </w:r>
      <w:r w:rsidRPr="00364AE7">
        <w:rPr>
          <w:rFonts w:eastAsia="Times New Roman"/>
          <w:sz w:val="24"/>
          <w:szCs w:val="24"/>
        </w:rPr>
        <w:t>have been deposited in GenBank under accession numbers ON715489 and GCA_024448135.1, respectively.</w:t>
      </w:r>
    </w:p>
    <w:p w14:paraId="5F074F0A" w14:textId="77777777" w:rsidR="00A550AA" w:rsidRPr="00A550AA" w:rsidRDefault="00A550AA" w:rsidP="00A550AA">
      <w:pPr>
        <w:spacing w:line="480" w:lineRule="auto"/>
        <w:rPr>
          <w:b/>
          <w:bCs/>
          <w:sz w:val="24"/>
          <w:szCs w:val="24"/>
        </w:rPr>
      </w:pPr>
      <w:r w:rsidRPr="00A550AA">
        <w:rPr>
          <w:b/>
          <w:bCs/>
          <w:sz w:val="24"/>
          <w:szCs w:val="24"/>
        </w:rPr>
        <w:t>Funding information</w:t>
      </w:r>
    </w:p>
    <w:p w14:paraId="7C37921C" w14:textId="2252E9E9" w:rsidR="00A550AA" w:rsidRPr="00A550AA" w:rsidRDefault="00A550AA" w:rsidP="00A550AA">
      <w:pPr>
        <w:spacing w:line="480" w:lineRule="auto"/>
        <w:rPr>
          <w:sz w:val="24"/>
          <w:szCs w:val="24"/>
        </w:rPr>
      </w:pPr>
      <w:r w:rsidRPr="00A550AA">
        <w:rPr>
          <w:sz w:val="24"/>
          <w:szCs w:val="24"/>
        </w:rPr>
        <w:lastRenderedPageBreak/>
        <w:t>This work was supported by the National Science Foundation grant No. 1 736 255 under a subcontract from South Dakota School of Mines and</w:t>
      </w:r>
      <w:r>
        <w:rPr>
          <w:sz w:val="24"/>
          <w:szCs w:val="24"/>
        </w:rPr>
        <w:t xml:space="preserve"> </w:t>
      </w:r>
      <w:r w:rsidRPr="00A550AA">
        <w:rPr>
          <w:sz w:val="24"/>
          <w:szCs w:val="24"/>
        </w:rPr>
        <w:t>Technology through the EPSCoR RII Track-2</w:t>
      </w:r>
      <w:r>
        <w:rPr>
          <w:sz w:val="24"/>
          <w:szCs w:val="24"/>
        </w:rPr>
        <w:t xml:space="preserve"> </w:t>
      </w:r>
      <w:r w:rsidRPr="00A550AA">
        <w:rPr>
          <w:sz w:val="24"/>
          <w:szCs w:val="24"/>
        </w:rPr>
        <w:t>FEC program.</w:t>
      </w:r>
    </w:p>
    <w:p w14:paraId="125C2F79" w14:textId="77777777" w:rsidR="00A550AA" w:rsidRDefault="00A550AA" w:rsidP="00A550AA">
      <w:pPr>
        <w:spacing w:line="480" w:lineRule="auto"/>
        <w:rPr>
          <w:b/>
          <w:bCs/>
          <w:sz w:val="24"/>
          <w:szCs w:val="24"/>
        </w:rPr>
      </w:pPr>
    </w:p>
    <w:p w14:paraId="7AED3361" w14:textId="61E4674F" w:rsidR="00A550AA" w:rsidRPr="00A550AA" w:rsidRDefault="00A550AA" w:rsidP="00A550AA">
      <w:pPr>
        <w:spacing w:line="480" w:lineRule="auto"/>
        <w:rPr>
          <w:b/>
          <w:bCs/>
          <w:sz w:val="24"/>
          <w:szCs w:val="24"/>
        </w:rPr>
      </w:pPr>
      <w:r w:rsidRPr="00A550AA">
        <w:rPr>
          <w:b/>
          <w:bCs/>
          <w:sz w:val="24"/>
          <w:szCs w:val="24"/>
        </w:rPr>
        <w:t>Acknowledgments</w:t>
      </w:r>
    </w:p>
    <w:p w14:paraId="017DDEC3" w14:textId="28A70B2A" w:rsidR="00A550AA" w:rsidRPr="00A550AA" w:rsidRDefault="00A550AA" w:rsidP="00A550AA">
      <w:pPr>
        <w:spacing w:line="480" w:lineRule="auto"/>
        <w:rPr>
          <w:sz w:val="24"/>
          <w:szCs w:val="24"/>
        </w:rPr>
      </w:pPr>
      <w:r w:rsidRPr="00A550AA">
        <w:rPr>
          <w:sz w:val="24"/>
          <w:szCs w:val="24"/>
        </w:rPr>
        <w:t>We would like to thank Rajesh Sani, Venkata Gadhamshetty, Saurabh Dhiman, Robin Gerlach, Roland Hatzenpichler, Ross Carlson, Connie Chang,</w:t>
      </w:r>
      <w:r>
        <w:rPr>
          <w:sz w:val="24"/>
          <w:szCs w:val="24"/>
        </w:rPr>
        <w:t xml:space="preserve"> </w:t>
      </w:r>
      <w:r w:rsidRPr="00A550AA">
        <w:rPr>
          <w:sz w:val="24"/>
          <w:szCs w:val="24"/>
        </w:rPr>
        <w:t>Matthew Fields, Ellen Lauchnor, Brent Peyton, Andrew Elwood Madden, Joi Trammell, Ravi Manjhi and Chuang Li for helpful discussions and</w:t>
      </w:r>
      <w:r>
        <w:rPr>
          <w:sz w:val="24"/>
          <w:szCs w:val="24"/>
        </w:rPr>
        <w:t xml:space="preserve"> </w:t>
      </w:r>
      <w:r w:rsidRPr="00A550AA">
        <w:rPr>
          <w:sz w:val="24"/>
          <w:szCs w:val="24"/>
        </w:rPr>
        <w:t>suggestions. We would also like to acknowledge the Oklahoma Medical Research Foundation for TEM imaging, and Ralph Tanner and Neil Wofford for</w:t>
      </w:r>
      <w:r>
        <w:rPr>
          <w:sz w:val="24"/>
          <w:szCs w:val="24"/>
        </w:rPr>
        <w:t xml:space="preserve"> </w:t>
      </w:r>
      <w:r w:rsidRPr="00A550AA">
        <w:rPr>
          <w:sz w:val="24"/>
          <w:szCs w:val="24"/>
        </w:rPr>
        <w:t>provision of reagents and equipment.</w:t>
      </w:r>
    </w:p>
    <w:p w14:paraId="54D78E91" w14:textId="77777777" w:rsidR="00A550AA" w:rsidRPr="00A550AA" w:rsidRDefault="00A550AA" w:rsidP="00A550AA">
      <w:pPr>
        <w:spacing w:line="480" w:lineRule="auto"/>
        <w:rPr>
          <w:b/>
          <w:bCs/>
          <w:sz w:val="24"/>
          <w:szCs w:val="24"/>
        </w:rPr>
      </w:pPr>
      <w:r w:rsidRPr="00A550AA">
        <w:rPr>
          <w:b/>
          <w:bCs/>
          <w:sz w:val="24"/>
          <w:szCs w:val="24"/>
        </w:rPr>
        <w:t>Author contributions</w:t>
      </w:r>
    </w:p>
    <w:p w14:paraId="54FFA5A5" w14:textId="7B609738" w:rsidR="00A550AA" w:rsidRPr="00A550AA" w:rsidRDefault="00A550AA" w:rsidP="00A550AA">
      <w:pPr>
        <w:spacing w:line="480" w:lineRule="auto"/>
        <w:rPr>
          <w:sz w:val="24"/>
          <w:szCs w:val="24"/>
        </w:rPr>
      </w:pPr>
      <w:r w:rsidRPr="00A550AA">
        <w:rPr>
          <w:sz w:val="24"/>
          <w:szCs w:val="24"/>
        </w:rPr>
        <w:t>Conceptualization of ideas related to overarching research goals and aims was done by C.T.G. and L.R.K. Biochemical and physiological data were</w:t>
      </w:r>
      <w:r>
        <w:rPr>
          <w:sz w:val="24"/>
          <w:szCs w:val="24"/>
        </w:rPr>
        <w:t xml:space="preserve"> </w:t>
      </w:r>
      <w:r w:rsidRPr="00A550AA">
        <w:rPr>
          <w:sz w:val="24"/>
          <w:szCs w:val="24"/>
        </w:rPr>
        <w:t>curated, maintained, and formally analysed by C.T.G. and genomic and phylogenetic data were curated, maintained and formally analysed</w:t>
      </w:r>
      <w:r>
        <w:rPr>
          <w:sz w:val="24"/>
          <w:szCs w:val="24"/>
        </w:rPr>
        <w:t xml:space="preserve"> </w:t>
      </w:r>
      <w:r w:rsidRPr="00A550AA">
        <w:rPr>
          <w:sz w:val="24"/>
          <w:szCs w:val="24"/>
        </w:rPr>
        <w:t>by C.T.G. and</w:t>
      </w:r>
      <w:r>
        <w:rPr>
          <w:sz w:val="24"/>
          <w:szCs w:val="24"/>
        </w:rPr>
        <w:t xml:space="preserve"> </w:t>
      </w:r>
      <w:r w:rsidRPr="00A550AA">
        <w:rPr>
          <w:sz w:val="24"/>
          <w:szCs w:val="24"/>
        </w:rPr>
        <w:t>H.C. Development and design of methodology was performed by C.T.G., L.R.K., C.A.A., K.S., H.C. and P.A.L. Research and investigation was conducted by</w:t>
      </w:r>
      <w:r>
        <w:rPr>
          <w:sz w:val="24"/>
          <w:szCs w:val="24"/>
        </w:rPr>
        <w:t xml:space="preserve"> </w:t>
      </w:r>
      <w:r w:rsidRPr="00A550AA">
        <w:rPr>
          <w:sz w:val="24"/>
          <w:szCs w:val="24"/>
        </w:rPr>
        <w:t>C.T.G., R.M.G., C.A.A., K.S. and P.A.L. Management and coordination for the research activities was done by L.R.K. Oversight and leadership responsibility</w:t>
      </w:r>
      <w:r>
        <w:rPr>
          <w:sz w:val="24"/>
          <w:szCs w:val="24"/>
        </w:rPr>
        <w:t xml:space="preserve"> </w:t>
      </w:r>
      <w:r w:rsidRPr="00A550AA">
        <w:rPr>
          <w:sz w:val="24"/>
          <w:szCs w:val="24"/>
        </w:rPr>
        <w:t>for research activity and execution including mentorship external to the core team was done by L.R.K. and C.A.A. Provision of study materials, reagents,</w:t>
      </w:r>
      <w:r>
        <w:rPr>
          <w:sz w:val="24"/>
          <w:szCs w:val="24"/>
        </w:rPr>
        <w:t xml:space="preserve"> </w:t>
      </w:r>
      <w:r w:rsidRPr="00A550AA">
        <w:rPr>
          <w:sz w:val="24"/>
          <w:szCs w:val="24"/>
        </w:rPr>
        <w:t>materials, laboratory samples, instrumentation, computing resources and other analysis tools were provided by L.R.K., P.A.L., K.S. and the Oklahoma</w:t>
      </w:r>
      <w:r>
        <w:rPr>
          <w:sz w:val="24"/>
          <w:szCs w:val="24"/>
        </w:rPr>
        <w:t xml:space="preserve"> </w:t>
      </w:r>
      <w:r w:rsidRPr="00A550AA">
        <w:rPr>
          <w:sz w:val="24"/>
          <w:szCs w:val="24"/>
        </w:rPr>
        <w:t xml:space="preserve">Medical Research </w:t>
      </w:r>
      <w:r w:rsidRPr="00A550AA">
        <w:rPr>
          <w:sz w:val="24"/>
          <w:szCs w:val="24"/>
        </w:rPr>
        <w:lastRenderedPageBreak/>
        <w:t>Foundation. Verification of replication and reproducibility of the experiments and results was done by L.R.K., C.A.A., K.S. and P.A.L.</w:t>
      </w:r>
      <w:r>
        <w:rPr>
          <w:sz w:val="24"/>
          <w:szCs w:val="24"/>
        </w:rPr>
        <w:t xml:space="preserve"> </w:t>
      </w:r>
      <w:r w:rsidRPr="00A550AA">
        <w:rPr>
          <w:sz w:val="24"/>
          <w:szCs w:val="24"/>
        </w:rPr>
        <w:t>Preparation, creation, and presentation of the published work, specifically with visualization and data, was done by C.T.G., L.R.K., K.S., H.C. and P.A.L.</w:t>
      </w:r>
      <w:r>
        <w:rPr>
          <w:sz w:val="24"/>
          <w:szCs w:val="24"/>
        </w:rPr>
        <w:t xml:space="preserve"> </w:t>
      </w:r>
      <w:r w:rsidRPr="00A550AA">
        <w:rPr>
          <w:sz w:val="24"/>
          <w:szCs w:val="24"/>
        </w:rPr>
        <w:t>Writing and preparation of the original draft was done by C.T.G., L.R.K., K.S., H.C. and R.M.G. Writing, including review, editing and critical commentary</w:t>
      </w:r>
      <w:r>
        <w:rPr>
          <w:sz w:val="24"/>
          <w:szCs w:val="24"/>
        </w:rPr>
        <w:t xml:space="preserve"> </w:t>
      </w:r>
      <w:r w:rsidRPr="00A550AA">
        <w:rPr>
          <w:sz w:val="24"/>
          <w:szCs w:val="24"/>
        </w:rPr>
        <w:t>and revision was done by C.T.G., L.R.K., K.S. and P.A.L.</w:t>
      </w:r>
    </w:p>
    <w:p w14:paraId="566C7E25" w14:textId="77777777" w:rsidR="00364AE7" w:rsidRPr="00364AE7" w:rsidRDefault="00364AE7" w:rsidP="00364AE7">
      <w:pPr>
        <w:rPr>
          <w:b/>
          <w:bCs/>
          <w:sz w:val="24"/>
          <w:szCs w:val="24"/>
        </w:rPr>
      </w:pPr>
    </w:p>
    <w:p w14:paraId="61F60B97" w14:textId="1BCA33BE" w:rsidR="00AC3348" w:rsidRPr="004F5205" w:rsidRDefault="00AC3348" w:rsidP="00A550AA">
      <w:pPr>
        <w:pStyle w:val="Heading3"/>
        <w:jc w:val="center"/>
      </w:pPr>
      <w:bookmarkStart w:id="40" w:name="_Toc167115827"/>
      <w:r w:rsidRPr="004F5205">
        <w:t>Supplement to Chapter 1</w:t>
      </w:r>
      <w:bookmarkEnd w:id="40"/>
    </w:p>
    <w:tbl>
      <w:tblPr>
        <w:tblW w:w="9370" w:type="dxa"/>
        <w:tblLayout w:type="fixed"/>
        <w:tblLook w:val="04A0" w:firstRow="1" w:lastRow="0" w:firstColumn="1" w:lastColumn="0" w:noHBand="0" w:noVBand="1"/>
      </w:tblPr>
      <w:tblGrid>
        <w:gridCol w:w="2520"/>
        <w:gridCol w:w="1049"/>
        <w:gridCol w:w="723"/>
        <w:gridCol w:w="747"/>
        <w:gridCol w:w="721"/>
        <w:gridCol w:w="720"/>
        <w:gridCol w:w="718"/>
        <w:gridCol w:w="713"/>
        <w:gridCol w:w="729"/>
        <w:gridCol w:w="720"/>
        <w:gridCol w:w="10"/>
      </w:tblGrid>
      <w:tr w:rsidR="00AC3348" w:rsidRPr="004F5205" w14:paraId="3CB7ABF4" w14:textId="77777777" w:rsidTr="003A1B56">
        <w:trPr>
          <w:trHeight w:val="375"/>
        </w:trPr>
        <w:tc>
          <w:tcPr>
            <w:tcW w:w="9370" w:type="dxa"/>
            <w:gridSpan w:val="11"/>
            <w:tcBorders>
              <w:top w:val="nil"/>
              <w:left w:val="nil"/>
              <w:bottom w:val="nil"/>
              <w:right w:val="nil"/>
            </w:tcBorders>
            <w:shd w:val="clear" w:color="auto" w:fill="auto"/>
            <w:noWrap/>
            <w:vAlign w:val="bottom"/>
            <w:hideMark/>
          </w:tcPr>
          <w:p w14:paraId="0046F1D2" w14:textId="77777777" w:rsidR="00AC3348" w:rsidRPr="004F5205" w:rsidRDefault="00AC3348" w:rsidP="001D6813">
            <w:pPr>
              <w:rPr>
                <w:rFonts w:eastAsia="Times New Roman"/>
                <w:color w:val="000000"/>
              </w:rPr>
            </w:pPr>
            <w:r w:rsidRPr="004F5205">
              <w:rPr>
                <w:rFonts w:eastAsia="Times New Roman"/>
                <w:b/>
                <w:bCs/>
                <w:color w:val="000000"/>
              </w:rPr>
              <w:t>Supplemental Table 1</w:t>
            </w:r>
            <w:r w:rsidRPr="004F5205">
              <w:rPr>
                <w:rFonts w:eastAsia="Times New Roman"/>
                <w:color w:val="000000"/>
              </w:rPr>
              <w:t xml:space="preserve">: 16S sequence identity based on NCBI's blastn pairwise comparison of genome extracted 16S rRNA genes for each member of the genus </w:t>
            </w:r>
            <w:r w:rsidRPr="004F5205">
              <w:rPr>
                <w:rFonts w:eastAsia="Times New Roman"/>
                <w:i/>
                <w:iCs/>
                <w:color w:val="000000"/>
              </w:rPr>
              <w:t xml:space="preserve">Methylocystis </w:t>
            </w:r>
            <w:r w:rsidRPr="004F5205">
              <w:rPr>
                <w:rFonts w:eastAsia="Times New Roman"/>
                <w:color w:val="000000"/>
              </w:rPr>
              <w:t>and strain NLS-7</w:t>
            </w:r>
            <w:r w:rsidRPr="004F5205">
              <w:rPr>
                <w:rFonts w:eastAsia="Times New Roman"/>
                <w:color w:val="000000"/>
                <w:vertAlign w:val="superscript"/>
              </w:rPr>
              <w:t>T</w:t>
            </w:r>
            <w:r w:rsidRPr="004F5205">
              <w:rPr>
                <w:rFonts w:eastAsia="Times New Roman"/>
                <w:color w:val="000000"/>
              </w:rPr>
              <w:t>. Percentages above 98% are bolded.</w:t>
            </w:r>
          </w:p>
        </w:tc>
      </w:tr>
      <w:tr w:rsidR="003A1B56" w:rsidRPr="004F5205" w14:paraId="0B0DE94E" w14:textId="77777777" w:rsidTr="003A1B56">
        <w:trPr>
          <w:gridAfter w:val="1"/>
          <w:wAfter w:w="10" w:type="dxa"/>
          <w:trHeight w:val="316"/>
        </w:trPr>
        <w:tc>
          <w:tcPr>
            <w:tcW w:w="25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C7EFD" w14:textId="77777777" w:rsidR="00AC3348" w:rsidRPr="004F5205" w:rsidRDefault="00AC3348" w:rsidP="001D6813">
            <w:pPr>
              <w:rPr>
                <w:rFonts w:eastAsia="Times New Roman"/>
                <w:b/>
                <w:bCs/>
                <w:color w:val="000000"/>
              </w:rPr>
            </w:pPr>
            <w:r w:rsidRPr="004F5205">
              <w:rPr>
                <w:rFonts w:eastAsia="Times New Roman"/>
                <w:b/>
                <w:bCs/>
                <w:color w:val="000000"/>
              </w:rPr>
              <w:t>Species</w:t>
            </w:r>
          </w:p>
        </w:tc>
        <w:tc>
          <w:tcPr>
            <w:tcW w:w="1049" w:type="dxa"/>
            <w:tcBorders>
              <w:top w:val="single" w:sz="4" w:space="0" w:color="auto"/>
              <w:left w:val="nil"/>
              <w:bottom w:val="single" w:sz="4" w:space="0" w:color="auto"/>
              <w:right w:val="single" w:sz="4" w:space="0" w:color="auto"/>
            </w:tcBorders>
            <w:shd w:val="clear" w:color="auto" w:fill="auto"/>
            <w:noWrap/>
            <w:vAlign w:val="center"/>
            <w:hideMark/>
          </w:tcPr>
          <w:p w14:paraId="2AB0A5D9" w14:textId="77777777" w:rsidR="00AC3348" w:rsidRPr="004F5205" w:rsidRDefault="00AC3348" w:rsidP="001D6813">
            <w:pPr>
              <w:jc w:val="center"/>
              <w:rPr>
                <w:rFonts w:eastAsia="Times New Roman"/>
                <w:color w:val="000000"/>
              </w:rPr>
            </w:pPr>
            <w:r w:rsidRPr="004F5205">
              <w:rPr>
                <w:rFonts w:eastAsia="Times New Roman"/>
                <w:color w:val="000000"/>
              </w:rPr>
              <w:t>[1]</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55D74C13" w14:textId="77777777" w:rsidR="00AC3348" w:rsidRPr="004F5205" w:rsidRDefault="00AC3348" w:rsidP="001D6813">
            <w:pPr>
              <w:jc w:val="center"/>
              <w:rPr>
                <w:rFonts w:eastAsia="Times New Roman"/>
                <w:color w:val="000000"/>
              </w:rPr>
            </w:pPr>
            <w:r w:rsidRPr="004F5205">
              <w:rPr>
                <w:rFonts w:eastAsia="Times New Roman"/>
                <w:color w:val="000000"/>
              </w:rPr>
              <w:t>[2]</w:t>
            </w:r>
          </w:p>
        </w:tc>
        <w:tc>
          <w:tcPr>
            <w:tcW w:w="747" w:type="dxa"/>
            <w:tcBorders>
              <w:top w:val="single" w:sz="4" w:space="0" w:color="auto"/>
              <w:left w:val="nil"/>
              <w:bottom w:val="single" w:sz="4" w:space="0" w:color="auto"/>
              <w:right w:val="single" w:sz="4" w:space="0" w:color="auto"/>
            </w:tcBorders>
            <w:shd w:val="clear" w:color="auto" w:fill="auto"/>
            <w:noWrap/>
            <w:vAlign w:val="center"/>
            <w:hideMark/>
          </w:tcPr>
          <w:p w14:paraId="3F8E515D" w14:textId="77777777" w:rsidR="00AC3348" w:rsidRPr="004F5205" w:rsidRDefault="00AC3348" w:rsidP="001D6813">
            <w:pPr>
              <w:jc w:val="center"/>
              <w:rPr>
                <w:rFonts w:eastAsia="Times New Roman"/>
                <w:color w:val="000000"/>
              </w:rPr>
            </w:pPr>
            <w:r w:rsidRPr="004F5205">
              <w:rPr>
                <w:rFonts w:eastAsia="Times New Roman"/>
                <w:color w:val="000000"/>
              </w:rPr>
              <w:t>[3]</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14:paraId="51D43C2B" w14:textId="77777777" w:rsidR="00AC3348" w:rsidRPr="004F5205" w:rsidRDefault="00AC3348" w:rsidP="001D6813">
            <w:pPr>
              <w:jc w:val="center"/>
              <w:rPr>
                <w:rFonts w:eastAsia="Times New Roman"/>
                <w:color w:val="000000"/>
              </w:rPr>
            </w:pPr>
            <w:r w:rsidRPr="004F5205">
              <w:rPr>
                <w:rFonts w:eastAsia="Times New Roman"/>
                <w:color w:val="000000"/>
              </w:rPr>
              <w:t>[4]</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5615203A" w14:textId="77777777" w:rsidR="00AC3348" w:rsidRPr="004F5205" w:rsidRDefault="00AC3348" w:rsidP="001D6813">
            <w:pPr>
              <w:jc w:val="center"/>
              <w:rPr>
                <w:rFonts w:eastAsia="Times New Roman"/>
                <w:color w:val="000000"/>
              </w:rPr>
            </w:pPr>
            <w:r w:rsidRPr="004F5205">
              <w:rPr>
                <w:rFonts w:eastAsia="Times New Roman"/>
                <w:color w:val="000000"/>
              </w:rPr>
              <w:t>[5]</w:t>
            </w:r>
          </w:p>
        </w:tc>
        <w:tc>
          <w:tcPr>
            <w:tcW w:w="718" w:type="dxa"/>
            <w:tcBorders>
              <w:top w:val="single" w:sz="4" w:space="0" w:color="auto"/>
              <w:left w:val="nil"/>
              <w:bottom w:val="single" w:sz="4" w:space="0" w:color="auto"/>
              <w:right w:val="single" w:sz="4" w:space="0" w:color="auto"/>
            </w:tcBorders>
            <w:shd w:val="clear" w:color="auto" w:fill="auto"/>
            <w:noWrap/>
            <w:vAlign w:val="center"/>
            <w:hideMark/>
          </w:tcPr>
          <w:p w14:paraId="03822C69" w14:textId="77777777" w:rsidR="00AC3348" w:rsidRPr="004F5205" w:rsidRDefault="00AC3348" w:rsidP="001D6813">
            <w:pPr>
              <w:jc w:val="center"/>
              <w:rPr>
                <w:rFonts w:eastAsia="Times New Roman"/>
                <w:color w:val="000000"/>
              </w:rPr>
            </w:pPr>
            <w:r w:rsidRPr="004F5205">
              <w:rPr>
                <w:rFonts w:eastAsia="Times New Roman"/>
                <w:color w:val="000000"/>
              </w:rPr>
              <w:t>[6]</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33EE7BBB" w14:textId="77777777" w:rsidR="00AC3348" w:rsidRPr="004F5205" w:rsidRDefault="00AC3348" w:rsidP="001D6813">
            <w:pPr>
              <w:jc w:val="center"/>
              <w:rPr>
                <w:rFonts w:eastAsia="Times New Roman"/>
                <w:color w:val="000000"/>
              </w:rPr>
            </w:pPr>
            <w:r w:rsidRPr="004F5205">
              <w:rPr>
                <w:rFonts w:eastAsia="Times New Roman"/>
                <w:color w:val="000000"/>
              </w:rPr>
              <w:t>[7]</w:t>
            </w:r>
          </w:p>
        </w:tc>
        <w:tc>
          <w:tcPr>
            <w:tcW w:w="729" w:type="dxa"/>
            <w:tcBorders>
              <w:top w:val="single" w:sz="4" w:space="0" w:color="auto"/>
              <w:left w:val="nil"/>
              <w:bottom w:val="single" w:sz="4" w:space="0" w:color="auto"/>
              <w:right w:val="single" w:sz="4" w:space="0" w:color="auto"/>
            </w:tcBorders>
            <w:shd w:val="clear" w:color="auto" w:fill="auto"/>
            <w:noWrap/>
            <w:vAlign w:val="center"/>
            <w:hideMark/>
          </w:tcPr>
          <w:p w14:paraId="5F0D88A0" w14:textId="77777777" w:rsidR="00AC3348" w:rsidRPr="004F5205" w:rsidRDefault="00AC3348" w:rsidP="001D6813">
            <w:pPr>
              <w:jc w:val="center"/>
              <w:rPr>
                <w:rFonts w:eastAsia="Times New Roman"/>
                <w:color w:val="000000"/>
              </w:rPr>
            </w:pPr>
            <w:r w:rsidRPr="004F5205">
              <w:rPr>
                <w:rFonts w:eastAsia="Times New Roman"/>
                <w:color w:val="000000"/>
              </w:rPr>
              <w:t>[8]</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253F5E35" w14:textId="77777777" w:rsidR="00AC3348" w:rsidRPr="004F5205" w:rsidRDefault="00AC3348" w:rsidP="001D6813">
            <w:pPr>
              <w:jc w:val="center"/>
              <w:rPr>
                <w:rFonts w:eastAsia="Times New Roman"/>
                <w:color w:val="000000"/>
              </w:rPr>
            </w:pPr>
            <w:r w:rsidRPr="004F5205">
              <w:rPr>
                <w:rFonts w:eastAsia="Times New Roman"/>
                <w:color w:val="000000"/>
              </w:rPr>
              <w:t>[9]</w:t>
            </w:r>
          </w:p>
        </w:tc>
      </w:tr>
      <w:tr w:rsidR="003A1B56" w:rsidRPr="004F5205" w14:paraId="32018207"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FBC04D8" w14:textId="5959FD6F"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bryophila</w:t>
            </w:r>
            <w:r w:rsidRPr="004F5205">
              <w:rPr>
                <w:rFonts w:eastAsia="Times New Roman"/>
                <w:color w:val="000000"/>
              </w:rPr>
              <w:t xml:space="preserve"> S285 [1]</w:t>
            </w:r>
          </w:p>
        </w:tc>
        <w:tc>
          <w:tcPr>
            <w:tcW w:w="1049" w:type="dxa"/>
            <w:tcBorders>
              <w:top w:val="nil"/>
              <w:left w:val="nil"/>
              <w:bottom w:val="single" w:sz="4" w:space="0" w:color="auto"/>
              <w:right w:val="single" w:sz="4" w:space="0" w:color="auto"/>
            </w:tcBorders>
            <w:shd w:val="clear" w:color="auto" w:fill="auto"/>
            <w:noWrap/>
            <w:vAlign w:val="center"/>
            <w:hideMark/>
          </w:tcPr>
          <w:p w14:paraId="5B128C16"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23" w:type="dxa"/>
            <w:tcBorders>
              <w:top w:val="nil"/>
              <w:left w:val="nil"/>
              <w:bottom w:val="single" w:sz="4" w:space="0" w:color="auto"/>
              <w:right w:val="single" w:sz="4" w:space="0" w:color="auto"/>
            </w:tcBorders>
            <w:shd w:val="clear" w:color="auto" w:fill="auto"/>
            <w:noWrap/>
            <w:vAlign w:val="center"/>
            <w:hideMark/>
          </w:tcPr>
          <w:p w14:paraId="71951BFA" w14:textId="77777777" w:rsidR="00AC3348" w:rsidRPr="004F5205" w:rsidRDefault="00AC3348" w:rsidP="001D6813">
            <w:pPr>
              <w:jc w:val="center"/>
              <w:rPr>
                <w:rFonts w:eastAsia="Times New Roman"/>
                <w:color w:val="000000"/>
              </w:rPr>
            </w:pPr>
            <w:r w:rsidRPr="004F5205">
              <w:rPr>
                <w:rFonts w:eastAsia="Times New Roman"/>
                <w:color w:val="000000"/>
              </w:rPr>
              <w:t>97.71</w:t>
            </w:r>
          </w:p>
        </w:tc>
        <w:tc>
          <w:tcPr>
            <w:tcW w:w="747" w:type="dxa"/>
            <w:tcBorders>
              <w:top w:val="nil"/>
              <w:left w:val="nil"/>
              <w:bottom w:val="single" w:sz="4" w:space="0" w:color="auto"/>
              <w:right w:val="single" w:sz="4" w:space="0" w:color="auto"/>
            </w:tcBorders>
            <w:shd w:val="clear" w:color="auto" w:fill="auto"/>
            <w:noWrap/>
            <w:vAlign w:val="center"/>
            <w:hideMark/>
          </w:tcPr>
          <w:p w14:paraId="005F4CEC" w14:textId="77777777" w:rsidR="00AC3348" w:rsidRPr="004F5205" w:rsidRDefault="00AC3348" w:rsidP="001D6813">
            <w:pPr>
              <w:jc w:val="center"/>
              <w:rPr>
                <w:rFonts w:eastAsia="Times New Roman"/>
                <w:color w:val="000000"/>
              </w:rPr>
            </w:pPr>
            <w:r w:rsidRPr="004F5205">
              <w:rPr>
                <w:rFonts w:eastAsia="Times New Roman"/>
                <w:color w:val="000000"/>
              </w:rPr>
              <w:t>97.51</w:t>
            </w:r>
          </w:p>
        </w:tc>
        <w:tc>
          <w:tcPr>
            <w:tcW w:w="721" w:type="dxa"/>
            <w:tcBorders>
              <w:top w:val="nil"/>
              <w:left w:val="nil"/>
              <w:bottom w:val="single" w:sz="4" w:space="0" w:color="auto"/>
              <w:right w:val="single" w:sz="4" w:space="0" w:color="auto"/>
            </w:tcBorders>
            <w:shd w:val="clear" w:color="auto" w:fill="auto"/>
            <w:noWrap/>
            <w:vAlign w:val="center"/>
            <w:hideMark/>
          </w:tcPr>
          <w:p w14:paraId="63169A07" w14:textId="77777777" w:rsidR="00AC3348" w:rsidRPr="004F5205" w:rsidRDefault="00AC3348" w:rsidP="001D6813">
            <w:pPr>
              <w:jc w:val="center"/>
              <w:rPr>
                <w:rFonts w:eastAsia="Times New Roman"/>
                <w:color w:val="000000"/>
              </w:rPr>
            </w:pPr>
            <w:r w:rsidRPr="004F5205">
              <w:rPr>
                <w:rFonts w:eastAsia="Times New Roman"/>
                <w:color w:val="000000"/>
              </w:rPr>
              <w:t>97.31</w:t>
            </w:r>
          </w:p>
        </w:tc>
        <w:tc>
          <w:tcPr>
            <w:tcW w:w="720" w:type="dxa"/>
            <w:tcBorders>
              <w:top w:val="nil"/>
              <w:left w:val="nil"/>
              <w:bottom w:val="single" w:sz="4" w:space="0" w:color="auto"/>
              <w:right w:val="single" w:sz="4" w:space="0" w:color="auto"/>
            </w:tcBorders>
            <w:shd w:val="clear" w:color="auto" w:fill="auto"/>
            <w:noWrap/>
            <w:vAlign w:val="center"/>
            <w:hideMark/>
          </w:tcPr>
          <w:p w14:paraId="751FE365" w14:textId="77777777" w:rsidR="00AC3348" w:rsidRPr="004F5205" w:rsidRDefault="00AC3348" w:rsidP="001D6813">
            <w:pPr>
              <w:jc w:val="center"/>
              <w:rPr>
                <w:rFonts w:eastAsia="Times New Roman"/>
                <w:color w:val="000000"/>
              </w:rPr>
            </w:pPr>
            <w:r w:rsidRPr="004F5205">
              <w:rPr>
                <w:rFonts w:eastAsia="Times New Roman"/>
                <w:color w:val="000000"/>
              </w:rPr>
              <w:t>97.44</w:t>
            </w:r>
          </w:p>
        </w:tc>
        <w:tc>
          <w:tcPr>
            <w:tcW w:w="718" w:type="dxa"/>
            <w:tcBorders>
              <w:top w:val="nil"/>
              <w:left w:val="nil"/>
              <w:bottom w:val="single" w:sz="4" w:space="0" w:color="auto"/>
              <w:right w:val="single" w:sz="4" w:space="0" w:color="auto"/>
            </w:tcBorders>
            <w:shd w:val="clear" w:color="auto" w:fill="auto"/>
            <w:noWrap/>
            <w:vAlign w:val="center"/>
            <w:hideMark/>
          </w:tcPr>
          <w:p w14:paraId="636394A6" w14:textId="77777777" w:rsidR="00AC3348" w:rsidRPr="004F5205" w:rsidRDefault="00AC3348" w:rsidP="001D6813">
            <w:pPr>
              <w:jc w:val="center"/>
              <w:rPr>
                <w:rFonts w:eastAsia="Times New Roman"/>
                <w:color w:val="000000"/>
              </w:rPr>
            </w:pPr>
            <w:r w:rsidRPr="004F5205">
              <w:rPr>
                <w:rFonts w:eastAsia="Times New Roman"/>
                <w:color w:val="000000"/>
              </w:rPr>
              <w:t>97.78</w:t>
            </w:r>
          </w:p>
        </w:tc>
        <w:tc>
          <w:tcPr>
            <w:tcW w:w="713" w:type="dxa"/>
            <w:tcBorders>
              <w:top w:val="nil"/>
              <w:left w:val="nil"/>
              <w:bottom w:val="single" w:sz="4" w:space="0" w:color="auto"/>
              <w:right w:val="single" w:sz="4" w:space="0" w:color="auto"/>
            </w:tcBorders>
            <w:shd w:val="clear" w:color="auto" w:fill="auto"/>
            <w:noWrap/>
            <w:vAlign w:val="center"/>
            <w:hideMark/>
          </w:tcPr>
          <w:p w14:paraId="7E4A80FD" w14:textId="77777777" w:rsidR="00AC3348" w:rsidRPr="004F5205" w:rsidRDefault="00AC3348" w:rsidP="001D6813">
            <w:pPr>
              <w:jc w:val="center"/>
              <w:rPr>
                <w:rFonts w:eastAsia="Times New Roman"/>
                <w:color w:val="000000"/>
              </w:rPr>
            </w:pPr>
            <w:r w:rsidRPr="004F5205">
              <w:rPr>
                <w:rFonts w:eastAsia="Times New Roman"/>
                <w:color w:val="000000"/>
              </w:rPr>
              <w:t>97.24</w:t>
            </w:r>
          </w:p>
        </w:tc>
        <w:tc>
          <w:tcPr>
            <w:tcW w:w="729" w:type="dxa"/>
            <w:tcBorders>
              <w:top w:val="nil"/>
              <w:left w:val="nil"/>
              <w:bottom w:val="single" w:sz="4" w:space="0" w:color="auto"/>
              <w:right w:val="single" w:sz="4" w:space="0" w:color="auto"/>
            </w:tcBorders>
            <w:shd w:val="clear" w:color="auto" w:fill="auto"/>
            <w:noWrap/>
            <w:vAlign w:val="center"/>
            <w:hideMark/>
          </w:tcPr>
          <w:p w14:paraId="0B435E34" w14:textId="77777777" w:rsidR="00AC3348" w:rsidRPr="004F5205" w:rsidRDefault="00AC3348" w:rsidP="001D6813">
            <w:pPr>
              <w:jc w:val="center"/>
              <w:rPr>
                <w:rFonts w:eastAsia="Times New Roman"/>
                <w:color w:val="000000"/>
              </w:rPr>
            </w:pPr>
            <w:r w:rsidRPr="004F5205">
              <w:rPr>
                <w:rFonts w:eastAsia="Times New Roman"/>
                <w:color w:val="000000"/>
              </w:rPr>
              <w:t>97.64</w:t>
            </w:r>
          </w:p>
        </w:tc>
        <w:tc>
          <w:tcPr>
            <w:tcW w:w="720" w:type="dxa"/>
            <w:tcBorders>
              <w:top w:val="nil"/>
              <w:left w:val="nil"/>
              <w:bottom w:val="single" w:sz="4" w:space="0" w:color="auto"/>
              <w:right w:val="single" w:sz="4" w:space="0" w:color="auto"/>
            </w:tcBorders>
            <w:shd w:val="clear" w:color="auto" w:fill="auto"/>
            <w:noWrap/>
            <w:vAlign w:val="center"/>
            <w:hideMark/>
          </w:tcPr>
          <w:p w14:paraId="3281A0C5" w14:textId="77777777" w:rsidR="00AC3348" w:rsidRPr="004F5205" w:rsidRDefault="00AC3348" w:rsidP="001D6813">
            <w:pPr>
              <w:jc w:val="center"/>
              <w:rPr>
                <w:rFonts w:eastAsia="Times New Roman"/>
                <w:color w:val="000000"/>
              </w:rPr>
            </w:pPr>
            <w:r w:rsidRPr="004F5205">
              <w:rPr>
                <w:rFonts w:eastAsia="Times New Roman"/>
                <w:color w:val="000000"/>
              </w:rPr>
              <w:t>97.37</w:t>
            </w:r>
          </w:p>
        </w:tc>
      </w:tr>
      <w:tr w:rsidR="003A1B56" w:rsidRPr="004F5205" w14:paraId="76CB537C"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EE625EC" w14:textId="33B81EDB"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echinoides </w:t>
            </w:r>
            <w:r w:rsidRPr="004F5205">
              <w:rPr>
                <w:rFonts w:eastAsia="Times New Roman"/>
                <w:color w:val="000000"/>
              </w:rPr>
              <w:t>LMG27198 [2]</w:t>
            </w:r>
          </w:p>
        </w:tc>
        <w:tc>
          <w:tcPr>
            <w:tcW w:w="1049" w:type="dxa"/>
            <w:tcBorders>
              <w:top w:val="nil"/>
              <w:left w:val="nil"/>
              <w:bottom w:val="single" w:sz="4" w:space="0" w:color="auto"/>
              <w:right w:val="single" w:sz="4" w:space="0" w:color="auto"/>
            </w:tcBorders>
            <w:shd w:val="clear" w:color="auto" w:fill="auto"/>
            <w:noWrap/>
            <w:vAlign w:val="center"/>
            <w:hideMark/>
          </w:tcPr>
          <w:p w14:paraId="5E49D7B4" w14:textId="77777777" w:rsidR="00AC3348" w:rsidRPr="004F5205" w:rsidRDefault="00AC3348" w:rsidP="001D6813">
            <w:pPr>
              <w:jc w:val="center"/>
              <w:rPr>
                <w:rFonts w:eastAsia="Times New Roman"/>
                <w:color w:val="000000"/>
              </w:rPr>
            </w:pPr>
            <w:r w:rsidRPr="004F5205">
              <w:rPr>
                <w:rFonts w:eastAsia="Times New Roman"/>
                <w:color w:val="000000"/>
              </w:rPr>
              <w:t>97.71</w:t>
            </w:r>
          </w:p>
        </w:tc>
        <w:tc>
          <w:tcPr>
            <w:tcW w:w="723" w:type="dxa"/>
            <w:tcBorders>
              <w:top w:val="nil"/>
              <w:left w:val="nil"/>
              <w:bottom w:val="single" w:sz="4" w:space="0" w:color="auto"/>
              <w:right w:val="single" w:sz="4" w:space="0" w:color="auto"/>
            </w:tcBorders>
            <w:shd w:val="clear" w:color="auto" w:fill="auto"/>
            <w:noWrap/>
            <w:vAlign w:val="center"/>
            <w:hideMark/>
          </w:tcPr>
          <w:p w14:paraId="51E4EFBA"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47" w:type="dxa"/>
            <w:tcBorders>
              <w:top w:val="nil"/>
              <w:left w:val="nil"/>
              <w:bottom w:val="single" w:sz="4" w:space="0" w:color="auto"/>
              <w:right w:val="single" w:sz="4" w:space="0" w:color="auto"/>
            </w:tcBorders>
            <w:shd w:val="clear" w:color="auto" w:fill="auto"/>
            <w:noWrap/>
            <w:vAlign w:val="center"/>
            <w:hideMark/>
          </w:tcPr>
          <w:p w14:paraId="56CD9C85" w14:textId="77777777" w:rsidR="00AC3348" w:rsidRPr="004F5205" w:rsidRDefault="00AC3348" w:rsidP="001D6813">
            <w:pPr>
              <w:jc w:val="center"/>
              <w:rPr>
                <w:rFonts w:eastAsia="Times New Roman"/>
                <w:color w:val="000000"/>
              </w:rPr>
            </w:pPr>
            <w:r w:rsidRPr="004F5205">
              <w:rPr>
                <w:rFonts w:eastAsia="Times New Roman"/>
                <w:color w:val="000000"/>
              </w:rPr>
              <w:t>97.24</w:t>
            </w:r>
          </w:p>
        </w:tc>
        <w:tc>
          <w:tcPr>
            <w:tcW w:w="721" w:type="dxa"/>
            <w:tcBorders>
              <w:top w:val="nil"/>
              <w:left w:val="nil"/>
              <w:bottom w:val="single" w:sz="4" w:space="0" w:color="auto"/>
              <w:right w:val="single" w:sz="4" w:space="0" w:color="auto"/>
            </w:tcBorders>
            <w:shd w:val="clear" w:color="auto" w:fill="auto"/>
            <w:noWrap/>
            <w:vAlign w:val="center"/>
            <w:hideMark/>
          </w:tcPr>
          <w:p w14:paraId="28FA6E03" w14:textId="77777777" w:rsidR="00AC3348" w:rsidRPr="004F5205" w:rsidRDefault="00AC3348" w:rsidP="001D6813">
            <w:pPr>
              <w:jc w:val="center"/>
              <w:rPr>
                <w:rFonts w:eastAsia="Times New Roman"/>
                <w:color w:val="000000"/>
              </w:rPr>
            </w:pPr>
            <w:r w:rsidRPr="004F5205">
              <w:rPr>
                <w:rFonts w:eastAsia="Times New Roman"/>
                <w:color w:val="000000"/>
              </w:rPr>
              <w:t>97.91</w:t>
            </w:r>
          </w:p>
        </w:tc>
        <w:tc>
          <w:tcPr>
            <w:tcW w:w="720" w:type="dxa"/>
            <w:tcBorders>
              <w:top w:val="nil"/>
              <w:left w:val="nil"/>
              <w:bottom w:val="single" w:sz="4" w:space="0" w:color="auto"/>
              <w:right w:val="single" w:sz="4" w:space="0" w:color="auto"/>
            </w:tcBorders>
            <w:shd w:val="clear" w:color="auto" w:fill="auto"/>
            <w:noWrap/>
            <w:vAlign w:val="center"/>
            <w:hideMark/>
          </w:tcPr>
          <w:p w14:paraId="2A5B3ECF" w14:textId="77777777" w:rsidR="00AC3348" w:rsidRPr="004F5205" w:rsidRDefault="00AC3348" w:rsidP="001D6813">
            <w:pPr>
              <w:jc w:val="center"/>
              <w:rPr>
                <w:rFonts w:eastAsia="Times New Roman"/>
                <w:b/>
                <w:bCs/>
                <w:color w:val="000000"/>
              </w:rPr>
            </w:pPr>
            <w:r w:rsidRPr="004F5205">
              <w:rPr>
                <w:rFonts w:eastAsia="Times New Roman"/>
                <w:b/>
                <w:bCs/>
                <w:color w:val="000000"/>
              </w:rPr>
              <w:t>98.31</w:t>
            </w:r>
          </w:p>
        </w:tc>
        <w:tc>
          <w:tcPr>
            <w:tcW w:w="718" w:type="dxa"/>
            <w:tcBorders>
              <w:top w:val="nil"/>
              <w:left w:val="nil"/>
              <w:bottom w:val="single" w:sz="4" w:space="0" w:color="auto"/>
              <w:right w:val="single" w:sz="4" w:space="0" w:color="auto"/>
            </w:tcBorders>
            <w:shd w:val="clear" w:color="auto" w:fill="auto"/>
            <w:noWrap/>
            <w:vAlign w:val="center"/>
            <w:hideMark/>
          </w:tcPr>
          <w:p w14:paraId="09855D40" w14:textId="77777777" w:rsidR="00AC3348" w:rsidRPr="004F5205" w:rsidRDefault="00AC3348" w:rsidP="001D6813">
            <w:pPr>
              <w:jc w:val="center"/>
              <w:rPr>
                <w:rFonts w:eastAsia="Times New Roman"/>
                <w:b/>
                <w:bCs/>
                <w:color w:val="000000"/>
              </w:rPr>
            </w:pPr>
            <w:r w:rsidRPr="004F5205">
              <w:rPr>
                <w:rFonts w:eastAsia="Times New Roman"/>
                <w:b/>
                <w:bCs/>
                <w:color w:val="000000"/>
              </w:rPr>
              <w:t>99.19</w:t>
            </w:r>
          </w:p>
        </w:tc>
        <w:tc>
          <w:tcPr>
            <w:tcW w:w="713" w:type="dxa"/>
            <w:tcBorders>
              <w:top w:val="nil"/>
              <w:left w:val="nil"/>
              <w:bottom w:val="single" w:sz="4" w:space="0" w:color="auto"/>
              <w:right w:val="single" w:sz="4" w:space="0" w:color="auto"/>
            </w:tcBorders>
            <w:shd w:val="clear" w:color="auto" w:fill="auto"/>
            <w:noWrap/>
            <w:vAlign w:val="center"/>
            <w:hideMark/>
          </w:tcPr>
          <w:p w14:paraId="5C570FC1" w14:textId="77777777" w:rsidR="00AC3348" w:rsidRPr="004F5205" w:rsidRDefault="00AC3348" w:rsidP="001D6813">
            <w:pPr>
              <w:jc w:val="center"/>
              <w:rPr>
                <w:rFonts w:eastAsia="Times New Roman"/>
                <w:color w:val="000000"/>
              </w:rPr>
            </w:pPr>
            <w:r w:rsidRPr="004F5205">
              <w:rPr>
                <w:rFonts w:eastAsia="Times New Roman"/>
                <w:color w:val="000000"/>
              </w:rPr>
              <w:t>97.57</w:t>
            </w:r>
          </w:p>
        </w:tc>
        <w:tc>
          <w:tcPr>
            <w:tcW w:w="729" w:type="dxa"/>
            <w:tcBorders>
              <w:top w:val="nil"/>
              <w:left w:val="nil"/>
              <w:bottom w:val="single" w:sz="4" w:space="0" w:color="auto"/>
              <w:right w:val="single" w:sz="4" w:space="0" w:color="auto"/>
            </w:tcBorders>
            <w:shd w:val="clear" w:color="auto" w:fill="auto"/>
            <w:noWrap/>
            <w:vAlign w:val="center"/>
            <w:hideMark/>
          </w:tcPr>
          <w:p w14:paraId="13043F19" w14:textId="77777777" w:rsidR="00AC3348" w:rsidRPr="004F5205" w:rsidRDefault="00AC3348" w:rsidP="001D6813">
            <w:pPr>
              <w:jc w:val="center"/>
              <w:rPr>
                <w:rFonts w:eastAsia="Times New Roman"/>
                <w:b/>
                <w:bCs/>
                <w:color w:val="000000"/>
              </w:rPr>
            </w:pPr>
            <w:r w:rsidRPr="004F5205">
              <w:rPr>
                <w:rFonts w:eastAsia="Times New Roman"/>
                <w:b/>
                <w:bCs/>
                <w:color w:val="000000"/>
              </w:rPr>
              <w:t>98.25</w:t>
            </w:r>
          </w:p>
        </w:tc>
        <w:tc>
          <w:tcPr>
            <w:tcW w:w="720" w:type="dxa"/>
            <w:tcBorders>
              <w:top w:val="nil"/>
              <w:left w:val="nil"/>
              <w:bottom w:val="single" w:sz="4" w:space="0" w:color="auto"/>
              <w:right w:val="single" w:sz="4" w:space="0" w:color="auto"/>
            </w:tcBorders>
            <w:shd w:val="clear" w:color="auto" w:fill="auto"/>
            <w:noWrap/>
            <w:vAlign w:val="center"/>
            <w:hideMark/>
          </w:tcPr>
          <w:p w14:paraId="24F56FB6" w14:textId="77777777" w:rsidR="00AC3348" w:rsidRPr="004F5205" w:rsidRDefault="00AC3348" w:rsidP="001D6813">
            <w:pPr>
              <w:jc w:val="center"/>
              <w:rPr>
                <w:rFonts w:eastAsia="Times New Roman"/>
                <w:color w:val="000000"/>
              </w:rPr>
            </w:pPr>
            <w:r w:rsidRPr="004F5205">
              <w:rPr>
                <w:rFonts w:eastAsia="Times New Roman"/>
                <w:color w:val="000000"/>
              </w:rPr>
              <w:t>97.98</w:t>
            </w:r>
          </w:p>
        </w:tc>
      </w:tr>
      <w:tr w:rsidR="003A1B56" w:rsidRPr="004F5205" w14:paraId="644BD255"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14EA8FD" w14:textId="2D29CEF8"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heyeri </w:t>
            </w:r>
            <w:r w:rsidRPr="004F5205">
              <w:rPr>
                <w:rFonts w:eastAsia="Times New Roman"/>
                <w:color w:val="000000"/>
              </w:rPr>
              <w:t>H2 [3]</w:t>
            </w:r>
          </w:p>
        </w:tc>
        <w:tc>
          <w:tcPr>
            <w:tcW w:w="1049" w:type="dxa"/>
            <w:tcBorders>
              <w:top w:val="nil"/>
              <w:left w:val="nil"/>
              <w:bottom w:val="single" w:sz="4" w:space="0" w:color="auto"/>
              <w:right w:val="single" w:sz="4" w:space="0" w:color="auto"/>
            </w:tcBorders>
            <w:shd w:val="clear" w:color="auto" w:fill="auto"/>
            <w:noWrap/>
            <w:vAlign w:val="center"/>
            <w:hideMark/>
          </w:tcPr>
          <w:p w14:paraId="71B5F64E" w14:textId="77777777" w:rsidR="00AC3348" w:rsidRPr="004F5205" w:rsidRDefault="00AC3348" w:rsidP="001D6813">
            <w:pPr>
              <w:jc w:val="center"/>
              <w:rPr>
                <w:rFonts w:eastAsia="Times New Roman"/>
                <w:color w:val="000000"/>
              </w:rPr>
            </w:pPr>
            <w:r w:rsidRPr="004F5205">
              <w:rPr>
                <w:rFonts w:eastAsia="Times New Roman"/>
                <w:color w:val="000000"/>
              </w:rPr>
              <w:t>97.51</w:t>
            </w:r>
          </w:p>
        </w:tc>
        <w:tc>
          <w:tcPr>
            <w:tcW w:w="723" w:type="dxa"/>
            <w:tcBorders>
              <w:top w:val="nil"/>
              <w:left w:val="nil"/>
              <w:bottom w:val="single" w:sz="4" w:space="0" w:color="auto"/>
              <w:right w:val="single" w:sz="4" w:space="0" w:color="auto"/>
            </w:tcBorders>
            <w:shd w:val="clear" w:color="auto" w:fill="auto"/>
            <w:noWrap/>
            <w:vAlign w:val="center"/>
            <w:hideMark/>
          </w:tcPr>
          <w:p w14:paraId="6CB70D0A" w14:textId="77777777" w:rsidR="00AC3348" w:rsidRPr="004F5205" w:rsidRDefault="00AC3348" w:rsidP="001D6813">
            <w:pPr>
              <w:jc w:val="center"/>
              <w:rPr>
                <w:rFonts w:eastAsia="Times New Roman"/>
                <w:color w:val="000000"/>
              </w:rPr>
            </w:pPr>
            <w:r w:rsidRPr="004F5205">
              <w:rPr>
                <w:rFonts w:eastAsia="Times New Roman"/>
                <w:color w:val="000000"/>
              </w:rPr>
              <w:t>97.24</w:t>
            </w:r>
          </w:p>
        </w:tc>
        <w:tc>
          <w:tcPr>
            <w:tcW w:w="747" w:type="dxa"/>
            <w:tcBorders>
              <w:top w:val="nil"/>
              <w:left w:val="nil"/>
              <w:bottom w:val="single" w:sz="4" w:space="0" w:color="auto"/>
              <w:right w:val="single" w:sz="4" w:space="0" w:color="auto"/>
            </w:tcBorders>
            <w:shd w:val="clear" w:color="auto" w:fill="auto"/>
            <w:noWrap/>
            <w:vAlign w:val="center"/>
            <w:hideMark/>
          </w:tcPr>
          <w:p w14:paraId="457C1877"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21" w:type="dxa"/>
            <w:tcBorders>
              <w:top w:val="nil"/>
              <w:left w:val="nil"/>
              <w:bottom w:val="single" w:sz="4" w:space="0" w:color="auto"/>
              <w:right w:val="single" w:sz="4" w:space="0" w:color="auto"/>
            </w:tcBorders>
            <w:shd w:val="clear" w:color="auto" w:fill="auto"/>
            <w:noWrap/>
            <w:vAlign w:val="center"/>
            <w:hideMark/>
          </w:tcPr>
          <w:p w14:paraId="44C3735C" w14:textId="77777777" w:rsidR="00AC3348" w:rsidRPr="004F5205" w:rsidRDefault="00AC3348" w:rsidP="001D6813">
            <w:pPr>
              <w:jc w:val="center"/>
              <w:rPr>
                <w:rFonts w:eastAsia="Times New Roman"/>
                <w:color w:val="000000"/>
              </w:rPr>
            </w:pPr>
            <w:r w:rsidRPr="004F5205">
              <w:rPr>
                <w:rFonts w:eastAsia="Times New Roman"/>
                <w:color w:val="000000"/>
              </w:rPr>
              <w:t>97.78</w:t>
            </w:r>
          </w:p>
        </w:tc>
        <w:tc>
          <w:tcPr>
            <w:tcW w:w="720" w:type="dxa"/>
            <w:tcBorders>
              <w:top w:val="nil"/>
              <w:left w:val="nil"/>
              <w:bottom w:val="single" w:sz="4" w:space="0" w:color="auto"/>
              <w:right w:val="single" w:sz="4" w:space="0" w:color="auto"/>
            </w:tcBorders>
            <w:shd w:val="clear" w:color="auto" w:fill="auto"/>
            <w:noWrap/>
            <w:vAlign w:val="center"/>
            <w:hideMark/>
          </w:tcPr>
          <w:p w14:paraId="192D5A01" w14:textId="77777777" w:rsidR="00AC3348" w:rsidRPr="004F5205" w:rsidRDefault="00AC3348" w:rsidP="001D6813">
            <w:pPr>
              <w:jc w:val="center"/>
              <w:rPr>
                <w:rFonts w:eastAsia="Times New Roman"/>
                <w:color w:val="000000"/>
              </w:rPr>
            </w:pPr>
            <w:r w:rsidRPr="004F5205">
              <w:rPr>
                <w:rFonts w:eastAsia="Times New Roman"/>
                <w:color w:val="000000"/>
              </w:rPr>
              <w:t>96.49</w:t>
            </w:r>
          </w:p>
        </w:tc>
        <w:tc>
          <w:tcPr>
            <w:tcW w:w="718" w:type="dxa"/>
            <w:tcBorders>
              <w:top w:val="nil"/>
              <w:left w:val="nil"/>
              <w:bottom w:val="single" w:sz="4" w:space="0" w:color="auto"/>
              <w:right w:val="single" w:sz="4" w:space="0" w:color="auto"/>
            </w:tcBorders>
            <w:shd w:val="clear" w:color="auto" w:fill="auto"/>
            <w:noWrap/>
            <w:vAlign w:val="center"/>
            <w:hideMark/>
          </w:tcPr>
          <w:p w14:paraId="7BE29A12" w14:textId="77777777" w:rsidR="00AC3348" w:rsidRPr="004F5205" w:rsidRDefault="00AC3348" w:rsidP="001D6813">
            <w:pPr>
              <w:jc w:val="center"/>
              <w:rPr>
                <w:rFonts w:eastAsia="Times New Roman"/>
                <w:color w:val="000000"/>
              </w:rPr>
            </w:pPr>
            <w:r w:rsidRPr="004F5205">
              <w:rPr>
                <w:rFonts w:eastAsia="Times New Roman"/>
                <w:color w:val="000000"/>
              </w:rPr>
              <w:t>97.17</w:t>
            </w:r>
          </w:p>
        </w:tc>
        <w:tc>
          <w:tcPr>
            <w:tcW w:w="713" w:type="dxa"/>
            <w:tcBorders>
              <w:top w:val="nil"/>
              <w:left w:val="nil"/>
              <w:bottom w:val="single" w:sz="4" w:space="0" w:color="auto"/>
              <w:right w:val="single" w:sz="4" w:space="0" w:color="auto"/>
            </w:tcBorders>
            <w:shd w:val="clear" w:color="auto" w:fill="auto"/>
            <w:noWrap/>
            <w:vAlign w:val="center"/>
            <w:hideMark/>
          </w:tcPr>
          <w:p w14:paraId="3F3DB035" w14:textId="77777777" w:rsidR="00AC3348" w:rsidRPr="004F5205" w:rsidRDefault="00AC3348" w:rsidP="001D6813">
            <w:pPr>
              <w:jc w:val="center"/>
              <w:rPr>
                <w:rFonts w:eastAsia="Times New Roman"/>
                <w:color w:val="000000"/>
              </w:rPr>
            </w:pPr>
            <w:r w:rsidRPr="004F5205">
              <w:rPr>
                <w:rFonts w:eastAsia="Times New Roman"/>
                <w:color w:val="000000"/>
              </w:rPr>
              <w:t>97.71</w:t>
            </w:r>
          </w:p>
        </w:tc>
        <w:tc>
          <w:tcPr>
            <w:tcW w:w="729" w:type="dxa"/>
            <w:tcBorders>
              <w:top w:val="nil"/>
              <w:left w:val="nil"/>
              <w:bottom w:val="single" w:sz="4" w:space="0" w:color="auto"/>
              <w:right w:val="single" w:sz="4" w:space="0" w:color="auto"/>
            </w:tcBorders>
            <w:shd w:val="clear" w:color="auto" w:fill="auto"/>
            <w:noWrap/>
            <w:vAlign w:val="center"/>
            <w:hideMark/>
          </w:tcPr>
          <w:p w14:paraId="3C9DAAE9" w14:textId="77777777" w:rsidR="00AC3348" w:rsidRPr="004F5205" w:rsidRDefault="00AC3348" w:rsidP="001D6813">
            <w:pPr>
              <w:jc w:val="center"/>
              <w:rPr>
                <w:rFonts w:eastAsia="Times New Roman"/>
                <w:color w:val="000000"/>
              </w:rPr>
            </w:pPr>
            <w:r w:rsidRPr="004F5205">
              <w:rPr>
                <w:rFonts w:eastAsia="Times New Roman"/>
                <w:color w:val="000000"/>
              </w:rPr>
              <w:t>97.57</w:t>
            </w:r>
          </w:p>
        </w:tc>
        <w:tc>
          <w:tcPr>
            <w:tcW w:w="720" w:type="dxa"/>
            <w:tcBorders>
              <w:top w:val="nil"/>
              <w:left w:val="nil"/>
              <w:bottom w:val="single" w:sz="4" w:space="0" w:color="auto"/>
              <w:right w:val="single" w:sz="4" w:space="0" w:color="auto"/>
            </w:tcBorders>
            <w:shd w:val="clear" w:color="auto" w:fill="auto"/>
            <w:noWrap/>
            <w:vAlign w:val="center"/>
            <w:hideMark/>
          </w:tcPr>
          <w:p w14:paraId="07B27554" w14:textId="77777777" w:rsidR="00AC3348" w:rsidRPr="004F5205" w:rsidRDefault="00AC3348" w:rsidP="001D6813">
            <w:pPr>
              <w:jc w:val="center"/>
              <w:rPr>
                <w:rFonts w:eastAsia="Times New Roman"/>
                <w:color w:val="000000"/>
              </w:rPr>
            </w:pPr>
            <w:r w:rsidRPr="004F5205">
              <w:rPr>
                <w:rFonts w:eastAsia="Times New Roman"/>
                <w:color w:val="000000"/>
              </w:rPr>
              <w:t>97.84</w:t>
            </w:r>
          </w:p>
        </w:tc>
      </w:tr>
      <w:tr w:rsidR="003A1B56" w:rsidRPr="004F5205" w14:paraId="4252854F"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4BD0F745" w14:textId="6DBC373C"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hirsuta</w:t>
            </w:r>
            <w:r w:rsidRPr="004F5205">
              <w:rPr>
                <w:rFonts w:eastAsia="Times New Roman"/>
                <w:color w:val="000000"/>
              </w:rPr>
              <w:t xml:space="preserve"> CSC1 [4]</w:t>
            </w:r>
          </w:p>
        </w:tc>
        <w:tc>
          <w:tcPr>
            <w:tcW w:w="1049" w:type="dxa"/>
            <w:tcBorders>
              <w:top w:val="nil"/>
              <w:left w:val="nil"/>
              <w:bottom w:val="single" w:sz="4" w:space="0" w:color="auto"/>
              <w:right w:val="single" w:sz="4" w:space="0" w:color="auto"/>
            </w:tcBorders>
            <w:shd w:val="clear" w:color="auto" w:fill="auto"/>
            <w:noWrap/>
            <w:vAlign w:val="center"/>
            <w:hideMark/>
          </w:tcPr>
          <w:p w14:paraId="2AAAFD97" w14:textId="77777777" w:rsidR="00AC3348" w:rsidRPr="004F5205" w:rsidRDefault="00AC3348" w:rsidP="001D6813">
            <w:pPr>
              <w:jc w:val="center"/>
              <w:rPr>
                <w:rFonts w:eastAsia="Times New Roman"/>
                <w:color w:val="000000"/>
              </w:rPr>
            </w:pPr>
            <w:r w:rsidRPr="004F5205">
              <w:rPr>
                <w:rFonts w:eastAsia="Times New Roman"/>
                <w:color w:val="000000"/>
              </w:rPr>
              <w:t>97.31</w:t>
            </w:r>
          </w:p>
        </w:tc>
        <w:tc>
          <w:tcPr>
            <w:tcW w:w="723" w:type="dxa"/>
            <w:tcBorders>
              <w:top w:val="nil"/>
              <w:left w:val="nil"/>
              <w:bottom w:val="single" w:sz="4" w:space="0" w:color="auto"/>
              <w:right w:val="single" w:sz="4" w:space="0" w:color="auto"/>
            </w:tcBorders>
            <w:shd w:val="clear" w:color="auto" w:fill="auto"/>
            <w:noWrap/>
            <w:vAlign w:val="center"/>
            <w:hideMark/>
          </w:tcPr>
          <w:p w14:paraId="7CCF566E" w14:textId="77777777" w:rsidR="00AC3348" w:rsidRPr="004F5205" w:rsidRDefault="00AC3348" w:rsidP="001D6813">
            <w:pPr>
              <w:jc w:val="center"/>
              <w:rPr>
                <w:rFonts w:eastAsia="Times New Roman"/>
                <w:color w:val="000000"/>
              </w:rPr>
            </w:pPr>
            <w:r w:rsidRPr="004F5205">
              <w:rPr>
                <w:rFonts w:eastAsia="Times New Roman"/>
                <w:color w:val="000000"/>
              </w:rPr>
              <w:t>97.91</w:t>
            </w:r>
          </w:p>
        </w:tc>
        <w:tc>
          <w:tcPr>
            <w:tcW w:w="747" w:type="dxa"/>
            <w:tcBorders>
              <w:top w:val="nil"/>
              <w:left w:val="nil"/>
              <w:bottom w:val="single" w:sz="4" w:space="0" w:color="auto"/>
              <w:right w:val="single" w:sz="4" w:space="0" w:color="auto"/>
            </w:tcBorders>
            <w:shd w:val="clear" w:color="auto" w:fill="auto"/>
            <w:noWrap/>
            <w:vAlign w:val="center"/>
            <w:hideMark/>
          </w:tcPr>
          <w:p w14:paraId="3933AC3A" w14:textId="77777777" w:rsidR="00AC3348" w:rsidRPr="004F5205" w:rsidRDefault="00AC3348" w:rsidP="001D6813">
            <w:pPr>
              <w:jc w:val="center"/>
              <w:rPr>
                <w:rFonts w:eastAsia="Times New Roman"/>
                <w:color w:val="000000"/>
              </w:rPr>
            </w:pPr>
            <w:r w:rsidRPr="004F5205">
              <w:rPr>
                <w:rFonts w:eastAsia="Times New Roman"/>
                <w:color w:val="000000"/>
              </w:rPr>
              <w:t>97.78</w:t>
            </w:r>
          </w:p>
        </w:tc>
        <w:tc>
          <w:tcPr>
            <w:tcW w:w="721" w:type="dxa"/>
            <w:tcBorders>
              <w:top w:val="nil"/>
              <w:left w:val="nil"/>
              <w:bottom w:val="single" w:sz="4" w:space="0" w:color="auto"/>
              <w:right w:val="single" w:sz="4" w:space="0" w:color="auto"/>
            </w:tcBorders>
            <w:shd w:val="clear" w:color="auto" w:fill="auto"/>
            <w:noWrap/>
            <w:vAlign w:val="center"/>
            <w:hideMark/>
          </w:tcPr>
          <w:p w14:paraId="0E630710"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20" w:type="dxa"/>
            <w:tcBorders>
              <w:top w:val="nil"/>
              <w:left w:val="nil"/>
              <w:bottom w:val="single" w:sz="4" w:space="0" w:color="auto"/>
              <w:right w:val="single" w:sz="4" w:space="0" w:color="auto"/>
            </w:tcBorders>
            <w:shd w:val="clear" w:color="auto" w:fill="auto"/>
            <w:noWrap/>
            <w:vAlign w:val="center"/>
            <w:hideMark/>
          </w:tcPr>
          <w:p w14:paraId="0812AA10" w14:textId="77777777" w:rsidR="00AC3348" w:rsidRPr="004F5205" w:rsidRDefault="00AC3348" w:rsidP="001D6813">
            <w:pPr>
              <w:jc w:val="center"/>
              <w:rPr>
                <w:rFonts w:eastAsia="Times New Roman"/>
                <w:color w:val="000000"/>
              </w:rPr>
            </w:pPr>
            <w:r w:rsidRPr="004F5205">
              <w:rPr>
                <w:rFonts w:eastAsia="Times New Roman"/>
                <w:color w:val="000000"/>
              </w:rPr>
              <w:t>96.83</w:t>
            </w:r>
          </w:p>
        </w:tc>
        <w:tc>
          <w:tcPr>
            <w:tcW w:w="718" w:type="dxa"/>
            <w:tcBorders>
              <w:top w:val="nil"/>
              <w:left w:val="nil"/>
              <w:bottom w:val="single" w:sz="4" w:space="0" w:color="auto"/>
              <w:right w:val="single" w:sz="4" w:space="0" w:color="auto"/>
            </w:tcBorders>
            <w:shd w:val="clear" w:color="auto" w:fill="auto"/>
            <w:noWrap/>
            <w:vAlign w:val="center"/>
            <w:hideMark/>
          </w:tcPr>
          <w:p w14:paraId="4F12D299" w14:textId="77777777" w:rsidR="00AC3348" w:rsidRPr="004F5205" w:rsidRDefault="00AC3348" w:rsidP="001D6813">
            <w:pPr>
              <w:jc w:val="center"/>
              <w:rPr>
                <w:rFonts w:eastAsia="Times New Roman"/>
                <w:color w:val="000000"/>
              </w:rPr>
            </w:pPr>
            <w:r w:rsidRPr="004F5205">
              <w:rPr>
                <w:rFonts w:eastAsia="Times New Roman"/>
                <w:color w:val="000000"/>
              </w:rPr>
              <w:t>97.64</w:t>
            </w:r>
          </w:p>
        </w:tc>
        <w:tc>
          <w:tcPr>
            <w:tcW w:w="713" w:type="dxa"/>
            <w:tcBorders>
              <w:top w:val="nil"/>
              <w:left w:val="nil"/>
              <w:bottom w:val="single" w:sz="4" w:space="0" w:color="auto"/>
              <w:right w:val="single" w:sz="4" w:space="0" w:color="auto"/>
            </w:tcBorders>
            <w:shd w:val="clear" w:color="auto" w:fill="auto"/>
            <w:noWrap/>
            <w:vAlign w:val="center"/>
            <w:hideMark/>
          </w:tcPr>
          <w:p w14:paraId="2026068F" w14:textId="77777777" w:rsidR="00AC3348" w:rsidRPr="004F5205" w:rsidRDefault="00AC3348" w:rsidP="001D6813">
            <w:pPr>
              <w:jc w:val="center"/>
              <w:rPr>
                <w:rFonts w:eastAsia="Times New Roman"/>
                <w:b/>
                <w:bCs/>
                <w:color w:val="000000"/>
              </w:rPr>
            </w:pPr>
            <w:r w:rsidRPr="004F5205">
              <w:rPr>
                <w:rFonts w:eastAsia="Times New Roman"/>
                <w:b/>
                <w:bCs/>
                <w:color w:val="000000"/>
              </w:rPr>
              <w:t>99.53</w:t>
            </w:r>
          </w:p>
        </w:tc>
        <w:tc>
          <w:tcPr>
            <w:tcW w:w="729" w:type="dxa"/>
            <w:tcBorders>
              <w:top w:val="nil"/>
              <w:left w:val="nil"/>
              <w:bottom w:val="single" w:sz="4" w:space="0" w:color="auto"/>
              <w:right w:val="single" w:sz="4" w:space="0" w:color="auto"/>
            </w:tcBorders>
            <w:shd w:val="clear" w:color="auto" w:fill="auto"/>
            <w:noWrap/>
            <w:vAlign w:val="center"/>
            <w:hideMark/>
          </w:tcPr>
          <w:p w14:paraId="6DD660A8" w14:textId="77777777" w:rsidR="00AC3348" w:rsidRPr="004F5205" w:rsidRDefault="00AC3348" w:rsidP="001D6813">
            <w:pPr>
              <w:jc w:val="center"/>
              <w:rPr>
                <w:rFonts w:eastAsia="Times New Roman"/>
                <w:b/>
                <w:bCs/>
                <w:color w:val="000000"/>
              </w:rPr>
            </w:pPr>
            <w:r w:rsidRPr="004F5205">
              <w:rPr>
                <w:rFonts w:eastAsia="Times New Roman"/>
                <w:b/>
                <w:bCs/>
                <w:color w:val="000000"/>
              </w:rPr>
              <w:t>99.66</w:t>
            </w:r>
          </w:p>
        </w:tc>
        <w:tc>
          <w:tcPr>
            <w:tcW w:w="720" w:type="dxa"/>
            <w:tcBorders>
              <w:top w:val="nil"/>
              <w:left w:val="nil"/>
              <w:bottom w:val="single" w:sz="4" w:space="0" w:color="auto"/>
              <w:right w:val="single" w:sz="4" w:space="0" w:color="auto"/>
            </w:tcBorders>
            <w:shd w:val="clear" w:color="auto" w:fill="auto"/>
            <w:noWrap/>
            <w:vAlign w:val="center"/>
            <w:hideMark/>
          </w:tcPr>
          <w:p w14:paraId="5446FC86" w14:textId="77777777" w:rsidR="00AC3348" w:rsidRPr="004F5205" w:rsidRDefault="00AC3348" w:rsidP="001D6813">
            <w:pPr>
              <w:jc w:val="center"/>
              <w:rPr>
                <w:rFonts w:eastAsia="Times New Roman"/>
                <w:b/>
                <w:bCs/>
                <w:color w:val="000000"/>
              </w:rPr>
            </w:pPr>
            <w:r w:rsidRPr="004F5205">
              <w:rPr>
                <w:rFonts w:eastAsia="Times New Roman"/>
                <w:b/>
                <w:bCs/>
                <w:color w:val="000000"/>
              </w:rPr>
              <w:t>99.93</w:t>
            </w:r>
          </w:p>
        </w:tc>
      </w:tr>
      <w:tr w:rsidR="003A1B56" w:rsidRPr="004F5205" w14:paraId="10519B02"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72D0FF5D" w14:textId="5AD2D5BF"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iwaonis </w:t>
            </w:r>
            <w:r w:rsidRPr="004F5205">
              <w:rPr>
                <w:rFonts w:eastAsia="Times New Roman"/>
                <w:color w:val="000000"/>
              </w:rPr>
              <w:t>SS37A-Re [5]</w:t>
            </w:r>
          </w:p>
        </w:tc>
        <w:tc>
          <w:tcPr>
            <w:tcW w:w="1049" w:type="dxa"/>
            <w:tcBorders>
              <w:top w:val="nil"/>
              <w:left w:val="nil"/>
              <w:bottom w:val="single" w:sz="4" w:space="0" w:color="auto"/>
              <w:right w:val="single" w:sz="4" w:space="0" w:color="auto"/>
            </w:tcBorders>
            <w:shd w:val="clear" w:color="auto" w:fill="auto"/>
            <w:noWrap/>
            <w:vAlign w:val="center"/>
            <w:hideMark/>
          </w:tcPr>
          <w:p w14:paraId="56E1808E" w14:textId="77777777" w:rsidR="00AC3348" w:rsidRPr="004F5205" w:rsidRDefault="00AC3348" w:rsidP="001D6813">
            <w:pPr>
              <w:jc w:val="center"/>
              <w:rPr>
                <w:rFonts w:eastAsia="Times New Roman"/>
                <w:color w:val="000000"/>
              </w:rPr>
            </w:pPr>
            <w:r w:rsidRPr="004F5205">
              <w:rPr>
                <w:rFonts w:eastAsia="Times New Roman"/>
                <w:color w:val="000000"/>
              </w:rPr>
              <w:t>97.44</w:t>
            </w:r>
          </w:p>
        </w:tc>
        <w:tc>
          <w:tcPr>
            <w:tcW w:w="723" w:type="dxa"/>
            <w:tcBorders>
              <w:top w:val="nil"/>
              <w:left w:val="nil"/>
              <w:bottom w:val="single" w:sz="4" w:space="0" w:color="auto"/>
              <w:right w:val="single" w:sz="4" w:space="0" w:color="auto"/>
            </w:tcBorders>
            <w:shd w:val="clear" w:color="auto" w:fill="auto"/>
            <w:noWrap/>
            <w:vAlign w:val="center"/>
            <w:hideMark/>
          </w:tcPr>
          <w:p w14:paraId="240DA579" w14:textId="77777777" w:rsidR="00AC3348" w:rsidRPr="004F5205" w:rsidRDefault="00AC3348" w:rsidP="001D6813">
            <w:pPr>
              <w:jc w:val="center"/>
              <w:rPr>
                <w:rFonts w:eastAsia="Times New Roman"/>
                <w:b/>
                <w:bCs/>
                <w:color w:val="000000"/>
              </w:rPr>
            </w:pPr>
            <w:r w:rsidRPr="004F5205">
              <w:rPr>
                <w:rFonts w:eastAsia="Times New Roman"/>
                <w:b/>
                <w:bCs/>
                <w:color w:val="000000"/>
              </w:rPr>
              <w:t>98.31</w:t>
            </w:r>
          </w:p>
        </w:tc>
        <w:tc>
          <w:tcPr>
            <w:tcW w:w="747" w:type="dxa"/>
            <w:tcBorders>
              <w:top w:val="nil"/>
              <w:left w:val="nil"/>
              <w:bottom w:val="single" w:sz="4" w:space="0" w:color="auto"/>
              <w:right w:val="single" w:sz="4" w:space="0" w:color="auto"/>
            </w:tcBorders>
            <w:shd w:val="clear" w:color="auto" w:fill="auto"/>
            <w:noWrap/>
            <w:vAlign w:val="center"/>
            <w:hideMark/>
          </w:tcPr>
          <w:p w14:paraId="3A91DD49" w14:textId="77777777" w:rsidR="00AC3348" w:rsidRPr="004F5205" w:rsidRDefault="00AC3348" w:rsidP="001D6813">
            <w:pPr>
              <w:jc w:val="center"/>
              <w:rPr>
                <w:rFonts w:eastAsia="Times New Roman"/>
                <w:color w:val="000000"/>
              </w:rPr>
            </w:pPr>
            <w:r w:rsidRPr="004F5205">
              <w:rPr>
                <w:rFonts w:eastAsia="Times New Roman"/>
                <w:color w:val="000000"/>
              </w:rPr>
              <w:t>96.49</w:t>
            </w:r>
          </w:p>
        </w:tc>
        <w:tc>
          <w:tcPr>
            <w:tcW w:w="721" w:type="dxa"/>
            <w:tcBorders>
              <w:top w:val="nil"/>
              <w:left w:val="nil"/>
              <w:bottom w:val="single" w:sz="4" w:space="0" w:color="auto"/>
              <w:right w:val="single" w:sz="4" w:space="0" w:color="auto"/>
            </w:tcBorders>
            <w:shd w:val="clear" w:color="auto" w:fill="auto"/>
            <w:noWrap/>
            <w:vAlign w:val="center"/>
            <w:hideMark/>
          </w:tcPr>
          <w:p w14:paraId="08E31A8E" w14:textId="77777777" w:rsidR="00AC3348" w:rsidRPr="004F5205" w:rsidRDefault="00AC3348" w:rsidP="001D6813">
            <w:pPr>
              <w:jc w:val="center"/>
              <w:rPr>
                <w:rFonts w:eastAsia="Times New Roman"/>
                <w:color w:val="000000"/>
              </w:rPr>
            </w:pPr>
            <w:r w:rsidRPr="004F5205">
              <w:rPr>
                <w:rFonts w:eastAsia="Times New Roman"/>
                <w:color w:val="000000"/>
              </w:rPr>
              <w:t>96.83</w:t>
            </w:r>
          </w:p>
        </w:tc>
        <w:tc>
          <w:tcPr>
            <w:tcW w:w="720" w:type="dxa"/>
            <w:tcBorders>
              <w:top w:val="nil"/>
              <w:left w:val="nil"/>
              <w:bottom w:val="single" w:sz="4" w:space="0" w:color="auto"/>
              <w:right w:val="single" w:sz="4" w:space="0" w:color="auto"/>
            </w:tcBorders>
            <w:shd w:val="clear" w:color="auto" w:fill="auto"/>
            <w:noWrap/>
            <w:vAlign w:val="center"/>
            <w:hideMark/>
          </w:tcPr>
          <w:p w14:paraId="0B7E75AF"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18" w:type="dxa"/>
            <w:tcBorders>
              <w:top w:val="nil"/>
              <w:left w:val="nil"/>
              <w:bottom w:val="single" w:sz="4" w:space="0" w:color="auto"/>
              <w:right w:val="single" w:sz="4" w:space="0" w:color="auto"/>
            </w:tcBorders>
            <w:shd w:val="clear" w:color="auto" w:fill="auto"/>
            <w:noWrap/>
            <w:vAlign w:val="center"/>
            <w:hideMark/>
          </w:tcPr>
          <w:p w14:paraId="0D75619E" w14:textId="77777777" w:rsidR="00AC3348" w:rsidRPr="004F5205" w:rsidRDefault="00AC3348" w:rsidP="001D6813">
            <w:pPr>
              <w:jc w:val="center"/>
              <w:rPr>
                <w:rFonts w:eastAsia="Times New Roman"/>
                <w:b/>
                <w:bCs/>
                <w:color w:val="000000"/>
              </w:rPr>
            </w:pPr>
            <w:r w:rsidRPr="004F5205">
              <w:rPr>
                <w:rFonts w:eastAsia="Times New Roman"/>
                <w:b/>
                <w:bCs/>
                <w:color w:val="000000"/>
              </w:rPr>
              <w:t>98.92</w:t>
            </w:r>
          </w:p>
        </w:tc>
        <w:tc>
          <w:tcPr>
            <w:tcW w:w="713" w:type="dxa"/>
            <w:tcBorders>
              <w:top w:val="nil"/>
              <w:left w:val="nil"/>
              <w:bottom w:val="single" w:sz="4" w:space="0" w:color="auto"/>
              <w:right w:val="single" w:sz="4" w:space="0" w:color="auto"/>
            </w:tcBorders>
            <w:shd w:val="clear" w:color="auto" w:fill="auto"/>
            <w:noWrap/>
            <w:vAlign w:val="center"/>
            <w:hideMark/>
          </w:tcPr>
          <w:p w14:paraId="6B2E8FDC" w14:textId="77777777" w:rsidR="00AC3348" w:rsidRPr="004F5205" w:rsidRDefault="00AC3348" w:rsidP="001D6813">
            <w:pPr>
              <w:jc w:val="center"/>
              <w:rPr>
                <w:rFonts w:eastAsia="Times New Roman"/>
                <w:color w:val="000000"/>
              </w:rPr>
            </w:pPr>
            <w:r w:rsidRPr="004F5205">
              <w:rPr>
                <w:rFonts w:eastAsia="Times New Roman"/>
                <w:color w:val="000000"/>
              </w:rPr>
              <w:t>96.49</w:t>
            </w:r>
          </w:p>
        </w:tc>
        <w:tc>
          <w:tcPr>
            <w:tcW w:w="729" w:type="dxa"/>
            <w:tcBorders>
              <w:top w:val="nil"/>
              <w:left w:val="nil"/>
              <w:bottom w:val="single" w:sz="4" w:space="0" w:color="auto"/>
              <w:right w:val="single" w:sz="4" w:space="0" w:color="auto"/>
            </w:tcBorders>
            <w:shd w:val="clear" w:color="auto" w:fill="auto"/>
            <w:noWrap/>
            <w:vAlign w:val="center"/>
            <w:hideMark/>
          </w:tcPr>
          <w:p w14:paraId="7451E43A" w14:textId="77777777" w:rsidR="00AC3348" w:rsidRPr="004F5205" w:rsidRDefault="00AC3348" w:rsidP="001D6813">
            <w:pPr>
              <w:jc w:val="center"/>
              <w:rPr>
                <w:rFonts w:eastAsia="Times New Roman"/>
                <w:color w:val="000000"/>
              </w:rPr>
            </w:pPr>
            <w:r w:rsidRPr="004F5205">
              <w:rPr>
                <w:rFonts w:eastAsia="Times New Roman"/>
                <w:color w:val="000000"/>
              </w:rPr>
              <w:t>97.17</w:t>
            </w:r>
          </w:p>
        </w:tc>
        <w:tc>
          <w:tcPr>
            <w:tcW w:w="720" w:type="dxa"/>
            <w:tcBorders>
              <w:top w:val="nil"/>
              <w:left w:val="nil"/>
              <w:bottom w:val="single" w:sz="4" w:space="0" w:color="auto"/>
              <w:right w:val="single" w:sz="4" w:space="0" w:color="auto"/>
            </w:tcBorders>
            <w:shd w:val="clear" w:color="auto" w:fill="auto"/>
            <w:noWrap/>
            <w:vAlign w:val="center"/>
            <w:hideMark/>
          </w:tcPr>
          <w:p w14:paraId="04AD8846" w14:textId="77777777" w:rsidR="00AC3348" w:rsidRPr="004F5205" w:rsidRDefault="00AC3348" w:rsidP="001D6813">
            <w:pPr>
              <w:jc w:val="center"/>
              <w:rPr>
                <w:rFonts w:eastAsia="Times New Roman"/>
                <w:color w:val="000000"/>
              </w:rPr>
            </w:pPr>
            <w:r w:rsidRPr="004F5205">
              <w:rPr>
                <w:rFonts w:eastAsia="Times New Roman"/>
                <w:color w:val="000000"/>
              </w:rPr>
              <w:t>96.90</w:t>
            </w:r>
          </w:p>
        </w:tc>
      </w:tr>
      <w:tr w:rsidR="003A1B56" w:rsidRPr="004F5205" w14:paraId="39A24995"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5B44A55" w14:textId="06872AF9"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s parva </w:t>
            </w:r>
            <w:r w:rsidRPr="004F5205">
              <w:rPr>
                <w:rFonts w:eastAsia="Times New Roman"/>
                <w:color w:val="000000"/>
              </w:rPr>
              <w:t>BRCS2 [6]</w:t>
            </w:r>
          </w:p>
        </w:tc>
        <w:tc>
          <w:tcPr>
            <w:tcW w:w="1049" w:type="dxa"/>
            <w:tcBorders>
              <w:top w:val="nil"/>
              <w:left w:val="nil"/>
              <w:bottom w:val="single" w:sz="4" w:space="0" w:color="auto"/>
              <w:right w:val="single" w:sz="4" w:space="0" w:color="auto"/>
            </w:tcBorders>
            <w:shd w:val="clear" w:color="auto" w:fill="auto"/>
            <w:noWrap/>
            <w:vAlign w:val="center"/>
            <w:hideMark/>
          </w:tcPr>
          <w:p w14:paraId="109477F9" w14:textId="77777777" w:rsidR="00AC3348" w:rsidRPr="004F5205" w:rsidRDefault="00AC3348" w:rsidP="001D6813">
            <w:pPr>
              <w:jc w:val="center"/>
              <w:rPr>
                <w:rFonts w:eastAsia="Times New Roman"/>
                <w:color w:val="000000"/>
              </w:rPr>
            </w:pPr>
            <w:r w:rsidRPr="004F5205">
              <w:rPr>
                <w:rFonts w:eastAsia="Times New Roman"/>
                <w:color w:val="000000"/>
              </w:rPr>
              <w:t>97.78</w:t>
            </w:r>
          </w:p>
        </w:tc>
        <w:tc>
          <w:tcPr>
            <w:tcW w:w="723" w:type="dxa"/>
            <w:tcBorders>
              <w:top w:val="nil"/>
              <w:left w:val="nil"/>
              <w:bottom w:val="single" w:sz="4" w:space="0" w:color="auto"/>
              <w:right w:val="single" w:sz="4" w:space="0" w:color="auto"/>
            </w:tcBorders>
            <w:shd w:val="clear" w:color="auto" w:fill="auto"/>
            <w:noWrap/>
            <w:vAlign w:val="center"/>
            <w:hideMark/>
          </w:tcPr>
          <w:p w14:paraId="2ACB3DCF" w14:textId="77777777" w:rsidR="00AC3348" w:rsidRPr="004F5205" w:rsidRDefault="00AC3348" w:rsidP="001D6813">
            <w:pPr>
              <w:jc w:val="center"/>
              <w:rPr>
                <w:rFonts w:eastAsia="Times New Roman"/>
                <w:color w:val="000000"/>
              </w:rPr>
            </w:pPr>
            <w:r w:rsidRPr="004F5205">
              <w:rPr>
                <w:rFonts w:eastAsia="Times New Roman"/>
                <w:color w:val="000000"/>
              </w:rPr>
              <w:t>99.19</w:t>
            </w:r>
          </w:p>
        </w:tc>
        <w:tc>
          <w:tcPr>
            <w:tcW w:w="747" w:type="dxa"/>
            <w:tcBorders>
              <w:top w:val="nil"/>
              <w:left w:val="nil"/>
              <w:bottom w:val="single" w:sz="4" w:space="0" w:color="auto"/>
              <w:right w:val="single" w:sz="4" w:space="0" w:color="auto"/>
            </w:tcBorders>
            <w:shd w:val="clear" w:color="auto" w:fill="auto"/>
            <w:noWrap/>
            <w:vAlign w:val="center"/>
            <w:hideMark/>
          </w:tcPr>
          <w:p w14:paraId="520F0A6F" w14:textId="77777777" w:rsidR="00AC3348" w:rsidRPr="004F5205" w:rsidRDefault="00AC3348" w:rsidP="001D6813">
            <w:pPr>
              <w:jc w:val="center"/>
              <w:rPr>
                <w:rFonts w:eastAsia="Times New Roman"/>
                <w:color w:val="000000"/>
              </w:rPr>
            </w:pPr>
            <w:r w:rsidRPr="004F5205">
              <w:rPr>
                <w:rFonts w:eastAsia="Times New Roman"/>
                <w:color w:val="000000"/>
              </w:rPr>
              <w:t>97.17</w:t>
            </w:r>
          </w:p>
        </w:tc>
        <w:tc>
          <w:tcPr>
            <w:tcW w:w="721" w:type="dxa"/>
            <w:tcBorders>
              <w:top w:val="nil"/>
              <w:left w:val="nil"/>
              <w:bottom w:val="single" w:sz="4" w:space="0" w:color="auto"/>
              <w:right w:val="single" w:sz="4" w:space="0" w:color="auto"/>
            </w:tcBorders>
            <w:shd w:val="clear" w:color="auto" w:fill="auto"/>
            <w:noWrap/>
            <w:vAlign w:val="center"/>
            <w:hideMark/>
          </w:tcPr>
          <w:p w14:paraId="2610352B" w14:textId="77777777" w:rsidR="00AC3348" w:rsidRPr="004F5205" w:rsidRDefault="00AC3348" w:rsidP="001D6813">
            <w:pPr>
              <w:jc w:val="center"/>
              <w:rPr>
                <w:rFonts w:eastAsia="Times New Roman"/>
                <w:color w:val="000000"/>
              </w:rPr>
            </w:pPr>
            <w:r w:rsidRPr="004F5205">
              <w:rPr>
                <w:rFonts w:eastAsia="Times New Roman"/>
                <w:color w:val="000000"/>
              </w:rPr>
              <w:t>97.64</w:t>
            </w:r>
          </w:p>
        </w:tc>
        <w:tc>
          <w:tcPr>
            <w:tcW w:w="720" w:type="dxa"/>
            <w:tcBorders>
              <w:top w:val="nil"/>
              <w:left w:val="nil"/>
              <w:bottom w:val="single" w:sz="4" w:space="0" w:color="auto"/>
              <w:right w:val="single" w:sz="4" w:space="0" w:color="auto"/>
            </w:tcBorders>
            <w:shd w:val="clear" w:color="auto" w:fill="auto"/>
            <w:noWrap/>
            <w:vAlign w:val="center"/>
            <w:hideMark/>
          </w:tcPr>
          <w:p w14:paraId="56D47B3A" w14:textId="77777777" w:rsidR="00AC3348" w:rsidRPr="004F5205" w:rsidRDefault="00AC3348" w:rsidP="001D6813">
            <w:pPr>
              <w:jc w:val="center"/>
              <w:rPr>
                <w:rFonts w:eastAsia="Times New Roman"/>
                <w:b/>
                <w:bCs/>
                <w:color w:val="000000"/>
              </w:rPr>
            </w:pPr>
            <w:r w:rsidRPr="004F5205">
              <w:rPr>
                <w:rFonts w:eastAsia="Times New Roman"/>
                <w:b/>
                <w:bCs/>
                <w:color w:val="000000"/>
              </w:rPr>
              <w:t>98.92</w:t>
            </w:r>
          </w:p>
        </w:tc>
        <w:tc>
          <w:tcPr>
            <w:tcW w:w="718" w:type="dxa"/>
            <w:tcBorders>
              <w:top w:val="nil"/>
              <w:left w:val="nil"/>
              <w:bottom w:val="single" w:sz="4" w:space="0" w:color="auto"/>
              <w:right w:val="single" w:sz="4" w:space="0" w:color="auto"/>
            </w:tcBorders>
            <w:shd w:val="clear" w:color="auto" w:fill="auto"/>
            <w:noWrap/>
            <w:vAlign w:val="center"/>
            <w:hideMark/>
          </w:tcPr>
          <w:p w14:paraId="30883A49"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13" w:type="dxa"/>
            <w:tcBorders>
              <w:top w:val="nil"/>
              <w:left w:val="nil"/>
              <w:bottom w:val="single" w:sz="4" w:space="0" w:color="auto"/>
              <w:right w:val="single" w:sz="4" w:space="0" w:color="auto"/>
            </w:tcBorders>
            <w:shd w:val="clear" w:color="auto" w:fill="auto"/>
            <w:noWrap/>
            <w:vAlign w:val="center"/>
            <w:hideMark/>
          </w:tcPr>
          <w:p w14:paraId="7530D0AB" w14:textId="77777777" w:rsidR="00AC3348" w:rsidRPr="004F5205" w:rsidRDefault="00AC3348" w:rsidP="001D6813">
            <w:pPr>
              <w:jc w:val="center"/>
              <w:rPr>
                <w:rFonts w:eastAsia="Times New Roman"/>
                <w:color w:val="000000"/>
              </w:rPr>
            </w:pPr>
            <w:r w:rsidRPr="004F5205">
              <w:rPr>
                <w:rFonts w:eastAsia="Times New Roman"/>
                <w:color w:val="000000"/>
              </w:rPr>
              <w:t>97.30</w:t>
            </w:r>
          </w:p>
        </w:tc>
        <w:tc>
          <w:tcPr>
            <w:tcW w:w="729" w:type="dxa"/>
            <w:tcBorders>
              <w:top w:val="nil"/>
              <w:left w:val="nil"/>
              <w:bottom w:val="single" w:sz="4" w:space="0" w:color="auto"/>
              <w:right w:val="single" w:sz="4" w:space="0" w:color="auto"/>
            </w:tcBorders>
            <w:shd w:val="clear" w:color="auto" w:fill="auto"/>
            <w:noWrap/>
            <w:vAlign w:val="center"/>
            <w:hideMark/>
          </w:tcPr>
          <w:p w14:paraId="6CC21B44" w14:textId="77777777" w:rsidR="00AC3348" w:rsidRPr="004F5205" w:rsidRDefault="00AC3348" w:rsidP="001D6813">
            <w:pPr>
              <w:jc w:val="center"/>
              <w:rPr>
                <w:rFonts w:eastAsia="Times New Roman"/>
                <w:color w:val="000000"/>
              </w:rPr>
            </w:pPr>
            <w:r w:rsidRPr="004F5205">
              <w:rPr>
                <w:rFonts w:eastAsia="Times New Roman"/>
                <w:color w:val="000000"/>
              </w:rPr>
              <w:t>97.98</w:t>
            </w:r>
          </w:p>
        </w:tc>
        <w:tc>
          <w:tcPr>
            <w:tcW w:w="720" w:type="dxa"/>
            <w:tcBorders>
              <w:top w:val="nil"/>
              <w:left w:val="nil"/>
              <w:bottom w:val="single" w:sz="4" w:space="0" w:color="auto"/>
              <w:right w:val="single" w:sz="4" w:space="0" w:color="auto"/>
            </w:tcBorders>
            <w:shd w:val="clear" w:color="auto" w:fill="auto"/>
            <w:noWrap/>
            <w:vAlign w:val="center"/>
            <w:hideMark/>
          </w:tcPr>
          <w:p w14:paraId="6D9CF650" w14:textId="77777777" w:rsidR="00AC3348" w:rsidRPr="004F5205" w:rsidRDefault="00AC3348" w:rsidP="001D6813">
            <w:pPr>
              <w:jc w:val="center"/>
              <w:rPr>
                <w:rFonts w:eastAsia="Times New Roman"/>
                <w:color w:val="000000"/>
              </w:rPr>
            </w:pPr>
            <w:r w:rsidRPr="004F5205">
              <w:rPr>
                <w:rFonts w:eastAsia="Times New Roman"/>
                <w:color w:val="000000"/>
              </w:rPr>
              <w:t>97.71</w:t>
            </w:r>
          </w:p>
        </w:tc>
      </w:tr>
      <w:tr w:rsidR="003A1B56" w:rsidRPr="004F5205" w14:paraId="5340122E"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21EDAFF9" w14:textId="2A9C003A"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rosea</w:t>
            </w:r>
            <w:r w:rsidRPr="004F5205">
              <w:rPr>
                <w:rFonts w:eastAsia="Times New Roman"/>
                <w:color w:val="000000"/>
              </w:rPr>
              <w:t xml:space="preserve"> SV97 [7]</w:t>
            </w:r>
          </w:p>
        </w:tc>
        <w:tc>
          <w:tcPr>
            <w:tcW w:w="1049" w:type="dxa"/>
            <w:tcBorders>
              <w:top w:val="nil"/>
              <w:left w:val="nil"/>
              <w:bottom w:val="single" w:sz="4" w:space="0" w:color="auto"/>
              <w:right w:val="single" w:sz="4" w:space="0" w:color="auto"/>
            </w:tcBorders>
            <w:shd w:val="clear" w:color="auto" w:fill="auto"/>
            <w:noWrap/>
            <w:vAlign w:val="center"/>
            <w:hideMark/>
          </w:tcPr>
          <w:p w14:paraId="3684AAF1" w14:textId="77777777" w:rsidR="00AC3348" w:rsidRPr="004F5205" w:rsidRDefault="00AC3348" w:rsidP="001D6813">
            <w:pPr>
              <w:jc w:val="center"/>
              <w:rPr>
                <w:rFonts w:eastAsia="Times New Roman"/>
                <w:color w:val="000000"/>
              </w:rPr>
            </w:pPr>
            <w:r w:rsidRPr="004F5205">
              <w:rPr>
                <w:rFonts w:eastAsia="Times New Roman"/>
                <w:color w:val="000000"/>
              </w:rPr>
              <w:t>97.24</w:t>
            </w:r>
          </w:p>
        </w:tc>
        <w:tc>
          <w:tcPr>
            <w:tcW w:w="723" w:type="dxa"/>
            <w:tcBorders>
              <w:top w:val="nil"/>
              <w:left w:val="nil"/>
              <w:bottom w:val="single" w:sz="4" w:space="0" w:color="auto"/>
              <w:right w:val="single" w:sz="4" w:space="0" w:color="auto"/>
            </w:tcBorders>
            <w:shd w:val="clear" w:color="auto" w:fill="auto"/>
            <w:noWrap/>
            <w:vAlign w:val="center"/>
            <w:hideMark/>
          </w:tcPr>
          <w:p w14:paraId="1A9E9DF8" w14:textId="77777777" w:rsidR="00AC3348" w:rsidRPr="004F5205" w:rsidRDefault="00AC3348" w:rsidP="001D6813">
            <w:pPr>
              <w:jc w:val="center"/>
              <w:rPr>
                <w:rFonts w:eastAsia="Times New Roman"/>
                <w:color w:val="000000"/>
              </w:rPr>
            </w:pPr>
            <w:r w:rsidRPr="004F5205">
              <w:rPr>
                <w:rFonts w:eastAsia="Times New Roman"/>
                <w:color w:val="000000"/>
              </w:rPr>
              <w:t>97.57</w:t>
            </w:r>
          </w:p>
        </w:tc>
        <w:tc>
          <w:tcPr>
            <w:tcW w:w="747" w:type="dxa"/>
            <w:tcBorders>
              <w:top w:val="nil"/>
              <w:left w:val="nil"/>
              <w:bottom w:val="single" w:sz="4" w:space="0" w:color="auto"/>
              <w:right w:val="single" w:sz="4" w:space="0" w:color="auto"/>
            </w:tcBorders>
            <w:shd w:val="clear" w:color="auto" w:fill="auto"/>
            <w:noWrap/>
            <w:vAlign w:val="center"/>
            <w:hideMark/>
          </w:tcPr>
          <w:p w14:paraId="521EF255" w14:textId="77777777" w:rsidR="00AC3348" w:rsidRPr="004F5205" w:rsidRDefault="00AC3348" w:rsidP="001D6813">
            <w:pPr>
              <w:jc w:val="center"/>
              <w:rPr>
                <w:rFonts w:eastAsia="Times New Roman"/>
                <w:color w:val="000000"/>
              </w:rPr>
            </w:pPr>
            <w:r w:rsidRPr="004F5205">
              <w:rPr>
                <w:rFonts w:eastAsia="Times New Roman"/>
                <w:color w:val="000000"/>
              </w:rPr>
              <w:t>97.71</w:t>
            </w:r>
          </w:p>
        </w:tc>
        <w:tc>
          <w:tcPr>
            <w:tcW w:w="721" w:type="dxa"/>
            <w:tcBorders>
              <w:top w:val="nil"/>
              <w:left w:val="nil"/>
              <w:bottom w:val="single" w:sz="4" w:space="0" w:color="auto"/>
              <w:right w:val="single" w:sz="4" w:space="0" w:color="auto"/>
            </w:tcBorders>
            <w:shd w:val="clear" w:color="auto" w:fill="auto"/>
            <w:noWrap/>
            <w:vAlign w:val="center"/>
            <w:hideMark/>
          </w:tcPr>
          <w:p w14:paraId="08438C69" w14:textId="77777777" w:rsidR="00AC3348" w:rsidRPr="004F5205" w:rsidRDefault="00AC3348" w:rsidP="001D6813">
            <w:pPr>
              <w:jc w:val="center"/>
              <w:rPr>
                <w:rFonts w:eastAsia="Times New Roman"/>
                <w:b/>
                <w:bCs/>
                <w:color w:val="000000"/>
              </w:rPr>
            </w:pPr>
            <w:r w:rsidRPr="004F5205">
              <w:rPr>
                <w:rFonts w:eastAsia="Times New Roman"/>
                <w:b/>
                <w:bCs/>
                <w:color w:val="000000"/>
              </w:rPr>
              <w:t>99.53</w:t>
            </w:r>
          </w:p>
        </w:tc>
        <w:tc>
          <w:tcPr>
            <w:tcW w:w="720" w:type="dxa"/>
            <w:tcBorders>
              <w:top w:val="nil"/>
              <w:left w:val="nil"/>
              <w:bottom w:val="single" w:sz="4" w:space="0" w:color="auto"/>
              <w:right w:val="single" w:sz="4" w:space="0" w:color="auto"/>
            </w:tcBorders>
            <w:shd w:val="clear" w:color="auto" w:fill="auto"/>
            <w:noWrap/>
            <w:vAlign w:val="center"/>
            <w:hideMark/>
          </w:tcPr>
          <w:p w14:paraId="226E5058" w14:textId="77777777" w:rsidR="00AC3348" w:rsidRPr="004F5205" w:rsidRDefault="00AC3348" w:rsidP="001D6813">
            <w:pPr>
              <w:jc w:val="center"/>
              <w:rPr>
                <w:rFonts w:eastAsia="Times New Roman"/>
                <w:color w:val="000000"/>
              </w:rPr>
            </w:pPr>
            <w:r w:rsidRPr="004F5205">
              <w:rPr>
                <w:rFonts w:eastAsia="Times New Roman"/>
                <w:color w:val="000000"/>
              </w:rPr>
              <w:t>96.49</w:t>
            </w:r>
          </w:p>
        </w:tc>
        <w:tc>
          <w:tcPr>
            <w:tcW w:w="718" w:type="dxa"/>
            <w:tcBorders>
              <w:top w:val="nil"/>
              <w:left w:val="nil"/>
              <w:bottom w:val="single" w:sz="4" w:space="0" w:color="auto"/>
              <w:right w:val="single" w:sz="4" w:space="0" w:color="auto"/>
            </w:tcBorders>
            <w:shd w:val="clear" w:color="auto" w:fill="auto"/>
            <w:noWrap/>
            <w:vAlign w:val="center"/>
            <w:hideMark/>
          </w:tcPr>
          <w:p w14:paraId="7D0CFC48" w14:textId="77777777" w:rsidR="00AC3348" w:rsidRPr="004F5205" w:rsidRDefault="00AC3348" w:rsidP="001D6813">
            <w:pPr>
              <w:jc w:val="center"/>
              <w:rPr>
                <w:rFonts w:eastAsia="Times New Roman"/>
                <w:color w:val="000000"/>
              </w:rPr>
            </w:pPr>
            <w:r w:rsidRPr="004F5205">
              <w:rPr>
                <w:rFonts w:eastAsia="Times New Roman"/>
                <w:color w:val="000000"/>
              </w:rPr>
              <w:t>97.30</w:t>
            </w:r>
          </w:p>
        </w:tc>
        <w:tc>
          <w:tcPr>
            <w:tcW w:w="713" w:type="dxa"/>
            <w:tcBorders>
              <w:top w:val="nil"/>
              <w:left w:val="nil"/>
              <w:bottom w:val="single" w:sz="4" w:space="0" w:color="auto"/>
              <w:right w:val="single" w:sz="4" w:space="0" w:color="auto"/>
            </w:tcBorders>
            <w:shd w:val="clear" w:color="auto" w:fill="auto"/>
            <w:noWrap/>
            <w:vAlign w:val="center"/>
            <w:hideMark/>
          </w:tcPr>
          <w:p w14:paraId="76375ED3"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29" w:type="dxa"/>
            <w:tcBorders>
              <w:top w:val="nil"/>
              <w:left w:val="nil"/>
              <w:bottom w:val="single" w:sz="4" w:space="0" w:color="auto"/>
              <w:right w:val="single" w:sz="4" w:space="0" w:color="auto"/>
            </w:tcBorders>
            <w:shd w:val="clear" w:color="auto" w:fill="auto"/>
            <w:noWrap/>
            <w:vAlign w:val="center"/>
            <w:hideMark/>
          </w:tcPr>
          <w:p w14:paraId="453DAA7B" w14:textId="77777777" w:rsidR="00AC3348" w:rsidRPr="004F5205" w:rsidRDefault="00AC3348" w:rsidP="001D6813">
            <w:pPr>
              <w:jc w:val="center"/>
              <w:rPr>
                <w:rFonts w:eastAsia="Times New Roman"/>
                <w:b/>
                <w:bCs/>
                <w:color w:val="000000"/>
              </w:rPr>
            </w:pPr>
            <w:r w:rsidRPr="004F5205">
              <w:rPr>
                <w:rFonts w:eastAsia="Times New Roman"/>
                <w:b/>
                <w:bCs/>
                <w:color w:val="000000"/>
              </w:rPr>
              <w:t>99.33</w:t>
            </w:r>
          </w:p>
        </w:tc>
        <w:tc>
          <w:tcPr>
            <w:tcW w:w="720" w:type="dxa"/>
            <w:tcBorders>
              <w:top w:val="nil"/>
              <w:left w:val="nil"/>
              <w:bottom w:val="single" w:sz="4" w:space="0" w:color="auto"/>
              <w:right w:val="single" w:sz="4" w:space="0" w:color="auto"/>
            </w:tcBorders>
            <w:shd w:val="clear" w:color="auto" w:fill="auto"/>
            <w:noWrap/>
            <w:vAlign w:val="center"/>
            <w:hideMark/>
          </w:tcPr>
          <w:p w14:paraId="69C204D3" w14:textId="77777777" w:rsidR="00AC3348" w:rsidRPr="004F5205" w:rsidRDefault="00AC3348" w:rsidP="001D6813">
            <w:pPr>
              <w:jc w:val="center"/>
              <w:rPr>
                <w:rFonts w:eastAsia="Times New Roman"/>
                <w:b/>
                <w:bCs/>
                <w:color w:val="000000"/>
              </w:rPr>
            </w:pPr>
            <w:r w:rsidRPr="004F5205">
              <w:rPr>
                <w:rFonts w:eastAsia="Times New Roman"/>
                <w:b/>
                <w:bCs/>
                <w:color w:val="000000"/>
              </w:rPr>
              <w:t>99.60</w:t>
            </w:r>
          </w:p>
        </w:tc>
      </w:tr>
      <w:tr w:rsidR="003A1B56" w:rsidRPr="004F5205" w14:paraId="3E4E34E2"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C064E65" w14:textId="44E0FF7B"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silviterrae </w:t>
            </w:r>
            <w:r w:rsidRPr="004F5205">
              <w:rPr>
                <w:rFonts w:eastAsia="Times New Roman"/>
                <w:color w:val="000000"/>
              </w:rPr>
              <w:t>FS [8]</w:t>
            </w:r>
          </w:p>
        </w:tc>
        <w:tc>
          <w:tcPr>
            <w:tcW w:w="1049" w:type="dxa"/>
            <w:tcBorders>
              <w:top w:val="nil"/>
              <w:left w:val="nil"/>
              <w:bottom w:val="single" w:sz="4" w:space="0" w:color="auto"/>
              <w:right w:val="single" w:sz="4" w:space="0" w:color="auto"/>
            </w:tcBorders>
            <w:shd w:val="clear" w:color="auto" w:fill="auto"/>
            <w:noWrap/>
            <w:vAlign w:val="center"/>
            <w:hideMark/>
          </w:tcPr>
          <w:p w14:paraId="78FA50CE" w14:textId="77777777" w:rsidR="00AC3348" w:rsidRPr="004F5205" w:rsidRDefault="00AC3348" w:rsidP="001D6813">
            <w:pPr>
              <w:jc w:val="center"/>
              <w:rPr>
                <w:rFonts w:eastAsia="Times New Roman"/>
                <w:color w:val="000000"/>
              </w:rPr>
            </w:pPr>
            <w:r w:rsidRPr="004F5205">
              <w:rPr>
                <w:rFonts w:eastAsia="Times New Roman"/>
                <w:color w:val="000000"/>
              </w:rPr>
              <w:t>97.64</w:t>
            </w:r>
          </w:p>
        </w:tc>
        <w:tc>
          <w:tcPr>
            <w:tcW w:w="723" w:type="dxa"/>
            <w:tcBorders>
              <w:top w:val="nil"/>
              <w:left w:val="nil"/>
              <w:bottom w:val="single" w:sz="4" w:space="0" w:color="auto"/>
              <w:right w:val="single" w:sz="4" w:space="0" w:color="auto"/>
            </w:tcBorders>
            <w:shd w:val="clear" w:color="auto" w:fill="auto"/>
            <w:noWrap/>
            <w:vAlign w:val="center"/>
            <w:hideMark/>
          </w:tcPr>
          <w:p w14:paraId="35FAE00E" w14:textId="77777777" w:rsidR="00AC3348" w:rsidRPr="004F5205" w:rsidRDefault="00AC3348" w:rsidP="001D6813">
            <w:pPr>
              <w:jc w:val="center"/>
              <w:rPr>
                <w:rFonts w:eastAsia="Times New Roman"/>
                <w:b/>
                <w:bCs/>
                <w:color w:val="000000"/>
              </w:rPr>
            </w:pPr>
            <w:r w:rsidRPr="004F5205">
              <w:rPr>
                <w:rFonts w:eastAsia="Times New Roman"/>
                <w:b/>
                <w:bCs/>
                <w:color w:val="000000"/>
              </w:rPr>
              <w:t>98.25</w:t>
            </w:r>
          </w:p>
        </w:tc>
        <w:tc>
          <w:tcPr>
            <w:tcW w:w="747" w:type="dxa"/>
            <w:tcBorders>
              <w:top w:val="nil"/>
              <w:left w:val="nil"/>
              <w:bottom w:val="single" w:sz="4" w:space="0" w:color="auto"/>
              <w:right w:val="single" w:sz="4" w:space="0" w:color="auto"/>
            </w:tcBorders>
            <w:shd w:val="clear" w:color="auto" w:fill="auto"/>
            <w:noWrap/>
            <w:vAlign w:val="center"/>
            <w:hideMark/>
          </w:tcPr>
          <w:p w14:paraId="74723E3E" w14:textId="77777777" w:rsidR="00AC3348" w:rsidRPr="004F5205" w:rsidRDefault="00AC3348" w:rsidP="001D6813">
            <w:pPr>
              <w:jc w:val="center"/>
              <w:rPr>
                <w:rFonts w:eastAsia="Times New Roman"/>
                <w:color w:val="000000"/>
              </w:rPr>
            </w:pPr>
            <w:r w:rsidRPr="004F5205">
              <w:rPr>
                <w:rFonts w:eastAsia="Times New Roman"/>
                <w:color w:val="000000"/>
              </w:rPr>
              <w:t>97.57</w:t>
            </w:r>
          </w:p>
        </w:tc>
        <w:tc>
          <w:tcPr>
            <w:tcW w:w="721" w:type="dxa"/>
            <w:tcBorders>
              <w:top w:val="nil"/>
              <w:left w:val="nil"/>
              <w:bottom w:val="single" w:sz="4" w:space="0" w:color="auto"/>
              <w:right w:val="single" w:sz="4" w:space="0" w:color="auto"/>
            </w:tcBorders>
            <w:shd w:val="clear" w:color="auto" w:fill="auto"/>
            <w:noWrap/>
            <w:vAlign w:val="center"/>
            <w:hideMark/>
          </w:tcPr>
          <w:p w14:paraId="5DCAC376" w14:textId="77777777" w:rsidR="00AC3348" w:rsidRPr="004F5205" w:rsidRDefault="00AC3348" w:rsidP="001D6813">
            <w:pPr>
              <w:jc w:val="center"/>
              <w:rPr>
                <w:rFonts w:eastAsia="Times New Roman"/>
                <w:b/>
                <w:bCs/>
                <w:color w:val="000000"/>
              </w:rPr>
            </w:pPr>
            <w:r w:rsidRPr="004F5205">
              <w:rPr>
                <w:rFonts w:eastAsia="Times New Roman"/>
                <w:b/>
                <w:bCs/>
                <w:color w:val="000000"/>
              </w:rPr>
              <w:t>99.66</w:t>
            </w:r>
          </w:p>
        </w:tc>
        <w:tc>
          <w:tcPr>
            <w:tcW w:w="720" w:type="dxa"/>
            <w:tcBorders>
              <w:top w:val="nil"/>
              <w:left w:val="nil"/>
              <w:bottom w:val="single" w:sz="4" w:space="0" w:color="auto"/>
              <w:right w:val="single" w:sz="4" w:space="0" w:color="auto"/>
            </w:tcBorders>
            <w:shd w:val="clear" w:color="auto" w:fill="auto"/>
            <w:noWrap/>
            <w:vAlign w:val="center"/>
            <w:hideMark/>
          </w:tcPr>
          <w:p w14:paraId="46B97848" w14:textId="77777777" w:rsidR="00AC3348" w:rsidRPr="004F5205" w:rsidRDefault="00AC3348" w:rsidP="001D6813">
            <w:pPr>
              <w:jc w:val="center"/>
              <w:rPr>
                <w:rFonts w:eastAsia="Times New Roman"/>
                <w:color w:val="000000"/>
              </w:rPr>
            </w:pPr>
            <w:r w:rsidRPr="004F5205">
              <w:rPr>
                <w:rFonts w:eastAsia="Times New Roman"/>
                <w:color w:val="000000"/>
              </w:rPr>
              <w:t>97.17</w:t>
            </w:r>
          </w:p>
        </w:tc>
        <w:tc>
          <w:tcPr>
            <w:tcW w:w="718" w:type="dxa"/>
            <w:tcBorders>
              <w:top w:val="nil"/>
              <w:left w:val="nil"/>
              <w:bottom w:val="single" w:sz="4" w:space="0" w:color="auto"/>
              <w:right w:val="single" w:sz="4" w:space="0" w:color="auto"/>
            </w:tcBorders>
            <w:shd w:val="clear" w:color="auto" w:fill="auto"/>
            <w:noWrap/>
            <w:vAlign w:val="center"/>
            <w:hideMark/>
          </w:tcPr>
          <w:p w14:paraId="54484A02" w14:textId="77777777" w:rsidR="00AC3348" w:rsidRPr="004F5205" w:rsidRDefault="00AC3348" w:rsidP="001D6813">
            <w:pPr>
              <w:jc w:val="center"/>
              <w:rPr>
                <w:rFonts w:eastAsia="Times New Roman"/>
                <w:color w:val="000000"/>
              </w:rPr>
            </w:pPr>
            <w:r w:rsidRPr="004F5205">
              <w:rPr>
                <w:rFonts w:eastAsia="Times New Roman"/>
                <w:color w:val="000000"/>
              </w:rPr>
              <w:t>97.98</w:t>
            </w:r>
          </w:p>
        </w:tc>
        <w:tc>
          <w:tcPr>
            <w:tcW w:w="713" w:type="dxa"/>
            <w:tcBorders>
              <w:top w:val="nil"/>
              <w:left w:val="nil"/>
              <w:bottom w:val="single" w:sz="4" w:space="0" w:color="auto"/>
              <w:right w:val="single" w:sz="4" w:space="0" w:color="auto"/>
            </w:tcBorders>
            <w:shd w:val="clear" w:color="auto" w:fill="auto"/>
            <w:noWrap/>
            <w:vAlign w:val="center"/>
            <w:hideMark/>
          </w:tcPr>
          <w:p w14:paraId="744BFF1F" w14:textId="77777777" w:rsidR="00AC3348" w:rsidRPr="004F5205" w:rsidRDefault="00AC3348" w:rsidP="001D6813">
            <w:pPr>
              <w:jc w:val="center"/>
              <w:rPr>
                <w:rFonts w:eastAsia="Times New Roman"/>
                <w:b/>
                <w:bCs/>
                <w:color w:val="000000"/>
              </w:rPr>
            </w:pPr>
            <w:r w:rsidRPr="004F5205">
              <w:rPr>
                <w:rFonts w:eastAsia="Times New Roman"/>
                <w:b/>
                <w:bCs/>
                <w:color w:val="000000"/>
              </w:rPr>
              <w:t>99.33</w:t>
            </w:r>
          </w:p>
        </w:tc>
        <w:tc>
          <w:tcPr>
            <w:tcW w:w="729" w:type="dxa"/>
            <w:tcBorders>
              <w:top w:val="nil"/>
              <w:left w:val="nil"/>
              <w:bottom w:val="single" w:sz="4" w:space="0" w:color="auto"/>
              <w:right w:val="single" w:sz="4" w:space="0" w:color="auto"/>
            </w:tcBorders>
            <w:shd w:val="clear" w:color="auto" w:fill="auto"/>
            <w:noWrap/>
            <w:vAlign w:val="center"/>
            <w:hideMark/>
          </w:tcPr>
          <w:p w14:paraId="228744A5"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c>
          <w:tcPr>
            <w:tcW w:w="720" w:type="dxa"/>
            <w:tcBorders>
              <w:top w:val="nil"/>
              <w:left w:val="nil"/>
              <w:bottom w:val="single" w:sz="4" w:space="0" w:color="auto"/>
              <w:right w:val="single" w:sz="4" w:space="0" w:color="auto"/>
            </w:tcBorders>
            <w:shd w:val="clear" w:color="auto" w:fill="auto"/>
            <w:noWrap/>
            <w:vAlign w:val="center"/>
            <w:hideMark/>
          </w:tcPr>
          <w:p w14:paraId="3A613580" w14:textId="77777777" w:rsidR="00AC3348" w:rsidRPr="004F5205" w:rsidRDefault="00AC3348" w:rsidP="001D6813">
            <w:pPr>
              <w:jc w:val="center"/>
              <w:rPr>
                <w:rFonts w:eastAsia="Times New Roman"/>
                <w:b/>
                <w:bCs/>
                <w:color w:val="000000"/>
              </w:rPr>
            </w:pPr>
            <w:r w:rsidRPr="004F5205">
              <w:rPr>
                <w:rFonts w:eastAsia="Times New Roman"/>
                <w:b/>
                <w:bCs/>
                <w:color w:val="000000"/>
              </w:rPr>
              <w:t>99.73</w:t>
            </w:r>
          </w:p>
        </w:tc>
      </w:tr>
      <w:tr w:rsidR="003A1B56" w:rsidRPr="004F5205" w14:paraId="0BDD7A50" w14:textId="77777777" w:rsidTr="003A1B56">
        <w:trPr>
          <w:gridAfter w:val="1"/>
          <w:wAfter w:w="10" w:type="dxa"/>
          <w:trHeight w:val="316"/>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594FA395" w14:textId="0BD72854" w:rsidR="00AC3348" w:rsidRPr="004F5205" w:rsidRDefault="00AC3348" w:rsidP="001D6813">
            <w:pPr>
              <w:rPr>
                <w:rFonts w:eastAsia="Times New Roman"/>
                <w:color w:val="000000"/>
              </w:rPr>
            </w:pPr>
            <w:r w:rsidRPr="004F5205">
              <w:rPr>
                <w:rFonts w:eastAsia="Times New Roman"/>
                <w:i/>
                <w:iCs/>
                <w:color w:val="000000"/>
              </w:rPr>
              <w:t>M</w:t>
            </w:r>
            <w:r w:rsidR="003A1B56">
              <w:rPr>
                <w:rFonts w:eastAsia="Times New Roman"/>
                <w:i/>
                <w:iCs/>
                <w:color w:val="000000"/>
              </w:rPr>
              <w:t>.</w:t>
            </w:r>
            <w:r w:rsidRPr="004F5205">
              <w:rPr>
                <w:rFonts w:eastAsia="Times New Roman"/>
                <w:i/>
                <w:iCs/>
                <w:color w:val="000000"/>
              </w:rPr>
              <w:t xml:space="preserve"> suflitae </w:t>
            </w:r>
            <w:r w:rsidRPr="004F5205">
              <w:rPr>
                <w:rFonts w:eastAsia="Times New Roman"/>
                <w:color w:val="000000"/>
              </w:rPr>
              <w:t>NLS-7 [9]</w:t>
            </w:r>
          </w:p>
        </w:tc>
        <w:tc>
          <w:tcPr>
            <w:tcW w:w="1049" w:type="dxa"/>
            <w:tcBorders>
              <w:top w:val="nil"/>
              <w:left w:val="nil"/>
              <w:bottom w:val="single" w:sz="4" w:space="0" w:color="auto"/>
              <w:right w:val="single" w:sz="4" w:space="0" w:color="auto"/>
            </w:tcBorders>
            <w:shd w:val="clear" w:color="auto" w:fill="auto"/>
            <w:noWrap/>
            <w:vAlign w:val="center"/>
            <w:hideMark/>
          </w:tcPr>
          <w:p w14:paraId="5F437108" w14:textId="77777777" w:rsidR="00AC3348" w:rsidRPr="004F5205" w:rsidRDefault="00AC3348" w:rsidP="001D6813">
            <w:pPr>
              <w:jc w:val="center"/>
              <w:rPr>
                <w:rFonts w:eastAsia="Times New Roman"/>
                <w:color w:val="000000"/>
              </w:rPr>
            </w:pPr>
            <w:r w:rsidRPr="004F5205">
              <w:rPr>
                <w:rFonts w:eastAsia="Times New Roman"/>
                <w:color w:val="000000"/>
              </w:rPr>
              <w:t>97.37</w:t>
            </w:r>
          </w:p>
        </w:tc>
        <w:tc>
          <w:tcPr>
            <w:tcW w:w="723" w:type="dxa"/>
            <w:tcBorders>
              <w:top w:val="nil"/>
              <w:left w:val="nil"/>
              <w:bottom w:val="single" w:sz="4" w:space="0" w:color="auto"/>
              <w:right w:val="single" w:sz="4" w:space="0" w:color="auto"/>
            </w:tcBorders>
            <w:shd w:val="clear" w:color="auto" w:fill="auto"/>
            <w:noWrap/>
            <w:vAlign w:val="center"/>
            <w:hideMark/>
          </w:tcPr>
          <w:p w14:paraId="39541AF2" w14:textId="77777777" w:rsidR="00AC3348" w:rsidRPr="004F5205" w:rsidRDefault="00AC3348" w:rsidP="001D6813">
            <w:pPr>
              <w:jc w:val="center"/>
              <w:rPr>
                <w:rFonts w:eastAsia="Times New Roman"/>
                <w:color w:val="000000"/>
              </w:rPr>
            </w:pPr>
            <w:r w:rsidRPr="004F5205">
              <w:rPr>
                <w:rFonts w:eastAsia="Times New Roman"/>
                <w:color w:val="000000"/>
              </w:rPr>
              <w:t>97.98</w:t>
            </w:r>
          </w:p>
        </w:tc>
        <w:tc>
          <w:tcPr>
            <w:tcW w:w="747" w:type="dxa"/>
            <w:tcBorders>
              <w:top w:val="nil"/>
              <w:left w:val="nil"/>
              <w:bottom w:val="single" w:sz="4" w:space="0" w:color="auto"/>
              <w:right w:val="single" w:sz="4" w:space="0" w:color="auto"/>
            </w:tcBorders>
            <w:shd w:val="clear" w:color="auto" w:fill="auto"/>
            <w:noWrap/>
            <w:vAlign w:val="center"/>
            <w:hideMark/>
          </w:tcPr>
          <w:p w14:paraId="6A9A83FD" w14:textId="77777777" w:rsidR="00AC3348" w:rsidRPr="004F5205" w:rsidRDefault="00AC3348" w:rsidP="001D6813">
            <w:pPr>
              <w:jc w:val="center"/>
              <w:rPr>
                <w:rFonts w:eastAsia="Times New Roman"/>
                <w:color w:val="000000"/>
              </w:rPr>
            </w:pPr>
            <w:r w:rsidRPr="004F5205">
              <w:rPr>
                <w:rFonts w:eastAsia="Times New Roman"/>
                <w:color w:val="000000"/>
              </w:rPr>
              <w:t>97.84</w:t>
            </w:r>
          </w:p>
        </w:tc>
        <w:tc>
          <w:tcPr>
            <w:tcW w:w="721" w:type="dxa"/>
            <w:tcBorders>
              <w:top w:val="nil"/>
              <w:left w:val="nil"/>
              <w:bottom w:val="single" w:sz="4" w:space="0" w:color="auto"/>
              <w:right w:val="single" w:sz="4" w:space="0" w:color="auto"/>
            </w:tcBorders>
            <w:shd w:val="clear" w:color="auto" w:fill="auto"/>
            <w:noWrap/>
            <w:vAlign w:val="center"/>
            <w:hideMark/>
          </w:tcPr>
          <w:p w14:paraId="44C66517" w14:textId="77777777" w:rsidR="00AC3348" w:rsidRPr="004F5205" w:rsidRDefault="00AC3348" w:rsidP="001D6813">
            <w:pPr>
              <w:jc w:val="center"/>
              <w:rPr>
                <w:rFonts w:eastAsia="Times New Roman"/>
                <w:b/>
                <w:bCs/>
                <w:color w:val="000000"/>
              </w:rPr>
            </w:pPr>
            <w:r w:rsidRPr="004F5205">
              <w:rPr>
                <w:rFonts w:eastAsia="Times New Roman"/>
                <w:b/>
                <w:bCs/>
                <w:color w:val="000000"/>
              </w:rPr>
              <w:t>99.93</w:t>
            </w:r>
          </w:p>
        </w:tc>
        <w:tc>
          <w:tcPr>
            <w:tcW w:w="720" w:type="dxa"/>
            <w:tcBorders>
              <w:top w:val="nil"/>
              <w:left w:val="nil"/>
              <w:bottom w:val="single" w:sz="4" w:space="0" w:color="auto"/>
              <w:right w:val="single" w:sz="4" w:space="0" w:color="auto"/>
            </w:tcBorders>
            <w:shd w:val="clear" w:color="auto" w:fill="auto"/>
            <w:noWrap/>
            <w:vAlign w:val="center"/>
            <w:hideMark/>
          </w:tcPr>
          <w:p w14:paraId="0A20F794" w14:textId="77777777" w:rsidR="00AC3348" w:rsidRPr="004F5205" w:rsidRDefault="00AC3348" w:rsidP="001D6813">
            <w:pPr>
              <w:jc w:val="center"/>
              <w:rPr>
                <w:rFonts w:eastAsia="Times New Roman"/>
                <w:color w:val="000000"/>
              </w:rPr>
            </w:pPr>
            <w:r w:rsidRPr="004F5205">
              <w:rPr>
                <w:rFonts w:eastAsia="Times New Roman"/>
                <w:color w:val="000000"/>
              </w:rPr>
              <w:t>96.90</w:t>
            </w:r>
          </w:p>
        </w:tc>
        <w:tc>
          <w:tcPr>
            <w:tcW w:w="718" w:type="dxa"/>
            <w:tcBorders>
              <w:top w:val="nil"/>
              <w:left w:val="nil"/>
              <w:bottom w:val="single" w:sz="4" w:space="0" w:color="auto"/>
              <w:right w:val="single" w:sz="4" w:space="0" w:color="auto"/>
            </w:tcBorders>
            <w:shd w:val="clear" w:color="auto" w:fill="auto"/>
            <w:noWrap/>
            <w:vAlign w:val="center"/>
            <w:hideMark/>
          </w:tcPr>
          <w:p w14:paraId="2DC6A289" w14:textId="77777777" w:rsidR="00AC3348" w:rsidRPr="004F5205" w:rsidRDefault="00AC3348" w:rsidP="001D6813">
            <w:pPr>
              <w:jc w:val="center"/>
              <w:rPr>
                <w:rFonts w:eastAsia="Times New Roman"/>
                <w:color w:val="000000"/>
              </w:rPr>
            </w:pPr>
            <w:r w:rsidRPr="004F5205">
              <w:rPr>
                <w:rFonts w:eastAsia="Times New Roman"/>
                <w:color w:val="000000"/>
              </w:rPr>
              <w:t>97.71</w:t>
            </w:r>
          </w:p>
        </w:tc>
        <w:tc>
          <w:tcPr>
            <w:tcW w:w="713" w:type="dxa"/>
            <w:tcBorders>
              <w:top w:val="nil"/>
              <w:left w:val="nil"/>
              <w:bottom w:val="single" w:sz="4" w:space="0" w:color="auto"/>
              <w:right w:val="single" w:sz="4" w:space="0" w:color="auto"/>
            </w:tcBorders>
            <w:shd w:val="clear" w:color="auto" w:fill="auto"/>
            <w:noWrap/>
            <w:vAlign w:val="center"/>
            <w:hideMark/>
          </w:tcPr>
          <w:p w14:paraId="38563D55" w14:textId="77777777" w:rsidR="00AC3348" w:rsidRPr="004F5205" w:rsidRDefault="00AC3348" w:rsidP="001D6813">
            <w:pPr>
              <w:jc w:val="center"/>
              <w:rPr>
                <w:rFonts w:eastAsia="Times New Roman"/>
                <w:b/>
                <w:bCs/>
                <w:color w:val="000000"/>
              </w:rPr>
            </w:pPr>
            <w:r w:rsidRPr="004F5205">
              <w:rPr>
                <w:rFonts w:eastAsia="Times New Roman"/>
                <w:b/>
                <w:bCs/>
                <w:color w:val="000000"/>
              </w:rPr>
              <w:t>99.60</w:t>
            </w:r>
          </w:p>
        </w:tc>
        <w:tc>
          <w:tcPr>
            <w:tcW w:w="729" w:type="dxa"/>
            <w:tcBorders>
              <w:top w:val="nil"/>
              <w:left w:val="nil"/>
              <w:bottom w:val="single" w:sz="4" w:space="0" w:color="auto"/>
              <w:right w:val="single" w:sz="4" w:space="0" w:color="auto"/>
            </w:tcBorders>
            <w:shd w:val="clear" w:color="auto" w:fill="auto"/>
            <w:noWrap/>
            <w:vAlign w:val="center"/>
            <w:hideMark/>
          </w:tcPr>
          <w:p w14:paraId="5F7BBE5E" w14:textId="77777777" w:rsidR="00AC3348" w:rsidRPr="004F5205" w:rsidRDefault="00AC3348" w:rsidP="001D6813">
            <w:pPr>
              <w:jc w:val="center"/>
              <w:rPr>
                <w:rFonts w:eastAsia="Times New Roman"/>
                <w:b/>
                <w:bCs/>
                <w:color w:val="000000"/>
              </w:rPr>
            </w:pPr>
            <w:r w:rsidRPr="004F5205">
              <w:rPr>
                <w:rFonts w:eastAsia="Times New Roman"/>
                <w:b/>
                <w:bCs/>
                <w:color w:val="000000"/>
              </w:rPr>
              <w:t>99.73</w:t>
            </w:r>
          </w:p>
        </w:tc>
        <w:tc>
          <w:tcPr>
            <w:tcW w:w="720" w:type="dxa"/>
            <w:tcBorders>
              <w:top w:val="nil"/>
              <w:left w:val="nil"/>
              <w:bottom w:val="single" w:sz="4" w:space="0" w:color="auto"/>
              <w:right w:val="single" w:sz="4" w:space="0" w:color="auto"/>
            </w:tcBorders>
            <w:shd w:val="clear" w:color="auto" w:fill="auto"/>
            <w:noWrap/>
            <w:vAlign w:val="center"/>
            <w:hideMark/>
          </w:tcPr>
          <w:p w14:paraId="294309D8" w14:textId="77777777" w:rsidR="00AC3348" w:rsidRPr="004F5205" w:rsidRDefault="00AC3348" w:rsidP="001D6813">
            <w:pPr>
              <w:jc w:val="center"/>
              <w:rPr>
                <w:rFonts w:eastAsia="Times New Roman"/>
                <w:b/>
                <w:bCs/>
                <w:color w:val="000000"/>
              </w:rPr>
            </w:pPr>
            <w:r w:rsidRPr="004F5205">
              <w:rPr>
                <w:rFonts w:eastAsia="Times New Roman"/>
                <w:b/>
                <w:bCs/>
                <w:color w:val="000000"/>
              </w:rPr>
              <w:t>100</w:t>
            </w:r>
          </w:p>
        </w:tc>
      </w:tr>
    </w:tbl>
    <w:p w14:paraId="037C906C" w14:textId="515531B6" w:rsidR="00AC3348" w:rsidRDefault="006A2F31" w:rsidP="006A2F31">
      <w:pPr>
        <w:pStyle w:val="Heading6"/>
      </w:pPr>
      <w:bookmarkStart w:id="41" w:name="_Toc161934666"/>
      <w:r>
        <w:t>Supplemental Table 1: 16S sequence identity</w:t>
      </w:r>
      <w:bookmarkEnd w:id="41"/>
      <w:r>
        <w:t xml:space="preserve"> </w:t>
      </w:r>
    </w:p>
    <w:p w14:paraId="2E4E7200" w14:textId="58E1A63D" w:rsidR="00AC3348" w:rsidRDefault="00AB3E06" w:rsidP="00364AE7">
      <w:pPr>
        <w:rPr>
          <w:b/>
          <w:bCs/>
          <w:sz w:val="24"/>
          <w:szCs w:val="24"/>
        </w:rPr>
      </w:pPr>
      <w:r>
        <w:rPr>
          <w:b/>
          <w:bCs/>
          <w:sz w:val="24"/>
          <w:szCs w:val="24"/>
        </w:rPr>
        <w:br w:type="column"/>
      </w:r>
    </w:p>
    <w:tbl>
      <w:tblPr>
        <w:tblW w:w="4808" w:type="pct"/>
        <w:tblLook w:val="04A0" w:firstRow="1" w:lastRow="0" w:firstColumn="1" w:lastColumn="0" w:noHBand="0" w:noVBand="1"/>
      </w:tblPr>
      <w:tblGrid>
        <w:gridCol w:w="5376"/>
        <w:gridCol w:w="3984"/>
      </w:tblGrid>
      <w:tr w:rsidR="00AC3348" w:rsidRPr="00FA4888" w14:paraId="7C31DE1D" w14:textId="77777777" w:rsidTr="00317591">
        <w:trPr>
          <w:trHeight w:val="319"/>
        </w:trPr>
        <w:tc>
          <w:tcPr>
            <w:tcW w:w="5000" w:type="pct"/>
            <w:gridSpan w:val="2"/>
            <w:tcBorders>
              <w:top w:val="nil"/>
              <w:left w:val="nil"/>
              <w:bottom w:val="nil"/>
              <w:right w:val="nil"/>
            </w:tcBorders>
            <w:shd w:val="clear" w:color="auto" w:fill="auto"/>
            <w:noWrap/>
            <w:vAlign w:val="bottom"/>
            <w:hideMark/>
          </w:tcPr>
          <w:p w14:paraId="1839CB1D" w14:textId="77777777" w:rsidR="00AC3348" w:rsidRPr="004F5205" w:rsidRDefault="00AC3348" w:rsidP="001D6813">
            <w:pPr>
              <w:rPr>
                <w:rFonts w:eastAsia="Times New Roman"/>
                <w:color w:val="000000"/>
              </w:rPr>
            </w:pPr>
            <w:r w:rsidRPr="004F5205">
              <w:rPr>
                <w:rFonts w:eastAsia="Times New Roman"/>
                <w:b/>
                <w:bCs/>
                <w:color w:val="000000"/>
              </w:rPr>
              <w:t>Supplemental Table 2</w:t>
            </w:r>
            <w:r w:rsidRPr="004F5205">
              <w:rPr>
                <w:rFonts w:eastAsia="Times New Roman"/>
                <w:color w:val="000000"/>
              </w:rPr>
              <w:t xml:space="preserve">: Total number of gene clusters unique to each species of the genus </w:t>
            </w:r>
            <w:r w:rsidRPr="004F5205">
              <w:rPr>
                <w:rFonts w:eastAsia="Times New Roman"/>
                <w:i/>
                <w:iCs/>
                <w:color w:val="000000"/>
              </w:rPr>
              <w:t>Methylocystis</w:t>
            </w:r>
            <w:r w:rsidRPr="004F5205">
              <w:rPr>
                <w:rFonts w:eastAsia="Times New Roman"/>
                <w:color w:val="000000"/>
              </w:rPr>
              <w:t>. Genomic analysis done on the NCBI reference genome of each species.</w:t>
            </w:r>
          </w:p>
        </w:tc>
      </w:tr>
      <w:tr w:rsidR="00AC3348" w:rsidRPr="00FA4888" w14:paraId="6A404E3C" w14:textId="77777777" w:rsidTr="00317591">
        <w:trPr>
          <w:trHeight w:val="319"/>
        </w:trPr>
        <w:tc>
          <w:tcPr>
            <w:tcW w:w="28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302C9" w14:textId="77777777" w:rsidR="00AC3348" w:rsidRPr="004F5205" w:rsidRDefault="00AC3348" w:rsidP="001D6813">
            <w:pPr>
              <w:rPr>
                <w:rFonts w:eastAsia="Times New Roman"/>
                <w:b/>
                <w:bCs/>
                <w:color w:val="000000"/>
              </w:rPr>
            </w:pPr>
            <w:r w:rsidRPr="004F5205">
              <w:rPr>
                <w:rFonts w:eastAsia="Times New Roman"/>
                <w:b/>
                <w:bCs/>
                <w:color w:val="000000"/>
              </w:rPr>
              <w:t>Species (NCBI Reference Genome)</w:t>
            </w:r>
          </w:p>
        </w:tc>
        <w:tc>
          <w:tcPr>
            <w:tcW w:w="2121" w:type="pct"/>
            <w:tcBorders>
              <w:top w:val="single" w:sz="4" w:space="0" w:color="auto"/>
              <w:left w:val="nil"/>
              <w:bottom w:val="single" w:sz="4" w:space="0" w:color="auto"/>
              <w:right w:val="single" w:sz="4" w:space="0" w:color="auto"/>
            </w:tcBorders>
            <w:shd w:val="clear" w:color="auto" w:fill="auto"/>
            <w:noWrap/>
            <w:vAlign w:val="bottom"/>
            <w:hideMark/>
          </w:tcPr>
          <w:p w14:paraId="7A2EA36C" w14:textId="77777777" w:rsidR="00AC3348" w:rsidRPr="004F5205" w:rsidRDefault="00AC3348" w:rsidP="001D6813">
            <w:pPr>
              <w:rPr>
                <w:rFonts w:eastAsia="Times New Roman"/>
                <w:b/>
                <w:bCs/>
                <w:color w:val="000000"/>
              </w:rPr>
            </w:pPr>
            <w:r w:rsidRPr="004F5205">
              <w:rPr>
                <w:rFonts w:eastAsia="Times New Roman"/>
                <w:b/>
                <w:bCs/>
                <w:color w:val="000000"/>
              </w:rPr>
              <w:t>Number of Unique Clusters</w:t>
            </w:r>
          </w:p>
        </w:tc>
      </w:tr>
      <w:tr w:rsidR="00AC3348" w:rsidRPr="00FA4888" w14:paraId="3E7D8A4B"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40063222" w14:textId="77777777" w:rsidR="00AC3348" w:rsidRPr="004F5205" w:rsidRDefault="00AC3348" w:rsidP="001D6813">
            <w:pPr>
              <w:rPr>
                <w:rFonts w:eastAsia="Times New Roman"/>
                <w:i/>
                <w:iCs/>
                <w:color w:val="000000"/>
              </w:rPr>
            </w:pPr>
            <w:r w:rsidRPr="004F5205">
              <w:rPr>
                <w:rFonts w:eastAsia="Times New Roman"/>
                <w:i/>
                <w:iCs/>
                <w:color w:val="000000"/>
              </w:rPr>
              <w:t>Methylocystis broyophila</w:t>
            </w:r>
          </w:p>
        </w:tc>
        <w:tc>
          <w:tcPr>
            <w:tcW w:w="2121" w:type="pct"/>
            <w:tcBorders>
              <w:top w:val="nil"/>
              <w:left w:val="nil"/>
              <w:bottom w:val="single" w:sz="4" w:space="0" w:color="auto"/>
              <w:right w:val="single" w:sz="4" w:space="0" w:color="auto"/>
            </w:tcBorders>
            <w:shd w:val="clear" w:color="auto" w:fill="auto"/>
            <w:noWrap/>
            <w:hideMark/>
          </w:tcPr>
          <w:p w14:paraId="48BE1020" w14:textId="77777777" w:rsidR="00AC3348" w:rsidRPr="004F5205" w:rsidRDefault="00AC3348" w:rsidP="001D6813">
            <w:pPr>
              <w:rPr>
                <w:rFonts w:eastAsia="Times New Roman"/>
                <w:color w:val="000000"/>
              </w:rPr>
            </w:pPr>
            <w:r w:rsidRPr="004F5205">
              <w:rPr>
                <w:rFonts w:eastAsia="Times New Roman"/>
                <w:color w:val="000000"/>
              </w:rPr>
              <w:t>1149</w:t>
            </w:r>
          </w:p>
        </w:tc>
      </w:tr>
      <w:tr w:rsidR="00AC3348" w:rsidRPr="00FA4888" w14:paraId="0C59975F"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712F43F2" w14:textId="77777777" w:rsidR="00AC3348" w:rsidRPr="004F5205" w:rsidRDefault="00AC3348" w:rsidP="001D6813">
            <w:pPr>
              <w:rPr>
                <w:rFonts w:eastAsia="Times New Roman"/>
                <w:i/>
                <w:iCs/>
                <w:color w:val="000000"/>
              </w:rPr>
            </w:pPr>
            <w:r w:rsidRPr="004F5205">
              <w:rPr>
                <w:rFonts w:eastAsia="Times New Roman"/>
                <w:i/>
                <w:iCs/>
                <w:color w:val="000000"/>
              </w:rPr>
              <w:t>Methylocystis echinoides</w:t>
            </w:r>
          </w:p>
        </w:tc>
        <w:tc>
          <w:tcPr>
            <w:tcW w:w="2121" w:type="pct"/>
            <w:tcBorders>
              <w:top w:val="nil"/>
              <w:left w:val="nil"/>
              <w:bottom w:val="single" w:sz="4" w:space="0" w:color="auto"/>
              <w:right w:val="single" w:sz="4" w:space="0" w:color="auto"/>
            </w:tcBorders>
            <w:shd w:val="clear" w:color="auto" w:fill="auto"/>
            <w:noWrap/>
            <w:hideMark/>
          </w:tcPr>
          <w:p w14:paraId="3D4E9FEA" w14:textId="77777777" w:rsidR="00AC3348" w:rsidRPr="004F5205" w:rsidRDefault="00AC3348" w:rsidP="001D6813">
            <w:pPr>
              <w:rPr>
                <w:rFonts w:eastAsia="Times New Roman"/>
                <w:color w:val="000000"/>
              </w:rPr>
            </w:pPr>
            <w:r w:rsidRPr="004F5205">
              <w:rPr>
                <w:rFonts w:eastAsia="Times New Roman"/>
                <w:color w:val="000000"/>
              </w:rPr>
              <w:t>1629</w:t>
            </w:r>
          </w:p>
        </w:tc>
      </w:tr>
      <w:tr w:rsidR="00AC3348" w:rsidRPr="00FA4888" w14:paraId="3C2C2C02"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6410D64D" w14:textId="77777777" w:rsidR="00AC3348" w:rsidRPr="004F5205" w:rsidRDefault="00AC3348" w:rsidP="001D6813">
            <w:pPr>
              <w:rPr>
                <w:rFonts w:eastAsia="Times New Roman"/>
                <w:i/>
                <w:iCs/>
                <w:color w:val="000000"/>
              </w:rPr>
            </w:pPr>
            <w:r w:rsidRPr="004F5205">
              <w:rPr>
                <w:rFonts w:eastAsia="Times New Roman"/>
                <w:i/>
                <w:iCs/>
                <w:color w:val="000000"/>
              </w:rPr>
              <w:t>Methylocystis heyeri</w:t>
            </w:r>
          </w:p>
        </w:tc>
        <w:tc>
          <w:tcPr>
            <w:tcW w:w="2121" w:type="pct"/>
            <w:tcBorders>
              <w:top w:val="nil"/>
              <w:left w:val="nil"/>
              <w:bottom w:val="single" w:sz="4" w:space="0" w:color="auto"/>
              <w:right w:val="single" w:sz="4" w:space="0" w:color="auto"/>
            </w:tcBorders>
            <w:shd w:val="clear" w:color="auto" w:fill="auto"/>
            <w:noWrap/>
            <w:hideMark/>
          </w:tcPr>
          <w:p w14:paraId="74FA2A0D" w14:textId="77777777" w:rsidR="00AC3348" w:rsidRPr="004F5205" w:rsidRDefault="00AC3348" w:rsidP="001D6813">
            <w:pPr>
              <w:rPr>
                <w:rFonts w:eastAsia="Times New Roman"/>
                <w:color w:val="000000"/>
              </w:rPr>
            </w:pPr>
            <w:r w:rsidRPr="004F5205">
              <w:rPr>
                <w:rFonts w:eastAsia="Times New Roman"/>
                <w:color w:val="000000"/>
              </w:rPr>
              <w:t>1226</w:t>
            </w:r>
          </w:p>
        </w:tc>
      </w:tr>
      <w:tr w:rsidR="00AC3348" w:rsidRPr="00FA4888" w14:paraId="3F41241A"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05A1292A" w14:textId="77777777" w:rsidR="00AC3348" w:rsidRPr="004F5205" w:rsidRDefault="00AC3348" w:rsidP="001D6813">
            <w:pPr>
              <w:rPr>
                <w:rFonts w:eastAsia="Times New Roman"/>
                <w:i/>
                <w:iCs/>
                <w:color w:val="000000"/>
              </w:rPr>
            </w:pPr>
            <w:r w:rsidRPr="004F5205">
              <w:rPr>
                <w:rFonts w:eastAsia="Times New Roman"/>
                <w:i/>
                <w:iCs/>
                <w:color w:val="000000"/>
              </w:rPr>
              <w:t>Methylocystis hirsuta</w:t>
            </w:r>
          </w:p>
        </w:tc>
        <w:tc>
          <w:tcPr>
            <w:tcW w:w="2121" w:type="pct"/>
            <w:tcBorders>
              <w:top w:val="nil"/>
              <w:left w:val="nil"/>
              <w:bottom w:val="single" w:sz="4" w:space="0" w:color="auto"/>
              <w:right w:val="single" w:sz="4" w:space="0" w:color="auto"/>
            </w:tcBorders>
            <w:shd w:val="clear" w:color="auto" w:fill="auto"/>
            <w:noWrap/>
            <w:hideMark/>
          </w:tcPr>
          <w:p w14:paraId="12B4DAF8" w14:textId="77777777" w:rsidR="00AC3348" w:rsidRPr="004F5205" w:rsidRDefault="00AC3348" w:rsidP="001D6813">
            <w:pPr>
              <w:rPr>
                <w:rFonts w:eastAsia="Times New Roman"/>
                <w:color w:val="000000"/>
              </w:rPr>
            </w:pPr>
            <w:r w:rsidRPr="004F5205">
              <w:rPr>
                <w:rFonts w:eastAsia="Times New Roman"/>
                <w:color w:val="000000"/>
              </w:rPr>
              <w:t>657</w:t>
            </w:r>
          </w:p>
        </w:tc>
      </w:tr>
      <w:tr w:rsidR="00AC3348" w:rsidRPr="00FA4888" w14:paraId="1BA07103"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4112C247" w14:textId="77777777" w:rsidR="00AC3348" w:rsidRPr="004F5205" w:rsidRDefault="00AC3348" w:rsidP="001D6813">
            <w:pPr>
              <w:rPr>
                <w:rFonts w:eastAsia="Times New Roman"/>
                <w:i/>
                <w:iCs/>
                <w:color w:val="000000"/>
              </w:rPr>
            </w:pPr>
            <w:r w:rsidRPr="004F5205">
              <w:rPr>
                <w:rFonts w:eastAsia="Times New Roman"/>
                <w:i/>
                <w:iCs/>
                <w:color w:val="000000"/>
              </w:rPr>
              <w:t>Methylocystis iwaonis</w:t>
            </w:r>
          </w:p>
        </w:tc>
        <w:tc>
          <w:tcPr>
            <w:tcW w:w="2121" w:type="pct"/>
            <w:tcBorders>
              <w:top w:val="nil"/>
              <w:left w:val="nil"/>
              <w:bottom w:val="single" w:sz="4" w:space="0" w:color="auto"/>
              <w:right w:val="single" w:sz="4" w:space="0" w:color="auto"/>
            </w:tcBorders>
            <w:shd w:val="clear" w:color="auto" w:fill="auto"/>
            <w:noWrap/>
            <w:hideMark/>
          </w:tcPr>
          <w:p w14:paraId="07B3E68D" w14:textId="77777777" w:rsidR="00AC3348" w:rsidRPr="004F5205" w:rsidRDefault="00AC3348" w:rsidP="001D6813">
            <w:pPr>
              <w:rPr>
                <w:rFonts w:eastAsia="Times New Roman"/>
                <w:color w:val="000000"/>
              </w:rPr>
            </w:pPr>
            <w:r w:rsidRPr="004F5205">
              <w:rPr>
                <w:rFonts w:eastAsia="Times New Roman"/>
                <w:color w:val="000000"/>
              </w:rPr>
              <w:t>978</w:t>
            </w:r>
          </w:p>
        </w:tc>
      </w:tr>
      <w:tr w:rsidR="00AC3348" w:rsidRPr="00FA4888" w14:paraId="60E3D7D3"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751C45FF" w14:textId="77777777" w:rsidR="00AC3348" w:rsidRPr="004F5205" w:rsidRDefault="00AC3348" w:rsidP="001D6813">
            <w:pPr>
              <w:rPr>
                <w:rFonts w:eastAsia="Times New Roman"/>
                <w:i/>
                <w:iCs/>
                <w:color w:val="000000"/>
              </w:rPr>
            </w:pPr>
            <w:r w:rsidRPr="004F5205">
              <w:rPr>
                <w:rFonts w:eastAsia="Times New Roman"/>
                <w:i/>
                <w:iCs/>
                <w:color w:val="000000"/>
              </w:rPr>
              <w:t>Methylocystis rosea</w:t>
            </w:r>
          </w:p>
        </w:tc>
        <w:tc>
          <w:tcPr>
            <w:tcW w:w="2121" w:type="pct"/>
            <w:tcBorders>
              <w:top w:val="nil"/>
              <w:left w:val="nil"/>
              <w:bottom w:val="single" w:sz="4" w:space="0" w:color="auto"/>
              <w:right w:val="single" w:sz="4" w:space="0" w:color="auto"/>
            </w:tcBorders>
            <w:shd w:val="clear" w:color="auto" w:fill="auto"/>
            <w:noWrap/>
            <w:hideMark/>
          </w:tcPr>
          <w:p w14:paraId="58B63388" w14:textId="77777777" w:rsidR="00AC3348" w:rsidRPr="004F5205" w:rsidRDefault="00AC3348" w:rsidP="001D6813">
            <w:pPr>
              <w:rPr>
                <w:rFonts w:eastAsia="Times New Roman"/>
                <w:color w:val="000000"/>
              </w:rPr>
            </w:pPr>
            <w:r w:rsidRPr="004F5205">
              <w:rPr>
                <w:rFonts w:eastAsia="Times New Roman"/>
                <w:color w:val="000000"/>
              </w:rPr>
              <w:t>463</w:t>
            </w:r>
          </w:p>
        </w:tc>
      </w:tr>
      <w:tr w:rsidR="00AC3348" w:rsidRPr="00FA4888" w14:paraId="6E28793A"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1FDB9751" w14:textId="77777777" w:rsidR="00AC3348" w:rsidRPr="004F5205" w:rsidRDefault="00AC3348" w:rsidP="001D6813">
            <w:pPr>
              <w:rPr>
                <w:rFonts w:eastAsia="Times New Roman"/>
                <w:i/>
                <w:iCs/>
                <w:color w:val="000000"/>
              </w:rPr>
            </w:pPr>
            <w:r w:rsidRPr="004F5205">
              <w:rPr>
                <w:rFonts w:eastAsia="Times New Roman"/>
                <w:i/>
                <w:iCs/>
                <w:color w:val="000000"/>
              </w:rPr>
              <w:t>Methylocystis parva</w:t>
            </w:r>
          </w:p>
        </w:tc>
        <w:tc>
          <w:tcPr>
            <w:tcW w:w="2121" w:type="pct"/>
            <w:tcBorders>
              <w:top w:val="nil"/>
              <w:left w:val="nil"/>
              <w:bottom w:val="single" w:sz="4" w:space="0" w:color="auto"/>
              <w:right w:val="single" w:sz="4" w:space="0" w:color="auto"/>
            </w:tcBorders>
            <w:shd w:val="clear" w:color="auto" w:fill="auto"/>
            <w:noWrap/>
            <w:hideMark/>
          </w:tcPr>
          <w:p w14:paraId="4648B3D9" w14:textId="77777777" w:rsidR="00AC3348" w:rsidRPr="004F5205" w:rsidRDefault="00AC3348" w:rsidP="001D6813">
            <w:pPr>
              <w:rPr>
                <w:rFonts w:eastAsia="Times New Roman"/>
                <w:color w:val="000000"/>
              </w:rPr>
            </w:pPr>
            <w:r w:rsidRPr="004F5205">
              <w:rPr>
                <w:rFonts w:eastAsia="Times New Roman"/>
                <w:color w:val="000000"/>
              </w:rPr>
              <w:t>646</w:t>
            </w:r>
          </w:p>
        </w:tc>
      </w:tr>
      <w:tr w:rsidR="00AC3348" w:rsidRPr="00FA4888" w14:paraId="45FA3CC1"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21BF8768" w14:textId="77777777" w:rsidR="00AC3348" w:rsidRPr="004F5205" w:rsidRDefault="00AC3348" w:rsidP="001D6813">
            <w:pPr>
              <w:rPr>
                <w:rFonts w:eastAsia="Times New Roman"/>
                <w:i/>
                <w:iCs/>
                <w:color w:val="000000"/>
              </w:rPr>
            </w:pPr>
            <w:r w:rsidRPr="004F5205">
              <w:rPr>
                <w:rFonts w:eastAsia="Times New Roman"/>
                <w:i/>
                <w:iCs/>
                <w:color w:val="000000"/>
              </w:rPr>
              <w:t>Methylocystis silviterrae</w:t>
            </w:r>
          </w:p>
        </w:tc>
        <w:tc>
          <w:tcPr>
            <w:tcW w:w="2121" w:type="pct"/>
            <w:tcBorders>
              <w:top w:val="nil"/>
              <w:left w:val="nil"/>
              <w:bottom w:val="single" w:sz="4" w:space="0" w:color="auto"/>
              <w:right w:val="single" w:sz="4" w:space="0" w:color="auto"/>
            </w:tcBorders>
            <w:shd w:val="clear" w:color="auto" w:fill="auto"/>
            <w:noWrap/>
            <w:hideMark/>
          </w:tcPr>
          <w:p w14:paraId="4BBA5275" w14:textId="77777777" w:rsidR="00AC3348" w:rsidRPr="004F5205" w:rsidRDefault="00AC3348" w:rsidP="001D6813">
            <w:pPr>
              <w:rPr>
                <w:rFonts w:eastAsia="Times New Roman"/>
                <w:color w:val="000000"/>
              </w:rPr>
            </w:pPr>
            <w:r w:rsidRPr="004F5205">
              <w:rPr>
                <w:rFonts w:eastAsia="Times New Roman"/>
                <w:color w:val="000000"/>
              </w:rPr>
              <w:t>334</w:t>
            </w:r>
          </w:p>
        </w:tc>
      </w:tr>
      <w:tr w:rsidR="00AC3348" w:rsidRPr="00FA4888" w14:paraId="258575BA" w14:textId="77777777" w:rsidTr="00317591">
        <w:trPr>
          <w:trHeight w:val="319"/>
        </w:trPr>
        <w:tc>
          <w:tcPr>
            <w:tcW w:w="2879" w:type="pct"/>
            <w:tcBorders>
              <w:top w:val="nil"/>
              <w:left w:val="single" w:sz="4" w:space="0" w:color="auto"/>
              <w:bottom w:val="single" w:sz="4" w:space="0" w:color="auto"/>
              <w:right w:val="single" w:sz="4" w:space="0" w:color="auto"/>
            </w:tcBorders>
            <w:shd w:val="clear" w:color="auto" w:fill="auto"/>
            <w:noWrap/>
            <w:vAlign w:val="bottom"/>
            <w:hideMark/>
          </w:tcPr>
          <w:p w14:paraId="2BF98152" w14:textId="77777777" w:rsidR="00AC3348" w:rsidRPr="004F5205" w:rsidRDefault="00AC3348" w:rsidP="001D6813">
            <w:pPr>
              <w:rPr>
                <w:rFonts w:eastAsia="Times New Roman"/>
                <w:i/>
                <w:iCs/>
                <w:color w:val="000000"/>
              </w:rPr>
            </w:pPr>
            <w:r w:rsidRPr="004F5205">
              <w:rPr>
                <w:rFonts w:eastAsia="Times New Roman"/>
                <w:i/>
                <w:iCs/>
                <w:color w:val="000000"/>
              </w:rPr>
              <w:t>Methylocystis suflitae</w:t>
            </w:r>
            <w:r w:rsidRPr="004F5205">
              <w:rPr>
                <w:rFonts w:eastAsia="Times New Roman"/>
                <w:color w:val="000000"/>
              </w:rPr>
              <w:t xml:space="preserve"> NLS-7</w:t>
            </w:r>
          </w:p>
        </w:tc>
        <w:tc>
          <w:tcPr>
            <w:tcW w:w="2121" w:type="pct"/>
            <w:tcBorders>
              <w:top w:val="nil"/>
              <w:left w:val="nil"/>
              <w:bottom w:val="single" w:sz="4" w:space="0" w:color="auto"/>
              <w:right w:val="single" w:sz="4" w:space="0" w:color="auto"/>
            </w:tcBorders>
            <w:shd w:val="clear" w:color="auto" w:fill="auto"/>
            <w:noWrap/>
            <w:hideMark/>
          </w:tcPr>
          <w:p w14:paraId="1DE2EC06" w14:textId="77777777" w:rsidR="00AC3348" w:rsidRPr="004F5205" w:rsidRDefault="00AC3348" w:rsidP="001D6813">
            <w:pPr>
              <w:rPr>
                <w:rFonts w:eastAsia="Times New Roman"/>
                <w:color w:val="000000"/>
              </w:rPr>
            </w:pPr>
            <w:r w:rsidRPr="004F5205">
              <w:rPr>
                <w:rFonts w:eastAsia="Times New Roman"/>
                <w:color w:val="000000"/>
              </w:rPr>
              <w:t>508</w:t>
            </w:r>
          </w:p>
        </w:tc>
      </w:tr>
    </w:tbl>
    <w:p w14:paraId="25FE3843" w14:textId="3C280A69" w:rsidR="00AC3348" w:rsidRDefault="006A2F31" w:rsidP="006A2F31">
      <w:pPr>
        <w:pStyle w:val="Heading6"/>
      </w:pPr>
      <w:bookmarkStart w:id="42" w:name="_Toc161934667"/>
      <w:r>
        <w:t>Supplemental Table 2: Number of unique genes</w:t>
      </w:r>
      <w:bookmarkEnd w:id="42"/>
    </w:p>
    <w:tbl>
      <w:tblPr>
        <w:tblW w:w="5000" w:type="pct"/>
        <w:tblLook w:val="04A0" w:firstRow="1" w:lastRow="0" w:firstColumn="1" w:lastColumn="0" w:noHBand="0" w:noVBand="1"/>
      </w:tblPr>
      <w:tblGrid>
        <w:gridCol w:w="6574"/>
        <w:gridCol w:w="2786"/>
      </w:tblGrid>
      <w:tr w:rsidR="00AC3348" w:rsidRPr="00A303C3" w14:paraId="456079CD" w14:textId="77777777" w:rsidTr="001D6813">
        <w:trPr>
          <w:trHeight w:val="320"/>
        </w:trPr>
        <w:tc>
          <w:tcPr>
            <w:tcW w:w="5000" w:type="pct"/>
            <w:gridSpan w:val="2"/>
            <w:tcBorders>
              <w:top w:val="nil"/>
              <w:left w:val="nil"/>
              <w:bottom w:val="nil"/>
              <w:right w:val="nil"/>
            </w:tcBorders>
            <w:shd w:val="clear" w:color="auto" w:fill="auto"/>
            <w:noWrap/>
            <w:vAlign w:val="bottom"/>
            <w:hideMark/>
          </w:tcPr>
          <w:p w14:paraId="585B65E2" w14:textId="2502774F" w:rsidR="00AC3348" w:rsidRPr="004F5205" w:rsidRDefault="00AC3348" w:rsidP="001D6813">
            <w:pPr>
              <w:rPr>
                <w:rFonts w:eastAsia="Times New Roman"/>
                <w:b/>
                <w:bCs/>
                <w:color w:val="000000"/>
              </w:rPr>
            </w:pPr>
            <w:r w:rsidRPr="004F5205">
              <w:rPr>
                <w:rFonts w:eastAsia="Times New Roman"/>
                <w:b/>
                <w:bCs/>
                <w:color w:val="000000"/>
              </w:rPr>
              <w:t xml:space="preserve">Supplemental Table 3: </w:t>
            </w:r>
            <w:r w:rsidRPr="004F5205">
              <w:rPr>
                <w:rFonts w:eastAsia="Times New Roman"/>
                <w:color w:val="000000"/>
              </w:rPr>
              <w:t xml:space="preserve">COG20 </w:t>
            </w:r>
            <w:r w:rsidR="006A2F31" w:rsidRPr="004F5205">
              <w:rPr>
                <w:rFonts w:eastAsia="Times New Roman"/>
                <w:color w:val="000000"/>
              </w:rPr>
              <w:t>functional</w:t>
            </w:r>
            <w:r w:rsidRPr="004F5205">
              <w:rPr>
                <w:rFonts w:eastAsia="Times New Roman"/>
                <w:color w:val="000000"/>
              </w:rPr>
              <w:t xml:space="preserve"> annotation of genes clusters among genes that are unique to </w:t>
            </w:r>
            <w:r w:rsidRPr="004F5205">
              <w:rPr>
                <w:rFonts w:eastAsia="Times New Roman"/>
                <w:i/>
                <w:iCs/>
                <w:color w:val="000000"/>
              </w:rPr>
              <w:t xml:space="preserve">Methylocystis suflitae </w:t>
            </w:r>
            <w:r w:rsidRPr="004F5205">
              <w:rPr>
                <w:rFonts w:eastAsia="Times New Roman"/>
                <w:color w:val="000000"/>
              </w:rPr>
              <w:t xml:space="preserve">strain NLS-7 within the genus </w:t>
            </w:r>
            <w:r w:rsidRPr="004F5205">
              <w:rPr>
                <w:rFonts w:eastAsia="Times New Roman"/>
                <w:i/>
                <w:iCs/>
                <w:color w:val="000000"/>
              </w:rPr>
              <w:t>Methylocystis</w:t>
            </w:r>
            <w:r w:rsidRPr="004F5205">
              <w:rPr>
                <w:rFonts w:eastAsia="Times New Roman"/>
                <w:color w:val="000000"/>
              </w:rPr>
              <w:t xml:space="preserve">.  </w:t>
            </w:r>
          </w:p>
        </w:tc>
      </w:tr>
      <w:tr w:rsidR="00AC3348" w:rsidRPr="00A303C3" w14:paraId="72320A5C" w14:textId="77777777" w:rsidTr="001D6813">
        <w:trPr>
          <w:trHeight w:val="320"/>
        </w:trPr>
        <w:tc>
          <w:tcPr>
            <w:tcW w:w="35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D9121" w14:textId="77777777" w:rsidR="00AC3348" w:rsidRPr="004F5205" w:rsidRDefault="00AC3348" w:rsidP="001D6813">
            <w:pPr>
              <w:rPr>
                <w:rFonts w:eastAsia="Times New Roman"/>
                <w:b/>
                <w:bCs/>
                <w:color w:val="000000"/>
              </w:rPr>
            </w:pPr>
            <w:r w:rsidRPr="004F5205">
              <w:rPr>
                <w:rFonts w:eastAsia="Times New Roman"/>
                <w:b/>
                <w:bCs/>
                <w:color w:val="000000"/>
              </w:rPr>
              <w:t xml:space="preserve">COG20 Annotation Categrory </w:t>
            </w:r>
          </w:p>
        </w:tc>
        <w:tc>
          <w:tcPr>
            <w:tcW w:w="1469" w:type="pct"/>
            <w:tcBorders>
              <w:top w:val="single" w:sz="4" w:space="0" w:color="auto"/>
              <w:left w:val="nil"/>
              <w:bottom w:val="single" w:sz="4" w:space="0" w:color="auto"/>
              <w:right w:val="single" w:sz="4" w:space="0" w:color="auto"/>
            </w:tcBorders>
            <w:shd w:val="clear" w:color="auto" w:fill="auto"/>
            <w:noWrap/>
            <w:vAlign w:val="bottom"/>
            <w:hideMark/>
          </w:tcPr>
          <w:p w14:paraId="6C2568CA" w14:textId="77777777" w:rsidR="00AC3348" w:rsidRPr="004F5205" w:rsidRDefault="00AC3348" w:rsidP="001D6813">
            <w:pPr>
              <w:rPr>
                <w:rFonts w:eastAsia="Times New Roman"/>
                <w:b/>
                <w:bCs/>
                <w:color w:val="000000"/>
              </w:rPr>
            </w:pPr>
            <w:r w:rsidRPr="004F5205">
              <w:rPr>
                <w:rFonts w:eastAsia="Times New Roman"/>
                <w:b/>
                <w:bCs/>
                <w:color w:val="000000"/>
              </w:rPr>
              <w:t>Number of Gene Clusters</w:t>
            </w:r>
          </w:p>
        </w:tc>
      </w:tr>
      <w:tr w:rsidR="00AC3348" w:rsidRPr="00A303C3" w14:paraId="589816AE"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04C46ABB" w14:textId="77777777" w:rsidR="00AC3348" w:rsidRPr="004F5205" w:rsidRDefault="00AC3348" w:rsidP="001D6813">
            <w:pPr>
              <w:rPr>
                <w:rFonts w:eastAsia="Times New Roman"/>
                <w:color w:val="000000"/>
              </w:rPr>
            </w:pPr>
            <w:r w:rsidRPr="004F5205">
              <w:rPr>
                <w:rFonts w:eastAsia="Times New Roman"/>
                <w:color w:val="000000"/>
              </w:rPr>
              <w:t>Amino acid transport and metabolism</w:t>
            </w:r>
          </w:p>
        </w:tc>
        <w:tc>
          <w:tcPr>
            <w:tcW w:w="1469" w:type="pct"/>
            <w:tcBorders>
              <w:top w:val="nil"/>
              <w:left w:val="nil"/>
              <w:bottom w:val="single" w:sz="4" w:space="0" w:color="auto"/>
              <w:right w:val="single" w:sz="4" w:space="0" w:color="auto"/>
            </w:tcBorders>
            <w:shd w:val="clear" w:color="auto" w:fill="auto"/>
            <w:noWrap/>
            <w:hideMark/>
          </w:tcPr>
          <w:p w14:paraId="7E3F2C6C" w14:textId="77777777" w:rsidR="00AC3348" w:rsidRPr="004F5205" w:rsidRDefault="00AC3348" w:rsidP="001D6813">
            <w:pPr>
              <w:rPr>
                <w:rFonts w:eastAsia="Times New Roman"/>
                <w:color w:val="000000"/>
              </w:rPr>
            </w:pPr>
            <w:r w:rsidRPr="004F5205">
              <w:rPr>
                <w:rFonts w:eastAsia="Times New Roman"/>
                <w:color w:val="000000"/>
              </w:rPr>
              <w:t>5</w:t>
            </w:r>
          </w:p>
        </w:tc>
      </w:tr>
      <w:tr w:rsidR="00AC3348" w:rsidRPr="00A303C3" w14:paraId="4B5FA067"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5DAAFD55" w14:textId="77777777" w:rsidR="00AC3348" w:rsidRPr="004F5205" w:rsidRDefault="00AC3348" w:rsidP="001D6813">
            <w:pPr>
              <w:rPr>
                <w:rFonts w:eastAsia="Times New Roman"/>
                <w:color w:val="000000"/>
              </w:rPr>
            </w:pPr>
            <w:r w:rsidRPr="004F5205">
              <w:rPr>
                <w:rFonts w:eastAsia="Times New Roman"/>
                <w:color w:val="000000"/>
              </w:rPr>
              <w:t>Carbohydrate transport and metabolism</w:t>
            </w:r>
          </w:p>
        </w:tc>
        <w:tc>
          <w:tcPr>
            <w:tcW w:w="1469" w:type="pct"/>
            <w:tcBorders>
              <w:top w:val="nil"/>
              <w:left w:val="nil"/>
              <w:bottom w:val="single" w:sz="4" w:space="0" w:color="auto"/>
              <w:right w:val="single" w:sz="4" w:space="0" w:color="auto"/>
            </w:tcBorders>
            <w:shd w:val="clear" w:color="auto" w:fill="auto"/>
            <w:noWrap/>
            <w:hideMark/>
          </w:tcPr>
          <w:p w14:paraId="03C583D8" w14:textId="77777777" w:rsidR="00AC3348" w:rsidRPr="004F5205" w:rsidRDefault="00AC3348" w:rsidP="001D6813">
            <w:pPr>
              <w:rPr>
                <w:rFonts w:eastAsia="Times New Roman"/>
                <w:color w:val="000000"/>
              </w:rPr>
            </w:pPr>
            <w:r w:rsidRPr="004F5205">
              <w:rPr>
                <w:rFonts w:eastAsia="Times New Roman"/>
                <w:color w:val="000000"/>
              </w:rPr>
              <w:t>3</w:t>
            </w:r>
          </w:p>
        </w:tc>
      </w:tr>
      <w:tr w:rsidR="00AC3348" w:rsidRPr="00A303C3" w14:paraId="2A82E137"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2E996C55" w14:textId="77777777" w:rsidR="00AC3348" w:rsidRPr="004F5205" w:rsidRDefault="00AC3348" w:rsidP="001D6813">
            <w:pPr>
              <w:rPr>
                <w:rFonts w:eastAsia="Times New Roman"/>
                <w:color w:val="000000"/>
              </w:rPr>
            </w:pPr>
            <w:r w:rsidRPr="004F5205">
              <w:rPr>
                <w:rFonts w:eastAsia="Times New Roman"/>
                <w:color w:val="000000"/>
              </w:rPr>
              <w:t>Cell Cycle Control</w:t>
            </w:r>
          </w:p>
        </w:tc>
        <w:tc>
          <w:tcPr>
            <w:tcW w:w="1469" w:type="pct"/>
            <w:tcBorders>
              <w:top w:val="nil"/>
              <w:left w:val="nil"/>
              <w:bottom w:val="single" w:sz="4" w:space="0" w:color="auto"/>
              <w:right w:val="single" w:sz="4" w:space="0" w:color="auto"/>
            </w:tcBorders>
            <w:shd w:val="clear" w:color="auto" w:fill="auto"/>
            <w:noWrap/>
            <w:hideMark/>
          </w:tcPr>
          <w:p w14:paraId="4EDDB558" w14:textId="77777777" w:rsidR="00AC3348" w:rsidRPr="004F5205" w:rsidRDefault="00AC3348" w:rsidP="001D6813">
            <w:pPr>
              <w:rPr>
                <w:rFonts w:eastAsia="Times New Roman"/>
                <w:color w:val="000000"/>
              </w:rPr>
            </w:pPr>
            <w:r w:rsidRPr="004F5205">
              <w:rPr>
                <w:rFonts w:eastAsia="Times New Roman"/>
                <w:color w:val="000000"/>
              </w:rPr>
              <w:t>4</w:t>
            </w:r>
          </w:p>
        </w:tc>
      </w:tr>
      <w:tr w:rsidR="00AC3348" w:rsidRPr="00A303C3" w14:paraId="0FEB9646"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7A06B233" w14:textId="77777777" w:rsidR="00AC3348" w:rsidRPr="004F5205" w:rsidRDefault="00AC3348" w:rsidP="001D6813">
            <w:pPr>
              <w:rPr>
                <w:rFonts w:eastAsia="Times New Roman"/>
                <w:color w:val="000000"/>
              </w:rPr>
            </w:pPr>
            <w:r w:rsidRPr="004F5205">
              <w:rPr>
                <w:rFonts w:eastAsia="Times New Roman"/>
                <w:color w:val="000000"/>
              </w:rPr>
              <w:t>Cell wall/membrane/envelope biogenesis</w:t>
            </w:r>
          </w:p>
        </w:tc>
        <w:tc>
          <w:tcPr>
            <w:tcW w:w="1469" w:type="pct"/>
            <w:tcBorders>
              <w:top w:val="nil"/>
              <w:left w:val="nil"/>
              <w:bottom w:val="single" w:sz="4" w:space="0" w:color="auto"/>
              <w:right w:val="single" w:sz="4" w:space="0" w:color="auto"/>
            </w:tcBorders>
            <w:shd w:val="clear" w:color="auto" w:fill="auto"/>
            <w:noWrap/>
            <w:hideMark/>
          </w:tcPr>
          <w:p w14:paraId="6DEF49B5" w14:textId="77777777" w:rsidR="00AC3348" w:rsidRPr="004F5205" w:rsidRDefault="00AC3348" w:rsidP="001D6813">
            <w:pPr>
              <w:rPr>
                <w:rFonts w:eastAsia="Times New Roman"/>
                <w:color w:val="000000"/>
              </w:rPr>
            </w:pPr>
            <w:r w:rsidRPr="004F5205">
              <w:rPr>
                <w:rFonts w:eastAsia="Times New Roman"/>
                <w:color w:val="000000"/>
              </w:rPr>
              <w:t>14</w:t>
            </w:r>
          </w:p>
        </w:tc>
      </w:tr>
      <w:tr w:rsidR="00AC3348" w:rsidRPr="00A303C3" w14:paraId="186EDE89"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5BF0B619" w14:textId="77777777" w:rsidR="00AC3348" w:rsidRPr="004F5205" w:rsidRDefault="00AC3348" w:rsidP="001D6813">
            <w:pPr>
              <w:rPr>
                <w:rFonts w:eastAsia="Times New Roman"/>
                <w:color w:val="000000"/>
              </w:rPr>
            </w:pPr>
            <w:r w:rsidRPr="004F5205">
              <w:rPr>
                <w:rFonts w:eastAsia="Times New Roman"/>
                <w:color w:val="000000"/>
              </w:rPr>
              <w:t>Coenzyme transport and metabolism</w:t>
            </w:r>
          </w:p>
        </w:tc>
        <w:tc>
          <w:tcPr>
            <w:tcW w:w="1469" w:type="pct"/>
            <w:tcBorders>
              <w:top w:val="nil"/>
              <w:left w:val="nil"/>
              <w:bottom w:val="single" w:sz="4" w:space="0" w:color="auto"/>
              <w:right w:val="single" w:sz="4" w:space="0" w:color="auto"/>
            </w:tcBorders>
            <w:shd w:val="clear" w:color="auto" w:fill="auto"/>
            <w:noWrap/>
            <w:hideMark/>
          </w:tcPr>
          <w:p w14:paraId="3C86BF8A" w14:textId="77777777" w:rsidR="00AC3348" w:rsidRPr="004F5205" w:rsidRDefault="00AC3348" w:rsidP="001D6813">
            <w:pPr>
              <w:rPr>
                <w:rFonts w:eastAsia="Times New Roman"/>
                <w:color w:val="000000"/>
              </w:rPr>
            </w:pPr>
            <w:r w:rsidRPr="004F5205">
              <w:rPr>
                <w:rFonts w:eastAsia="Times New Roman"/>
                <w:color w:val="000000"/>
              </w:rPr>
              <w:t>10</w:t>
            </w:r>
          </w:p>
        </w:tc>
      </w:tr>
      <w:tr w:rsidR="00AC3348" w:rsidRPr="00A303C3" w14:paraId="2BA958E1"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705BF998" w14:textId="77777777" w:rsidR="00AC3348" w:rsidRPr="004F5205" w:rsidRDefault="00AC3348" w:rsidP="001D6813">
            <w:pPr>
              <w:rPr>
                <w:rFonts w:eastAsia="Times New Roman"/>
                <w:color w:val="000000"/>
              </w:rPr>
            </w:pPr>
            <w:r w:rsidRPr="004F5205">
              <w:rPr>
                <w:rFonts w:eastAsia="Times New Roman"/>
                <w:color w:val="000000"/>
              </w:rPr>
              <w:t>Defense mechanisms</w:t>
            </w:r>
          </w:p>
        </w:tc>
        <w:tc>
          <w:tcPr>
            <w:tcW w:w="1469" w:type="pct"/>
            <w:tcBorders>
              <w:top w:val="nil"/>
              <w:left w:val="nil"/>
              <w:bottom w:val="single" w:sz="4" w:space="0" w:color="auto"/>
              <w:right w:val="single" w:sz="4" w:space="0" w:color="auto"/>
            </w:tcBorders>
            <w:shd w:val="clear" w:color="auto" w:fill="auto"/>
            <w:noWrap/>
            <w:hideMark/>
          </w:tcPr>
          <w:p w14:paraId="13833588" w14:textId="77777777" w:rsidR="00AC3348" w:rsidRPr="004F5205" w:rsidRDefault="00AC3348" w:rsidP="001D6813">
            <w:pPr>
              <w:rPr>
                <w:rFonts w:eastAsia="Times New Roman"/>
                <w:color w:val="000000"/>
              </w:rPr>
            </w:pPr>
            <w:r w:rsidRPr="004F5205">
              <w:rPr>
                <w:rFonts w:eastAsia="Times New Roman"/>
                <w:color w:val="000000"/>
              </w:rPr>
              <w:t>9</w:t>
            </w:r>
          </w:p>
        </w:tc>
      </w:tr>
      <w:tr w:rsidR="00AC3348" w:rsidRPr="00A303C3" w14:paraId="60C70120"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1AC38B9A" w14:textId="77777777" w:rsidR="00AC3348" w:rsidRPr="004F5205" w:rsidRDefault="00AC3348" w:rsidP="001D6813">
            <w:pPr>
              <w:rPr>
                <w:rFonts w:eastAsia="Times New Roman"/>
                <w:color w:val="000000"/>
              </w:rPr>
            </w:pPr>
            <w:r w:rsidRPr="004F5205">
              <w:rPr>
                <w:rFonts w:eastAsia="Times New Roman"/>
                <w:color w:val="000000"/>
              </w:rPr>
              <w:t>Energy production and conversion</w:t>
            </w:r>
          </w:p>
        </w:tc>
        <w:tc>
          <w:tcPr>
            <w:tcW w:w="1469" w:type="pct"/>
            <w:tcBorders>
              <w:top w:val="nil"/>
              <w:left w:val="nil"/>
              <w:bottom w:val="single" w:sz="4" w:space="0" w:color="auto"/>
              <w:right w:val="single" w:sz="4" w:space="0" w:color="auto"/>
            </w:tcBorders>
            <w:shd w:val="clear" w:color="auto" w:fill="auto"/>
            <w:noWrap/>
            <w:hideMark/>
          </w:tcPr>
          <w:p w14:paraId="5ACF60F2" w14:textId="77777777" w:rsidR="00AC3348" w:rsidRPr="004F5205" w:rsidRDefault="00AC3348" w:rsidP="001D6813">
            <w:pPr>
              <w:rPr>
                <w:rFonts w:eastAsia="Times New Roman"/>
                <w:color w:val="000000"/>
              </w:rPr>
            </w:pPr>
            <w:r w:rsidRPr="004F5205">
              <w:rPr>
                <w:rFonts w:eastAsia="Times New Roman"/>
                <w:color w:val="000000"/>
              </w:rPr>
              <w:t>5</w:t>
            </w:r>
          </w:p>
        </w:tc>
      </w:tr>
      <w:tr w:rsidR="00AC3348" w:rsidRPr="00A303C3" w14:paraId="76CC117E"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4D8300F7" w14:textId="77777777" w:rsidR="00AC3348" w:rsidRPr="004F5205" w:rsidRDefault="00AC3348" w:rsidP="001D6813">
            <w:pPr>
              <w:rPr>
                <w:rFonts w:eastAsia="Times New Roman"/>
                <w:color w:val="000000"/>
              </w:rPr>
            </w:pPr>
            <w:r w:rsidRPr="004F5205">
              <w:rPr>
                <w:rFonts w:eastAsia="Times New Roman"/>
                <w:color w:val="000000"/>
              </w:rPr>
              <w:t>Inorganic ion transport and metabolism</w:t>
            </w:r>
          </w:p>
        </w:tc>
        <w:tc>
          <w:tcPr>
            <w:tcW w:w="1469" w:type="pct"/>
            <w:tcBorders>
              <w:top w:val="nil"/>
              <w:left w:val="nil"/>
              <w:bottom w:val="single" w:sz="4" w:space="0" w:color="auto"/>
              <w:right w:val="single" w:sz="4" w:space="0" w:color="auto"/>
            </w:tcBorders>
            <w:shd w:val="clear" w:color="auto" w:fill="auto"/>
            <w:noWrap/>
            <w:hideMark/>
          </w:tcPr>
          <w:p w14:paraId="35C8E37D" w14:textId="77777777" w:rsidR="00AC3348" w:rsidRPr="004F5205" w:rsidRDefault="00AC3348" w:rsidP="001D6813">
            <w:pPr>
              <w:rPr>
                <w:rFonts w:eastAsia="Times New Roman"/>
                <w:color w:val="000000"/>
              </w:rPr>
            </w:pPr>
            <w:r w:rsidRPr="004F5205">
              <w:rPr>
                <w:rFonts w:eastAsia="Times New Roman"/>
                <w:color w:val="000000"/>
              </w:rPr>
              <w:t>6</w:t>
            </w:r>
          </w:p>
        </w:tc>
      </w:tr>
      <w:tr w:rsidR="00AC3348" w:rsidRPr="00A303C3" w14:paraId="1159670C"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0DC7FBDF" w14:textId="77777777" w:rsidR="00AC3348" w:rsidRPr="004F5205" w:rsidRDefault="00AC3348" w:rsidP="001D6813">
            <w:pPr>
              <w:rPr>
                <w:rFonts w:eastAsia="Times New Roman"/>
                <w:color w:val="000000"/>
              </w:rPr>
            </w:pPr>
            <w:r w:rsidRPr="004F5205">
              <w:rPr>
                <w:rFonts w:eastAsia="Times New Roman"/>
                <w:color w:val="000000"/>
              </w:rPr>
              <w:t>General function prediction</w:t>
            </w:r>
          </w:p>
        </w:tc>
        <w:tc>
          <w:tcPr>
            <w:tcW w:w="1469" w:type="pct"/>
            <w:tcBorders>
              <w:top w:val="nil"/>
              <w:left w:val="nil"/>
              <w:bottom w:val="single" w:sz="4" w:space="0" w:color="auto"/>
              <w:right w:val="single" w:sz="4" w:space="0" w:color="auto"/>
            </w:tcBorders>
            <w:shd w:val="clear" w:color="auto" w:fill="auto"/>
            <w:noWrap/>
            <w:hideMark/>
          </w:tcPr>
          <w:p w14:paraId="4C165F78" w14:textId="77777777" w:rsidR="00AC3348" w:rsidRPr="004F5205" w:rsidRDefault="00AC3348" w:rsidP="001D6813">
            <w:pPr>
              <w:rPr>
                <w:rFonts w:eastAsia="Times New Roman"/>
                <w:color w:val="000000"/>
              </w:rPr>
            </w:pPr>
            <w:r w:rsidRPr="004F5205">
              <w:rPr>
                <w:rFonts w:eastAsia="Times New Roman"/>
                <w:color w:val="000000"/>
              </w:rPr>
              <w:t>10</w:t>
            </w:r>
          </w:p>
        </w:tc>
      </w:tr>
      <w:tr w:rsidR="00AC3348" w:rsidRPr="00A303C3" w14:paraId="14A0C54F"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2DD2F2C7" w14:textId="77777777" w:rsidR="00AC3348" w:rsidRPr="004F5205" w:rsidRDefault="00AC3348" w:rsidP="001D6813">
            <w:pPr>
              <w:rPr>
                <w:rFonts w:eastAsia="Times New Roman"/>
                <w:color w:val="000000"/>
              </w:rPr>
            </w:pPr>
            <w:r w:rsidRPr="004F5205">
              <w:rPr>
                <w:rFonts w:eastAsia="Times New Roman"/>
                <w:color w:val="000000"/>
              </w:rPr>
              <w:t>Lipid transport and metabolism</w:t>
            </w:r>
          </w:p>
        </w:tc>
        <w:tc>
          <w:tcPr>
            <w:tcW w:w="1469" w:type="pct"/>
            <w:tcBorders>
              <w:top w:val="nil"/>
              <w:left w:val="nil"/>
              <w:bottom w:val="single" w:sz="4" w:space="0" w:color="auto"/>
              <w:right w:val="single" w:sz="4" w:space="0" w:color="auto"/>
            </w:tcBorders>
            <w:shd w:val="clear" w:color="auto" w:fill="auto"/>
            <w:noWrap/>
            <w:hideMark/>
          </w:tcPr>
          <w:p w14:paraId="10B897B5" w14:textId="77777777" w:rsidR="00AC3348" w:rsidRPr="004F5205" w:rsidRDefault="00AC3348" w:rsidP="001D6813">
            <w:pPr>
              <w:rPr>
                <w:rFonts w:eastAsia="Times New Roman"/>
                <w:color w:val="000000"/>
              </w:rPr>
            </w:pPr>
            <w:r w:rsidRPr="004F5205">
              <w:rPr>
                <w:rFonts w:eastAsia="Times New Roman"/>
                <w:color w:val="000000"/>
              </w:rPr>
              <w:t>4</w:t>
            </w:r>
          </w:p>
        </w:tc>
      </w:tr>
      <w:tr w:rsidR="00AC3348" w:rsidRPr="00A303C3" w14:paraId="1BE03948"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76BE3745" w14:textId="77777777" w:rsidR="00AC3348" w:rsidRPr="004F5205" w:rsidRDefault="00AC3348" w:rsidP="001D6813">
            <w:pPr>
              <w:rPr>
                <w:rFonts w:eastAsia="Times New Roman"/>
                <w:color w:val="000000"/>
              </w:rPr>
            </w:pPr>
            <w:r w:rsidRPr="004F5205">
              <w:rPr>
                <w:rFonts w:eastAsia="Times New Roman"/>
                <w:color w:val="000000"/>
              </w:rPr>
              <w:t>Mobilome: prophages, transposons</w:t>
            </w:r>
          </w:p>
        </w:tc>
        <w:tc>
          <w:tcPr>
            <w:tcW w:w="1469" w:type="pct"/>
            <w:tcBorders>
              <w:top w:val="nil"/>
              <w:left w:val="nil"/>
              <w:bottom w:val="single" w:sz="4" w:space="0" w:color="auto"/>
              <w:right w:val="single" w:sz="4" w:space="0" w:color="auto"/>
            </w:tcBorders>
            <w:shd w:val="clear" w:color="auto" w:fill="auto"/>
            <w:noWrap/>
            <w:hideMark/>
          </w:tcPr>
          <w:p w14:paraId="7A5B4E85" w14:textId="77777777" w:rsidR="00AC3348" w:rsidRPr="004F5205" w:rsidRDefault="00AC3348" w:rsidP="001D6813">
            <w:pPr>
              <w:rPr>
                <w:rFonts w:eastAsia="Times New Roman"/>
                <w:color w:val="000000"/>
              </w:rPr>
            </w:pPr>
            <w:r w:rsidRPr="004F5205">
              <w:rPr>
                <w:rFonts w:eastAsia="Times New Roman"/>
                <w:color w:val="000000"/>
              </w:rPr>
              <w:t>32</w:t>
            </w:r>
          </w:p>
        </w:tc>
      </w:tr>
      <w:tr w:rsidR="00AC3348" w:rsidRPr="00A303C3" w14:paraId="4C44E5AC"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04024777" w14:textId="77777777" w:rsidR="00AC3348" w:rsidRPr="004F5205" w:rsidRDefault="00AC3348" w:rsidP="001D6813">
            <w:pPr>
              <w:rPr>
                <w:rFonts w:eastAsia="Times New Roman"/>
                <w:color w:val="000000"/>
              </w:rPr>
            </w:pPr>
            <w:r w:rsidRPr="004F5205">
              <w:rPr>
                <w:rFonts w:eastAsia="Times New Roman"/>
                <w:color w:val="000000"/>
              </w:rPr>
              <w:t>Posttranslational modification, protein turnover, chaperones</w:t>
            </w:r>
          </w:p>
        </w:tc>
        <w:tc>
          <w:tcPr>
            <w:tcW w:w="1469" w:type="pct"/>
            <w:tcBorders>
              <w:top w:val="nil"/>
              <w:left w:val="nil"/>
              <w:bottom w:val="single" w:sz="4" w:space="0" w:color="auto"/>
              <w:right w:val="single" w:sz="4" w:space="0" w:color="auto"/>
            </w:tcBorders>
            <w:shd w:val="clear" w:color="auto" w:fill="auto"/>
            <w:noWrap/>
            <w:hideMark/>
          </w:tcPr>
          <w:p w14:paraId="667C5E92" w14:textId="77777777" w:rsidR="00AC3348" w:rsidRPr="004F5205" w:rsidRDefault="00AC3348" w:rsidP="001D6813">
            <w:pPr>
              <w:rPr>
                <w:rFonts w:eastAsia="Times New Roman"/>
                <w:color w:val="000000"/>
              </w:rPr>
            </w:pPr>
            <w:r w:rsidRPr="004F5205">
              <w:rPr>
                <w:rFonts w:eastAsia="Times New Roman"/>
                <w:color w:val="000000"/>
              </w:rPr>
              <w:t>4</w:t>
            </w:r>
          </w:p>
        </w:tc>
      </w:tr>
      <w:tr w:rsidR="00AC3348" w:rsidRPr="00A303C3" w14:paraId="5BBC74F8"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0A2BE123" w14:textId="77777777" w:rsidR="00AC3348" w:rsidRPr="004F5205" w:rsidRDefault="00AC3348" w:rsidP="001D6813">
            <w:pPr>
              <w:rPr>
                <w:rFonts w:eastAsia="Times New Roman"/>
                <w:color w:val="000000"/>
              </w:rPr>
            </w:pPr>
            <w:r w:rsidRPr="004F5205">
              <w:rPr>
                <w:rFonts w:eastAsia="Times New Roman"/>
                <w:color w:val="000000"/>
              </w:rPr>
              <w:t>Replication, recombination and repair</w:t>
            </w:r>
          </w:p>
        </w:tc>
        <w:tc>
          <w:tcPr>
            <w:tcW w:w="1469" w:type="pct"/>
            <w:tcBorders>
              <w:top w:val="nil"/>
              <w:left w:val="nil"/>
              <w:bottom w:val="single" w:sz="4" w:space="0" w:color="auto"/>
              <w:right w:val="single" w:sz="4" w:space="0" w:color="auto"/>
            </w:tcBorders>
            <w:shd w:val="clear" w:color="auto" w:fill="auto"/>
            <w:noWrap/>
            <w:hideMark/>
          </w:tcPr>
          <w:p w14:paraId="5068B389" w14:textId="77777777" w:rsidR="00AC3348" w:rsidRPr="004F5205" w:rsidRDefault="00AC3348" w:rsidP="001D6813">
            <w:pPr>
              <w:rPr>
                <w:rFonts w:eastAsia="Times New Roman"/>
                <w:color w:val="000000"/>
              </w:rPr>
            </w:pPr>
            <w:r w:rsidRPr="004F5205">
              <w:rPr>
                <w:rFonts w:eastAsia="Times New Roman"/>
                <w:color w:val="000000"/>
              </w:rPr>
              <w:t>24</w:t>
            </w:r>
          </w:p>
        </w:tc>
      </w:tr>
      <w:tr w:rsidR="00AC3348" w:rsidRPr="00A303C3" w14:paraId="7B58D81A"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67E04501" w14:textId="77777777" w:rsidR="00AC3348" w:rsidRPr="004F5205" w:rsidRDefault="00AC3348" w:rsidP="001D6813">
            <w:pPr>
              <w:rPr>
                <w:rFonts w:eastAsia="Times New Roman"/>
                <w:color w:val="000000"/>
              </w:rPr>
            </w:pPr>
            <w:r w:rsidRPr="004F5205">
              <w:rPr>
                <w:rFonts w:eastAsia="Times New Roman"/>
                <w:color w:val="000000"/>
              </w:rPr>
              <w:lastRenderedPageBreak/>
              <w:t>Secondary metabolites biosynthesis, transport and catabolism</w:t>
            </w:r>
          </w:p>
        </w:tc>
        <w:tc>
          <w:tcPr>
            <w:tcW w:w="1469" w:type="pct"/>
            <w:tcBorders>
              <w:top w:val="nil"/>
              <w:left w:val="nil"/>
              <w:bottom w:val="single" w:sz="4" w:space="0" w:color="auto"/>
              <w:right w:val="single" w:sz="4" w:space="0" w:color="auto"/>
            </w:tcBorders>
            <w:shd w:val="clear" w:color="auto" w:fill="auto"/>
            <w:noWrap/>
            <w:hideMark/>
          </w:tcPr>
          <w:p w14:paraId="21C41B52" w14:textId="77777777" w:rsidR="00AC3348" w:rsidRPr="004F5205" w:rsidRDefault="00AC3348" w:rsidP="001D6813">
            <w:pPr>
              <w:rPr>
                <w:rFonts w:eastAsia="Times New Roman"/>
                <w:color w:val="000000"/>
              </w:rPr>
            </w:pPr>
            <w:r w:rsidRPr="004F5205">
              <w:rPr>
                <w:rFonts w:eastAsia="Times New Roman"/>
                <w:color w:val="000000"/>
              </w:rPr>
              <w:t>2</w:t>
            </w:r>
          </w:p>
        </w:tc>
      </w:tr>
      <w:tr w:rsidR="00AC3348" w:rsidRPr="00A303C3" w14:paraId="33A3D8F7"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1A6749F2" w14:textId="77777777" w:rsidR="00AC3348" w:rsidRPr="004F5205" w:rsidRDefault="00AC3348" w:rsidP="001D6813">
            <w:pPr>
              <w:rPr>
                <w:rFonts w:eastAsia="Times New Roman"/>
                <w:color w:val="000000"/>
              </w:rPr>
            </w:pPr>
            <w:r w:rsidRPr="004F5205">
              <w:rPr>
                <w:rFonts w:eastAsia="Times New Roman"/>
                <w:color w:val="000000"/>
              </w:rPr>
              <w:t>Signal transduction mechanisms</w:t>
            </w:r>
          </w:p>
        </w:tc>
        <w:tc>
          <w:tcPr>
            <w:tcW w:w="1469" w:type="pct"/>
            <w:tcBorders>
              <w:top w:val="nil"/>
              <w:left w:val="nil"/>
              <w:bottom w:val="single" w:sz="4" w:space="0" w:color="auto"/>
              <w:right w:val="single" w:sz="4" w:space="0" w:color="auto"/>
            </w:tcBorders>
            <w:shd w:val="clear" w:color="auto" w:fill="auto"/>
            <w:noWrap/>
            <w:hideMark/>
          </w:tcPr>
          <w:p w14:paraId="078C7CFE" w14:textId="77777777" w:rsidR="00AC3348" w:rsidRPr="004F5205" w:rsidRDefault="00AC3348" w:rsidP="001D6813">
            <w:pPr>
              <w:rPr>
                <w:rFonts w:eastAsia="Times New Roman"/>
                <w:color w:val="000000"/>
              </w:rPr>
            </w:pPr>
            <w:r w:rsidRPr="004F5205">
              <w:rPr>
                <w:rFonts w:eastAsia="Times New Roman"/>
                <w:color w:val="000000"/>
              </w:rPr>
              <w:t>6</w:t>
            </w:r>
          </w:p>
        </w:tc>
      </w:tr>
      <w:tr w:rsidR="00AC3348" w:rsidRPr="00A303C3" w14:paraId="2398D34B"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2FC75A84" w14:textId="77777777" w:rsidR="00AC3348" w:rsidRPr="004F5205" w:rsidRDefault="00AC3348" w:rsidP="001D6813">
            <w:pPr>
              <w:rPr>
                <w:rFonts w:eastAsia="Times New Roman"/>
                <w:color w:val="000000"/>
              </w:rPr>
            </w:pPr>
            <w:r w:rsidRPr="004F5205">
              <w:rPr>
                <w:rFonts w:eastAsia="Times New Roman"/>
                <w:color w:val="000000"/>
              </w:rPr>
              <w:t xml:space="preserve">Transcription/Translation </w:t>
            </w:r>
          </w:p>
        </w:tc>
        <w:tc>
          <w:tcPr>
            <w:tcW w:w="1469" w:type="pct"/>
            <w:tcBorders>
              <w:top w:val="nil"/>
              <w:left w:val="nil"/>
              <w:bottom w:val="single" w:sz="4" w:space="0" w:color="auto"/>
              <w:right w:val="single" w:sz="4" w:space="0" w:color="auto"/>
            </w:tcBorders>
            <w:shd w:val="clear" w:color="auto" w:fill="auto"/>
            <w:noWrap/>
            <w:hideMark/>
          </w:tcPr>
          <w:p w14:paraId="0DE84B2E" w14:textId="77777777" w:rsidR="00AC3348" w:rsidRPr="004F5205" w:rsidRDefault="00AC3348" w:rsidP="001D6813">
            <w:pPr>
              <w:rPr>
                <w:rFonts w:eastAsia="Times New Roman"/>
                <w:color w:val="000000"/>
              </w:rPr>
            </w:pPr>
            <w:r w:rsidRPr="004F5205">
              <w:rPr>
                <w:rFonts w:eastAsia="Times New Roman"/>
                <w:color w:val="000000"/>
              </w:rPr>
              <w:t>13</w:t>
            </w:r>
          </w:p>
        </w:tc>
      </w:tr>
      <w:tr w:rsidR="00AC3348" w:rsidRPr="00A303C3" w14:paraId="6156A4FE" w14:textId="77777777" w:rsidTr="001D6813">
        <w:trPr>
          <w:trHeight w:val="320"/>
        </w:trPr>
        <w:tc>
          <w:tcPr>
            <w:tcW w:w="3531" w:type="pct"/>
            <w:tcBorders>
              <w:top w:val="nil"/>
              <w:left w:val="single" w:sz="4" w:space="0" w:color="auto"/>
              <w:bottom w:val="single" w:sz="4" w:space="0" w:color="auto"/>
              <w:right w:val="single" w:sz="4" w:space="0" w:color="auto"/>
            </w:tcBorders>
            <w:shd w:val="clear" w:color="auto" w:fill="auto"/>
            <w:noWrap/>
            <w:vAlign w:val="bottom"/>
            <w:hideMark/>
          </w:tcPr>
          <w:p w14:paraId="38EEA4D6" w14:textId="4FA2F53B" w:rsidR="00AC3348" w:rsidRPr="004F5205" w:rsidRDefault="00AC3348" w:rsidP="001D6813">
            <w:pPr>
              <w:rPr>
                <w:rFonts w:eastAsia="Times New Roman"/>
                <w:color w:val="000000"/>
              </w:rPr>
            </w:pPr>
            <w:r w:rsidRPr="004F5205">
              <w:rPr>
                <w:rFonts w:eastAsia="Times New Roman"/>
                <w:color w:val="000000"/>
              </w:rPr>
              <w:t>Unknown/</w:t>
            </w:r>
            <w:r w:rsidR="006A2F31" w:rsidRPr="004F5205">
              <w:rPr>
                <w:rFonts w:eastAsia="Times New Roman"/>
                <w:color w:val="000000"/>
              </w:rPr>
              <w:t>Unannotated</w:t>
            </w:r>
            <w:r w:rsidRPr="004F5205">
              <w:rPr>
                <w:rFonts w:eastAsia="Times New Roman"/>
                <w:color w:val="000000"/>
              </w:rPr>
              <w:t xml:space="preserve"> Function</w:t>
            </w:r>
          </w:p>
        </w:tc>
        <w:tc>
          <w:tcPr>
            <w:tcW w:w="1469" w:type="pct"/>
            <w:tcBorders>
              <w:top w:val="nil"/>
              <w:left w:val="nil"/>
              <w:bottom w:val="single" w:sz="4" w:space="0" w:color="auto"/>
              <w:right w:val="single" w:sz="4" w:space="0" w:color="auto"/>
            </w:tcBorders>
            <w:shd w:val="clear" w:color="auto" w:fill="auto"/>
            <w:noWrap/>
            <w:hideMark/>
          </w:tcPr>
          <w:p w14:paraId="36366F3F" w14:textId="77777777" w:rsidR="00AC3348" w:rsidRPr="004F5205" w:rsidRDefault="00AC3348" w:rsidP="001D6813">
            <w:pPr>
              <w:rPr>
                <w:rFonts w:eastAsia="Times New Roman"/>
                <w:color w:val="000000"/>
              </w:rPr>
            </w:pPr>
            <w:r w:rsidRPr="004F5205">
              <w:rPr>
                <w:rFonts w:eastAsia="Times New Roman"/>
                <w:color w:val="000000"/>
              </w:rPr>
              <w:t>357</w:t>
            </w:r>
          </w:p>
        </w:tc>
      </w:tr>
    </w:tbl>
    <w:p w14:paraId="1ED91FD1" w14:textId="33950150" w:rsidR="00AC3348" w:rsidRDefault="006A2F31" w:rsidP="006A2F31">
      <w:pPr>
        <w:pStyle w:val="Heading6"/>
      </w:pPr>
      <w:bookmarkStart w:id="43" w:name="_Toc161934668"/>
      <w:r>
        <w:t>Supplemental Table 3: NLS-7 unique gene annotation categories</w:t>
      </w:r>
      <w:bookmarkEnd w:id="43"/>
      <w:r>
        <w:t xml:space="preserve"> </w:t>
      </w:r>
    </w:p>
    <w:p w14:paraId="28488830" w14:textId="77777777" w:rsidR="00AC3348" w:rsidRDefault="00AC3348" w:rsidP="00364AE7">
      <w:pPr>
        <w:rPr>
          <w:b/>
          <w:bCs/>
          <w:sz w:val="24"/>
          <w:szCs w:val="24"/>
        </w:rPr>
      </w:pPr>
    </w:p>
    <w:p w14:paraId="2E468035" w14:textId="77777777" w:rsidR="00AC3348" w:rsidRDefault="00AC3348" w:rsidP="00364AE7">
      <w:pPr>
        <w:rPr>
          <w:b/>
          <w:bCs/>
          <w:sz w:val="24"/>
          <w:szCs w:val="24"/>
        </w:rPr>
      </w:pPr>
    </w:p>
    <w:tbl>
      <w:tblPr>
        <w:tblW w:w="8108" w:type="dxa"/>
        <w:tblInd w:w="540" w:type="dxa"/>
        <w:tblLayout w:type="fixed"/>
        <w:tblLook w:val="04A0" w:firstRow="1" w:lastRow="0" w:firstColumn="1" w:lastColumn="0" w:noHBand="0" w:noVBand="1"/>
      </w:tblPr>
      <w:tblGrid>
        <w:gridCol w:w="1868"/>
        <w:gridCol w:w="1279"/>
        <w:gridCol w:w="1730"/>
        <w:gridCol w:w="3231"/>
      </w:tblGrid>
      <w:tr w:rsidR="00AC3348" w:rsidRPr="007B56D4" w14:paraId="25395D5A" w14:textId="77777777" w:rsidTr="00E15078">
        <w:trPr>
          <w:trHeight w:val="312"/>
        </w:trPr>
        <w:tc>
          <w:tcPr>
            <w:tcW w:w="8108" w:type="dxa"/>
            <w:gridSpan w:val="4"/>
            <w:tcBorders>
              <w:top w:val="nil"/>
              <w:left w:val="nil"/>
              <w:bottom w:val="nil"/>
              <w:right w:val="nil"/>
            </w:tcBorders>
            <w:shd w:val="clear" w:color="auto" w:fill="auto"/>
            <w:noWrap/>
            <w:vAlign w:val="bottom"/>
            <w:hideMark/>
          </w:tcPr>
          <w:p w14:paraId="78B5C8E5" w14:textId="77777777" w:rsidR="004F5205" w:rsidRPr="004F5205" w:rsidRDefault="004F5205" w:rsidP="001D6813">
            <w:pPr>
              <w:rPr>
                <w:rFonts w:eastAsia="Times New Roman"/>
                <w:b/>
                <w:bCs/>
                <w:color w:val="000000"/>
              </w:rPr>
            </w:pPr>
          </w:p>
          <w:p w14:paraId="01689C1B" w14:textId="1C2CAB56" w:rsidR="00AC3348" w:rsidRPr="006E624A" w:rsidRDefault="00AC3348" w:rsidP="001D6813">
            <w:pPr>
              <w:rPr>
                <w:rFonts w:eastAsia="Times New Roman"/>
                <w:color w:val="000000"/>
                <w:sz w:val="24"/>
                <w:szCs w:val="24"/>
              </w:rPr>
            </w:pPr>
            <w:r w:rsidRPr="006E624A">
              <w:rPr>
                <w:rFonts w:eastAsia="Times New Roman"/>
                <w:b/>
                <w:bCs/>
                <w:color w:val="000000"/>
                <w:sz w:val="24"/>
                <w:szCs w:val="24"/>
              </w:rPr>
              <w:t>Supplemental Table 4</w:t>
            </w:r>
            <w:r w:rsidRPr="006E624A">
              <w:rPr>
                <w:rFonts w:eastAsia="Times New Roman"/>
                <w:color w:val="000000"/>
                <w:sz w:val="24"/>
                <w:szCs w:val="24"/>
              </w:rPr>
              <w:t xml:space="preserve">: DDH values calculated by Formula 2 of the DSMZ Genome-to-Genome Distance Calculator 3.0 (37,38). This demonstrates that the DDH value of strain NLS-7 is &lt; 70% compared to each unique species of </w:t>
            </w:r>
            <w:r w:rsidRPr="006E624A">
              <w:rPr>
                <w:rFonts w:eastAsia="Times New Roman"/>
                <w:i/>
                <w:iCs/>
                <w:color w:val="000000"/>
                <w:sz w:val="24"/>
                <w:szCs w:val="24"/>
              </w:rPr>
              <w:t xml:space="preserve">Methylocystis </w:t>
            </w:r>
            <w:r w:rsidRPr="006E624A">
              <w:rPr>
                <w:rFonts w:eastAsia="Times New Roman"/>
                <w:color w:val="000000"/>
                <w:sz w:val="24"/>
                <w:szCs w:val="24"/>
              </w:rPr>
              <w:t>(Reference). Each reference genome shown and corresponding data are being compared to strain NLS-7.</w:t>
            </w:r>
          </w:p>
        </w:tc>
      </w:tr>
      <w:tr w:rsidR="00AC3348" w:rsidRPr="007B56D4" w14:paraId="12DFEE2E"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EF940" w14:textId="77777777" w:rsidR="00AC3348" w:rsidRPr="004F5205" w:rsidRDefault="00AC3348" w:rsidP="001D6813">
            <w:pPr>
              <w:rPr>
                <w:rFonts w:eastAsia="Times New Roman"/>
                <w:b/>
                <w:bCs/>
                <w:color w:val="000000"/>
              </w:rPr>
            </w:pPr>
            <w:r w:rsidRPr="004F5205">
              <w:rPr>
                <w:rFonts w:eastAsia="Times New Roman"/>
                <w:b/>
                <w:bCs/>
                <w:color w:val="000000"/>
              </w:rPr>
              <w:t>NCBI Reference genome</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4D6CCA07" w14:textId="77777777" w:rsidR="00AC3348" w:rsidRPr="004F5205" w:rsidRDefault="00AC3348" w:rsidP="001D6813">
            <w:pPr>
              <w:jc w:val="center"/>
              <w:rPr>
                <w:rFonts w:eastAsia="Times New Roman"/>
                <w:b/>
                <w:bCs/>
                <w:color w:val="000000"/>
              </w:rPr>
            </w:pPr>
            <w:r w:rsidRPr="004F5205">
              <w:rPr>
                <w:rFonts w:eastAsia="Times New Roman"/>
                <w:b/>
                <w:bCs/>
                <w:color w:val="000000"/>
              </w:rPr>
              <w:t>DDH</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618F5275" w14:textId="77777777" w:rsidR="00AC3348" w:rsidRPr="004F5205" w:rsidRDefault="00AC3348" w:rsidP="001D6813">
            <w:pPr>
              <w:jc w:val="center"/>
              <w:rPr>
                <w:rFonts w:eastAsia="Times New Roman"/>
                <w:b/>
                <w:bCs/>
                <w:color w:val="000000"/>
              </w:rPr>
            </w:pPr>
            <w:r w:rsidRPr="004F5205">
              <w:rPr>
                <w:rFonts w:eastAsia="Times New Roman"/>
                <w:b/>
                <w:bCs/>
                <w:color w:val="000000"/>
              </w:rPr>
              <w:t>Model C.I.</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525B47D7" w14:textId="77777777" w:rsidR="00AC3348" w:rsidRPr="004F5205" w:rsidRDefault="00AC3348" w:rsidP="001D6813">
            <w:pPr>
              <w:jc w:val="center"/>
              <w:rPr>
                <w:rFonts w:eastAsia="Times New Roman"/>
                <w:b/>
                <w:bCs/>
                <w:color w:val="000000"/>
              </w:rPr>
            </w:pPr>
            <w:r w:rsidRPr="004F5205">
              <w:rPr>
                <w:rFonts w:eastAsia="Times New Roman"/>
                <w:b/>
                <w:bCs/>
                <w:color w:val="000000"/>
              </w:rPr>
              <w:t>Prob. DDH is &gt;= 70%</w:t>
            </w:r>
          </w:p>
        </w:tc>
      </w:tr>
      <w:tr w:rsidR="00AC3348" w:rsidRPr="007B56D4" w14:paraId="67395586"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123D8" w14:textId="77777777" w:rsidR="00AC3348" w:rsidRPr="004F5205" w:rsidRDefault="00AC3348" w:rsidP="001D6813">
            <w:pPr>
              <w:rPr>
                <w:rFonts w:eastAsia="Times New Roman"/>
                <w:i/>
                <w:iCs/>
                <w:color w:val="000000"/>
              </w:rPr>
            </w:pPr>
            <w:r w:rsidRPr="004F5205">
              <w:rPr>
                <w:rFonts w:eastAsia="Times New Roman"/>
                <w:i/>
                <w:iCs/>
                <w:color w:val="000000"/>
              </w:rPr>
              <w:t>Methylocystis echinoides</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1388D3BD" w14:textId="77777777" w:rsidR="00AC3348" w:rsidRPr="004F5205" w:rsidRDefault="00AC3348" w:rsidP="001D6813">
            <w:pPr>
              <w:jc w:val="center"/>
              <w:rPr>
                <w:rFonts w:eastAsia="Times New Roman"/>
                <w:color w:val="000000"/>
              </w:rPr>
            </w:pPr>
            <w:r w:rsidRPr="004F5205">
              <w:rPr>
                <w:rFonts w:eastAsia="Times New Roman"/>
                <w:color w:val="000000"/>
              </w:rPr>
              <w:t>22.1</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032FAAF8" w14:textId="77777777" w:rsidR="00AC3348" w:rsidRPr="004F5205" w:rsidRDefault="00AC3348" w:rsidP="001D6813">
            <w:pPr>
              <w:jc w:val="center"/>
              <w:rPr>
                <w:rFonts w:eastAsia="Times New Roman"/>
                <w:color w:val="000000"/>
              </w:rPr>
            </w:pPr>
            <w:r w:rsidRPr="004F5205">
              <w:rPr>
                <w:rFonts w:eastAsia="Times New Roman"/>
                <w:color w:val="000000"/>
              </w:rPr>
              <w:t>[19.9 - 24.6%]</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56BE8D23" w14:textId="77777777" w:rsidR="00AC3348" w:rsidRPr="004F5205" w:rsidRDefault="00AC3348" w:rsidP="001D6813">
            <w:pPr>
              <w:jc w:val="center"/>
              <w:rPr>
                <w:rFonts w:eastAsia="Times New Roman"/>
                <w:color w:val="000000"/>
              </w:rPr>
            </w:pPr>
            <w:r w:rsidRPr="004F5205">
              <w:rPr>
                <w:rFonts w:eastAsia="Times New Roman"/>
                <w:color w:val="000000"/>
              </w:rPr>
              <w:t>0</w:t>
            </w:r>
          </w:p>
        </w:tc>
      </w:tr>
      <w:tr w:rsidR="00AC3348" w:rsidRPr="007B56D4" w14:paraId="71E2DDDC"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2F669" w14:textId="77777777" w:rsidR="00AC3348" w:rsidRPr="004F5205" w:rsidRDefault="00AC3348" w:rsidP="001D6813">
            <w:pPr>
              <w:rPr>
                <w:rFonts w:eastAsia="Times New Roman"/>
                <w:i/>
                <w:iCs/>
                <w:color w:val="000000"/>
              </w:rPr>
            </w:pPr>
            <w:r w:rsidRPr="004F5205">
              <w:rPr>
                <w:rFonts w:eastAsia="Times New Roman"/>
                <w:i/>
                <w:iCs/>
                <w:color w:val="000000"/>
              </w:rPr>
              <w:t>Methylocystis iwaonis</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2A03CFDF" w14:textId="77777777" w:rsidR="00AC3348" w:rsidRPr="004F5205" w:rsidRDefault="00AC3348" w:rsidP="001D6813">
            <w:pPr>
              <w:jc w:val="center"/>
              <w:rPr>
                <w:rFonts w:eastAsia="Times New Roman"/>
                <w:color w:val="000000"/>
              </w:rPr>
            </w:pPr>
            <w:r w:rsidRPr="004F5205">
              <w:rPr>
                <w:rFonts w:eastAsia="Times New Roman"/>
                <w:color w:val="000000"/>
              </w:rPr>
              <w:t>22</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6F4A5A8D" w14:textId="77777777" w:rsidR="00AC3348" w:rsidRPr="004F5205" w:rsidRDefault="00AC3348" w:rsidP="001D6813">
            <w:pPr>
              <w:jc w:val="center"/>
              <w:rPr>
                <w:rFonts w:eastAsia="Times New Roman"/>
                <w:color w:val="000000"/>
              </w:rPr>
            </w:pPr>
            <w:r w:rsidRPr="004F5205">
              <w:rPr>
                <w:rFonts w:eastAsia="Times New Roman"/>
                <w:color w:val="000000"/>
              </w:rPr>
              <w:t>[19.7 - 24.4%]</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1280CA70" w14:textId="77777777" w:rsidR="00AC3348" w:rsidRPr="004F5205" w:rsidRDefault="00AC3348" w:rsidP="001D6813">
            <w:pPr>
              <w:jc w:val="center"/>
              <w:rPr>
                <w:rFonts w:eastAsia="Times New Roman"/>
                <w:color w:val="000000"/>
              </w:rPr>
            </w:pPr>
            <w:r w:rsidRPr="004F5205">
              <w:rPr>
                <w:rFonts w:eastAsia="Times New Roman"/>
                <w:color w:val="000000"/>
              </w:rPr>
              <w:t>0</w:t>
            </w:r>
          </w:p>
        </w:tc>
      </w:tr>
      <w:tr w:rsidR="00AC3348" w:rsidRPr="007B56D4" w14:paraId="77160EAA"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64373" w14:textId="2ED73DF0" w:rsidR="00AC3348" w:rsidRPr="004F5205" w:rsidRDefault="00AC3348" w:rsidP="001D6813">
            <w:pPr>
              <w:rPr>
                <w:rFonts w:eastAsia="Times New Roman"/>
                <w:i/>
                <w:iCs/>
                <w:color w:val="000000"/>
              </w:rPr>
            </w:pPr>
            <w:r w:rsidRPr="004F5205">
              <w:rPr>
                <w:rFonts w:eastAsia="Times New Roman"/>
                <w:i/>
                <w:iCs/>
                <w:color w:val="000000"/>
              </w:rPr>
              <w:t xml:space="preserve">Methylocystis </w:t>
            </w:r>
            <w:r w:rsidR="006A2F31" w:rsidRPr="004F5205">
              <w:rPr>
                <w:rFonts w:eastAsia="Times New Roman"/>
                <w:i/>
                <w:iCs/>
                <w:color w:val="000000"/>
              </w:rPr>
              <w:t>broyophila</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19365671" w14:textId="77777777" w:rsidR="00AC3348" w:rsidRPr="004F5205" w:rsidRDefault="00AC3348" w:rsidP="001D6813">
            <w:pPr>
              <w:jc w:val="center"/>
              <w:rPr>
                <w:rFonts w:eastAsia="Times New Roman"/>
                <w:color w:val="000000"/>
              </w:rPr>
            </w:pPr>
            <w:r w:rsidRPr="004F5205">
              <w:rPr>
                <w:rFonts w:eastAsia="Times New Roman"/>
                <w:color w:val="000000"/>
              </w:rPr>
              <w:t>20.9</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549EE15A" w14:textId="77777777" w:rsidR="00AC3348" w:rsidRPr="004F5205" w:rsidRDefault="00AC3348" w:rsidP="001D6813">
            <w:pPr>
              <w:jc w:val="center"/>
              <w:rPr>
                <w:rFonts w:eastAsia="Times New Roman"/>
                <w:color w:val="000000"/>
              </w:rPr>
            </w:pPr>
            <w:r w:rsidRPr="004F5205">
              <w:rPr>
                <w:rFonts w:eastAsia="Times New Roman"/>
                <w:color w:val="000000"/>
              </w:rPr>
              <w:t>[18.7 - 23.3%]</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6E380B4A" w14:textId="77777777" w:rsidR="00AC3348" w:rsidRPr="004F5205" w:rsidRDefault="00AC3348" w:rsidP="001D6813">
            <w:pPr>
              <w:jc w:val="center"/>
              <w:rPr>
                <w:rFonts w:eastAsia="Times New Roman"/>
                <w:color w:val="000000"/>
              </w:rPr>
            </w:pPr>
            <w:r w:rsidRPr="004F5205">
              <w:rPr>
                <w:rFonts w:eastAsia="Times New Roman"/>
                <w:color w:val="000000"/>
              </w:rPr>
              <w:t>0</w:t>
            </w:r>
          </w:p>
        </w:tc>
      </w:tr>
      <w:tr w:rsidR="00AC3348" w:rsidRPr="007B56D4" w14:paraId="71BAFFD6"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D8878" w14:textId="77777777" w:rsidR="00AC3348" w:rsidRPr="004F5205" w:rsidRDefault="00AC3348" w:rsidP="001D6813">
            <w:pPr>
              <w:rPr>
                <w:rFonts w:eastAsia="Times New Roman"/>
                <w:i/>
                <w:iCs/>
                <w:color w:val="000000"/>
              </w:rPr>
            </w:pPr>
            <w:r w:rsidRPr="004F5205">
              <w:rPr>
                <w:rFonts w:eastAsia="Times New Roman"/>
                <w:i/>
                <w:iCs/>
                <w:color w:val="000000"/>
              </w:rPr>
              <w:t>Methylocystis heyeri</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67A92F0B" w14:textId="77777777" w:rsidR="00AC3348" w:rsidRPr="004F5205" w:rsidRDefault="00AC3348" w:rsidP="001D6813">
            <w:pPr>
              <w:jc w:val="center"/>
              <w:rPr>
                <w:rFonts w:eastAsia="Times New Roman"/>
                <w:color w:val="000000"/>
              </w:rPr>
            </w:pPr>
            <w:r w:rsidRPr="004F5205">
              <w:rPr>
                <w:rFonts w:eastAsia="Times New Roman"/>
                <w:color w:val="000000"/>
              </w:rPr>
              <w:t>20.9</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607EB5D3" w14:textId="77777777" w:rsidR="00AC3348" w:rsidRPr="004F5205" w:rsidRDefault="00AC3348" w:rsidP="001D6813">
            <w:pPr>
              <w:jc w:val="center"/>
              <w:rPr>
                <w:rFonts w:eastAsia="Times New Roman"/>
                <w:color w:val="000000"/>
              </w:rPr>
            </w:pPr>
            <w:r w:rsidRPr="004F5205">
              <w:rPr>
                <w:rFonts w:eastAsia="Times New Roman"/>
                <w:color w:val="000000"/>
              </w:rPr>
              <w:t>[18.7 - 23.4%]</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78125104" w14:textId="77777777" w:rsidR="00AC3348" w:rsidRPr="004F5205" w:rsidRDefault="00AC3348" w:rsidP="001D6813">
            <w:pPr>
              <w:jc w:val="center"/>
              <w:rPr>
                <w:rFonts w:eastAsia="Times New Roman"/>
                <w:color w:val="000000"/>
              </w:rPr>
            </w:pPr>
            <w:r w:rsidRPr="004F5205">
              <w:rPr>
                <w:rFonts w:eastAsia="Times New Roman"/>
                <w:color w:val="000000"/>
              </w:rPr>
              <w:t>0</w:t>
            </w:r>
          </w:p>
        </w:tc>
      </w:tr>
      <w:tr w:rsidR="00AC3348" w:rsidRPr="007B56D4" w14:paraId="75870640"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59879" w14:textId="6AA7D6C8" w:rsidR="00AC3348" w:rsidRPr="004F5205" w:rsidRDefault="00AC3348" w:rsidP="001D6813">
            <w:pPr>
              <w:rPr>
                <w:rFonts w:eastAsia="Times New Roman"/>
                <w:i/>
                <w:iCs/>
                <w:color w:val="000000"/>
              </w:rPr>
            </w:pPr>
            <w:r w:rsidRPr="004F5205">
              <w:rPr>
                <w:rFonts w:eastAsia="Times New Roman"/>
                <w:i/>
                <w:iCs/>
                <w:color w:val="000000"/>
              </w:rPr>
              <w:t>Methylocysti</w:t>
            </w:r>
            <w:r w:rsidR="006A2F31">
              <w:rPr>
                <w:rFonts w:eastAsia="Times New Roman"/>
                <w:i/>
                <w:iCs/>
                <w:color w:val="000000"/>
              </w:rPr>
              <w:t>s</w:t>
            </w:r>
            <w:r w:rsidRPr="004F5205">
              <w:rPr>
                <w:rFonts w:eastAsia="Times New Roman"/>
                <w:i/>
                <w:iCs/>
                <w:color w:val="000000"/>
              </w:rPr>
              <w:t xml:space="preserve"> hirsuta</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41E72ACE" w14:textId="77777777" w:rsidR="00AC3348" w:rsidRPr="004F5205" w:rsidRDefault="00AC3348" w:rsidP="001D6813">
            <w:pPr>
              <w:jc w:val="center"/>
              <w:rPr>
                <w:rFonts w:eastAsia="Times New Roman"/>
                <w:color w:val="000000"/>
              </w:rPr>
            </w:pPr>
            <w:r w:rsidRPr="004F5205">
              <w:rPr>
                <w:rFonts w:eastAsia="Times New Roman"/>
                <w:color w:val="000000"/>
              </w:rPr>
              <w:t>54.1</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5C61FA4D" w14:textId="77777777" w:rsidR="00AC3348" w:rsidRPr="004F5205" w:rsidRDefault="00AC3348" w:rsidP="001D6813">
            <w:pPr>
              <w:jc w:val="center"/>
              <w:rPr>
                <w:rFonts w:eastAsia="Times New Roman"/>
                <w:color w:val="000000"/>
              </w:rPr>
            </w:pPr>
            <w:r w:rsidRPr="004F5205">
              <w:rPr>
                <w:rFonts w:eastAsia="Times New Roman"/>
                <w:color w:val="000000"/>
              </w:rPr>
              <w:t>[51.4 - 56.8%]</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35CC312B" w14:textId="77777777" w:rsidR="00AC3348" w:rsidRPr="004F5205" w:rsidRDefault="00AC3348" w:rsidP="001D6813">
            <w:pPr>
              <w:jc w:val="center"/>
              <w:rPr>
                <w:rFonts w:eastAsia="Times New Roman"/>
                <w:color w:val="000000"/>
              </w:rPr>
            </w:pPr>
            <w:r w:rsidRPr="004F5205">
              <w:rPr>
                <w:rFonts w:eastAsia="Times New Roman"/>
                <w:color w:val="000000"/>
              </w:rPr>
              <w:t>32.02</w:t>
            </w:r>
          </w:p>
        </w:tc>
      </w:tr>
      <w:tr w:rsidR="00AC3348" w:rsidRPr="007B56D4" w14:paraId="41D3102F"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7B7F7" w14:textId="24A3DD22" w:rsidR="00AC3348" w:rsidRPr="004F5205" w:rsidRDefault="00AC3348" w:rsidP="001D6813">
            <w:pPr>
              <w:rPr>
                <w:rFonts w:eastAsia="Times New Roman"/>
                <w:i/>
                <w:iCs/>
                <w:color w:val="000000"/>
              </w:rPr>
            </w:pPr>
            <w:r w:rsidRPr="004F5205">
              <w:rPr>
                <w:rFonts w:eastAsia="Times New Roman"/>
                <w:i/>
                <w:iCs/>
                <w:color w:val="000000"/>
              </w:rPr>
              <w:t>Methylocystis parv</w:t>
            </w:r>
            <w:r w:rsidR="006A2F31">
              <w:rPr>
                <w:rFonts w:eastAsia="Times New Roman"/>
                <w:i/>
                <w:iCs/>
                <w:color w:val="000000"/>
              </w:rPr>
              <w:t>a</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3B295C2B" w14:textId="77777777" w:rsidR="00AC3348" w:rsidRPr="004F5205" w:rsidRDefault="00AC3348" w:rsidP="001D6813">
            <w:pPr>
              <w:jc w:val="center"/>
              <w:rPr>
                <w:rFonts w:eastAsia="Times New Roman"/>
                <w:color w:val="000000"/>
              </w:rPr>
            </w:pPr>
            <w:r w:rsidRPr="004F5205">
              <w:rPr>
                <w:rFonts w:eastAsia="Times New Roman"/>
                <w:color w:val="000000"/>
              </w:rPr>
              <w:t>22</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3CC1A481" w14:textId="77777777" w:rsidR="00AC3348" w:rsidRPr="004F5205" w:rsidRDefault="00AC3348" w:rsidP="001D6813">
            <w:pPr>
              <w:jc w:val="center"/>
              <w:rPr>
                <w:rFonts w:eastAsia="Times New Roman"/>
                <w:color w:val="000000"/>
              </w:rPr>
            </w:pPr>
            <w:r w:rsidRPr="004F5205">
              <w:rPr>
                <w:rFonts w:eastAsia="Times New Roman"/>
                <w:color w:val="000000"/>
              </w:rPr>
              <w:t>[19.7 - 24.4%]</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6BD0BC42" w14:textId="77777777" w:rsidR="00AC3348" w:rsidRPr="004F5205" w:rsidRDefault="00AC3348" w:rsidP="001D6813">
            <w:pPr>
              <w:jc w:val="center"/>
              <w:rPr>
                <w:rFonts w:eastAsia="Times New Roman"/>
                <w:color w:val="000000"/>
              </w:rPr>
            </w:pPr>
            <w:r w:rsidRPr="004F5205">
              <w:rPr>
                <w:rFonts w:eastAsia="Times New Roman"/>
                <w:color w:val="000000"/>
              </w:rPr>
              <w:t>0</w:t>
            </w:r>
          </w:p>
        </w:tc>
      </w:tr>
      <w:tr w:rsidR="00AC3348" w:rsidRPr="007B56D4" w14:paraId="0FF3BE8B"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0BD9B" w14:textId="77777777" w:rsidR="00AC3348" w:rsidRPr="004F5205" w:rsidRDefault="00AC3348" w:rsidP="001D6813">
            <w:pPr>
              <w:rPr>
                <w:rFonts w:eastAsia="Times New Roman"/>
                <w:i/>
                <w:iCs/>
                <w:color w:val="000000"/>
              </w:rPr>
            </w:pPr>
            <w:r w:rsidRPr="004F5205">
              <w:rPr>
                <w:rFonts w:eastAsia="Times New Roman"/>
                <w:i/>
                <w:iCs/>
                <w:color w:val="000000"/>
              </w:rPr>
              <w:t>Methylocystis rosea</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5816B7AD" w14:textId="77777777" w:rsidR="00AC3348" w:rsidRPr="004F5205" w:rsidRDefault="00AC3348" w:rsidP="001D6813">
            <w:pPr>
              <w:jc w:val="center"/>
              <w:rPr>
                <w:rFonts w:eastAsia="Times New Roman"/>
                <w:color w:val="000000"/>
              </w:rPr>
            </w:pPr>
            <w:r w:rsidRPr="004F5205">
              <w:rPr>
                <w:rFonts w:eastAsia="Times New Roman"/>
                <w:color w:val="000000"/>
              </w:rPr>
              <w:t>46.1</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7A9155EA" w14:textId="77777777" w:rsidR="00AC3348" w:rsidRPr="004F5205" w:rsidRDefault="00AC3348" w:rsidP="001D6813">
            <w:pPr>
              <w:jc w:val="center"/>
              <w:rPr>
                <w:rFonts w:eastAsia="Times New Roman"/>
                <w:color w:val="000000"/>
              </w:rPr>
            </w:pPr>
            <w:r w:rsidRPr="004F5205">
              <w:rPr>
                <w:rFonts w:eastAsia="Times New Roman"/>
                <w:color w:val="000000"/>
              </w:rPr>
              <w:t>[43.5 - 48.7%]</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3499EBB1" w14:textId="77777777" w:rsidR="00AC3348" w:rsidRPr="004F5205" w:rsidRDefault="00AC3348" w:rsidP="001D6813">
            <w:pPr>
              <w:jc w:val="center"/>
              <w:rPr>
                <w:rFonts w:eastAsia="Times New Roman"/>
                <w:color w:val="000000"/>
              </w:rPr>
            </w:pPr>
            <w:r w:rsidRPr="004F5205">
              <w:rPr>
                <w:rFonts w:eastAsia="Times New Roman"/>
                <w:color w:val="000000"/>
              </w:rPr>
              <w:t>10.11</w:t>
            </w:r>
          </w:p>
        </w:tc>
      </w:tr>
      <w:tr w:rsidR="00AC3348" w:rsidRPr="007B56D4" w14:paraId="6DA84214" w14:textId="77777777" w:rsidTr="00E15078">
        <w:trPr>
          <w:trHeight w:val="312"/>
        </w:trPr>
        <w:tc>
          <w:tcPr>
            <w:tcW w:w="1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19ACA" w14:textId="77777777" w:rsidR="00AC3348" w:rsidRPr="004F5205" w:rsidRDefault="00AC3348" w:rsidP="001D6813">
            <w:pPr>
              <w:rPr>
                <w:rFonts w:eastAsia="Times New Roman"/>
                <w:i/>
                <w:iCs/>
                <w:color w:val="000000"/>
              </w:rPr>
            </w:pPr>
            <w:r w:rsidRPr="004F5205">
              <w:rPr>
                <w:rFonts w:eastAsia="Times New Roman"/>
                <w:i/>
                <w:iCs/>
                <w:color w:val="000000"/>
              </w:rPr>
              <w:t>Methylocystis silviterrae</w:t>
            </w:r>
          </w:p>
        </w:tc>
        <w:tc>
          <w:tcPr>
            <w:tcW w:w="1279" w:type="dxa"/>
            <w:tcBorders>
              <w:top w:val="single" w:sz="4" w:space="0" w:color="auto"/>
              <w:left w:val="nil"/>
              <w:bottom w:val="single" w:sz="4" w:space="0" w:color="auto"/>
              <w:right w:val="single" w:sz="4" w:space="0" w:color="auto"/>
            </w:tcBorders>
            <w:shd w:val="clear" w:color="auto" w:fill="auto"/>
            <w:noWrap/>
            <w:vAlign w:val="bottom"/>
            <w:hideMark/>
          </w:tcPr>
          <w:p w14:paraId="2DFBE504" w14:textId="77777777" w:rsidR="00AC3348" w:rsidRPr="004F5205" w:rsidRDefault="00AC3348" w:rsidP="001D6813">
            <w:pPr>
              <w:jc w:val="center"/>
              <w:rPr>
                <w:rFonts w:eastAsia="Times New Roman"/>
                <w:color w:val="000000"/>
              </w:rPr>
            </w:pPr>
            <w:r w:rsidRPr="004F5205">
              <w:rPr>
                <w:rFonts w:eastAsia="Times New Roman"/>
                <w:color w:val="000000"/>
              </w:rPr>
              <w:t>53.7</w:t>
            </w:r>
          </w:p>
        </w:tc>
        <w:tc>
          <w:tcPr>
            <w:tcW w:w="1730" w:type="dxa"/>
            <w:tcBorders>
              <w:top w:val="single" w:sz="4" w:space="0" w:color="auto"/>
              <w:left w:val="nil"/>
              <w:bottom w:val="single" w:sz="4" w:space="0" w:color="auto"/>
              <w:right w:val="single" w:sz="4" w:space="0" w:color="auto"/>
            </w:tcBorders>
            <w:shd w:val="clear" w:color="auto" w:fill="auto"/>
            <w:noWrap/>
            <w:vAlign w:val="bottom"/>
            <w:hideMark/>
          </w:tcPr>
          <w:p w14:paraId="338D95AF" w14:textId="77777777" w:rsidR="00AC3348" w:rsidRPr="004F5205" w:rsidRDefault="00AC3348" w:rsidP="001D6813">
            <w:pPr>
              <w:jc w:val="center"/>
              <w:rPr>
                <w:rFonts w:eastAsia="Times New Roman"/>
                <w:color w:val="000000"/>
              </w:rPr>
            </w:pPr>
            <w:r w:rsidRPr="004F5205">
              <w:rPr>
                <w:rFonts w:eastAsia="Times New Roman"/>
                <w:color w:val="000000"/>
              </w:rPr>
              <w:t>[51 - 56.4%]</w:t>
            </w:r>
          </w:p>
        </w:tc>
        <w:tc>
          <w:tcPr>
            <w:tcW w:w="3228" w:type="dxa"/>
            <w:tcBorders>
              <w:top w:val="single" w:sz="4" w:space="0" w:color="auto"/>
              <w:left w:val="nil"/>
              <w:bottom w:val="single" w:sz="4" w:space="0" w:color="auto"/>
              <w:right w:val="single" w:sz="4" w:space="0" w:color="auto"/>
            </w:tcBorders>
            <w:shd w:val="clear" w:color="auto" w:fill="auto"/>
            <w:noWrap/>
            <w:vAlign w:val="bottom"/>
            <w:hideMark/>
          </w:tcPr>
          <w:p w14:paraId="59B41C23" w14:textId="77777777" w:rsidR="00AC3348" w:rsidRPr="004F5205" w:rsidRDefault="00AC3348" w:rsidP="001D6813">
            <w:pPr>
              <w:jc w:val="center"/>
              <w:rPr>
                <w:rFonts w:eastAsia="Times New Roman"/>
                <w:color w:val="000000"/>
              </w:rPr>
            </w:pPr>
            <w:r w:rsidRPr="004F5205">
              <w:rPr>
                <w:rFonts w:eastAsia="Times New Roman"/>
                <w:color w:val="000000"/>
              </w:rPr>
              <w:t>30.48</w:t>
            </w:r>
          </w:p>
        </w:tc>
      </w:tr>
    </w:tbl>
    <w:p w14:paraId="69138F77" w14:textId="77777777" w:rsidR="00AC3348" w:rsidRDefault="00AC3348" w:rsidP="00364AE7">
      <w:pPr>
        <w:rPr>
          <w:b/>
          <w:bCs/>
          <w:sz w:val="24"/>
          <w:szCs w:val="24"/>
        </w:rPr>
      </w:pPr>
    </w:p>
    <w:p w14:paraId="316AF2F8" w14:textId="77777777" w:rsidR="006A2F31" w:rsidRPr="004F5205" w:rsidRDefault="006A2F31" w:rsidP="006A2F31">
      <w:pPr>
        <w:pStyle w:val="Heading6"/>
        <w:rPr>
          <w:rFonts w:eastAsia="Times New Roman" w:cs="Times New Roman"/>
        </w:rPr>
      </w:pPr>
      <w:bookmarkStart w:id="44" w:name="_Toc161934669"/>
      <w:r>
        <w:rPr>
          <w:rFonts w:eastAsia="Times New Roman"/>
        </w:rPr>
        <w:t>Supplemental Table 4: DDH values</w:t>
      </w:r>
      <w:bookmarkEnd w:id="44"/>
    </w:p>
    <w:p w14:paraId="2B13B98A" w14:textId="77777777" w:rsidR="00AC3348" w:rsidRDefault="00AC3348" w:rsidP="00364AE7">
      <w:pPr>
        <w:rPr>
          <w:b/>
          <w:bCs/>
          <w:sz w:val="24"/>
          <w:szCs w:val="24"/>
        </w:rPr>
      </w:pPr>
    </w:p>
    <w:p w14:paraId="541282B2" w14:textId="695F6449" w:rsidR="00364AE7" w:rsidRPr="00364AE7" w:rsidRDefault="00364AE7" w:rsidP="006E624A">
      <w:pPr>
        <w:pStyle w:val="Heading3"/>
      </w:pPr>
      <w:bookmarkStart w:id="45" w:name="_Toc167115828"/>
      <w:r w:rsidRPr="00364AE7">
        <w:lastRenderedPageBreak/>
        <w:t>References</w:t>
      </w:r>
      <w:bookmarkEnd w:id="45"/>
    </w:p>
    <w:bookmarkEnd w:id="15"/>
    <w:p w14:paraId="31D5B13A" w14:textId="77777777" w:rsidR="000C7072" w:rsidRDefault="000C7072" w:rsidP="000C7072">
      <w:r>
        <w:t>1.</w:t>
      </w:r>
      <w:r>
        <w:tab/>
        <w:t xml:space="preserve">Hanson RS, Hanson TE. Methanotrophic bacteria. Microbiol Rev. 1996 Jun;60(2):439–71. </w:t>
      </w:r>
    </w:p>
    <w:p w14:paraId="6DFCC7A6" w14:textId="77777777" w:rsidR="000C7072" w:rsidRDefault="000C7072" w:rsidP="000C7072">
      <w:r>
        <w:t>2.</w:t>
      </w:r>
      <w:r>
        <w:tab/>
        <w:t xml:space="preserve">Milich L. The role of methane in global warming: where might mitigation strategies be focused? Glob Environ Change. 1999 Oct 1;9(3):179–201. </w:t>
      </w:r>
    </w:p>
    <w:p w14:paraId="15841362" w14:textId="77777777" w:rsidR="000C7072" w:rsidRDefault="000C7072" w:rsidP="000C7072">
      <w:r>
        <w:t>3.</w:t>
      </w:r>
      <w:r>
        <w:tab/>
        <w:t xml:space="preserve">Oremland RS, Culbertson CW. Importance of methane-oxidizing bacteria in the methane budget as revealed by the use of a specific inhibitor. Nature. 1992 Apr;356(6368):421–3. </w:t>
      </w:r>
    </w:p>
    <w:p w14:paraId="06E8559F" w14:textId="77777777" w:rsidR="000C7072" w:rsidRDefault="000C7072" w:rsidP="000C7072">
      <w:r>
        <w:t>4.</w:t>
      </w:r>
      <w:r>
        <w:tab/>
        <w:t xml:space="preserve">Henneberger R, Lüke C, Mosberger L, Schroth MH. Structure and function of methanotrophic communities in a landfill-cover soil. FEMS Microbiol Ecol. 2012 Jul 1;81(1):52–65. </w:t>
      </w:r>
    </w:p>
    <w:p w14:paraId="1A295F06" w14:textId="77777777" w:rsidR="000C7072" w:rsidRDefault="000C7072" w:rsidP="000C7072">
      <w:r>
        <w:t>5.</w:t>
      </w:r>
      <w:r>
        <w:tab/>
        <w:t xml:space="preserve">Knief C. Diversity and Habitat Preferences of Cultivated and Uncultivated Aerobic Methanotrophic Bacteria Evaluated Based on pmoA as Molecular Marker. Front Microbiol. 2015;6:1346. </w:t>
      </w:r>
    </w:p>
    <w:p w14:paraId="402F2DBD" w14:textId="77777777" w:rsidR="000C7072" w:rsidRDefault="000C7072" w:rsidP="000C7072">
      <w:r>
        <w:t>6.</w:t>
      </w:r>
      <w:r>
        <w:tab/>
        <w:t xml:space="preserve">Bowman JP, Sly LI, Nichols PD, Hayward AC. Revised taxonomy of the methanotrophs: description of Methylobacter gen. nov., emendation of Methylococcus, validation of Methylosinus and Methylocystis species, and a proposal that the family Methylococcaceae includes only the group I methanotrophs. Int J Syst Evol Microbiol. 1993 Oct 1;43(4):735–53. </w:t>
      </w:r>
    </w:p>
    <w:p w14:paraId="6CFA8D37" w14:textId="77777777" w:rsidR="000C7072" w:rsidRDefault="000C7072" w:rsidP="000C7072">
      <w:r>
        <w:t>7.</w:t>
      </w:r>
      <w:r>
        <w:tab/>
        <w:t xml:space="preserve">Wartiainen I, Hestnes AG, McDonald IR, Svenning MM. Methylocystis rosea sp. nov., a novel methanotrophic bacterium from Arctic wetland soil, Svalbard, Norway (78° N). Int J Syst Evol Microbiol. 2006;56(3):541–7. </w:t>
      </w:r>
    </w:p>
    <w:p w14:paraId="630863D9" w14:textId="77777777" w:rsidR="000C7072" w:rsidRDefault="000C7072" w:rsidP="000C7072">
      <w:r>
        <w:t>8.</w:t>
      </w:r>
      <w:r>
        <w:tab/>
        <w:t xml:space="preserve">Lindner AS, Pacheco A, Aldrich HC, Costello Staniec A, Uz I, Hodson DJ. Methylocystis hirsuta sp. nov., a novel methanotroph isolated from a groundwater aquifer. Int J Syst Evol Microbiol. 2007 Aug 1;57(8):1891–900. </w:t>
      </w:r>
    </w:p>
    <w:p w14:paraId="53EB7930" w14:textId="77777777" w:rsidR="000C7072" w:rsidRDefault="000C7072" w:rsidP="000C7072">
      <w:r>
        <w:t>9.</w:t>
      </w:r>
      <w:r>
        <w:tab/>
        <w:t xml:space="preserve">Dedysh SN, Belova SE, Bodelier PLE, Smirnova KV, Khmelenina VN, Chidthaisong A, et al. Methylocystis heyeri sp. nov., a novel type II methanotrophic bacterium possessing “signature” fatty acids of type I methanotrophs. Int J Syst Evol Microbiol. 2007 Mar;57(Pt 3):472–9. </w:t>
      </w:r>
    </w:p>
    <w:p w14:paraId="0B94FBDC" w14:textId="77777777" w:rsidR="000C7072" w:rsidRDefault="000C7072" w:rsidP="000C7072">
      <w:r>
        <w:t>10.</w:t>
      </w:r>
      <w:r>
        <w:tab/>
        <w:t xml:space="preserve">Belova SE, Kulichevskaya IS, Bodelier PLE, Dedysh SN. Methylocystis bryophila sp. nov., a facultatively methanotrophic bacterium from acidic Sphagnum peat, and emended description of the genus Methylocystis (ex Whittenbury et al. 1970) Bowman et al. 1993. Int J Syst Evol Microbiol. 2013 Mar 1;63(3):1096–104. </w:t>
      </w:r>
    </w:p>
    <w:p w14:paraId="6D8EDD18" w14:textId="77777777" w:rsidR="000C7072" w:rsidRDefault="000C7072" w:rsidP="000C7072">
      <w:r>
        <w:t>11.</w:t>
      </w:r>
      <w:r>
        <w:tab/>
        <w:t xml:space="preserve">Tikhonova EN, Grouzdev DS, Avtukh AN, Kravchenko IK. Methylocystis silviterrae sp.nov., a high-affinity methanotrophic bacterium isolated from the boreal forest soil. Int J Syst Evol Microbiol. 2021 Dec 16;71(12). </w:t>
      </w:r>
    </w:p>
    <w:p w14:paraId="1CC4C813" w14:textId="77777777" w:rsidR="000C7072" w:rsidRDefault="000C7072" w:rsidP="000C7072">
      <w:r>
        <w:t>12.</w:t>
      </w:r>
      <w:r>
        <w:tab/>
        <w:t xml:space="preserve">Kaise H, Sawadogo JB, Alam MS, Ueno C, Dianou D, Shinjo R, et al. Methylocystis iwaonis sp. nov., a type II methane-oxidizing bacterium from surface soil of a rice paddy field in Japan, and emended description of the genus Methylocystis (ex Whittenbury et al. 1970) Bowman et al. 1993. Int J Syst Evol Microbiol. 2023;73(6):005925. </w:t>
      </w:r>
    </w:p>
    <w:p w14:paraId="443C392C" w14:textId="77777777" w:rsidR="000C7072" w:rsidRDefault="000C7072" w:rsidP="000C7072">
      <w:r>
        <w:t>13.</w:t>
      </w:r>
      <w:r>
        <w:tab/>
        <w:t xml:space="preserve">Chen S, Zhou Y, Chen Y, Gu J. fastp: an ultra-fast all-in-one FASTQ preprocessor. Bioinformatics. 2018 Sep 1;34(17):i884–90. </w:t>
      </w:r>
    </w:p>
    <w:p w14:paraId="556A36A2" w14:textId="77777777" w:rsidR="000C7072" w:rsidRDefault="000C7072" w:rsidP="000C7072">
      <w:r>
        <w:lastRenderedPageBreak/>
        <w:t>14.</w:t>
      </w:r>
      <w:r>
        <w:tab/>
        <w:t xml:space="preserve">Souvorov A, Agarwala R, Lipman DJ. SKESA: strategic k-mer extension for scrupulous assemblies. Genome Biol. 2018 Oct 4;19(1):153. </w:t>
      </w:r>
    </w:p>
    <w:p w14:paraId="66BEC309" w14:textId="77777777" w:rsidR="000C7072" w:rsidRDefault="000C7072" w:rsidP="000C7072">
      <w:r>
        <w:t>15.</w:t>
      </w:r>
      <w:r>
        <w:tab/>
        <w:t xml:space="preserve">Parks DH, Imelfort M, Skennerton CT, Hugenholtz P, Tyson GW. CheckM: assessing the quality of microbial genomes recovered from isolates, single cells, and metagenomes. Genome Res. 2015 Jul;25(7):1043–55. </w:t>
      </w:r>
    </w:p>
    <w:p w14:paraId="3F4D1679" w14:textId="77777777" w:rsidR="000C7072" w:rsidRDefault="000C7072" w:rsidP="000C7072">
      <w:r>
        <w:t>16.</w:t>
      </w:r>
      <w:r>
        <w:tab/>
        <w:t xml:space="preserve">O’Leary NA, Wright MW, Brister JR, Ciufo S, Haddad D, McVeigh R, et al. Reference sequence (RefSeq) database at NCBI: current status, taxonomic expansion, and functional annotation. Nucleic Acids Res. 2016 Jan 4;44(D1):D733-745. </w:t>
      </w:r>
    </w:p>
    <w:p w14:paraId="0B63F082" w14:textId="77777777" w:rsidR="000C7072" w:rsidRDefault="000C7072" w:rsidP="000C7072">
      <w:r>
        <w:t>17.</w:t>
      </w:r>
      <w:r>
        <w:tab/>
        <w:t xml:space="preserve">Sayers EW, Beck J, Brister JR, Bolton EE, Canese K, Comeau DC, et al. Database resources of the National Center for Biotechnology Information. Nucleic Acids Res. 2020 Jan 8;48(D1):D9–16. </w:t>
      </w:r>
    </w:p>
    <w:p w14:paraId="140E68D2" w14:textId="77777777" w:rsidR="000C7072" w:rsidRDefault="000C7072" w:rsidP="000C7072">
      <w:r>
        <w:t>18.</w:t>
      </w:r>
      <w:r>
        <w:tab/>
        <w:t xml:space="preserve">Chan PP, Lin BY, Mak AJ, Lowe TM. tRNAscan-SE 2.0: improved detection and functional classification of transfer RNA genes. Nucleic Acids Res. 2021 Sep 20;49(16):9077–96. </w:t>
      </w:r>
    </w:p>
    <w:p w14:paraId="07D7FF9B" w14:textId="77777777" w:rsidR="000C7072" w:rsidRDefault="000C7072" w:rsidP="000C7072">
      <w:r>
        <w:t>19.</w:t>
      </w:r>
      <w:r>
        <w:tab/>
        <w:t xml:space="preserve">Kanehisa M. Toward understanding the origin and evolution of cellular organisms. Protein Sci. 2019 Nov;28(11):1947–51. </w:t>
      </w:r>
    </w:p>
    <w:p w14:paraId="0475A372" w14:textId="77777777" w:rsidR="000C7072" w:rsidRDefault="000C7072" w:rsidP="000C7072">
      <w:r>
        <w:t>20.</w:t>
      </w:r>
      <w:r>
        <w:tab/>
        <w:t xml:space="preserve">Camacho C, Coulouris G, Avagyan V, Ma N, Papadopoulos J, Bealer K, et al. BLAST+: architecture and applications. BMC Bioinformatics. 2009 Dec 15;10:421. </w:t>
      </w:r>
    </w:p>
    <w:p w14:paraId="300C007E" w14:textId="77777777" w:rsidR="000C7072" w:rsidRDefault="000C7072" w:rsidP="000C7072">
      <w:r>
        <w:t>21.</w:t>
      </w:r>
      <w:r>
        <w:tab/>
        <w:t xml:space="preserve">Aramaki T, Blanc-Mathieu R, Endo H, Ohkubo K, Kanehisa M, Goto S, et al. KofamKOALA: KEGG Ortholog assignment based on profile HMM and adaptive score threshold. Bioinformatics. 2020 Apr 1;36(7):2251–2. </w:t>
      </w:r>
    </w:p>
    <w:p w14:paraId="577B9E77" w14:textId="77777777" w:rsidR="000C7072" w:rsidRDefault="000C7072" w:rsidP="000C7072">
      <w:r>
        <w:t>22.</w:t>
      </w:r>
      <w:r>
        <w:tab/>
        <w:t xml:space="preserve">Rodriguez-R LM, Konstantinidis KT. The enveomics collection: a toolbox for specialized analyses of microbial genomes and metagenomes. PeerJ Preprints. 2016 Mar 27;4(e1900v1). </w:t>
      </w:r>
    </w:p>
    <w:p w14:paraId="3C7B1A04" w14:textId="77777777" w:rsidR="000C7072" w:rsidRDefault="000C7072" w:rsidP="000C7072">
      <w:r>
        <w:t>23.</w:t>
      </w:r>
      <w:r>
        <w:tab/>
        <w:t xml:space="preserve">Jain C, Rodriguez-R LM, Phillippy AM, Konstantinidis KT, Aluru S. High throughput ANI analysis of 90K prokaryotic genomes reveals clear species boundaries. Nat Commun. 2018 Nov 30;9(1):5114. </w:t>
      </w:r>
    </w:p>
    <w:p w14:paraId="59A1DCAD" w14:textId="77777777" w:rsidR="000C7072" w:rsidRDefault="000C7072" w:rsidP="000C7072">
      <w:r>
        <w:t>24.</w:t>
      </w:r>
      <w:r>
        <w:tab/>
        <w:t xml:space="preserve">Na SI, Kim YO, Yoon SH, Ha SM, Baek I, Chun J. UBCG: Up-to-date bacterial core gene set and pipeline for phylogenomic tree reconstruction. J Microbiol. 2018 Apr;56(4):280–5. </w:t>
      </w:r>
    </w:p>
    <w:p w14:paraId="319BAECB" w14:textId="77777777" w:rsidR="000C7072" w:rsidRDefault="000C7072" w:rsidP="000C7072">
      <w:r>
        <w:t>25.</w:t>
      </w:r>
      <w:r>
        <w:tab/>
        <w:t xml:space="preserve">Edgar RC. MUSCLE: a multiple sequence alignment method with reduced time and space complexity. BMC Bioinformatics. 2004 Aug 19;5(1):113. </w:t>
      </w:r>
    </w:p>
    <w:p w14:paraId="3C8D6256" w14:textId="77777777" w:rsidR="000C7072" w:rsidRDefault="000C7072" w:rsidP="000C7072">
      <w:r>
        <w:t>26.</w:t>
      </w:r>
      <w:r>
        <w:tab/>
        <w:t xml:space="preserve">Stamatakis A. RAxML version 8: a tool for phylogenetic analysis and post-analysis of large phylogenies. Bioinformatics. 2014 Jan 21;30(9):1312–3. </w:t>
      </w:r>
    </w:p>
    <w:p w14:paraId="170246C0" w14:textId="77777777" w:rsidR="000C7072" w:rsidRDefault="000C7072" w:rsidP="000C7072">
      <w:r>
        <w:t>27.</w:t>
      </w:r>
      <w:r>
        <w:tab/>
        <w:t xml:space="preserve">Lane DJ. 16S/23S rRNA sequencing. In: Nucleic acid techniques in bacterial systematics. John Wiley and Sons, New York; 1991. p. 115–75. </w:t>
      </w:r>
    </w:p>
    <w:p w14:paraId="4D60EE7E" w14:textId="77777777" w:rsidR="000C7072" w:rsidRDefault="000C7072" w:rsidP="000C7072">
      <w:r>
        <w:t>28.</w:t>
      </w:r>
      <w:r>
        <w:tab/>
        <w:t xml:space="preserve">Goris J, Konstantinidis KT, Klappenbach JA, Coenye T, Vandamme P, Tiedje JMY 2007. DNA–DNA hybridization values and their relationship to whole-genome sequence similarities. Int J Syst Evol Microbiol. 57(1):81–91. </w:t>
      </w:r>
    </w:p>
    <w:p w14:paraId="1AAA4133" w14:textId="77777777" w:rsidR="000C7072" w:rsidRDefault="000C7072" w:rsidP="000C7072">
      <w:r>
        <w:t>29.</w:t>
      </w:r>
      <w:r>
        <w:tab/>
        <w:t xml:space="preserve">Konstantinidis KT, Tiedje JM. Genomic insights that advance the species definition for prokaryotes. PNAS. 2005 Feb 15;102(7):2567–72. </w:t>
      </w:r>
    </w:p>
    <w:p w14:paraId="10940ACF" w14:textId="77777777" w:rsidR="000C7072" w:rsidRDefault="000C7072" w:rsidP="000C7072">
      <w:r>
        <w:lastRenderedPageBreak/>
        <w:t>30.</w:t>
      </w:r>
      <w:r>
        <w:tab/>
        <w:t xml:space="preserve">Konstantinidis KT, Tiedje JM. Towards a genome-based taxonomy for prokaryotes. J Bacteriol. 2005 Sep 15;187(18):6258–64. </w:t>
      </w:r>
    </w:p>
    <w:p w14:paraId="1A6F7367" w14:textId="77777777" w:rsidR="000C7072" w:rsidRDefault="000C7072" w:rsidP="000C7072">
      <w:r>
        <w:t>31.</w:t>
      </w:r>
      <w:r>
        <w:tab/>
        <w:t xml:space="preserve">Li C, Hambright KD, Bowen HG, Trammell MA, Grossart HP, Burford MA, et al. Global co-occurrence of methanogenic archaea and methanotrophic bacteria in Microcystis aggregates. Environ Microbiol. 2021 Nov;23(11):6503–19. </w:t>
      </w:r>
    </w:p>
    <w:p w14:paraId="40AB05D8" w14:textId="77777777" w:rsidR="000C7072" w:rsidRDefault="000C7072" w:rsidP="000C7072">
      <w:r>
        <w:t>32.</w:t>
      </w:r>
      <w:r>
        <w:tab/>
        <w:t xml:space="preserve">Seemann T. Prokka: rapid prokaryotic genome annotation. Bioinformatics. 2014 Jul 15;30(14):2068–9. </w:t>
      </w:r>
    </w:p>
    <w:p w14:paraId="7C0BF79F" w14:textId="77777777" w:rsidR="000C7072" w:rsidRDefault="000C7072" w:rsidP="000C7072">
      <w:r>
        <w:t>33.</w:t>
      </w:r>
      <w:r>
        <w:tab/>
        <w:t xml:space="preserve">Price MN, Dehal PS, Arkin AP. FastTree 2 – Approximately Maximum-Likelihood Trees for Large Alignments. PLOS ONE. 2010 Mar 10;5(3):e9490. </w:t>
      </w:r>
    </w:p>
    <w:p w14:paraId="72278BE4" w14:textId="77777777" w:rsidR="000C7072" w:rsidRDefault="000C7072" w:rsidP="000C7072">
      <w:r>
        <w:t>34.</w:t>
      </w:r>
      <w:r>
        <w:tab/>
        <w:t xml:space="preserve">Fotedar R, Sankaranarayanan K, Caldwell ME, Zeyara A, Al Malki A, Kaul R, et al. Reclassification of Facklamia ignava, Facklamia sourekii and Facklamia tabacinasalis as Falseniella ignava gen. nov., comb. nov., Hutsoniella sourekii gen. nov., comb. nov., and Ruoffia tabacinasalis gen. nov., comb. nov., and description of Ruoffia halotolerans sp. nov., isolated from hypersaline Inland Sea of Qatar. Antonie van Leeuwenhoek. 2021 Aug 1;114(8):1181–93. </w:t>
      </w:r>
    </w:p>
    <w:p w14:paraId="722E90DA" w14:textId="77777777" w:rsidR="000C7072" w:rsidRDefault="000C7072" w:rsidP="000C7072">
      <w:r>
        <w:t>35.</w:t>
      </w:r>
      <w:r>
        <w:tab/>
        <w:t xml:space="preserve">Fotedar R, Caldwell ME, Sankaranarayanan K, Al -Zeyara A, Al-Malki A, Kaul R, et al. Ningiella ruwaisensis gen. nov., sp. nov., a member of the family Alteromonadaceae isolated from marine water of the Arabian Gulf. Int J Syst Evol Microbiol. 2020 Jul;70(7):4130–8. </w:t>
      </w:r>
    </w:p>
    <w:p w14:paraId="7F77F21A" w14:textId="77777777" w:rsidR="000C7072" w:rsidRDefault="000C7072" w:rsidP="000C7072">
      <w:r>
        <w:t>36.</w:t>
      </w:r>
      <w:r>
        <w:tab/>
        <w:t xml:space="preserve">Eren AM, Kiefl E, Shaiber A, Veseli I, Miller SE, Schechter MS, et al. Community-led, integrated, reproducible multi-omics with anvi’o. Nat Microbiol. 2021 Jan;6(1):3–6. </w:t>
      </w:r>
    </w:p>
    <w:p w14:paraId="378FD9D7" w14:textId="77777777" w:rsidR="000C7072" w:rsidRDefault="000C7072" w:rsidP="000C7072">
      <w:r>
        <w:t>37.</w:t>
      </w:r>
      <w:r>
        <w:tab/>
        <w:t xml:space="preserve">Hyatt D, Chen GL, LoCascio PF, Land ML, Larimer FW, Hauser LJ. Prodigal: prokaryotic gene recognition and translation initiation site identification. BMC Bioinformatics. 2010 Mar 8;11(1):119. </w:t>
      </w:r>
    </w:p>
    <w:p w14:paraId="24A4D377" w14:textId="77777777" w:rsidR="000C7072" w:rsidRDefault="000C7072" w:rsidP="000C7072">
      <w:r>
        <w:t>38.</w:t>
      </w:r>
      <w:r>
        <w:tab/>
        <w:t xml:space="preserve">van Dongen S, Abreu-Goodger C. Using MCL to extract clusters from networks. Methods Mol Biol. 2012;804:281–95. </w:t>
      </w:r>
    </w:p>
    <w:p w14:paraId="62514535" w14:textId="77777777" w:rsidR="000C7072" w:rsidRDefault="000C7072" w:rsidP="000C7072">
      <w:r>
        <w:t>39.</w:t>
      </w:r>
      <w:r>
        <w:tab/>
        <w:t xml:space="preserve">Galperin MY, Makarova KS, Wolf YI, Koonin EV. Expanded microbial genome coverage and improved protein family annotation in the COG database. Nucleic Acids Res. 2015 Jan;43(Database issue):D261-269. </w:t>
      </w:r>
    </w:p>
    <w:p w14:paraId="62D8FF4F" w14:textId="77777777" w:rsidR="000C7072" w:rsidRDefault="000C7072" w:rsidP="000C7072">
      <w:r>
        <w:t>40.</w:t>
      </w:r>
      <w:r>
        <w:tab/>
        <w:t xml:space="preserve">Hobbie JE, Daley RJ, Jasper S. Use of nuclepore filters for counting bacteria by fluorescence microscopy. Appl Environ Microbiol. 1977 May;33(5):1225–8. </w:t>
      </w:r>
    </w:p>
    <w:p w14:paraId="521D95D5" w14:textId="77777777" w:rsidR="000C7072" w:rsidRDefault="000C7072" w:rsidP="000C7072"/>
    <w:p w14:paraId="411F358B" w14:textId="77777777" w:rsidR="000C7072" w:rsidRDefault="000C7072" w:rsidP="000C7072"/>
    <w:p w14:paraId="088E5427" w14:textId="6181AFE9" w:rsidR="000C7072" w:rsidRPr="000C7072" w:rsidRDefault="006E624A" w:rsidP="006E624A">
      <w:pPr>
        <w:pStyle w:val="Heading1"/>
        <w:rPr>
          <w:rFonts w:eastAsia="Times New Roman"/>
        </w:rPr>
      </w:pPr>
      <w:r>
        <w:rPr>
          <w:rFonts w:eastAsia="Times New Roman"/>
        </w:rPr>
        <w:br w:type="column"/>
      </w:r>
      <w:bookmarkStart w:id="46" w:name="_Toc161933725"/>
      <w:bookmarkStart w:id="47" w:name="_Toc161934670"/>
      <w:bookmarkStart w:id="48" w:name="_Toc161935362"/>
      <w:bookmarkStart w:id="49" w:name="_Toc167115829"/>
      <w:r w:rsidR="000C7072" w:rsidRPr="000C7072">
        <w:rPr>
          <w:rFonts w:eastAsia="Times New Roman"/>
        </w:rPr>
        <w:lastRenderedPageBreak/>
        <w:t>Chapter 2</w:t>
      </w:r>
      <w:bookmarkEnd w:id="46"/>
      <w:bookmarkEnd w:id="47"/>
      <w:bookmarkEnd w:id="48"/>
      <w:bookmarkEnd w:id="49"/>
    </w:p>
    <w:p w14:paraId="6B978C65" w14:textId="5FCFB368" w:rsidR="000C7072" w:rsidRDefault="000C7072" w:rsidP="006E624A">
      <w:pPr>
        <w:pStyle w:val="Heading2"/>
        <w:rPr>
          <w:rFonts w:eastAsia="Times New Roman"/>
        </w:rPr>
      </w:pPr>
      <w:bookmarkStart w:id="50" w:name="_Toc167115830"/>
      <w:r w:rsidRPr="00802A62">
        <w:rPr>
          <w:rFonts w:eastAsia="Times New Roman"/>
        </w:rPr>
        <w:t xml:space="preserve">Effect of Oxygen Concentration on the </w:t>
      </w:r>
      <w:r w:rsidR="007D3DBA">
        <w:rPr>
          <w:rFonts w:eastAsia="Times New Roman"/>
        </w:rPr>
        <w:t>Methane-oxidizing</w:t>
      </w:r>
      <w:r w:rsidRPr="00802A62">
        <w:rPr>
          <w:rFonts w:eastAsia="Times New Roman"/>
        </w:rPr>
        <w:t xml:space="preserve"> Bacteria, </w:t>
      </w:r>
      <w:r w:rsidRPr="00802A62">
        <w:rPr>
          <w:rFonts w:eastAsia="Times New Roman"/>
          <w:i/>
          <w:iCs/>
        </w:rPr>
        <w:t xml:space="preserve">Methylosinus trichosporium </w:t>
      </w:r>
      <w:r w:rsidRPr="00802A62">
        <w:rPr>
          <w:rFonts w:eastAsia="Times New Roman"/>
        </w:rPr>
        <w:t xml:space="preserve">OB3b and </w:t>
      </w:r>
      <w:r w:rsidRPr="00802A62">
        <w:rPr>
          <w:rFonts w:eastAsia="Times New Roman"/>
          <w:i/>
          <w:iCs/>
        </w:rPr>
        <w:t xml:space="preserve">Methylomonas </w:t>
      </w:r>
      <w:r w:rsidRPr="00802A62">
        <w:rPr>
          <w:rFonts w:eastAsia="Times New Roman"/>
        </w:rPr>
        <w:t>sp. WSC-7</w:t>
      </w:r>
      <w:bookmarkEnd w:id="50"/>
    </w:p>
    <w:p w14:paraId="2AE1A2CE" w14:textId="77777777" w:rsidR="00292E2C" w:rsidRPr="00120B66" w:rsidRDefault="00292E2C" w:rsidP="006E624A">
      <w:pPr>
        <w:pStyle w:val="Heading3"/>
        <w:rPr>
          <w:rFonts w:eastAsia="Times New Roman"/>
        </w:rPr>
      </w:pPr>
      <w:bookmarkStart w:id="51" w:name="_Toc167115831"/>
      <w:r w:rsidRPr="00120B66">
        <w:rPr>
          <w:rFonts w:eastAsia="Times New Roman"/>
        </w:rPr>
        <w:t>Abstract</w:t>
      </w:r>
      <w:bookmarkEnd w:id="51"/>
    </w:p>
    <w:p w14:paraId="2D2F78FA" w14:textId="2D89B85F" w:rsidR="00292E2C" w:rsidRPr="00292E2C" w:rsidRDefault="007D3DBA" w:rsidP="00292E2C">
      <w:pPr>
        <w:spacing w:line="480" w:lineRule="auto"/>
        <w:textAlignment w:val="baseline"/>
        <w:rPr>
          <w:sz w:val="24"/>
          <w:szCs w:val="24"/>
        </w:rPr>
      </w:pPr>
      <w:r>
        <w:rPr>
          <w:rFonts w:eastAsia="Times New Roman"/>
          <w:sz w:val="24"/>
          <w:szCs w:val="24"/>
        </w:rPr>
        <w:t>Methane-oxidizing</w:t>
      </w:r>
      <w:r w:rsidR="00292E2C" w:rsidRPr="00292E2C">
        <w:rPr>
          <w:rFonts w:eastAsia="Times New Roman"/>
          <w:sz w:val="24"/>
          <w:szCs w:val="24"/>
        </w:rPr>
        <w:t xml:space="preserve"> bacteria (MOB) play a crucial role in the global methane cycle, serving as significant actors in biogeochemical cycling. However, their physiological response to changing oxygen concentrations remain</w:t>
      </w:r>
      <w:r w:rsidR="00772E07">
        <w:rPr>
          <w:rFonts w:eastAsia="Times New Roman"/>
          <w:sz w:val="24"/>
          <w:szCs w:val="24"/>
        </w:rPr>
        <w:t>s</w:t>
      </w:r>
      <w:r w:rsidR="00292E2C" w:rsidRPr="00292E2C">
        <w:rPr>
          <w:rFonts w:eastAsia="Times New Roman"/>
          <w:sz w:val="24"/>
          <w:szCs w:val="24"/>
        </w:rPr>
        <w:t xml:space="preserve"> incompletely understood. This study investigates how two MOB species, </w:t>
      </w:r>
      <w:r w:rsidR="00292E2C" w:rsidRPr="00292E2C">
        <w:rPr>
          <w:rFonts w:eastAsia="Times New Roman"/>
          <w:i/>
          <w:iCs/>
          <w:sz w:val="24"/>
          <w:szCs w:val="24"/>
        </w:rPr>
        <w:t>Methylosinus trichosporium</w:t>
      </w:r>
      <w:r w:rsidR="00292E2C" w:rsidRPr="00292E2C">
        <w:rPr>
          <w:rFonts w:eastAsia="Times New Roman"/>
          <w:sz w:val="24"/>
          <w:szCs w:val="24"/>
        </w:rPr>
        <w:t xml:space="preserve"> OB3b and </w:t>
      </w:r>
      <w:r w:rsidR="00292E2C" w:rsidRPr="00292E2C">
        <w:rPr>
          <w:rFonts w:eastAsia="Times New Roman"/>
          <w:i/>
          <w:iCs/>
          <w:sz w:val="24"/>
          <w:szCs w:val="24"/>
        </w:rPr>
        <w:t>Methylomonas</w:t>
      </w:r>
      <w:r w:rsidR="00292E2C" w:rsidRPr="00292E2C">
        <w:rPr>
          <w:rFonts w:eastAsia="Times New Roman"/>
          <w:sz w:val="24"/>
          <w:szCs w:val="24"/>
        </w:rPr>
        <w:t xml:space="preserve"> sp. WSC-7, respond to changing oxygen concentrations and the addition of catalase, a hydrogen peroxide scavenger, in growth media. </w:t>
      </w:r>
      <w:r w:rsidR="005F7401">
        <w:rPr>
          <w:rFonts w:eastAsia="Times New Roman"/>
          <w:sz w:val="24"/>
          <w:szCs w:val="24"/>
        </w:rPr>
        <w:t>T</w:t>
      </w:r>
      <w:r w:rsidR="00292E2C" w:rsidRPr="00292E2C">
        <w:rPr>
          <w:rFonts w:eastAsia="Times New Roman"/>
          <w:sz w:val="24"/>
          <w:szCs w:val="24"/>
        </w:rPr>
        <w:t>ranscriptomics analysis</w:t>
      </w:r>
      <w:r w:rsidR="005F7401">
        <w:rPr>
          <w:rFonts w:eastAsia="Times New Roman"/>
          <w:sz w:val="24"/>
          <w:szCs w:val="24"/>
        </w:rPr>
        <w:t xml:space="preserve"> demonstrates </w:t>
      </w:r>
      <w:r w:rsidR="00292E2C" w:rsidRPr="00292E2C">
        <w:rPr>
          <w:rFonts w:eastAsia="Times New Roman"/>
          <w:sz w:val="24"/>
          <w:szCs w:val="24"/>
        </w:rPr>
        <w:t xml:space="preserve">that under high oxygen conditions, </w:t>
      </w:r>
      <w:r w:rsidR="00292E2C" w:rsidRPr="00292E2C">
        <w:rPr>
          <w:rFonts w:eastAsia="Times New Roman"/>
          <w:i/>
          <w:iCs/>
          <w:sz w:val="24"/>
          <w:szCs w:val="24"/>
        </w:rPr>
        <w:t>M. trichosporium</w:t>
      </w:r>
      <w:r w:rsidR="00292E2C" w:rsidRPr="00292E2C">
        <w:rPr>
          <w:rFonts w:eastAsia="Times New Roman"/>
          <w:sz w:val="24"/>
          <w:szCs w:val="24"/>
        </w:rPr>
        <w:t xml:space="preserve"> OB3b upregulates genes involved in reactive oxygen species (ROS) defense, including cytochrome c peroxidase and superoxide dismutase, suggesting a need to deal with elevated ROS levels. Conversely, </w:t>
      </w:r>
      <w:r w:rsidR="00292E2C" w:rsidRPr="00292E2C">
        <w:rPr>
          <w:rFonts w:eastAsia="Times New Roman"/>
          <w:i/>
          <w:iCs/>
          <w:sz w:val="24"/>
          <w:szCs w:val="24"/>
        </w:rPr>
        <w:t>Methylomonas</w:t>
      </w:r>
      <w:r w:rsidR="00292E2C" w:rsidRPr="00292E2C">
        <w:rPr>
          <w:rFonts w:eastAsia="Times New Roman"/>
          <w:sz w:val="24"/>
          <w:szCs w:val="24"/>
        </w:rPr>
        <w:t xml:space="preserve"> sp. WSC-7 exhibits cell clustering behavior, potentially as a defense mechanism against ROS toxicity. Differential expression of flagellar biosynthesis genes and chemotaxis response genes further supports this adaptive response. Moreover, </w:t>
      </w:r>
      <w:r w:rsidR="00292E2C" w:rsidRPr="00292E2C">
        <w:rPr>
          <w:rFonts w:eastAsia="Times New Roman"/>
          <w:i/>
          <w:iCs/>
          <w:sz w:val="24"/>
          <w:szCs w:val="24"/>
        </w:rPr>
        <w:t>Methylomonas</w:t>
      </w:r>
      <w:r w:rsidR="00292E2C" w:rsidRPr="00292E2C">
        <w:rPr>
          <w:rFonts w:eastAsia="Times New Roman"/>
          <w:sz w:val="24"/>
          <w:szCs w:val="24"/>
        </w:rPr>
        <w:t xml:space="preserve"> sp. WSC-7 shows reduced expression of soluble methane monooxygenase genes under low oxygen conditions, while </w:t>
      </w:r>
      <w:r w:rsidR="00292E2C" w:rsidRPr="00292E2C">
        <w:rPr>
          <w:rFonts w:eastAsia="Times New Roman"/>
          <w:i/>
          <w:iCs/>
          <w:sz w:val="24"/>
          <w:szCs w:val="24"/>
        </w:rPr>
        <w:t>M. trichosporium</w:t>
      </w:r>
      <w:r w:rsidR="00292E2C" w:rsidRPr="00292E2C">
        <w:rPr>
          <w:rFonts w:eastAsia="Times New Roman"/>
          <w:sz w:val="24"/>
          <w:szCs w:val="24"/>
        </w:rPr>
        <w:t xml:space="preserve"> OB3b exhibits higher expression under catalase-amended conditions, and that rates of methane oxidation for both strains are impacted by the concentration of oxygen and amending the growth media with catalase. Our findings underscore the importance of oxygen concentration in modulating MOB physiology and suggest potential strategies for optimizing their growth conditions. </w:t>
      </w:r>
    </w:p>
    <w:p w14:paraId="34E68604" w14:textId="77777777" w:rsidR="00D54AC3" w:rsidRPr="00802A62" w:rsidRDefault="00D54AC3" w:rsidP="00D54AC3">
      <w:pPr>
        <w:spacing w:line="480" w:lineRule="auto"/>
        <w:textAlignment w:val="baseline"/>
        <w:rPr>
          <w:rFonts w:eastAsia="Times New Roman"/>
          <w:sz w:val="24"/>
          <w:szCs w:val="24"/>
        </w:rPr>
      </w:pPr>
    </w:p>
    <w:p w14:paraId="71596E1C" w14:textId="388D6E19" w:rsidR="000C7072" w:rsidRPr="00802A62" w:rsidRDefault="000C7072" w:rsidP="006E624A">
      <w:pPr>
        <w:pStyle w:val="Heading3"/>
        <w:rPr>
          <w:rFonts w:eastAsia="Times New Roman"/>
        </w:rPr>
      </w:pPr>
      <w:bookmarkStart w:id="52" w:name="_Toc167115832"/>
      <w:r w:rsidRPr="00802A62">
        <w:rPr>
          <w:rFonts w:eastAsia="Times New Roman"/>
        </w:rPr>
        <w:t>Introduction</w:t>
      </w:r>
      <w:bookmarkEnd w:id="52"/>
      <w:r w:rsidRPr="00802A62">
        <w:rPr>
          <w:rFonts w:eastAsia="Times New Roman"/>
        </w:rPr>
        <w:t> </w:t>
      </w:r>
    </w:p>
    <w:p w14:paraId="12230001" w14:textId="41B889FB" w:rsidR="000C7072" w:rsidRPr="00802A62" w:rsidRDefault="00FC2432" w:rsidP="000C7072">
      <w:pPr>
        <w:spacing w:line="480" w:lineRule="auto"/>
        <w:textAlignment w:val="baseline"/>
        <w:rPr>
          <w:rFonts w:eastAsia="Times New Roman"/>
          <w:sz w:val="24"/>
          <w:szCs w:val="24"/>
        </w:rPr>
      </w:pPr>
      <w:r>
        <w:rPr>
          <w:rFonts w:eastAsia="Times New Roman"/>
          <w:sz w:val="24"/>
          <w:szCs w:val="24"/>
        </w:rPr>
        <w:t>Methane-oxidizing</w:t>
      </w:r>
      <w:r w:rsidRPr="00802A62">
        <w:rPr>
          <w:rFonts w:eastAsia="Times New Roman"/>
          <w:sz w:val="24"/>
          <w:szCs w:val="24"/>
        </w:rPr>
        <w:t xml:space="preserve"> bacteria (MOB)</w:t>
      </w:r>
      <w:r w:rsidR="000C7072" w:rsidRPr="00802A62">
        <w:rPr>
          <w:rFonts w:eastAsia="Times New Roman"/>
          <w:sz w:val="24"/>
          <w:szCs w:val="24"/>
        </w:rPr>
        <w:t xml:space="preserve"> are organisms that can oxidize methane as their primary carbon and energy source. These bacteria oxidize methane to </w:t>
      </w:r>
      <w:r w:rsidR="000C7072" w:rsidRPr="00802A62">
        <w:rPr>
          <w:rFonts w:eastAsia="Times New Roman"/>
          <w:color w:val="000000"/>
          <w:sz w:val="24"/>
          <w:szCs w:val="24"/>
        </w:rPr>
        <w:t>CO</w:t>
      </w:r>
      <w:r w:rsidR="000C7072" w:rsidRPr="00802A62">
        <w:rPr>
          <w:rFonts w:eastAsia="Times New Roman"/>
          <w:color w:val="000000"/>
          <w:sz w:val="24"/>
          <w:szCs w:val="24"/>
          <w:vertAlign w:val="subscript"/>
        </w:rPr>
        <w:t>2</w:t>
      </w:r>
      <w:r w:rsidR="000C7072" w:rsidRPr="00802A62">
        <w:rPr>
          <w:rFonts w:eastAsia="Times New Roman"/>
          <w:color w:val="000000"/>
          <w:sz w:val="24"/>
          <w:szCs w:val="24"/>
        </w:rPr>
        <w:t xml:space="preserve"> using a pathway involving conversion of methane to methanol, and further to formaldehyde and formate</w:t>
      </w:r>
      <w:r w:rsidR="000C7072" w:rsidRPr="00802A62">
        <w:rPr>
          <w:rFonts w:eastAsia="Times New Roman"/>
          <w:color w:val="FF0000"/>
          <w:sz w:val="24"/>
          <w:szCs w:val="24"/>
        </w:rPr>
        <w:t xml:space="preserve"> </w:t>
      </w:r>
      <w:r w:rsidR="000C7072" w:rsidRPr="00802A62">
        <w:rPr>
          <w:rFonts w:eastAsia="Times New Roman"/>
          <w:sz w:val="24"/>
          <w:szCs w:val="24"/>
        </w:rPr>
        <w:t xml:space="preserve">where the carbon is assimilated by the ribulose monophosphate pathway or the serine pathways </w:t>
      </w:r>
      <w:r w:rsidR="00AC1EAE" w:rsidRPr="00AC1EAE">
        <w:rPr>
          <w:rFonts w:eastAsia="Times New Roman"/>
          <w:sz w:val="24"/>
          <w:szCs w:val="24"/>
        </w:rPr>
        <w:t xml:space="preserve">(1). </w:t>
      </w:r>
      <w:r w:rsidR="000C7072" w:rsidRPr="00802A62">
        <w:rPr>
          <w:rFonts w:eastAsia="Times New Roman"/>
          <w:sz w:val="24"/>
          <w:szCs w:val="24"/>
        </w:rPr>
        <w:t xml:space="preserve">Methane is a potent greenhouse gas </w:t>
      </w:r>
      <w:r w:rsidR="00AC1EAE" w:rsidRPr="00AC1EAE">
        <w:rPr>
          <w:rFonts w:eastAsia="Times New Roman"/>
          <w:sz w:val="24"/>
          <w:szCs w:val="24"/>
        </w:rPr>
        <w:t xml:space="preserve">(2), </w:t>
      </w:r>
      <w:r w:rsidR="000C7072" w:rsidRPr="00802A62">
        <w:rPr>
          <w:rFonts w:eastAsia="Times New Roman"/>
          <w:sz w:val="24"/>
          <w:szCs w:val="24"/>
        </w:rPr>
        <w:t xml:space="preserve">and these organisms play a significant role in the global methane cycle </w:t>
      </w:r>
      <w:r w:rsidR="00AC1EAE" w:rsidRPr="00AC1EAE">
        <w:rPr>
          <w:rFonts w:eastAsia="Times New Roman"/>
          <w:sz w:val="24"/>
          <w:szCs w:val="24"/>
        </w:rPr>
        <w:t xml:space="preserve">(3). </w:t>
      </w:r>
      <w:r w:rsidR="000C7072" w:rsidRPr="00802A62">
        <w:rPr>
          <w:rFonts w:eastAsia="Times New Roman"/>
          <w:sz w:val="24"/>
          <w:szCs w:val="24"/>
        </w:rPr>
        <w:t>Studying this group of organisms is critical for understanding their total impact on biogeochemical cycling. Also, isolating and characterizing novel species of methane oxidizers will be useful in biotechnological applications such as bioremediation and generation of value-added products</w:t>
      </w:r>
      <w:r w:rsidR="00AC1EAE">
        <w:rPr>
          <w:rFonts w:eastAsia="Times New Roman"/>
          <w:sz w:val="24"/>
          <w:szCs w:val="24"/>
        </w:rPr>
        <w:t xml:space="preserve"> (4).</w:t>
      </w:r>
      <w:r w:rsidR="000C7072" w:rsidRPr="00802A62">
        <w:rPr>
          <w:rFonts w:eastAsia="Times New Roman"/>
          <w:sz w:val="24"/>
          <w:szCs w:val="24"/>
        </w:rPr>
        <w:t xml:space="preserve"> All of these areas of study require detailed understanding of MOB physiology and conditions for optimized growth.  </w:t>
      </w:r>
    </w:p>
    <w:p w14:paraId="6F6E51E6" w14:textId="79EEA9D0" w:rsidR="000C7072" w:rsidRPr="00802A62" w:rsidRDefault="000C7072" w:rsidP="000C7072">
      <w:pPr>
        <w:spacing w:line="480" w:lineRule="auto"/>
        <w:textAlignment w:val="baseline"/>
        <w:rPr>
          <w:rFonts w:eastAsia="Times New Roman"/>
          <w:sz w:val="24"/>
          <w:szCs w:val="24"/>
        </w:rPr>
      </w:pPr>
      <w:r w:rsidRPr="347D99D0">
        <w:rPr>
          <w:rFonts w:eastAsia="Times New Roman"/>
          <w:sz w:val="24"/>
          <w:szCs w:val="24"/>
        </w:rPr>
        <w:t>During aerobic metabolism toxic reactive oxygen species (ROS) are generated including superoxide and hydrogen peroxide</w:t>
      </w:r>
      <w:r w:rsidR="00AC1EAE" w:rsidRPr="347D99D0">
        <w:rPr>
          <w:rFonts w:eastAsia="Times New Roman"/>
          <w:sz w:val="24"/>
          <w:szCs w:val="24"/>
        </w:rPr>
        <w:t xml:space="preserve"> (5–9). </w:t>
      </w:r>
      <w:r w:rsidRPr="347D99D0">
        <w:rPr>
          <w:rFonts w:eastAsia="Times New Roman"/>
          <w:sz w:val="24"/>
          <w:szCs w:val="24"/>
        </w:rPr>
        <w:t>Because endogenous ROS generation in bacteria is a result of cellular respiration, increases in endogenous production in ROS generated during bacterial respiration is positively correlated with increases in cellular metabolic rate as well as elevated O</w:t>
      </w:r>
      <w:r w:rsidRPr="347D99D0">
        <w:rPr>
          <w:rFonts w:eastAsia="Times New Roman"/>
          <w:sz w:val="24"/>
          <w:szCs w:val="24"/>
          <w:vertAlign w:val="subscript"/>
        </w:rPr>
        <w:t>2</w:t>
      </w:r>
      <w:r w:rsidRPr="347D99D0">
        <w:rPr>
          <w:rFonts w:eastAsia="Times New Roman"/>
          <w:sz w:val="24"/>
          <w:szCs w:val="24"/>
        </w:rPr>
        <w:t xml:space="preserve"> concentrations</w:t>
      </w:r>
      <w:r w:rsidR="00AC1EAE" w:rsidRPr="347D99D0">
        <w:rPr>
          <w:rFonts w:eastAsia="Times New Roman"/>
          <w:sz w:val="24"/>
          <w:szCs w:val="24"/>
        </w:rPr>
        <w:t xml:space="preserve"> (5–7,10–12). </w:t>
      </w:r>
      <w:r w:rsidRPr="347D99D0">
        <w:rPr>
          <w:rFonts w:eastAsia="Times New Roman"/>
          <w:sz w:val="24"/>
          <w:szCs w:val="24"/>
        </w:rPr>
        <w:t>This endogenous production of ROS can have harmful effects on cells including damaging proteins, nucleic acids, and lipid</w:t>
      </w:r>
      <w:r w:rsidR="00AC1EAE" w:rsidRPr="347D99D0">
        <w:rPr>
          <w:rFonts w:eastAsia="Times New Roman"/>
          <w:sz w:val="24"/>
          <w:szCs w:val="24"/>
        </w:rPr>
        <w:t xml:space="preserve">s (10). </w:t>
      </w:r>
      <w:r w:rsidRPr="347D99D0">
        <w:rPr>
          <w:rFonts w:eastAsia="Times New Roman"/>
          <w:sz w:val="24"/>
          <w:szCs w:val="24"/>
        </w:rPr>
        <w:t xml:space="preserve">In addition to </w:t>
      </w:r>
      <w:r w:rsidR="00F17C44">
        <w:rPr>
          <w:rFonts w:eastAsia="Times New Roman"/>
          <w:sz w:val="24"/>
          <w:szCs w:val="24"/>
        </w:rPr>
        <w:t xml:space="preserve">the </w:t>
      </w:r>
      <w:r w:rsidRPr="347D99D0">
        <w:rPr>
          <w:rFonts w:eastAsia="Times New Roman"/>
          <w:sz w:val="24"/>
          <w:szCs w:val="24"/>
        </w:rPr>
        <w:t>potential generation of toxic ROS by cellular respiration, aerobic MOB oxidize methane using a class of enzymes called methane monooxygenases</w:t>
      </w:r>
      <w:r w:rsidR="00721E8B">
        <w:rPr>
          <w:rFonts w:eastAsia="Times New Roman"/>
          <w:sz w:val="24"/>
          <w:szCs w:val="24"/>
        </w:rPr>
        <w:t xml:space="preserve">. These enzymes </w:t>
      </w:r>
      <w:r w:rsidRPr="347D99D0">
        <w:rPr>
          <w:rFonts w:eastAsia="Times New Roman"/>
          <w:sz w:val="24"/>
          <w:szCs w:val="24"/>
        </w:rPr>
        <w:t>catalyze the oxidation of methane to methanol in the presence of dioxygen</w:t>
      </w:r>
      <w:r w:rsidR="00721E8B">
        <w:rPr>
          <w:rFonts w:eastAsia="Times New Roman"/>
          <w:sz w:val="24"/>
          <w:szCs w:val="24"/>
        </w:rPr>
        <w:t>, and</w:t>
      </w:r>
      <w:r w:rsidRPr="347D99D0">
        <w:rPr>
          <w:rFonts w:eastAsia="Times New Roman"/>
          <w:sz w:val="24"/>
          <w:szCs w:val="24"/>
        </w:rPr>
        <w:t xml:space="preserve"> </w:t>
      </w:r>
      <w:r w:rsidR="00721E8B">
        <w:rPr>
          <w:rFonts w:eastAsia="Times New Roman"/>
          <w:sz w:val="24"/>
          <w:szCs w:val="24"/>
        </w:rPr>
        <w:t xml:space="preserve">this reaction </w:t>
      </w:r>
      <w:r w:rsidRPr="347D99D0">
        <w:rPr>
          <w:rFonts w:eastAsia="Times New Roman"/>
          <w:sz w:val="24"/>
          <w:szCs w:val="24"/>
        </w:rPr>
        <w:t>may contribute to ROS generation</w:t>
      </w:r>
      <w:r w:rsidR="00AC1EAE" w:rsidRPr="347D99D0">
        <w:rPr>
          <w:rFonts w:eastAsia="Times New Roman"/>
          <w:sz w:val="24"/>
          <w:szCs w:val="24"/>
        </w:rPr>
        <w:t xml:space="preserve"> (13). </w:t>
      </w:r>
      <w:r w:rsidRPr="347D99D0">
        <w:rPr>
          <w:rFonts w:eastAsia="Times New Roman"/>
          <w:sz w:val="24"/>
          <w:szCs w:val="24"/>
        </w:rPr>
        <w:t xml:space="preserve">Some studies have demonstrated that the enzyme activity of methane </w:t>
      </w:r>
      <w:r w:rsidRPr="347D99D0">
        <w:rPr>
          <w:rFonts w:eastAsia="Times New Roman"/>
          <w:sz w:val="24"/>
          <w:szCs w:val="24"/>
        </w:rPr>
        <w:lastRenderedPageBreak/>
        <w:t xml:space="preserve">monooxygenases may </w:t>
      </w:r>
      <w:r w:rsidR="002968B7" w:rsidRPr="347D99D0">
        <w:rPr>
          <w:rFonts w:eastAsia="Times New Roman"/>
          <w:sz w:val="24"/>
          <w:szCs w:val="24"/>
        </w:rPr>
        <w:t xml:space="preserve">catalyze </w:t>
      </w:r>
      <w:r w:rsidRPr="347D99D0">
        <w:rPr>
          <w:rFonts w:eastAsia="Times New Roman"/>
          <w:sz w:val="24"/>
          <w:szCs w:val="24"/>
        </w:rPr>
        <w:t xml:space="preserve">the production of hydrogen peroxide, and that monooxygenases are inhibited by the presence of hydrogen peroxide leading to decreased enzyme activity </w:t>
      </w:r>
      <w:r w:rsidR="00AC1EAE" w:rsidRPr="347D99D0">
        <w:rPr>
          <w:rFonts w:eastAsia="Times New Roman"/>
          <w:sz w:val="24"/>
          <w:szCs w:val="24"/>
        </w:rPr>
        <w:t>(8,14).</w:t>
      </w:r>
    </w:p>
    <w:p w14:paraId="63D62B28" w14:textId="07E4FDBD" w:rsidR="000C7072" w:rsidRPr="00802A62" w:rsidRDefault="000C7072" w:rsidP="000C7072">
      <w:pPr>
        <w:spacing w:line="480" w:lineRule="auto"/>
        <w:textAlignment w:val="baseline"/>
        <w:rPr>
          <w:rFonts w:eastAsia="Times New Roman"/>
          <w:sz w:val="24"/>
          <w:szCs w:val="24"/>
        </w:rPr>
      </w:pPr>
      <w:r w:rsidRPr="347D99D0">
        <w:rPr>
          <w:rFonts w:eastAsia="Times New Roman"/>
          <w:sz w:val="24"/>
          <w:szCs w:val="24"/>
        </w:rPr>
        <w:t xml:space="preserve">Many species of bacteria, including MOB, have evolved systems to counteract the negative effects of ROS. The primary defense systems employed use ROS scavenging enzymes such as catalase, cytochrome c peroxidases, and superoxide dismutase to decrease </w:t>
      </w:r>
      <w:r w:rsidR="002968B7" w:rsidRPr="347D99D0">
        <w:rPr>
          <w:rFonts w:eastAsia="Times New Roman"/>
          <w:sz w:val="24"/>
          <w:szCs w:val="24"/>
        </w:rPr>
        <w:t xml:space="preserve">ROS </w:t>
      </w:r>
      <w:r w:rsidRPr="347D99D0">
        <w:rPr>
          <w:rFonts w:eastAsia="Times New Roman"/>
          <w:sz w:val="24"/>
          <w:szCs w:val="24"/>
        </w:rPr>
        <w:t>concentration</w:t>
      </w:r>
      <w:r w:rsidR="002968B7" w:rsidRPr="347D99D0">
        <w:rPr>
          <w:rFonts w:eastAsia="Times New Roman"/>
          <w:sz w:val="24"/>
          <w:szCs w:val="24"/>
        </w:rPr>
        <w:t>s</w:t>
      </w:r>
      <w:r w:rsidR="00AC1EAE" w:rsidRPr="347D99D0">
        <w:rPr>
          <w:rFonts w:eastAsia="Times New Roman"/>
          <w:sz w:val="24"/>
          <w:szCs w:val="24"/>
        </w:rPr>
        <w:t xml:space="preserve"> (10,15). </w:t>
      </w:r>
      <w:r w:rsidRPr="347D99D0">
        <w:rPr>
          <w:rFonts w:eastAsia="Times New Roman"/>
          <w:sz w:val="24"/>
          <w:szCs w:val="24"/>
        </w:rPr>
        <w:t xml:space="preserve">The </w:t>
      </w:r>
      <w:r w:rsidR="002968B7" w:rsidRPr="347D99D0">
        <w:rPr>
          <w:rFonts w:eastAsia="Times New Roman"/>
          <w:sz w:val="24"/>
          <w:szCs w:val="24"/>
        </w:rPr>
        <w:t xml:space="preserve">general </w:t>
      </w:r>
      <w:r w:rsidRPr="347D99D0">
        <w:rPr>
          <w:rFonts w:eastAsia="Times New Roman"/>
          <w:sz w:val="24"/>
          <w:szCs w:val="24"/>
        </w:rPr>
        <w:t>bacterial response to increases in H</w:t>
      </w:r>
      <w:r w:rsidRPr="347D99D0">
        <w:rPr>
          <w:rFonts w:eastAsia="Times New Roman"/>
          <w:sz w:val="24"/>
          <w:szCs w:val="24"/>
          <w:vertAlign w:val="subscript"/>
        </w:rPr>
        <w:t>2</w:t>
      </w:r>
      <w:r w:rsidRPr="347D99D0">
        <w:rPr>
          <w:rFonts w:eastAsia="Times New Roman"/>
          <w:sz w:val="24"/>
          <w:szCs w:val="24"/>
        </w:rPr>
        <w:t>O</w:t>
      </w:r>
      <w:r w:rsidRPr="347D99D0">
        <w:rPr>
          <w:rFonts w:eastAsia="Times New Roman"/>
          <w:sz w:val="24"/>
          <w:szCs w:val="24"/>
          <w:vertAlign w:val="subscript"/>
        </w:rPr>
        <w:t>2</w:t>
      </w:r>
      <w:r w:rsidRPr="347D99D0">
        <w:rPr>
          <w:rFonts w:eastAsia="Times New Roman"/>
          <w:sz w:val="24"/>
          <w:szCs w:val="24"/>
        </w:rPr>
        <w:t xml:space="preserve"> accumulation </w:t>
      </w:r>
      <w:r w:rsidR="002968B7" w:rsidRPr="347D99D0">
        <w:rPr>
          <w:rFonts w:eastAsia="Times New Roman"/>
          <w:sz w:val="24"/>
          <w:szCs w:val="24"/>
        </w:rPr>
        <w:t>includes</w:t>
      </w:r>
      <w:r w:rsidRPr="347D99D0">
        <w:rPr>
          <w:rFonts w:eastAsia="Times New Roman"/>
          <w:sz w:val="24"/>
          <w:szCs w:val="24"/>
        </w:rPr>
        <w:t xml:space="preserve"> the expression of a wide set of peroxidase class enzymes that reduce H</w:t>
      </w:r>
      <w:r w:rsidRPr="347D99D0">
        <w:rPr>
          <w:rFonts w:eastAsia="Times New Roman"/>
          <w:sz w:val="24"/>
          <w:szCs w:val="24"/>
          <w:vertAlign w:val="subscript"/>
        </w:rPr>
        <w:t>2</w:t>
      </w:r>
      <w:r w:rsidRPr="347D99D0">
        <w:rPr>
          <w:rFonts w:eastAsia="Times New Roman"/>
          <w:sz w:val="24"/>
          <w:szCs w:val="24"/>
        </w:rPr>
        <w:t>O</w:t>
      </w:r>
      <w:r w:rsidRPr="347D99D0">
        <w:rPr>
          <w:rFonts w:eastAsia="Times New Roman"/>
          <w:sz w:val="24"/>
          <w:szCs w:val="24"/>
          <w:vertAlign w:val="subscript"/>
        </w:rPr>
        <w:t>2</w:t>
      </w:r>
      <w:r w:rsidRPr="347D99D0">
        <w:rPr>
          <w:rFonts w:eastAsia="Times New Roman"/>
          <w:sz w:val="24"/>
          <w:szCs w:val="24"/>
        </w:rPr>
        <w:t xml:space="preserve"> to H</w:t>
      </w:r>
      <w:r w:rsidRPr="347D99D0">
        <w:rPr>
          <w:rFonts w:eastAsia="Times New Roman"/>
          <w:sz w:val="24"/>
          <w:szCs w:val="24"/>
          <w:vertAlign w:val="subscript"/>
        </w:rPr>
        <w:t>2</w:t>
      </w:r>
      <w:r w:rsidRPr="347D99D0">
        <w:rPr>
          <w:rFonts w:eastAsia="Times New Roman"/>
          <w:sz w:val="24"/>
          <w:szCs w:val="24"/>
        </w:rPr>
        <w:t xml:space="preserve">O governed by the </w:t>
      </w:r>
      <w:r w:rsidR="00721E8B">
        <w:rPr>
          <w:rFonts w:eastAsia="Times New Roman"/>
          <w:sz w:val="24"/>
          <w:szCs w:val="24"/>
        </w:rPr>
        <w:t>O</w:t>
      </w:r>
      <w:r w:rsidRPr="347D99D0">
        <w:rPr>
          <w:rFonts w:eastAsia="Times New Roman"/>
          <w:sz w:val="24"/>
          <w:szCs w:val="24"/>
        </w:rPr>
        <w:t>xyR regulon</w:t>
      </w:r>
      <w:r w:rsidR="00AC1EAE" w:rsidRPr="347D99D0">
        <w:rPr>
          <w:rFonts w:eastAsia="Times New Roman"/>
          <w:sz w:val="24"/>
          <w:szCs w:val="24"/>
        </w:rPr>
        <w:t xml:space="preserve"> (16).</w:t>
      </w:r>
      <w:r w:rsidRPr="347D99D0">
        <w:rPr>
          <w:rFonts w:eastAsia="Times New Roman"/>
          <w:sz w:val="24"/>
          <w:szCs w:val="24"/>
        </w:rPr>
        <w:t xml:space="preserve"> H</w:t>
      </w:r>
      <w:r w:rsidRPr="347D99D0">
        <w:rPr>
          <w:rFonts w:eastAsia="Times New Roman"/>
          <w:sz w:val="24"/>
          <w:szCs w:val="24"/>
          <w:vertAlign w:val="subscript"/>
        </w:rPr>
        <w:t>2</w:t>
      </w:r>
      <w:r w:rsidRPr="347D99D0">
        <w:rPr>
          <w:rFonts w:eastAsia="Times New Roman"/>
          <w:sz w:val="24"/>
          <w:szCs w:val="24"/>
        </w:rPr>
        <w:t>O</w:t>
      </w:r>
      <w:r w:rsidRPr="347D99D0">
        <w:rPr>
          <w:rFonts w:eastAsia="Times New Roman"/>
          <w:sz w:val="24"/>
          <w:szCs w:val="24"/>
          <w:vertAlign w:val="subscript"/>
        </w:rPr>
        <w:t>2</w:t>
      </w:r>
      <w:r w:rsidRPr="347D99D0">
        <w:rPr>
          <w:rFonts w:eastAsia="Times New Roman"/>
          <w:sz w:val="24"/>
          <w:szCs w:val="24"/>
        </w:rPr>
        <w:t xml:space="preserve"> can also be reduced by cytochrome c peroxidase, and it has even been shown in MOB that cytochrome c peroxidase may serve to remediate peroxide buildup from cellular respiration</w:t>
      </w:r>
      <w:r w:rsidR="00AC1EAE" w:rsidRPr="347D99D0">
        <w:rPr>
          <w:rFonts w:eastAsia="Times New Roman"/>
          <w:sz w:val="24"/>
          <w:szCs w:val="24"/>
        </w:rPr>
        <w:t xml:space="preserve"> (15). </w:t>
      </w:r>
      <w:r w:rsidR="002968B7" w:rsidRPr="347D99D0">
        <w:rPr>
          <w:rFonts w:eastAsia="Times New Roman"/>
          <w:sz w:val="24"/>
          <w:szCs w:val="24"/>
        </w:rPr>
        <w:t>In bacteria, s</w:t>
      </w:r>
      <w:r w:rsidRPr="347D99D0">
        <w:rPr>
          <w:rFonts w:eastAsia="Times New Roman"/>
          <w:sz w:val="24"/>
          <w:szCs w:val="24"/>
        </w:rPr>
        <w:t>uperoxide is scavenged primarily by the enzyme superoxide dismutase that catalyzes the dismutation of superoxide into H</w:t>
      </w:r>
      <w:r w:rsidRPr="347D99D0">
        <w:rPr>
          <w:rFonts w:eastAsia="Times New Roman"/>
          <w:sz w:val="24"/>
          <w:szCs w:val="24"/>
          <w:vertAlign w:val="subscript"/>
        </w:rPr>
        <w:t>2</w:t>
      </w:r>
      <w:r w:rsidRPr="347D99D0">
        <w:rPr>
          <w:rFonts w:eastAsia="Times New Roman"/>
          <w:sz w:val="24"/>
          <w:szCs w:val="24"/>
        </w:rPr>
        <w:t>O</w:t>
      </w:r>
      <w:r w:rsidRPr="347D99D0">
        <w:rPr>
          <w:rFonts w:eastAsia="Times New Roman"/>
          <w:sz w:val="24"/>
          <w:szCs w:val="24"/>
          <w:vertAlign w:val="subscript"/>
        </w:rPr>
        <w:t>2</w:t>
      </w:r>
      <w:r w:rsidRPr="347D99D0">
        <w:rPr>
          <w:rFonts w:eastAsia="Times New Roman"/>
          <w:sz w:val="24"/>
          <w:szCs w:val="24"/>
        </w:rPr>
        <w:t xml:space="preserve"> and O</w:t>
      </w:r>
      <w:r w:rsidRPr="347D99D0">
        <w:rPr>
          <w:rFonts w:eastAsia="Times New Roman"/>
          <w:sz w:val="24"/>
          <w:szCs w:val="24"/>
          <w:vertAlign w:val="subscript"/>
        </w:rPr>
        <w:t>2</w:t>
      </w:r>
      <w:r w:rsidRPr="347D99D0">
        <w:rPr>
          <w:rFonts w:eastAsia="Times New Roman"/>
          <w:sz w:val="24"/>
          <w:szCs w:val="24"/>
        </w:rPr>
        <w:t xml:space="preserve">, governed by the </w:t>
      </w:r>
      <w:r w:rsidR="00721E8B">
        <w:rPr>
          <w:rFonts w:eastAsia="Times New Roman"/>
          <w:sz w:val="24"/>
          <w:szCs w:val="24"/>
        </w:rPr>
        <w:t>S</w:t>
      </w:r>
      <w:r w:rsidRPr="347D99D0">
        <w:rPr>
          <w:rFonts w:eastAsia="Times New Roman"/>
          <w:sz w:val="24"/>
          <w:szCs w:val="24"/>
        </w:rPr>
        <w:t>oxRS regulatory system</w:t>
      </w:r>
      <w:r w:rsidR="00AC1EAE" w:rsidRPr="347D99D0">
        <w:rPr>
          <w:rFonts w:eastAsia="Times New Roman"/>
          <w:sz w:val="24"/>
          <w:szCs w:val="24"/>
        </w:rPr>
        <w:t xml:space="preserve"> (16).</w:t>
      </w:r>
    </w:p>
    <w:p w14:paraId="57681574" w14:textId="343F0F81"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In addition to using ROS scavenging enzymes to mitigate ROS buildup, some species of bacteria that are known to be sensitive to elevated oxygen levels even employ the use of cell clustering to defend against oxygen stress</w:t>
      </w:r>
      <w:r w:rsidR="009E4F0E">
        <w:rPr>
          <w:rFonts w:eastAsia="Times New Roman"/>
          <w:sz w:val="24"/>
          <w:szCs w:val="24"/>
        </w:rPr>
        <w:t xml:space="preserve"> (17). </w:t>
      </w:r>
      <w:r w:rsidRPr="00802A62">
        <w:rPr>
          <w:rFonts w:eastAsia="Times New Roman"/>
          <w:sz w:val="24"/>
          <w:szCs w:val="24"/>
        </w:rPr>
        <w:t>Some microaerophilic bacteria have chemotaxis sensors that regulate the motility of cells in the presence of unfavorable oxygen concentrations leading to cell clumping which may protect the cells from elevated oxygen by reducing the surface-to-volume ratio of the cells by limiting oxygen diffusion</w:t>
      </w:r>
      <w:r w:rsidR="009E4F0E">
        <w:rPr>
          <w:rFonts w:eastAsia="Times New Roman"/>
          <w:sz w:val="24"/>
          <w:szCs w:val="24"/>
        </w:rPr>
        <w:t xml:space="preserve"> (17-19). </w:t>
      </w:r>
      <w:r w:rsidRPr="00802A62">
        <w:rPr>
          <w:rFonts w:eastAsia="Times New Roman"/>
          <w:sz w:val="24"/>
          <w:szCs w:val="24"/>
        </w:rPr>
        <w:t>However, despite our understanding of ROS defense systems such as these, the precise way that MOB deal with the consequences of ROS, or even how they respond to changes in oxygen concentration is not well understood.  </w:t>
      </w:r>
    </w:p>
    <w:p w14:paraId="4F0BDDBA" w14:textId="4D1CDEDD" w:rsidR="000C7072" w:rsidRPr="00802A62" w:rsidRDefault="00721E8B" w:rsidP="000C7072">
      <w:pPr>
        <w:spacing w:line="480" w:lineRule="auto"/>
        <w:textAlignment w:val="baseline"/>
        <w:rPr>
          <w:rFonts w:eastAsia="Times New Roman"/>
          <w:sz w:val="24"/>
          <w:szCs w:val="24"/>
        </w:rPr>
      </w:pPr>
      <w:r>
        <w:rPr>
          <w:rFonts w:eastAsia="Times New Roman"/>
          <w:sz w:val="24"/>
          <w:szCs w:val="24"/>
        </w:rPr>
        <w:t>An experiment</w:t>
      </w:r>
      <w:r w:rsidR="000C7072" w:rsidRPr="00802A62">
        <w:rPr>
          <w:rFonts w:eastAsia="Times New Roman"/>
          <w:sz w:val="24"/>
          <w:szCs w:val="24"/>
        </w:rPr>
        <w:t xml:space="preserve"> using transcriptomics analysis </w:t>
      </w:r>
      <w:r>
        <w:rPr>
          <w:rFonts w:eastAsia="Times New Roman"/>
          <w:sz w:val="24"/>
          <w:szCs w:val="24"/>
        </w:rPr>
        <w:t xml:space="preserve">was designed </w:t>
      </w:r>
      <w:r w:rsidR="000C7072" w:rsidRPr="00802A62">
        <w:rPr>
          <w:rFonts w:eastAsia="Times New Roman"/>
          <w:sz w:val="24"/>
          <w:szCs w:val="24"/>
        </w:rPr>
        <w:t xml:space="preserve">to show how two species of MOB, </w:t>
      </w:r>
      <w:r w:rsidR="000C7072" w:rsidRPr="00802A62">
        <w:rPr>
          <w:rFonts w:eastAsia="Times New Roman"/>
          <w:i/>
          <w:iCs/>
          <w:sz w:val="24"/>
          <w:szCs w:val="24"/>
        </w:rPr>
        <w:t xml:space="preserve">Methylosinus trichosporium </w:t>
      </w:r>
      <w:r w:rsidR="000C7072" w:rsidRPr="00802A62">
        <w:rPr>
          <w:rFonts w:eastAsia="Times New Roman"/>
          <w:sz w:val="24"/>
          <w:szCs w:val="24"/>
        </w:rPr>
        <w:t xml:space="preserve">OB3b and </w:t>
      </w:r>
      <w:r w:rsidR="000C7072" w:rsidRPr="00802A62">
        <w:rPr>
          <w:rFonts w:eastAsia="Times New Roman"/>
          <w:i/>
          <w:iCs/>
          <w:sz w:val="24"/>
          <w:szCs w:val="24"/>
        </w:rPr>
        <w:t xml:space="preserve">Methylomonas </w:t>
      </w:r>
      <w:r w:rsidR="000C7072" w:rsidRPr="00802A62">
        <w:rPr>
          <w:rFonts w:eastAsia="Times New Roman"/>
          <w:sz w:val="24"/>
          <w:szCs w:val="24"/>
        </w:rPr>
        <w:t xml:space="preserve">sp. WSC-7, respond to changing oxygen concentrations and how the use of growth media amended with catalase as a hydrogen peroxide </w:t>
      </w:r>
      <w:r w:rsidR="000C7072" w:rsidRPr="00802A62">
        <w:rPr>
          <w:rFonts w:eastAsia="Times New Roman"/>
          <w:sz w:val="24"/>
          <w:szCs w:val="24"/>
        </w:rPr>
        <w:lastRenderedPageBreak/>
        <w:t>scavenger influences the growth and physiology of the two strains. This experiment demonstrated that amending growth media with catalase leads to an increase in methane oxidation rate for both</w:t>
      </w:r>
      <w:r w:rsidR="000C7072" w:rsidRPr="00802A62">
        <w:rPr>
          <w:rFonts w:eastAsia="Times New Roman"/>
          <w:i/>
          <w:iCs/>
          <w:sz w:val="24"/>
          <w:szCs w:val="24"/>
        </w:rPr>
        <w:t xml:space="preserve"> M. trichosporium </w:t>
      </w:r>
      <w:r w:rsidR="000C7072" w:rsidRPr="00802A62">
        <w:rPr>
          <w:rFonts w:eastAsia="Times New Roman"/>
          <w:sz w:val="24"/>
          <w:szCs w:val="24"/>
        </w:rPr>
        <w:t xml:space="preserve">OB3b and </w:t>
      </w:r>
      <w:r w:rsidR="000C7072" w:rsidRPr="00802A62">
        <w:rPr>
          <w:rFonts w:eastAsia="Times New Roman"/>
          <w:i/>
          <w:iCs/>
          <w:sz w:val="24"/>
          <w:szCs w:val="24"/>
        </w:rPr>
        <w:t xml:space="preserve">Methylomonas </w:t>
      </w:r>
      <w:r w:rsidR="000C7072" w:rsidRPr="00802A62">
        <w:rPr>
          <w:rFonts w:eastAsia="Times New Roman"/>
          <w:sz w:val="24"/>
          <w:szCs w:val="24"/>
        </w:rPr>
        <w:t xml:space="preserve">sp. WSC-7. Also, </w:t>
      </w:r>
      <w:r w:rsidR="000C7072" w:rsidRPr="00802A62">
        <w:rPr>
          <w:rFonts w:eastAsia="Times New Roman"/>
          <w:i/>
          <w:iCs/>
          <w:sz w:val="24"/>
          <w:szCs w:val="24"/>
        </w:rPr>
        <w:t>M. trichosporium</w:t>
      </w:r>
      <w:r w:rsidR="000C7072" w:rsidRPr="00802A62">
        <w:rPr>
          <w:rFonts w:eastAsia="Times New Roman"/>
          <w:sz w:val="24"/>
          <w:szCs w:val="24"/>
        </w:rPr>
        <w:t xml:space="preserve"> OB3b responds to increases in oxygen concentration by overexpressing cytochrome c peroxidase and superoxide dismutase encoding genes, but </w:t>
      </w:r>
      <w:r w:rsidR="000C7072" w:rsidRPr="00802A62">
        <w:rPr>
          <w:rFonts w:eastAsia="Times New Roman"/>
          <w:i/>
          <w:iCs/>
          <w:sz w:val="24"/>
          <w:szCs w:val="24"/>
        </w:rPr>
        <w:t xml:space="preserve">Methylomonas </w:t>
      </w:r>
      <w:r w:rsidR="000C7072" w:rsidRPr="00802A62">
        <w:rPr>
          <w:rFonts w:eastAsia="Times New Roman"/>
          <w:sz w:val="24"/>
          <w:szCs w:val="24"/>
        </w:rPr>
        <w:t>sp. WSC-7 responds to increases in oxygen concentration by cell clustering and decreasing expression of flagella biosynthesis genes and aerotaxis response genes. </w:t>
      </w:r>
    </w:p>
    <w:p w14:paraId="3D4F7FDB" w14:textId="12D42E4B" w:rsidR="000C7072" w:rsidRPr="00802A62" w:rsidRDefault="000C7072" w:rsidP="006E624A">
      <w:pPr>
        <w:pStyle w:val="Heading3"/>
        <w:rPr>
          <w:rFonts w:eastAsia="Times New Roman"/>
        </w:rPr>
      </w:pPr>
      <w:bookmarkStart w:id="53" w:name="_Toc167115833"/>
      <w:r w:rsidRPr="00802A62">
        <w:rPr>
          <w:rFonts w:eastAsia="Times New Roman"/>
        </w:rPr>
        <w:t>Methods</w:t>
      </w:r>
      <w:bookmarkEnd w:id="53"/>
      <w:r w:rsidRPr="00802A62">
        <w:rPr>
          <w:rFonts w:eastAsia="Times New Roman"/>
        </w:rPr>
        <w:t> </w:t>
      </w:r>
    </w:p>
    <w:p w14:paraId="2DE8C688" w14:textId="77777777" w:rsidR="000C7072" w:rsidRPr="00802A62" w:rsidRDefault="000C7072" w:rsidP="006E624A">
      <w:pPr>
        <w:pStyle w:val="Heading4"/>
      </w:pPr>
      <w:r w:rsidRPr="00802A62">
        <w:t xml:space="preserve">Growth Conditions of </w:t>
      </w:r>
      <w:r w:rsidRPr="006E624A">
        <w:rPr>
          <w:i/>
          <w:iCs/>
        </w:rPr>
        <w:t>M. trichosporium</w:t>
      </w:r>
      <w:r w:rsidRPr="00802A62">
        <w:t xml:space="preserve"> OB3b and </w:t>
      </w:r>
      <w:r w:rsidRPr="006E624A">
        <w:rPr>
          <w:i/>
          <w:iCs/>
        </w:rPr>
        <w:t>Methylomonas</w:t>
      </w:r>
      <w:r w:rsidRPr="00802A62">
        <w:t xml:space="preserve"> sp. WSC-7</w:t>
      </w:r>
      <w:r w:rsidRPr="00802A62">
        <w:rPr>
          <w:rFonts w:eastAsiaTheme="minorEastAsia"/>
        </w:rPr>
        <w:t> </w:t>
      </w:r>
    </w:p>
    <w:p w14:paraId="03387A72" w14:textId="5C3D7664"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The objective of this study was to determine if changes in headspace oxygen concentration and/or the addition of catalase to the growth media influenced the physiology, response to ROS toxicity, and methane oxidation rate of two strains of </w:t>
      </w:r>
      <w:r w:rsidR="00224D46">
        <w:rPr>
          <w:rFonts w:eastAsia="Times New Roman"/>
          <w:sz w:val="24"/>
          <w:szCs w:val="24"/>
        </w:rPr>
        <w:t>m</w:t>
      </w:r>
      <w:r w:rsidR="007D3DBA">
        <w:rPr>
          <w:rFonts w:eastAsia="Times New Roman"/>
          <w:sz w:val="24"/>
          <w:szCs w:val="24"/>
        </w:rPr>
        <w:t>ethane-oxidizing</w:t>
      </w:r>
      <w:r w:rsidRPr="00802A62">
        <w:rPr>
          <w:rFonts w:eastAsia="Times New Roman"/>
          <w:sz w:val="24"/>
          <w:szCs w:val="24"/>
        </w:rPr>
        <w:t xml:space="preserve"> bacteria,</w:t>
      </w:r>
      <w:r w:rsidRPr="00802A62">
        <w:rPr>
          <w:rFonts w:eastAsia="Times New Roman"/>
          <w:i/>
          <w:iCs/>
          <w:sz w:val="24"/>
          <w:szCs w:val="24"/>
        </w:rPr>
        <w:t xml:space="preserve"> M. trichosporium</w:t>
      </w:r>
      <w:r w:rsidRPr="00802A62">
        <w:rPr>
          <w:rFonts w:eastAsia="Times New Roman"/>
          <w:sz w:val="24"/>
          <w:szCs w:val="24"/>
        </w:rPr>
        <w:t xml:space="preserve"> OB3b and </w:t>
      </w:r>
      <w:r w:rsidRPr="00802A62">
        <w:rPr>
          <w:rFonts w:eastAsia="Times New Roman"/>
          <w:i/>
          <w:iCs/>
          <w:sz w:val="24"/>
          <w:szCs w:val="24"/>
        </w:rPr>
        <w:t>Methylomonas</w:t>
      </w:r>
      <w:r w:rsidRPr="00802A62">
        <w:rPr>
          <w:rFonts w:eastAsia="Times New Roman"/>
          <w:sz w:val="24"/>
          <w:szCs w:val="24"/>
        </w:rPr>
        <w:t xml:space="preserve"> sp. WSC-7 grown under </w:t>
      </w:r>
      <w:r w:rsidR="00224D46">
        <w:rPr>
          <w:rFonts w:eastAsia="Times New Roman"/>
          <w:sz w:val="24"/>
          <w:szCs w:val="24"/>
        </w:rPr>
        <w:t>m</w:t>
      </w:r>
      <w:r w:rsidR="007D3DBA">
        <w:rPr>
          <w:rFonts w:eastAsia="Times New Roman"/>
          <w:sz w:val="24"/>
          <w:szCs w:val="24"/>
        </w:rPr>
        <w:t>ethane-oxidizing</w:t>
      </w:r>
      <w:r w:rsidRPr="00802A62">
        <w:rPr>
          <w:rFonts w:eastAsia="Times New Roman"/>
          <w:sz w:val="24"/>
          <w:szCs w:val="24"/>
        </w:rPr>
        <w:t xml:space="preserve"> conditions.  </w:t>
      </w:r>
    </w:p>
    <w:p w14:paraId="1E37843B" w14:textId="1FE6AE04" w:rsidR="000C7072" w:rsidRPr="00802A62" w:rsidRDefault="000C7072" w:rsidP="000C7072">
      <w:pPr>
        <w:spacing w:line="480" w:lineRule="auto"/>
        <w:textAlignment w:val="baseline"/>
        <w:rPr>
          <w:rFonts w:eastAsia="Times New Roman"/>
          <w:sz w:val="24"/>
          <w:szCs w:val="24"/>
        </w:rPr>
      </w:pPr>
      <w:r w:rsidRPr="347D99D0">
        <w:rPr>
          <w:rFonts w:eastAsia="Times New Roman"/>
          <w:i/>
          <w:iCs/>
          <w:sz w:val="24"/>
          <w:szCs w:val="24"/>
        </w:rPr>
        <w:t>M. trichosporium</w:t>
      </w:r>
      <w:r w:rsidRPr="347D99D0">
        <w:rPr>
          <w:rFonts w:eastAsia="Times New Roman"/>
          <w:sz w:val="24"/>
          <w:szCs w:val="24"/>
        </w:rPr>
        <w:t xml:space="preserve"> OB3b cells were grown</w:t>
      </w:r>
      <w:r w:rsidR="00386772">
        <w:rPr>
          <w:rFonts w:eastAsia="Times New Roman"/>
          <w:sz w:val="24"/>
          <w:szCs w:val="24"/>
        </w:rPr>
        <w:t xml:space="preserve"> statically</w:t>
      </w:r>
      <w:r w:rsidRPr="347D99D0">
        <w:rPr>
          <w:rFonts w:eastAsia="Times New Roman"/>
          <w:sz w:val="24"/>
          <w:szCs w:val="24"/>
        </w:rPr>
        <w:t xml:space="preserve"> in modified nitrate mineral salts medium (NMS) similar to the medium developed by Whitenbury et al.</w:t>
      </w:r>
      <w:r w:rsidR="002968B7" w:rsidRPr="347D99D0">
        <w:rPr>
          <w:rFonts w:eastAsia="Times New Roman"/>
          <w:sz w:val="24"/>
          <w:szCs w:val="24"/>
        </w:rPr>
        <w:t xml:space="preserve"> (20) </w:t>
      </w:r>
      <w:r w:rsidRPr="347D99D0">
        <w:rPr>
          <w:rFonts w:eastAsia="Times New Roman"/>
          <w:sz w:val="24"/>
          <w:szCs w:val="24"/>
        </w:rPr>
        <w:t xml:space="preserve"> for the growth of </w:t>
      </w:r>
      <w:r w:rsidR="00224D46">
        <w:rPr>
          <w:rFonts w:eastAsia="Times New Roman"/>
          <w:sz w:val="24"/>
          <w:szCs w:val="24"/>
        </w:rPr>
        <w:t>m</w:t>
      </w:r>
      <w:r w:rsidR="007D3DBA">
        <w:rPr>
          <w:rFonts w:eastAsia="Times New Roman"/>
          <w:sz w:val="24"/>
          <w:szCs w:val="24"/>
        </w:rPr>
        <w:t>ethane-oxidizing</w:t>
      </w:r>
      <w:r w:rsidRPr="347D99D0">
        <w:rPr>
          <w:rFonts w:eastAsia="Times New Roman"/>
          <w:sz w:val="24"/>
          <w:szCs w:val="24"/>
        </w:rPr>
        <w:t xml:space="preserve"> bacteria in the group’s initial characterization studies</w:t>
      </w:r>
      <w:r w:rsidR="002968B7" w:rsidRPr="347D99D0">
        <w:rPr>
          <w:rFonts w:eastAsia="Times New Roman"/>
          <w:sz w:val="24"/>
          <w:szCs w:val="24"/>
        </w:rPr>
        <w:t>,</w:t>
      </w:r>
      <w:r w:rsidR="009E4F0E" w:rsidRPr="347D99D0">
        <w:rPr>
          <w:rFonts w:eastAsia="Times New Roman"/>
          <w:sz w:val="24"/>
          <w:szCs w:val="24"/>
        </w:rPr>
        <w:t xml:space="preserve"> </w:t>
      </w:r>
      <w:r w:rsidRPr="347D99D0">
        <w:rPr>
          <w:rFonts w:eastAsia="Times New Roman"/>
          <w:sz w:val="24"/>
          <w:szCs w:val="24"/>
        </w:rPr>
        <w:t>but with the addition of a vitamin solution. The modified NMS medium contains (per liter of distilled water) 1 g KNO</w:t>
      </w:r>
      <w:r w:rsidRPr="347D99D0">
        <w:rPr>
          <w:rFonts w:eastAsia="Times New Roman"/>
          <w:sz w:val="24"/>
          <w:szCs w:val="24"/>
          <w:vertAlign w:val="subscript"/>
        </w:rPr>
        <w:t>3</w:t>
      </w:r>
      <w:r w:rsidRPr="347D99D0">
        <w:rPr>
          <w:rFonts w:eastAsia="Times New Roman"/>
          <w:sz w:val="24"/>
          <w:szCs w:val="24"/>
        </w:rPr>
        <w:t>, 0.27 g KH</w:t>
      </w:r>
      <w:r w:rsidRPr="347D99D0">
        <w:rPr>
          <w:rFonts w:eastAsia="Times New Roman"/>
          <w:sz w:val="24"/>
          <w:szCs w:val="24"/>
          <w:vertAlign w:val="subscript"/>
        </w:rPr>
        <w:t>2</w:t>
      </w:r>
      <w:r w:rsidRPr="347D99D0">
        <w:rPr>
          <w:rFonts w:eastAsia="Times New Roman"/>
          <w:sz w:val="24"/>
          <w:szCs w:val="24"/>
        </w:rPr>
        <w:t>PO</w:t>
      </w:r>
      <w:r w:rsidRPr="347D99D0">
        <w:rPr>
          <w:rFonts w:eastAsia="Times New Roman"/>
          <w:sz w:val="24"/>
          <w:szCs w:val="24"/>
          <w:vertAlign w:val="subscript"/>
        </w:rPr>
        <w:t>4</w:t>
      </w:r>
      <w:r w:rsidRPr="347D99D0">
        <w:rPr>
          <w:rFonts w:eastAsia="Times New Roman"/>
          <w:sz w:val="24"/>
          <w:szCs w:val="24"/>
        </w:rPr>
        <w:t>, 1 g MgSO</w:t>
      </w:r>
      <w:r w:rsidRPr="347D99D0">
        <w:rPr>
          <w:rFonts w:eastAsia="Times New Roman"/>
          <w:sz w:val="24"/>
          <w:szCs w:val="24"/>
          <w:vertAlign w:val="subscript"/>
        </w:rPr>
        <w:t>4</w:t>
      </w:r>
      <w:r w:rsidRPr="347D99D0">
        <w:rPr>
          <w:rFonts w:eastAsia="Times New Roman"/>
          <w:sz w:val="24"/>
          <w:szCs w:val="24"/>
        </w:rPr>
        <w:t xml:space="preserve"> · 7H</w:t>
      </w:r>
      <w:r w:rsidRPr="347D99D0">
        <w:rPr>
          <w:rFonts w:eastAsia="Times New Roman"/>
          <w:sz w:val="24"/>
          <w:szCs w:val="24"/>
          <w:vertAlign w:val="subscript"/>
        </w:rPr>
        <w:t>2</w:t>
      </w:r>
      <w:r w:rsidRPr="347D99D0">
        <w:rPr>
          <w:rFonts w:eastAsia="Times New Roman"/>
          <w:sz w:val="24"/>
          <w:szCs w:val="24"/>
        </w:rPr>
        <w:t>O, 0.14 g CaCl</w:t>
      </w:r>
      <w:r w:rsidRPr="347D99D0">
        <w:rPr>
          <w:rFonts w:eastAsia="Times New Roman"/>
          <w:sz w:val="24"/>
          <w:szCs w:val="24"/>
          <w:vertAlign w:val="subscript"/>
        </w:rPr>
        <w:t>2</w:t>
      </w:r>
      <w:r w:rsidRPr="347D99D0">
        <w:rPr>
          <w:rFonts w:eastAsia="Times New Roman"/>
          <w:sz w:val="24"/>
          <w:szCs w:val="24"/>
        </w:rPr>
        <w:t xml:space="preserve"> · 2H</w:t>
      </w:r>
      <w:r w:rsidRPr="347D99D0">
        <w:rPr>
          <w:rFonts w:eastAsia="Times New Roman"/>
          <w:sz w:val="24"/>
          <w:szCs w:val="24"/>
          <w:vertAlign w:val="subscript"/>
        </w:rPr>
        <w:t>2</w:t>
      </w:r>
      <w:r w:rsidRPr="347D99D0">
        <w:rPr>
          <w:rFonts w:eastAsia="Times New Roman"/>
          <w:sz w:val="24"/>
          <w:szCs w:val="24"/>
        </w:rPr>
        <w:t>O, and 0.23 g Na</w:t>
      </w:r>
      <w:r w:rsidRPr="347D99D0">
        <w:rPr>
          <w:rFonts w:eastAsia="Times New Roman"/>
          <w:sz w:val="24"/>
          <w:szCs w:val="24"/>
          <w:vertAlign w:val="subscript"/>
        </w:rPr>
        <w:t>2</w:t>
      </w:r>
      <w:r w:rsidRPr="347D99D0">
        <w:rPr>
          <w:rFonts w:eastAsia="Times New Roman"/>
          <w:sz w:val="24"/>
          <w:szCs w:val="24"/>
        </w:rPr>
        <w:t>HPO</w:t>
      </w:r>
      <w:r w:rsidRPr="347D99D0">
        <w:rPr>
          <w:rFonts w:eastAsia="Times New Roman"/>
          <w:sz w:val="24"/>
          <w:szCs w:val="24"/>
          <w:vertAlign w:val="subscript"/>
        </w:rPr>
        <w:t>4</w:t>
      </w:r>
      <w:r w:rsidRPr="347D99D0">
        <w:rPr>
          <w:rFonts w:eastAsia="Times New Roman"/>
          <w:sz w:val="24"/>
          <w:szCs w:val="24"/>
        </w:rPr>
        <w:t>, 0.5% (v/v) acidic trace element solution (AcTES), 0.02% alkaline trace element solution (AlTES), and 1% vitamin solution. AcTES contains (per liter), 2 g FeSO</w:t>
      </w:r>
      <w:r w:rsidRPr="347D99D0">
        <w:rPr>
          <w:rFonts w:eastAsia="Times New Roman"/>
          <w:sz w:val="24"/>
          <w:szCs w:val="24"/>
          <w:vertAlign w:val="subscript"/>
        </w:rPr>
        <w:t>4</w:t>
      </w:r>
      <w:r w:rsidRPr="347D99D0">
        <w:rPr>
          <w:rFonts w:eastAsia="Times New Roman"/>
          <w:sz w:val="24"/>
          <w:szCs w:val="24"/>
        </w:rPr>
        <w:t xml:space="preserve"> · 7H</w:t>
      </w:r>
      <w:r w:rsidRPr="347D99D0">
        <w:rPr>
          <w:rFonts w:eastAsia="Times New Roman"/>
          <w:sz w:val="24"/>
          <w:szCs w:val="24"/>
          <w:vertAlign w:val="subscript"/>
        </w:rPr>
        <w:t>2</w:t>
      </w:r>
      <w:r w:rsidRPr="347D99D0">
        <w:rPr>
          <w:rFonts w:eastAsia="Times New Roman"/>
          <w:sz w:val="24"/>
          <w:szCs w:val="24"/>
        </w:rPr>
        <w:t>O, 0.07 g ZnSO</w:t>
      </w:r>
      <w:r w:rsidRPr="347D99D0">
        <w:rPr>
          <w:rFonts w:eastAsia="Times New Roman"/>
          <w:sz w:val="24"/>
          <w:szCs w:val="24"/>
          <w:vertAlign w:val="subscript"/>
        </w:rPr>
        <w:t>4</w:t>
      </w:r>
      <w:r w:rsidRPr="347D99D0">
        <w:rPr>
          <w:rFonts w:eastAsia="Times New Roman"/>
          <w:sz w:val="24"/>
          <w:szCs w:val="24"/>
        </w:rPr>
        <w:t xml:space="preserve"> · 7H</w:t>
      </w:r>
      <w:r w:rsidRPr="347D99D0">
        <w:rPr>
          <w:rFonts w:eastAsia="Times New Roman"/>
          <w:sz w:val="24"/>
          <w:szCs w:val="24"/>
          <w:vertAlign w:val="subscript"/>
        </w:rPr>
        <w:t>2</w:t>
      </w:r>
      <w:r w:rsidRPr="347D99D0">
        <w:rPr>
          <w:rFonts w:eastAsia="Times New Roman"/>
          <w:sz w:val="24"/>
          <w:szCs w:val="24"/>
        </w:rPr>
        <w:t>O, 0.5 g MnCl</w:t>
      </w:r>
      <w:r w:rsidRPr="347D99D0">
        <w:rPr>
          <w:rFonts w:eastAsia="Times New Roman"/>
          <w:sz w:val="24"/>
          <w:szCs w:val="24"/>
          <w:vertAlign w:val="subscript"/>
        </w:rPr>
        <w:t>2</w:t>
      </w:r>
      <w:r w:rsidRPr="347D99D0">
        <w:rPr>
          <w:rFonts w:eastAsia="Times New Roman"/>
          <w:sz w:val="24"/>
          <w:szCs w:val="24"/>
        </w:rPr>
        <w:t xml:space="preserve"> · 4H</w:t>
      </w:r>
      <w:r w:rsidRPr="347D99D0">
        <w:rPr>
          <w:rFonts w:eastAsia="Times New Roman"/>
          <w:sz w:val="24"/>
          <w:szCs w:val="24"/>
          <w:vertAlign w:val="subscript"/>
        </w:rPr>
        <w:t>2</w:t>
      </w:r>
      <w:r w:rsidRPr="347D99D0">
        <w:rPr>
          <w:rFonts w:eastAsia="Times New Roman"/>
          <w:sz w:val="24"/>
          <w:szCs w:val="24"/>
        </w:rPr>
        <w:t>O, 0.12 g CoCl</w:t>
      </w:r>
      <w:r w:rsidRPr="347D99D0">
        <w:rPr>
          <w:rFonts w:eastAsia="Times New Roman"/>
          <w:sz w:val="24"/>
          <w:szCs w:val="24"/>
          <w:vertAlign w:val="subscript"/>
        </w:rPr>
        <w:t>2</w:t>
      </w:r>
      <w:r w:rsidRPr="347D99D0">
        <w:rPr>
          <w:rFonts w:eastAsia="Times New Roman"/>
          <w:sz w:val="24"/>
          <w:szCs w:val="24"/>
        </w:rPr>
        <w:t xml:space="preserve"> · 6H</w:t>
      </w:r>
      <w:r w:rsidRPr="347D99D0">
        <w:rPr>
          <w:rFonts w:eastAsia="Times New Roman"/>
          <w:sz w:val="24"/>
          <w:szCs w:val="24"/>
          <w:vertAlign w:val="subscript"/>
        </w:rPr>
        <w:t>2</w:t>
      </w:r>
      <w:r w:rsidRPr="347D99D0">
        <w:rPr>
          <w:rFonts w:eastAsia="Times New Roman"/>
          <w:sz w:val="24"/>
          <w:szCs w:val="24"/>
        </w:rPr>
        <w:t>O, 0.01 g NiCl</w:t>
      </w:r>
      <w:r w:rsidRPr="347D99D0">
        <w:rPr>
          <w:rFonts w:eastAsia="Times New Roman"/>
          <w:sz w:val="24"/>
          <w:szCs w:val="24"/>
          <w:vertAlign w:val="subscript"/>
        </w:rPr>
        <w:t>2</w:t>
      </w:r>
      <w:r w:rsidRPr="347D99D0">
        <w:rPr>
          <w:rFonts w:eastAsia="Times New Roman"/>
          <w:sz w:val="24"/>
          <w:szCs w:val="24"/>
        </w:rPr>
        <w:t xml:space="preserve"> · 6H2O, 0.5 g CuSO</w:t>
      </w:r>
      <w:r w:rsidRPr="347D99D0">
        <w:rPr>
          <w:rFonts w:eastAsia="Times New Roman"/>
          <w:sz w:val="24"/>
          <w:szCs w:val="24"/>
          <w:vertAlign w:val="subscript"/>
        </w:rPr>
        <w:t>4</w:t>
      </w:r>
      <w:r w:rsidRPr="347D99D0">
        <w:rPr>
          <w:rFonts w:eastAsia="Times New Roman"/>
          <w:sz w:val="24"/>
          <w:szCs w:val="24"/>
        </w:rPr>
        <w:t>, 0.01 g H</w:t>
      </w:r>
      <w:r w:rsidRPr="347D99D0">
        <w:rPr>
          <w:rFonts w:eastAsia="Times New Roman"/>
          <w:sz w:val="24"/>
          <w:szCs w:val="24"/>
          <w:vertAlign w:val="subscript"/>
        </w:rPr>
        <w:t>3</w:t>
      </w:r>
      <w:r w:rsidRPr="347D99D0">
        <w:rPr>
          <w:rFonts w:eastAsia="Times New Roman"/>
          <w:sz w:val="24"/>
          <w:szCs w:val="24"/>
        </w:rPr>
        <w:t>BO</w:t>
      </w:r>
      <w:r w:rsidRPr="347D99D0">
        <w:rPr>
          <w:rFonts w:eastAsia="Times New Roman"/>
          <w:sz w:val="24"/>
          <w:szCs w:val="24"/>
          <w:vertAlign w:val="subscript"/>
        </w:rPr>
        <w:t>3</w:t>
      </w:r>
      <w:r w:rsidRPr="347D99D0">
        <w:rPr>
          <w:rFonts w:eastAsia="Times New Roman"/>
          <w:sz w:val="24"/>
          <w:szCs w:val="24"/>
        </w:rPr>
        <w:t xml:space="preserve">, 0.06 g </w:t>
      </w:r>
      <w:r w:rsidRPr="347D99D0">
        <w:rPr>
          <w:rFonts w:eastAsia="Times New Roman"/>
          <w:sz w:val="24"/>
          <w:szCs w:val="24"/>
        </w:rPr>
        <w:lastRenderedPageBreak/>
        <w:t>LaNO</w:t>
      </w:r>
      <w:r w:rsidRPr="347D99D0">
        <w:rPr>
          <w:rFonts w:eastAsia="Times New Roman"/>
          <w:sz w:val="24"/>
          <w:szCs w:val="24"/>
          <w:vertAlign w:val="subscript"/>
        </w:rPr>
        <w:t>3</w:t>
      </w:r>
      <w:r w:rsidRPr="347D99D0">
        <w:rPr>
          <w:rFonts w:eastAsia="Times New Roman"/>
          <w:sz w:val="24"/>
          <w:szCs w:val="24"/>
        </w:rPr>
        <w:t>, 0.06 g CeNO</w:t>
      </w:r>
      <w:r w:rsidRPr="347D99D0">
        <w:rPr>
          <w:rFonts w:eastAsia="Times New Roman"/>
          <w:sz w:val="24"/>
          <w:szCs w:val="24"/>
          <w:vertAlign w:val="subscript"/>
        </w:rPr>
        <w:t>3</w:t>
      </w:r>
      <w:r w:rsidRPr="347D99D0">
        <w:rPr>
          <w:rFonts w:eastAsia="Times New Roman"/>
          <w:sz w:val="24"/>
          <w:szCs w:val="24"/>
        </w:rPr>
        <w:t>, and 100 mM HCl. The AlTES contains (per liter) 0.11 g Na</w:t>
      </w:r>
      <w:r w:rsidRPr="347D99D0">
        <w:rPr>
          <w:rFonts w:eastAsia="Times New Roman"/>
          <w:sz w:val="24"/>
          <w:szCs w:val="24"/>
          <w:vertAlign w:val="subscript"/>
        </w:rPr>
        <w:t>2</w:t>
      </w:r>
      <w:r w:rsidRPr="347D99D0">
        <w:rPr>
          <w:rFonts w:eastAsia="Times New Roman"/>
          <w:sz w:val="24"/>
          <w:szCs w:val="24"/>
        </w:rPr>
        <w:t>SeO</w:t>
      </w:r>
      <w:r w:rsidRPr="347D99D0">
        <w:rPr>
          <w:rFonts w:eastAsia="Times New Roman"/>
          <w:sz w:val="24"/>
          <w:szCs w:val="24"/>
          <w:vertAlign w:val="subscript"/>
        </w:rPr>
        <w:t>4</w:t>
      </w:r>
      <w:r w:rsidRPr="347D99D0">
        <w:rPr>
          <w:rFonts w:eastAsia="Times New Roman"/>
          <w:sz w:val="24"/>
          <w:szCs w:val="24"/>
        </w:rPr>
        <w:t>, 0.05 g Na</w:t>
      </w:r>
      <w:r w:rsidRPr="347D99D0">
        <w:rPr>
          <w:rFonts w:eastAsia="Times New Roman"/>
          <w:sz w:val="24"/>
          <w:szCs w:val="24"/>
          <w:vertAlign w:val="subscript"/>
        </w:rPr>
        <w:t>2</w:t>
      </w:r>
      <w:r w:rsidRPr="347D99D0">
        <w:rPr>
          <w:rFonts w:eastAsia="Times New Roman"/>
          <w:sz w:val="24"/>
          <w:szCs w:val="24"/>
        </w:rPr>
        <w:t>WO</w:t>
      </w:r>
      <w:r w:rsidRPr="347D99D0">
        <w:rPr>
          <w:rFonts w:eastAsia="Times New Roman"/>
          <w:sz w:val="24"/>
          <w:szCs w:val="24"/>
          <w:vertAlign w:val="subscript"/>
        </w:rPr>
        <w:t>4</w:t>
      </w:r>
      <w:r w:rsidRPr="347D99D0">
        <w:rPr>
          <w:rFonts w:eastAsia="Times New Roman"/>
          <w:sz w:val="24"/>
          <w:szCs w:val="24"/>
        </w:rPr>
        <w:t>, 0.29 g Na</w:t>
      </w:r>
      <w:r w:rsidRPr="347D99D0">
        <w:rPr>
          <w:rFonts w:eastAsia="Times New Roman"/>
          <w:sz w:val="24"/>
          <w:szCs w:val="24"/>
          <w:vertAlign w:val="subscript"/>
        </w:rPr>
        <w:t>2</w:t>
      </w:r>
      <w:r w:rsidRPr="347D99D0">
        <w:rPr>
          <w:rFonts w:eastAsia="Times New Roman"/>
          <w:sz w:val="24"/>
          <w:szCs w:val="24"/>
        </w:rPr>
        <w:t>MoO</w:t>
      </w:r>
      <w:r w:rsidRPr="347D99D0">
        <w:rPr>
          <w:rFonts w:eastAsia="Times New Roman"/>
          <w:sz w:val="24"/>
          <w:szCs w:val="24"/>
          <w:vertAlign w:val="subscript"/>
        </w:rPr>
        <w:t>4</w:t>
      </w:r>
      <w:r w:rsidRPr="347D99D0">
        <w:rPr>
          <w:rFonts w:eastAsia="Times New Roman"/>
          <w:sz w:val="24"/>
          <w:szCs w:val="24"/>
        </w:rPr>
        <w:t xml:space="preserve">, and 0.04 g NaOH. The vitamin solution contains (per liter) 5 mg 4-aminobenzoic acid, 2 mg D-biotin, 2 mg folic </w:t>
      </w:r>
      <w:r w:rsidR="002968B7" w:rsidRPr="347D99D0">
        <w:rPr>
          <w:rFonts w:eastAsia="Times New Roman"/>
          <w:sz w:val="24"/>
          <w:szCs w:val="24"/>
        </w:rPr>
        <w:t>a</w:t>
      </w:r>
      <w:r w:rsidRPr="347D99D0">
        <w:rPr>
          <w:rFonts w:eastAsia="Times New Roman"/>
          <w:sz w:val="24"/>
          <w:szCs w:val="24"/>
        </w:rPr>
        <w:t>cid, 10 mg pyridoxine-HCl, 5 mg riboflavin, 5 mg thiamine-HCl x 2H</w:t>
      </w:r>
      <w:r w:rsidRPr="347D99D0">
        <w:rPr>
          <w:rFonts w:eastAsia="Times New Roman"/>
          <w:sz w:val="24"/>
          <w:szCs w:val="24"/>
          <w:vertAlign w:val="subscript"/>
        </w:rPr>
        <w:t>2</w:t>
      </w:r>
      <w:r w:rsidRPr="347D99D0">
        <w:rPr>
          <w:rFonts w:eastAsia="Times New Roman"/>
          <w:sz w:val="24"/>
          <w:szCs w:val="24"/>
        </w:rPr>
        <w:t>O, 5 mg nicotinic acid, 5 mg calcium D-pantothenate, 5 mg thioctic acid (α-Lipoic Acid), and 0.10 mg vitamin B12. </w:t>
      </w:r>
    </w:p>
    <w:p w14:paraId="5A2FB849" w14:textId="75660EBF" w:rsidR="000C7072" w:rsidRPr="00802A62" w:rsidRDefault="000C7072" w:rsidP="000C7072">
      <w:pPr>
        <w:spacing w:line="480" w:lineRule="auto"/>
        <w:textAlignment w:val="baseline"/>
        <w:rPr>
          <w:rFonts w:eastAsia="Times New Roman"/>
          <w:sz w:val="24"/>
          <w:szCs w:val="24"/>
        </w:rPr>
      </w:pPr>
      <w:r w:rsidRPr="347D99D0">
        <w:rPr>
          <w:rFonts w:eastAsia="Times New Roman"/>
          <w:i/>
          <w:iCs/>
          <w:sz w:val="24"/>
          <w:szCs w:val="24"/>
        </w:rPr>
        <w:t>Methylomonas</w:t>
      </w:r>
      <w:r w:rsidRPr="347D99D0">
        <w:rPr>
          <w:rFonts w:eastAsia="Times New Roman"/>
          <w:sz w:val="24"/>
          <w:szCs w:val="24"/>
        </w:rPr>
        <w:t xml:space="preserve"> sp. WSC-7 cells were grown </w:t>
      </w:r>
      <w:r w:rsidR="00386772">
        <w:rPr>
          <w:rFonts w:eastAsia="Times New Roman"/>
          <w:sz w:val="24"/>
          <w:szCs w:val="24"/>
        </w:rPr>
        <w:t xml:space="preserve">statically </w:t>
      </w:r>
      <w:r w:rsidRPr="347D99D0">
        <w:rPr>
          <w:rFonts w:eastAsia="Times New Roman"/>
          <w:sz w:val="24"/>
          <w:szCs w:val="24"/>
        </w:rPr>
        <w:t>in H</w:t>
      </w:r>
      <w:r w:rsidR="002968B7" w:rsidRPr="347D99D0">
        <w:rPr>
          <w:rFonts w:eastAsia="Times New Roman"/>
          <w:sz w:val="24"/>
          <w:szCs w:val="24"/>
        </w:rPr>
        <w:t>EPES</w:t>
      </w:r>
      <w:r w:rsidRPr="347D99D0">
        <w:rPr>
          <w:rFonts w:eastAsia="Times New Roman"/>
          <w:sz w:val="24"/>
          <w:szCs w:val="24"/>
        </w:rPr>
        <w:t>/</w:t>
      </w:r>
      <w:r w:rsidR="002968B7" w:rsidRPr="347D99D0">
        <w:rPr>
          <w:rFonts w:eastAsia="Times New Roman"/>
          <w:sz w:val="24"/>
          <w:szCs w:val="24"/>
        </w:rPr>
        <w:t>p</w:t>
      </w:r>
      <w:r w:rsidRPr="347D99D0">
        <w:rPr>
          <w:rFonts w:eastAsia="Times New Roman"/>
          <w:sz w:val="24"/>
          <w:szCs w:val="24"/>
        </w:rPr>
        <w:t xml:space="preserve">hosphate </w:t>
      </w:r>
      <w:r w:rsidR="002968B7" w:rsidRPr="347D99D0">
        <w:rPr>
          <w:rFonts w:eastAsia="Times New Roman"/>
          <w:sz w:val="24"/>
          <w:szCs w:val="24"/>
        </w:rPr>
        <w:t>b</w:t>
      </w:r>
      <w:r w:rsidRPr="347D99D0">
        <w:rPr>
          <w:rFonts w:eastAsia="Times New Roman"/>
          <w:sz w:val="24"/>
          <w:szCs w:val="24"/>
        </w:rPr>
        <w:t xml:space="preserve">uffered Saddle Mountain Creek </w:t>
      </w:r>
      <w:r w:rsidR="002968B7" w:rsidRPr="347D99D0">
        <w:rPr>
          <w:rFonts w:eastAsia="Times New Roman"/>
          <w:sz w:val="24"/>
          <w:szCs w:val="24"/>
        </w:rPr>
        <w:t>m</w:t>
      </w:r>
      <w:r w:rsidRPr="347D99D0">
        <w:rPr>
          <w:rFonts w:eastAsia="Times New Roman"/>
          <w:sz w:val="24"/>
          <w:szCs w:val="24"/>
        </w:rPr>
        <w:t>edium (HPB-SMC Medium). This contains (per liter of distilled water) 2.38 g HEPES (Free Acid), 0.26 g NaCl, 0. 14 g Na</w:t>
      </w:r>
      <w:r w:rsidRPr="347D99D0">
        <w:rPr>
          <w:rFonts w:eastAsia="Times New Roman"/>
          <w:sz w:val="24"/>
          <w:szCs w:val="24"/>
          <w:vertAlign w:val="subscript"/>
        </w:rPr>
        <w:t>2</w:t>
      </w:r>
      <w:r w:rsidRPr="347D99D0">
        <w:rPr>
          <w:rFonts w:eastAsia="Times New Roman"/>
          <w:sz w:val="24"/>
          <w:szCs w:val="24"/>
        </w:rPr>
        <w:t>HPO</w:t>
      </w:r>
      <w:r w:rsidRPr="347D99D0">
        <w:rPr>
          <w:rFonts w:eastAsia="Times New Roman"/>
          <w:sz w:val="24"/>
          <w:szCs w:val="24"/>
          <w:vertAlign w:val="subscript"/>
        </w:rPr>
        <w:t>4</w:t>
      </w:r>
      <w:r w:rsidRPr="347D99D0">
        <w:rPr>
          <w:rFonts w:eastAsia="Times New Roman"/>
          <w:sz w:val="24"/>
          <w:szCs w:val="24"/>
        </w:rPr>
        <w:t>, 0.11 g KCl, 0.12 MgSO</w:t>
      </w:r>
      <w:r w:rsidRPr="347D99D0">
        <w:rPr>
          <w:rFonts w:eastAsia="Times New Roman"/>
          <w:sz w:val="24"/>
          <w:szCs w:val="24"/>
          <w:vertAlign w:val="subscript"/>
        </w:rPr>
        <w:t>4</w:t>
      </w:r>
      <w:r w:rsidRPr="347D99D0">
        <w:rPr>
          <w:rFonts w:eastAsia="Times New Roman"/>
          <w:sz w:val="24"/>
          <w:szCs w:val="24"/>
        </w:rPr>
        <w:t xml:space="preserve"> · 7H</w:t>
      </w:r>
      <w:r w:rsidRPr="347D99D0">
        <w:rPr>
          <w:rFonts w:eastAsia="Times New Roman"/>
          <w:sz w:val="24"/>
          <w:szCs w:val="24"/>
          <w:vertAlign w:val="subscript"/>
        </w:rPr>
        <w:t>2</w:t>
      </w:r>
      <w:r w:rsidRPr="347D99D0">
        <w:rPr>
          <w:rFonts w:eastAsia="Times New Roman"/>
          <w:sz w:val="24"/>
          <w:szCs w:val="24"/>
        </w:rPr>
        <w:t>O, 0.04 g NaNO</w:t>
      </w:r>
      <w:r w:rsidRPr="347D99D0">
        <w:rPr>
          <w:rFonts w:eastAsia="Times New Roman"/>
          <w:sz w:val="24"/>
          <w:szCs w:val="24"/>
          <w:vertAlign w:val="subscript"/>
        </w:rPr>
        <w:t>3</w:t>
      </w:r>
      <w:r w:rsidRPr="347D99D0">
        <w:rPr>
          <w:rFonts w:eastAsia="Times New Roman"/>
          <w:sz w:val="24"/>
          <w:szCs w:val="24"/>
        </w:rPr>
        <w:t>, 0,04 g CaCl</w:t>
      </w:r>
      <w:r w:rsidRPr="347D99D0">
        <w:rPr>
          <w:rFonts w:eastAsia="Times New Roman"/>
          <w:sz w:val="24"/>
          <w:szCs w:val="24"/>
          <w:vertAlign w:val="subscript"/>
        </w:rPr>
        <w:t>2</w:t>
      </w:r>
      <w:r w:rsidRPr="347D99D0">
        <w:rPr>
          <w:rFonts w:eastAsia="Times New Roman"/>
          <w:sz w:val="24"/>
          <w:szCs w:val="24"/>
        </w:rPr>
        <w:t xml:space="preserve"> · 2H</w:t>
      </w:r>
      <w:r w:rsidRPr="347D99D0">
        <w:rPr>
          <w:rFonts w:eastAsia="Times New Roman"/>
          <w:sz w:val="24"/>
          <w:szCs w:val="24"/>
          <w:vertAlign w:val="subscript"/>
        </w:rPr>
        <w:t>2</w:t>
      </w:r>
      <w:r w:rsidRPr="347D99D0">
        <w:rPr>
          <w:rFonts w:eastAsia="Times New Roman"/>
          <w:sz w:val="24"/>
          <w:szCs w:val="24"/>
        </w:rPr>
        <w:t>O, 0.004 g H</w:t>
      </w:r>
      <w:r w:rsidRPr="347D99D0">
        <w:rPr>
          <w:rFonts w:eastAsia="Times New Roman"/>
          <w:sz w:val="24"/>
          <w:szCs w:val="24"/>
          <w:vertAlign w:val="subscript"/>
        </w:rPr>
        <w:t>3</w:t>
      </w:r>
      <w:r w:rsidRPr="347D99D0">
        <w:rPr>
          <w:rFonts w:eastAsia="Times New Roman"/>
          <w:sz w:val="24"/>
          <w:szCs w:val="24"/>
        </w:rPr>
        <w:t>BO</w:t>
      </w:r>
      <w:r w:rsidRPr="347D99D0">
        <w:rPr>
          <w:rFonts w:eastAsia="Times New Roman"/>
          <w:sz w:val="24"/>
          <w:szCs w:val="24"/>
          <w:vertAlign w:val="subscript"/>
        </w:rPr>
        <w:t>3</w:t>
      </w:r>
      <w:r w:rsidRPr="347D99D0">
        <w:rPr>
          <w:rFonts w:eastAsia="Times New Roman"/>
          <w:sz w:val="24"/>
          <w:szCs w:val="24"/>
        </w:rPr>
        <w:t>, and 0.007 g SrCl</w:t>
      </w:r>
      <w:r w:rsidRPr="347D99D0">
        <w:rPr>
          <w:rFonts w:eastAsia="Times New Roman"/>
          <w:sz w:val="24"/>
          <w:szCs w:val="24"/>
          <w:vertAlign w:val="subscript"/>
        </w:rPr>
        <w:t>2</w:t>
      </w:r>
      <w:r w:rsidRPr="347D99D0">
        <w:rPr>
          <w:rFonts w:eastAsia="Times New Roman"/>
          <w:sz w:val="24"/>
          <w:szCs w:val="24"/>
        </w:rPr>
        <w:t xml:space="preserve"> · 6H</w:t>
      </w:r>
      <w:r w:rsidRPr="347D99D0">
        <w:rPr>
          <w:rFonts w:eastAsia="Times New Roman"/>
          <w:sz w:val="24"/>
          <w:szCs w:val="24"/>
          <w:vertAlign w:val="subscript"/>
        </w:rPr>
        <w:t>2</w:t>
      </w:r>
      <w:r w:rsidRPr="347D99D0">
        <w:rPr>
          <w:rFonts w:eastAsia="Times New Roman"/>
          <w:sz w:val="24"/>
          <w:szCs w:val="24"/>
        </w:rPr>
        <w:t>O as well as 0.5% (v/v) AcTES, 0.02% alkaline trace element solution AlTES, and 1% vitamin solution.  </w:t>
      </w:r>
    </w:p>
    <w:p w14:paraId="4D7A900D" w14:textId="1B156C10" w:rsidR="000C7072" w:rsidRPr="00802A62" w:rsidRDefault="000C7072" w:rsidP="000C7072">
      <w:pPr>
        <w:spacing w:line="480" w:lineRule="auto"/>
        <w:textAlignment w:val="baseline"/>
        <w:rPr>
          <w:rFonts w:eastAsia="Times New Roman"/>
          <w:sz w:val="24"/>
          <w:szCs w:val="24"/>
        </w:rPr>
      </w:pPr>
      <w:r w:rsidRPr="347D99D0">
        <w:rPr>
          <w:rFonts w:eastAsia="Times New Roman"/>
          <w:sz w:val="24"/>
          <w:szCs w:val="24"/>
        </w:rPr>
        <w:t xml:space="preserve">Three </w:t>
      </w:r>
      <w:r w:rsidR="002968B7" w:rsidRPr="347D99D0">
        <w:rPr>
          <w:rFonts w:eastAsia="Times New Roman"/>
          <w:sz w:val="24"/>
          <w:szCs w:val="24"/>
        </w:rPr>
        <w:t>treatments</w:t>
      </w:r>
      <w:r w:rsidRPr="347D99D0">
        <w:rPr>
          <w:rFonts w:eastAsia="Times New Roman"/>
          <w:sz w:val="24"/>
          <w:szCs w:val="24"/>
        </w:rPr>
        <w:t xml:space="preserve"> were evaluated in this study. The strains were grown</w:t>
      </w:r>
      <w:r w:rsidR="00386772">
        <w:rPr>
          <w:rFonts w:eastAsia="Times New Roman"/>
          <w:sz w:val="24"/>
          <w:szCs w:val="24"/>
        </w:rPr>
        <w:t xml:space="preserve"> statically</w:t>
      </w:r>
      <w:r w:rsidRPr="347D99D0">
        <w:rPr>
          <w:rFonts w:eastAsia="Times New Roman"/>
          <w:sz w:val="24"/>
          <w:szCs w:val="24"/>
        </w:rPr>
        <w:t xml:space="preserve"> in 500 mL of respective media in 1 L stoppered bottles, leaving 500 mL of available gas headspace. One condition (high oxygen) was grown with a headspace gas composition of 69% N</w:t>
      </w:r>
      <w:r w:rsidRPr="347D99D0">
        <w:rPr>
          <w:rFonts w:eastAsia="Times New Roman"/>
          <w:sz w:val="24"/>
          <w:szCs w:val="24"/>
          <w:vertAlign w:val="subscript"/>
        </w:rPr>
        <w:t>2</w:t>
      </w:r>
      <w:r w:rsidRPr="347D99D0">
        <w:rPr>
          <w:rFonts w:eastAsia="Times New Roman"/>
          <w:sz w:val="24"/>
          <w:szCs w:val="24"/>
        </w:rPr>
        <w:t>, 10% CH</w:t>
      </w:r>
      <w:r w:rsidRPr="347D99D0">
        <w:rPr>
          <w:rFonts w:eastAsia="Times New Roman"/>
          <w:sz w:val="24"/>
          <w:szCs w:val="24"/>
          <w:vertAlign w:val="subscript"/>
        </w:rPr>
        <w:t>4</w:t>
      </w:r>
      <w:r w:rsidRPr="347D99D0">
        <w:rPr>
          <w:rFonts w:eastAsia="Times New Roman"/>
          <w:sz w:val="24"/>
          <w:szCs w:val="24"/>
        </w:rPr>
        <w:t>, and 21% O</w:t>
      </w:r>
      <w:r w:rsidRPr="347D99D0">
        <w:rPr>
          <w:rFonts w:eastAsia="Times New Roman"/>
          <w:sz w:val="24"/>
          <w:szCs w:val="24"/>
          <w:vertAlign w:val="subscript"/>
        </w:rPr>
        <w:t>2</w:t>
      </w:r>
      <w:r w:rsidRPr="347D99D0">
        <w:rPr>
          <w:rFonts w:eastAsia="Times New Roman"/>
          <w:sz w:val="24"/>
          <w:szCs w:val="24"/>
        </w:rPr>
        <w:t>. The second condition (low oxygen) was grown with a headspace gas composition of 85% N</w:t>
      </w:r>
      <w:r w:rsidRPr="347D99D0">
        <w:rPr>
          <w:rFonts w:eastAsia="Times New Roman"/>
          <w:sz w:val="24"/>
          <w:szCs w:val="24"/>
          <w:vertAlign w:val="subscript"/>
        </w:rPr>
        <w:t xml:space="preserve">2, </w:t>
      </w:r>
      <w:r w:rsidRPr="347D99D0">
        <w:rPr>
          <w:rFonts w:eastAsia="Times New Roman"/>
          <w:sz w:val="24"/>
          <w:szCs w:val="24"/>
        </w:rPr>
        <w:t>10% CH</w:t>
      </w:r>
      <w:r w:rsidRPr="347D99D0">
        <w:rPr>
          <w:rFonts w:eastAsia="Times New Roman"/>
          <w:sz w:val="24"/>
          <w:szCs w:val="24"/>
          <w:vertAlign w:val="subscript"/>
        </w:rPr>
        <w:t>4,</w:t>
      </w:r>
      <w:r w:rsidRPr="347D99D0">
        <w:rPr>
          <w:rFonts w:eastAsia="Times New Roman"/>
          <w:sz w:val="24"/>
          <w:szCs w:val="24"/>
        </w:rPr>
        <w:t xml:space="preserve"> and 5% O</w:t>
      </w:r>
      <w:r w:rsidRPr="347D99D0">
        <w:rPr>
          <w:rFonts w:eastAsia="Times New Roman"/>
          <w:sz w:val="24"/>
          <w:szCs w:val="24"/>
          <w:vertAlign w:val="subscript"/>
        </w:rPr>
        <w:t>2</w:t>
      </w:r>
      <w:r w:rsidRPr="347D99D0">
        <w:rPr>
          <w:rFonts w:eastAsia="Times New Roman"/>
          <w:sz w:val="24"/>
          <w:szCs w:val="24"/>
        </w:rPr>
        <w:t xml:space="preserve">. The third condition (catalase) was grown at high oxygen, but the medium was amended with 20 </w:t>
      </w:r>
      <w:r w:rsidR="00EB700C" w:rsidRPr="347D99D0">
        <w:rPr>
          <w:rFonts w:eastAsia="Times New Roman"/>
          <w:sz w:val="24"/>
          <w:szCs w:val="24"/>
        </w:rPr>
        <w:t>µg</w:t>
      </w:r>
      <w:r w:rsidRPr="347D99D0">
        <w:rPr>
          <w:rFonts w:eastAsia="Times New Roman"/>
          <w:sz w:val="24"/>
          <w:szCs w:val="24"/>
        </w:rPr>
        <w:t>/mL of catalase (From Bovine Liver, Thermo Scientific). Each condition was incubated at 28 °C without shaking and methane depletion was measured by gas chromatography on a Shimadzu GC-14A gas chromatograph (Shimadzu, Japan). Methane oxidation rates (MOR) were calculated as MOR=ln(∆[CH</w:t>
      </w:r>
      <w:r w:rsidRPr="347D99D0">
        <w:rPr>
          <w:rFonts w:eastAsia="Times New Roman"/>
          <w:sz w:val="24"/>
          <w:szCs w:val="24"/>
          <w:vertAlign w:val="subscript"/>
        </w:rPr>
        <w:t>4</w:t>
      </w:r>
      <w:r w:rsidRPr="347D99D0">
        <w:rPr>
          <w:rFonts w:eastAsia="Times New Roman"/>
          <w:sz w:val="24"/>
          <w:szCs w:val="24"/>
        </w:rPr>
        <w:t>])/ln(∆</w:t>
      </w:r>
      <w:r w:rsidRPr="347D99D0">
        <w:rPr>
          <w:rFonts w:eastAsia="Times New Roman"/>
          <w:i/>
          <w:iCs/>
          <w:sz w:val="24"/>
          <w:szCs w:val="24"/>
        </w:rPr>
        <w:t>t</w:t>
      </w:r>
      <w:r w:rsidRPr="347D99D0">
        <w:rPr>
          <w:rFonts w:eastAsia="Times New Roman"/>
          <w:sz w:val="24"/>
          <w:szCs w:val="24"/>
        </w:rPr>
        <w:t>). This is the slope of the natural log of the methane depletion curve where [CH</w:t>
      </w:r>
      <w:r w:rsidRPr="347D99D0">
        <w:rPr>
          <w:rFonts w:eastAsia="Times New Roman"/>
          <w:sz w:val="24"/>
          <w:szCs w:val="24"/>
          <w:vertAlign w:val="subscript"/>
        </w:rPr>
        <w:t>4</w:t>
      </w:r>
      <w:r w:rsidRPr="347D99D0">
        <w:rPr>
          <w:rFonts w:eastAsia="Times New Roman"/>
          <w:sz w:val="24"/>
          <w:szCs w:val="24"/>
        </w:rPr>
        <w:t>] is the molar concentration of CH</w:t>
      </w:r>
      <w:r w:rsidRPr="347D99D0">
        <w:rPr>
          <w:rFonts w:eastAsia="Times New Roman"/>
          <w:sz w:val="24"/>
          <w:szCs w:val="24"/>
          <w:vertAlign w:val="subscript"/>
        </w:rPr>
        <w:t>4</w:t>
      </w:r>
      <w:r w:rsidRPr="347D99D0">
        <w:rPr>
          <w:rFonts w:eastAsia="Times New Roman"/>
          <w:sz w:val="24"/>
          <w:szCs w:val="24"/>
        </w:rPr>
        <w:t xml:space="preserve"> and </w:t>
      </w:r>
      <w:r w:rsidRPr="347D99D0">
        <w:rPr>
          <w:rFonts w:eastAsia="Times New Roman"/>
          <w:i/>
          <w:iCs/>
          <w:sz w:val="24"/>
          <w:szCs w:val="24"/>
        </w:rPr>
        <w:t>t</w:t>
      </w:r>
      <w:r w:rsidRPr="347D99D0">
        <w:rPr>
          <w:rFonts w:eastAsia="Times New Roman"/>
          <w:sz w:val="24"/>
          <w:szCs w:val="24"/>
        </w:rPr>
        <w:t xml:space="preserve"> is time elapsed in hours.   </w:t>
      </w:r>
    </w:p>
    <w:p w14:paraId="21A8987C" w14:textId="77777777" w:rsidR="006E624A" w:rsidRDefault="006E624A" w:rsidP="000C7072">
      <w:pPr>
        <w:spacing w:line="480" w:lineRule="auto"/>
        <w:textAlignment w:val="baseline"/>
        <w:rPr>
          <w:rFonts w:eastAsia="Times New Roman"/>
          <w:b/>
          <w:bCs/>
          <w:sz w:val="24"/>
          <w:szCs w:val="24"/>
        </w:rPr>
      </w:pPr>
    </w:p>
    <w:p w14:paraId="71F514EB" w14:textId="1F97E7E9" w:rsidR="000C7072" w:rsidRPr="00802A62" w:rsidRDefault="000C7072" w:rsidP="006E624A">
      <w:pPr>
        <w:pStyle w:val="Heading4"/>
      </w:pPr>
      <w:r w:rsidRPr="00802A62">
        <w:lastRenderedPageBreak/>
        <w:t>RNA Extraction, Illumina Sequencing Library Preparation, and Sequencing  </w:t>
      </w:r>
    </w:p>
    <w:p w14:paraId="62305F2C" w14:textId="037219DA"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Cells for RNA extraction were grown</w:t>
      </w:r>
      <w:r w:rsidR="00386772">
        <w:rPr>
          <w:rFonts w:eastAsia="Times New Roman"/>
          <w:sz w:val="24"/>
          <w:szCs w:val="24"/>
        </w:rPr>
        <w:t xml:space="preserve"> staticallly</w:t>
      </w:r>
      <w:r w:rsidRPr="00802A62">
        <w:rPr>
          <w:rFonts w:eastAsia="Times New Roman"/>
          <w:sz w:val="24"/>
          <w:szCs w:val="24"/>
        </w:rPr>
        <w:t xml:space="preserve"> in one-liter bottles with 500 ml of medium and harvested in late log phase by centrifugation for 20 minutes at 4 °C and 4000 </w:t>
      </w:r>
      <w:r w:rsidR="00386772">
        <w:rPr>
          <w:rFonts w:eastAsia="Times New Roman"/>
          <w:sz w:val="24"/>
          <w:szCs w:val="24"/>
        </w:rPr>
        <w:t>x g</w:t>
      </w:r>
      <w:r w:rsidRPr="00802A62">
        <w:rPr>
          <w:rFonts w:eastAsia="Times New Roman"/>
          <w:sz w:val="24"/>
          <w:szCs w:val="24"/>
        </w:rPr>
        <w:t xml:space="preserve"> using an Eppendorf 5910 centrifuge with cell pellets stored at -80 °C.  The Zymo Research Quick-RNA Fungal/Bacterial Miniprep kit was used for RNA extraction. Additional DNase treatments were carried out using the </w:t>
      </w:r>
      <w:r w:rsidRPr="00802A62">
        <w:rPr>
          <w:rFonts w:eastAsia="Times New Roman"/>
          <w:color w:val="000000"/>
          <w:sz w:val="24"/>
          <w:szCs w:val="24"/>
        </w:rPr>
        <w:t>Invitrogen DNase I Amplification Grade</w:t>
      </w:r>
      <w:r w:rsidRPr="00802A62">
        <w:rPr>
          <w:rFonts w:eastAsia="Times New Roman"/>
          <w:color w:val="FF0000"/>
          <w:sz w:val="24"/>
          <w:szCs w:val="24"/>
        </w:rPr>
        <w:t xml:space="preserve"> </w:t>
      </w:r>
      <w:r w:rsidRPr="00802A62">
        <w:rPr>
          <w:rFonts w:eastAsia="Times New Roman"/>
          <w:sz w:val="24"/>
          <w:szCs w:val="24"/>
        </w:rPr>
        <w:t>treatment kit. Nucleic acid extracts were quantified using a Qubit Fluorometer 2.0 with RNA high specificity and DNA broad range specificity reagent kits. </w:t>
      </w:r>
    </w:p>
    <w:p w14:paraId="088F55BC" w14:textId="18B150E8"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Illumina compatible sequencing libraries were prepared for sequencing with the Zymo-Seq RiboFree Total RNA Library Kit (Zymo Research, USA) according to the manufacturer’s specifications. Prior to sequencing, the cDNA library was concentrated using a </w:t>
      </w:r>
      <w:r w:rsidRPr="00802A62">
        <w:rPr>
          <w:rFonts w:eastAsia="Times New Roman"/>
          <w:color w:val="000000"/>
          <w:sz w:val="24"/>
          <w:szCs w:val="24"/>
        </w:rPr>
        <w:t>Thermo Scientific Savant DNA120 SpeedVac Concentrator</w:t>
      </w:r>
      <w:r w:rsidRPr="00802A62">
        <w:rPr>
          <w:rFonts w:eastAsia="Times New Roman"/>
          <w:sz w:val="24"/>
          <w:szCs w:val="24"/>
        </w:rPr>
        <w:t>, and size selection was carried out using the Agilent 4150 TapeStation System.</w:t>
      </w:r>
      <w:r w:rsidRPr="00802A62">
        <w:rPr>
          <w:rFonts w:eastAsia="Times New Roman"/>
          <w:color w:val="FF0000"/>
          <w:sz w:val="24"/>
          <w:szCs w:val="24"/>
        </w:rPr>
        <w:t>  </w:t>
      </w:r>
    </w:p>
    <w:p w14:paraId="396E1B4C" w14:textId="7F74C5E6" w:rsidR="004F5205" w:rsidRPr="006E624A" w:rsidRDefault="000C7072" w:rsidP="000C7072">
      <w:pPr>
        <w:spacing w:line="480" w:lineRule="auto"/>
        <w:textAlignment w:val="baseline"/>
        <w:rPr>
          <w:rFonts w:eastAsia="Times New Roman"/>
          <w:sz w:val="24"/>
          <w:szCs w:val="24"/>
        </w:rPr>
      </w:pPr>
      <w:r w:rsidRPr="00802A62">
        <w:rPr>
          <w:rFonts w:eastAsia="Times New Roman"/>
          <w:sz w:val="24"/>
          <w:szCs w:val="24"/>
        </w:rPr>
        <w:t>Sequencing of the final cDNA library was performed at the Oklahoma Medical Research Foundation Center for Clinical Genomics (Oklahoma City, USA) using Illumina NovaSeq 6000 S4 PE150 chemistry. </w:t>
      </w:r>
    </w:p>
    <w:p w14:paraId="5D10167C" w14:textId="1CE28752" w:rsidR="000C7072" w:rsidRPr="00802A62" w:rsidRDefault="000C7072" w:rsidP="006E624A">
      <w:pPr>
        <w:pStyle w:val="Heading4"/>
      </w:pPr>
      <w:r w:rsidRPr="00802A62">
        <w:t>Reference Genome Sequencing  </w:t>
      </w:r>
    </w:p>
    <w:p w14:paraId="7C290DFF" w14:textId="3E51C532"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Genomic DNA of </w:t>
      </w:r>
      <w:r w:rsidRPr="00802A62">
        <w:rPr>
          <w:rFonts w:eastAsia="Times New Roman"/>
          <w:i/>
          <w:iCs/>
          <w:sz w:val="24"/>
          <w:szCs w:val="24"/>
        </w:rPr>
        <w:t xml:space="preserve">Methylomonas. </w:t>
      </w:r>
      <w:r w:rsidRPr="00802A62">
        <w:rPr>
          <w:rFonts w:eastAsia="Times New Roman"/>
          <w:sz w:val="24"/>
          <w:szCs w:val="24"/>
        </w:rPr>
        <w:t>sp. WSC-7 from a log-phase grown culture grown in the modified NMS medium at 28 °C was extracted using the Qiagen DNeasy Blood and Tissue Kit. DNA was fragmented using a QSonica 800R3 sonicator and built into Illumina-compatible shotgun libraries using the KAPA HyperPrep Kit. Shotgun libraries were sequenced on an Illumina MiSeq instrument. Sequence data was processed using fastp v0.23.2</w:t>
      </w:r>
      <w:r w:rsidR="009E4F0E">
        <w:rPr>
          <w:rFonts w:eastAsia="Times New Roman"/>
          <w:sz w:val="24"/>
          <w:szCs w:val="24"/>
        </w:rPr>
        <w:t xml:space="preserve"> (21) </w:t>
      </w:r>
      <w:r w:rsidRPr="00802A62">
        <w:rPr>
          <w:rFonts w:eastAsia="Times New Roman"/>
          <w:sz w:val="24"/>
          <w:szCs w:val="24"/>
        </w:rPr>
        <w:t xml:space="preserve">to remove </w:t>
      </w:r>
      <w:r w:rsidRPr="00802A62">
        <w:rPr>
          <w:rFonts w:eastAsia="Times New Roman"/>
          <w:sz w:val="24"/>
          <w:szCs w:val="24"/>
        </w:rPr>
        <w:lastRenderedPageBreak/>
        <w:t>reads containing uncalled bases (‘N’), trim low-quality bases (q &lt; 30), and merge overlapping reads. The resulting analysis-ready reads were used as input for de novo assembly with SKESA v2.5.1</w:t>
      </w:r>
      <w:r w:rsidR="009E4F0E">
        <w:rPr>
          <w:rFonts w:eastAsia="Times New Roman"/>
          <w:sz w:val="24"/>
          <w:szCs w:val="24"/>
        </w:rPr>
        <w:t xml:space="preserve"> (22).</w:t>
      </w:r>
      <w:r w:rsidRPr="00802A62">
        <w:rPr>
          <w:rFonts w:eastAsia="Times New Roman"/>
          <w:sz w:val="24"/>
          <w:szCs w:val="24"/>
        </w:rPr>
        <w:t xml:space="preserve"> The quality of genomes was assessed by CheckM v1.1.3</w:t>
      </w:r>
      <w:r w:rsidR="009E4F0E">
        <w:rPr>
          <w:rFonts w:eastAsia="Times New Roman"/>
          <w:sz w:val="24"/>
          <w:szCs w:val="24"/>
        </w:rPr>
        <w:t xml:space="preserve"> (23). </w:t>
      </w:r>
      <w:r w:rsidRPr="00802A62">
        <w:rPr>
          <w:rFonts w:eastAsia="Times New Roman"/>
          <w:sz w:val="24"/>
          <w:szCs w:val="24"/>
        </w:rPr>
        <w:t xml:space="preserve">The genome for </w:t>
      </w:r>
      <w:r w:rsidRPr="00802A62">
        <w:rPr>
          <w:rFonts w:eastAsia="Times New Roman"/>
          <w:i/>
          <w:iCs/>
          <w:sz w:val="24"/>
          <w:szCs w:val="24"/>
        </w:rPr>
        <w:t xml:space="preserve">M. trichosporium </w:t>
      </w:r>
      <w:r w:rsidRPr="00802A62">
        <w:rPr>
          <w:rFonts w:eastAsia="Times New Roman"/>
          <w:sz w:val="24"/>
          <w:szCs w:val="24"/>
        </w:rPr>
        <w:t>OB3b (GCF_000178815.2) was downloaded from the NCBI RefSeq database</w:t>
      </w:r>
      <w:r w:rsidR="009E4F0E">
        <w:rPr>
          <w:rFonts w:eastAsia="Times New Roman"/>
          <w:sz w:val="24"/>
          <w:szCs w:val="24"/>
        </w:rPr>
        <w:t xml:space="preserve"> (24). </w:t>
      </w:r>
      <w:r w:rsidRPr="00802A62">
        <w:rPr>
          <w:rFonts w:eastAsia="Times New Roman"/>
          <w:sz w:val="24"/>
          <w:szCs w:val="24"/>
        </w:rPr>
        <w:t>Gene prediction was performed using Prodigal v2.6.3</w:t>
      </w:r>
      <w:r w:rsidR="009E4F0E">
        <w:rPr>
          <w:rFonts w:eastAsia="Times New Roman"/>
          <w:sz w:val="24"/>
          <w:szCs w:val="24"/>
        </w:rPr>
        <w:t xml:space="preserve"> (25) </w:t>
      </w:r>
      <w:r w:rsidRPr="00802A62">
        <w:rPr>
          <w:rFonts w:eastAsia="Times New Roman"/>
          <w:sz w:val="24"/>
          <w:szCs w:val="24"/>
        </w:rPr>
        <w:t>and barrnap v0.9</w:t>
      </w:r>
      <w:r w:rsidR="009E4F0E">
        <w:rPr>
          <w:rFonts w:eastAsia="Times New Roman"/>
          <w:sz w:val="24"/>
          <w:szCs w:val="24"/>
        </w:rPr>
        <w:t xml:space="preserve"> (26).</w:t>
      </w:r>
    </w:p>
    <w:p w14:paraId="4E0ADE9B" w14:textId="77777777" w:rsidR="000C7072" w:rsidRPr="00802A62" w:rsidRDefault="000C7072" w:rsidP="006E624A">
      <w:pPr>
        <w:pStyle w:val="Heading4"/>
      </w:pPr>
      <w:r w:rsidRPr="00802A62">
        <w:t>Read Mapping and Quantification </w:t>
      </w:r>
    </w:p>
    <w:p w14:paraId="21AF3E0E" w14:textId="6ECA05D7"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Raw fastq reads were filtered for high quality reads (q &lt; 30) and the adaptors were trimmed using fastp v0.22.</w:t>
      </w:r>
      <w:r w:rsidR="009E4F0E">
        <w:rPr>
          <w:rFonts w:eastAsia="Times New Roman"/>
          <w:sz w:val="24"/>
          <w:szCs w:val="24"/>
        </w:rPr>
        <w:t xml:space="preserve">0 (21). </w:t>
      </w:r>
      <w:r w:rsidRPr="00802A62">
        <w:rPr>
          <w:rFonts w:eastAsia="Times New Roman"/>
          <w:sz w:val="24"/>
          <w:szCs w:val="24"/>
        </w:rPr>
        <w:t>Quality filtered pair-end reads were mapped to respective reference genomes using Bowtie 2 v2.2.5</w:t>
      </w:r>
      <w:r w:rsidR="009E4F0E">
        <w:rPr>
          <w:rFonts w:eastAsia="Times New Roman"/>
          <w:sz w:val="24"/>
          <w:szCs w:val="24"/>
        </w:rPr>
        <w:t xml:space="preserve"> (27).</w:t>
      </w:r>
      <w:r w:rsidRPr="00802A62">
        <w:rPr>
          <w:rFonts w:eastAsia="Times New Roman"/>
          <w:sz w:val="24"/>
          <w:szCs w:val="24"/>
        </w:rPr>
        <w:t xml:space="preserve"> The .bam files generated were parsed for DNA contamination issues by </w:t>
      </w:r>
      <w:r w:rsidR="00F87EF7">
        <w:rPr>
          <w:rFonts w:eastAsia="Times New Roman"/>
          <w:sz w:val="24"/>
          <w:szCs w:val="24"/>
        </w:rPr>
        <w:t>removing</w:t>
      </w:r>
      <w:r w:rsidRPr="00802A62">
        <w:rPr>
          <w:rFonts w:eastAsia="Times New Roman"/>
          <w:sz w:val="24"/>
          <w:szCs w:val="24"/>
        </w:rPr>
        <w:t xml:space="preserve"> reads known to directionally be linked to genomic DNA, then removing an equal number of reads from the RNA pool to account for bias. The precomputed alignments generated by Bowtie 2 were used as input for transcript quantification using Salmon 0.14.2</w:t>
      </w:r>
      <w:r w:rsidR="009E4F0E">
        <w:rPr>
          <w:rFonts w:eastAsia="Times New Roman"/>
          <w:sz w:val="24"/>
          <w:szCs w:val="24"/>
        </w:rPr>
        <w:t xml:space="preserve"> (28).</w:t>
      </w:r>
    </w:p>
    <w:p w14:paraId="5AEC6F8F" w14:textId="77777777" w:rsidR="000C7072" w:rsidRPr="00802A62" w:rsidRDefault="000C7072" w:rsidP="006E624A">
      <w:pPr>
        <w:pStyle w:val="Heading4"/>
      </w:pPr>
      <w:r w:rsidRPr="00802A62">
        <w:t>Differential Expression Analysis </w:t>
      </w:r>
    </w:p>
    <w:p w14:paraId="5037C39F" w14:textId="7AFEAF6E"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The R program DESeq2 was used for differential expression analysis of quantified reads using the likelihood ratio test method</w:t>
      </w:r>
      <w:r w:rsidR="009E4F0E">
        <w:rPr>
          <w:rFonts w:eastAsia="Times New Roman"/>
          <w:sz w:val="24"/>
          <w:szCs w:val="24"/>
        </w:rPr>
        <w:t xml:space="preserve"> (29). </w:t>
      </w:r>
      <w:r w:rsidRPr="00802A62">
        <w:rPr>
          <w:rFonts w:eastAsia="Times New Roman"/>
          <w:sz w:val="24"/>
          <w:szCs w:val="24"/>
        </w:rPr>
        <w:t>Genes that were differentially expressed (adjusted p-value &lt; 0.05, log2FC &lt; -2 or &gt; 2) were annotated using KEGG BlastKOALA</w:t>
      </w:r>
      <w:r w:rsidR="009E4F0E">
        <w:rPr>
          <w:rFonts w:eastAsia="Times New Roman"/>
          <w:sz w:val="24"/>
          <w:szCs w:val="24"/>
        </w:rPr>
        <w:t xml:space="preserve"> (30).</w:t>
      </w:r>
    </w:p>
    <w:p w14:paraId="065896E3" w14:textId="77777777" w:rsidR="000C7072" w:rsidRPr="00802A62" w:rsidRDefault="000C7072" w:rsidP="006E624A">
      <w:pPr>
        <w:pStyle w:val="Heading4"/>
      </w:pPr>
      <w:r w:rsidRPr="00802A62">
        <w:t>Scanning Electron Microscopy of Biofilms </w:t>
      </w:r>
    </w:p>
    <w:p w14:paraId="452A9415" w14:textId="0DB5FCC7"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w:t>
      </w:r>
      <w:r w:rsidRPr="00802A62">
        <w:rPr>
          <w:rFonts w:eastAsia="Times New Roman"/>
          <w:i/>
          <w:iCs/>
          <w:sz w:val="24"/>
          <w:szCs w:val="24"/>
        </w:rPr>
        <w:t xml:space="preserve">Methylomonas </w:t>
      </w:r>
      <w:r w:rsidRPr="00802A62">
        <w:rPr>
          <w:rFonts w:eastAsia="Times New Roman"/>
          <w:sz w:val="24"/>
          <w:szCs w:val="24"/>
        </w:rPr>
        <w:t xml:space="preserve">sp. WSC-7 cells for scanning electron microscopy were grown </w:t>
      </w:r>
      <w:r w:rsidR="00386772">
        <w:rPr>
          <w:rFonts w:eastAsia="Times New Roman"/>
          <w:sz w:val="24"/>
          <w:szCs w:val="24"/>
        </w:rPr>
        <w:t xml:space="preserve">statically </w:t>
      </w:r>
      <w:r w:rsidRPr="00802A62">
        <w:rPr>
          <w:rFonts w:eastAsia="Times New Roman"/>
          <w:sz w:val="24"/>
          <w:szCs w:val="24"/>
        </w:rPr>
        <w:t>to late-log phase in HPB-SMC media with 10% CH</w:t>
      </w:r>
      <w:r w:rsidRPr="00802A62">
        <w:rPr>
          <w:rFonts w:eastAsia="Times New Roman"/>
          <w:sz w:val="24"/>
          <w:szCs w:val="24"/>
          <w:vertAlign w:val="subscript"/>
        </w:rPr>
        <w:t>4</w:t>
      </w:r>
      <w:r w:rsidRPr="00802A62">
        <w:rPr>
          <w:rFonts w:eastAsia="Times New Roman"/>
          <w:sz w:val="24"/>
          <w:szCs w:val="24"/>
        </w:rPr>
        <w:t xml:space="preserve"> added to the headspace of air. Cells were filtered onto a 0.2 mm membrane (Whatman) by vacuum filtration and the filtered cells </w:t>
      </w:r>
      <w:r w:rsidRPr="00802A62">
        <w:rPr>
          <w:rFonts w:eastAsia="Times New Roman"/>
          <w:color w:val="000000"/>
          <w:sz w:val="24"/>
          <w:szCs w:val="24"/>
        </w:rPr>
        <w:t xml:space="preserve">are transferred </w:t>
      </w:r>
      <w:r w:rsidRPr="00802A62">
        <w:rPr>
          <w:rFonts w:eastAsia="Times New Roman"/>
          <w:sz w:val="24"/>
          <w:szCs w:val="24"/>
        </w:rPr>
        <w:t>onto a poly-l-lysine coated slide. </w:t>
      </w:r>
    </w:p>
    <w:p w14:paraId="7AD394BE" w14:textId="330EB63D"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lastRenderedPageBreak/>
        <w:t xml:space="preserve">The cells were then fixed in HPB-SMC medium with 4% glutaraldehyde for </w:t>
      </w:r>
      <w:r w:rsidRPr="00802A62">
        <w:rPr>
          <w:rFonts w:eastAsia="Times New Roman"/>
          <w:color w:val="000000"/>
          <w:sz w:val="24"/>
          <w:szCs w:val="24"/>
        </w:rPr>
        <w:t>17</w:t>
      </w:r>
      <w:r w:rsidRPr="00802A62">
        <w:rPr>
          <w:rFonts w:eastAsia="Times New Roman"/>
          <w:color w:val="FF0000"/>
          <w:sz w:val="24"/>
          <w:szCs w:val="24"/>
        </w:rPr>
        <w:t xml:space="preserve"> </w:t>
      </w:r>
      <w:r w:rsidRPr="00802A62">
        <w:rPr>
          <w:rFonts w:eastAsia="Times New Roman"/>
          <w:sz w:val="24"/>
          <w:szCs w:val="24"/>
        </w:rPr>
        <w:t>hours at room temperature and then washed for 10 minutes, three times in HPB-SMC medium to remove excess fixative. After fixation, cells were immersed in a 1% OsO</w:t>
      </w:r>
      <w:r w:rsidRPr="00802A62">
        <w:rPr>
          <w:rFonts w:eastAsia="Times New Roman"/>
          <w:sz w:val="24"/>
          <w:szCs w:val="24"/>
          <w:vertAlign w:val="subscript"/>
        </w:rPr>
        <w:t>4</w:t>
      </w:r>
      <w:r w:rsidRPr="00802A62">
        <w:rPr>
          <w:rFonts w:eastAsia="Times New Roman"/>
          <w:sz w:val="24"/>
          <w:szCs w:val="24"/>
        </w:rPr>
        <w:t xml:space="preserve"> solution in modified NMS medium at 4 °C for 1 hour and washed again with deionized water to remove the excess solution. Cells were then dehydrated by immersion for 10 minutes each in 25%, 50%, 70%, 85%, 95%, and three times in 100% ethanol (in deionized water). Critical point drying occurred using a Tousimis Autosamdri-814 and samples were sputter coated with a thin layer (~ 4 nm) of iridium (Ir) using an EMS Quorum Q150 ES Plus sputter coater. Imaging of the biofilms was performed at the University of Oklahoma Samuel Roberts Noble Microscopy Laboratory using a Zeiss Neon 40 EsB field emission scanning electron microscope at 5 kV. </w:t>
      </w:r>
    </w:p>
    <w:p w14:paraId="21FE40F9" w14:textId="77777777" w:rsidR="000C7072" w:rsidRPr="00802A62" w:rsidRDefault="000C7072" w:rsidP="006E624A">
      <w:pPr>
        <w:pStyle w:val="Heading3"/>
        <w:rPr>
          <w:rFonts w:eastAsia="Times New Roman"/>
        </w:rPr>
      </w:pPr>
      <w:bookmarkStart w:id="54" w:name="_Toc167115834"/>
      <w:r w:rsidRPr="00802A62">
        <w:rPr>
          <w:rFonts w:eastAsia="Times New Roman"/>
        </w:rPr>
        <w:t>Results</w:t>
      </w:r>
      <w:bookmarkEnd w:id="54"/>
      <w:r w:rsidRPr="00802A62">
        <w:rPr>
          <w:rFonts w:eastAsia="Times New Roman"/>
        </w:rPr>
        <w:t> </w:t>
      </w:r>
    </w:p>
    <w:p w14:paraId="320F655A" w14:textId="77777777" w:rsidR="000C7072" w:rsidRPr="00802A62" w:rsidRDefault="000C7072" w:rsidP="006E624A">
      <w:pPr>
        <w:pStyle w:val="Heading4"/>
      </w:pPr>
      <w:r w:rsidRPr="00802A62">
        <w:t xml:space="preserve">Effect of Catalase and Oxygen Concentration on </w:t>
      </w:r>
      <w:r w:rsidRPr="00802A62">
        <w:rPr>
          <w:i/>
          <w:iCs/>
        </w:rPr>
        <w:t xml:space="preserve">M. trichosporium </w:t>
      </w:r>
      <w:r w:rsidRPr="00802A62">
        <w:t xml:space="preserve">OB3b and </w:t>
      </w:r>
      <w:r w:rsidRPr="00802A62">
        <w:rPr>
          <w:i/>
          <w:iCs/>
        </w:rPr>
        <w:t xml:space="preserve">Methylomonas </w:t>
      </w:r>
      <w:r w:rsidRPr="00802A62">
        <w:t>sp. WSC-7 Methane Oxidation Rate </w:t>
      </w:r>
    </w:p>
    <w:p w14:paraId="13AFFFD2" w14:textId="6AC8221C" w:rsidR="000C7072" w:rsidRDefault="000C7072" w:rsidP="000C7072">
      <w:pPr>
        <w:spacing w:line="480" w:lineRule="auto"/>
        <w:textAlignment w:val="baseline"/>
        <w:rPr>
          <w:rFonts w:eastAsia="Times New Roman"/>
          <w:sz w:val="24"/>
          <w:szCs w:val="24"/>
        </w:rPr>
      </w:pPr>
      <w:r w:rsidRPr="347D99D0">
        <w:rPr>
          <w:rFonts w:eastAsia="Times New Roman"/>
          <w:sz w:val="24"/>
          <w:szCs w:val="24"/>
        </w:rPr>
        <w:t xml:space="preserve">The </w:t>
      </w:r>
      <w:r w:rsidR="00EE0A6F">
        <w:rPr>
          <w:rFonts w:eastAsia="Times New Roman"/>
          <w:sz w:val="24"/>
          <w:szCs w:val="24"/>
        </w:rPr>
        <w:t xml:space="preserve">methane oxidation rate (MOR) </w:t>
      </w:r>
      <w:r w:rsidRPr="347D99D0">
        <w:rPr>
          <w:rFonts w:eastAsia="Times New Roman"/>
          <w:sz w:val="24"/>
          <w:szCs w:val="24"/>
        </w:rPr>
        <w:t xml:space="preserve">was measured for both </w:t>
      </w:r>
      <w:r w:rsidRPr="347D99D0">
        <w:rPr>
          <w:rFonts w:eastAsia="Times New Roman"/>
          <w:i/>
          <w:iCs/>
          <w:sz w:val="24"/>
          <w:szCs w:val="24"/>
        </w:rPr>
        <w:t>M. trichosporium</w:t>
      </w:r>
      <w:r w:rsidRPr="347D99D0">
        <w:rPr>
          <w:rFonts w:eastAsia="Times New Roman"/>
          <w:sz w:val="24"/>
          <w:szCs w:val="24"/>
        </w:rPr>
        <w:t xml:space="preserve"> OB3b and </w:t>
      </w:r>
      <w:r w:rsidRPr="347D99D0">
        <w:rPr>
          <w:rFonts w:eastAsia="Times New Roman"/>
          <w:i/>
          <w:iCs/>
          <w:sz w:val="24"/>
          <w:szCs w:val="24"/>
        </w:rPr>
        <w:t>Methylomonas</w:t>
      </w:r>
      <w:r w:rsidRPr="347D99D0">
        <w:rPr>
          <w:rFonts w:eastAsia="Times New Roman"/>
          <w:sz w:val="24"/>
          <w:szCs w:val="24"/>
        </w:rPr>
        <w:t xml:space="preserve"> sp. WSC-7 across </w:t>
      </w:r>
      <w:r w:rsidR="0054346B" w:rsidRPr="347D99D0">
        <w:rPr>
          <w:rFonts w:eastAsia="Times New Roman"/>
          <w:sz w:val="24"/>
          <w:szCs w:val="24"/>
        </w:rPr>
        <w:t>the three treatments</w:t>
      </w:r>
      <w:r w:rsidRPr="347D99D0">
        <w:rPr>
          <w:rFonts w:eastAsia="Times New Roman"/>
          <w:sz w:val="24"/>
          <w:szCs w:val="24"/>
        </w:rPr>
        <w:t xml:space="preserve">. Both </w:t>
      </w:r>
      <w:r w:rsidRPr="347D99D0">
        <w:rPr>
          <w:rFonts w:eastAsia="Times New Roman"/>
          <w:i/>
          <w:iCs/>
          <w:sz w:val="24"/>
          <w:szCs w:val="24"/>
        </w:rPr>
        <w:t>M. trichosporium</w:t>
      </w:r>
      <w:r w:rsidRPr="347D99D0">
        <w:rPr>
          <w:rFonts w:eastAsia="Times New Roman"/>
          <w:sz w:val="24"/>
          <w:szCs w:val="24"/>
        </w:rPr>
        <w:t xml:space="preserve"> OB3b and </w:t>
      </w:r>
      <w:r w:rsidRPr="347D99D0">
        <w:rPr>
          <w:rFonts w:eastAsia="Times New Roman"/>
          <w:i/>
          <w:iCs/>
          <w:sz w:val="24"/>
          <w:szCs w:val="24"/>
        </w:rPr>
        <w:t>Methylomonas</w:t>
      </w:r>
      <w:r w:rsidRPr="347D99D0">
        <w:rPr>
          <w:rFonts w:eastAsia="Times New Roman"/>
          <w:sz w:val="24"/>
          <w:szCs w:val="24"/>
        </w:rPr>
        <w:t xml:space="preserve"> sp. WSC-7 had a significantly higher </w:t>
      </w:r>
      <w:r w:rsidR="00EE0A6F">
        <w:rPr>
          <w:rFonts w:eastAsia="Times New Roman"/>
          <w:sz w:val="24"/>
          <w:szCs w:val="24"/>
        </w:rPr>
        <w:t xml:space="preserve">MOR </w:t>
      </w:r>
      <w:r w:rsidRPr="347D99D0">
        <w:rPr>
          <w:rFonts w:eastAsia="Times New Roman"/>
          <w:sz w:val="24"/>
          <w:szCs w:val="24"/>
        </w:rPr>
        <w:t xml:space="preserve">under the catalase amended conditions compared to both the high oxygen condition and the low oxygen condition. Also, </w:t>
      </w:r>
      <w:r w:rsidR="007F1934">
        <w:rPr>
          <w:rFonts w:eastAsia="Times New Roman"/>
          <w:sz w:val="24"/>
          <w:szCs w:val="24"/>
        </w:rPr>
        <w:t>MOR</w:t>
      </w:r>
      <w:r w:rsidRPr="347D99D0">
        <w:rPr>
          <w:rFonts w:eastAsia="Times New Roman"/>
          <w:sz w:val="24"/>
          <w:szCs w:val="24"/>
        </w:rPr>
        <w:t xml:space="preserve"> was higher in the high oxygen condition with no catalase compared to the low oxygen condition for both strains. (</w:t>
      </w:r>
      <w:r w:rsidRPr="347D99D0">
        <w:rPr>
          <w:rFonts w:eastAsia="Times New Roman"/>
          <w:b/>
          <w:bCs/>
          <w:sz w:val="24"/>
          <w:szCs w:val="24"/>
        </w:rPr>
        <w:t>Fig. 1</w:t>
      </w:r>
      <w:r w:rsidRPr="347D99D0">
        <w:rPr>
          <w:rFonts w:eastAsia="Times New Roman"/>
          <w:sz w:val="24"/>
          <w:szCs w:val="24"/>
        </w:rPr>
        <w:t>).   </w:t>
      </w:r>
    </w:p>
    <w:p w14:paraId="1663D0E2" w14:textId="403E9CF0" w:rsidR="000C7072" w:rsidRPr="00802A62" w:rsidRDefault="00C208FB" w:rsidP="000C7072">
      <w:pPr>
        <w:spacing w:line="480" w:lineRule="auto"/>
        <w:textAlignment w:val="baseline"/>
        <w:rPr>
          <w:rFonts w:eastAsia="Times New Roman"/>
          <w:sz w:val="24"/>
          <w:szCs w:val="24"/>
        </w:rPr>
      </w:pPr>
      <w:r>
        <w:rPr>
          <w:rFonts w:eastAsia="Times New Roman"/>
          <w:noProof/>
          <w:sz w:val="24"/>
          <w:szCs w:val="24"/>
          <w14:ligatures w14:val="standardContextual"/>
        </w:rPr>
        <w:lastRenderedPageBreak/>
        <w:drawing>
          <wp:inline distT="0" distB="0" distL="0" distR="0" wp14:anchorId="3D178A70" wp14:editId="10713909">
            <wp:extent cx="5943600" cy="3759200"/>
            <wp:effectExtent l="0" t="0" r="0" b="0"/>
            <wp:docPr id="2142882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82788" name="Picture 21428827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759200"/>
                    </a:xfrm>
                    <a:prstGeom prst="rect">
                      <a:avLst/>
                    </a:prstGeom>
                  </pic:spPr>
                </pic:pic>
              </a:graphicData>
            </a:graphic>
          </wp:inline>
        </w:drawing>
      </w:r>
    </w:p>
    <w:p w14:paraId="20650600" w14:textId="47626FD2" w:rsidR="00044CFD" w:rsidRPr="00044CFD" w:rsidRDefault="00044CFD" w:rsidP="006A2F31">
      <w:pPr>
        <w:pStyle w:val="Heading5"/>
      </w:pPr>
      <w:bookmarkStart w:id="55" w:name="_Toc161933726"/>
      <w:bookmarkStart w:id="56" w:name="_Toc161935363"/>
      <w:r>
        <w:t>Figure 1: Methane oxidation rates of MOB in Changing Oxygen Conditions</w:t>
      </w:r>
      <w:bookmarkEnd w:id="55"/>
      <w:bookmarkEnd w:id="56"/>
    </w:p>
    <w:p w14:paraId="61F5D1C3" w14:textId="731C513A" w:rsidR="000C7072" w:rsidRPr="00802A62" w:rsidRDefault="000C7072" w:rsidP="006E624A">
      <w:pPr>
        <w:pStyle w:val="Heading4"/>
      </w:pPr>
      <w:r w:rsidRPr="00802A62">
        <w:t xml:space="preserve">RNA-seq of </w:t>
      </w:r>
      <w:r w:rsidRPr="00802A62">
        <w:rPr>
          <w:i/>
          <w:iCs/>
        </w:rPr>
        <w:t xml:space="preserve">M. trichosporium </w:t>
      </w:r>
      <w:r w:rsidRPr="00802A62">
        <w:t xml:space="preserve">OB3b and </w:t>
      </w:r>
      <w:r w:rsidRPr="00802A62">
        <w:rPr>
          <w:i/>
          <w:iCs/>
        </w:rPr>
        <w:t xml:space="preserve">Methylomonas </w:t>
      </w:r>
      <w:r w:rsidRPr="00802A62">
        <w:t>sp. WSC-7 </w:t>
      </w:r>
    </w:p>
    <w:p w14:paraId="23D49F7A" w14:textId="3C9EB6B3"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To explain these trends in the </w:t>
      </w:r>
      <w:r w:rsidR="007F1934">
        <w:rPr>
          <w:rFonts w:eastAsia="Times New Roman"/>
          <w:sz w:val="24"/>
          <w:szCs w:val="24"/>
        </w:rPr>
        <w:t>MORs</w:t>
      </w:r>
      <w:r w:rsidRPr="00802A62">
        <w:rPr>
          <w:rFonts w:eastAsia="Times New Roman"/>
          <w:sz w:val="24"/>
          <w:szCs w:val="24"/>
        </w:rPr>
        <w:t xml:space="preserve"> and the overall physiological response to oxygen concentration and catalase on the two strains, gene expression profiles were analyzed by DESeq2. The likelihood ratio test (LRT) of our differential gene expression analysis demonstrated that 136 genes were significa</w:t>
      </w:r>
      <w:r w:rsidR="00B4445B">
        <w:rPr>
          <w:rFonts w:eastAsia="Times New Roman"/>
          <w:sz w:val="24"/>
          <w:szCs w:val="24"/>
        </w:rPr>
        <w:t>ntly</w:t>
      </w:r>
      <w:r w:rsidRPr="00802A62">
        <w:rPr>
          <w:rFonts w:eastAsia="Times New Roman"/>
          <w:sz w:val="24"/>
          <w:szCs w:val="24"/>
        </w:rPr>
        <w:t xml:space="preserve"> differentially expressed (log2 Fold Change &gt; 2.0 or &lt; -2.0 &amp; adjusted p-value &lt; 0.05) by </w:t>
      </w:r>
      <w:r w:rsidRPr="00802A62">
        <w:rPr>
          <w:rFonts w:eastAsia="Times New Roman"/>
          <w:i/>
          <w:iCs/>
          <w:sz w:val="24"/>
          <w:szCs w:val="24"/>
        </w:rPr>
        <w:t xml:space="preserve">M. trichosporium </w:t>
      </w:r>
      <w:r w:rsidRPr="00802A62">
        <w:rPr>
          <w:rFonts w:eastAsia="Times New Roman"/>
          <w:sz w:val="24"/>
          <w:szCs w:val="24"/>
        </w:rPr>
        <w:t xml:space="preserve">OB3b across all conditions and that 998 genes were differentially expressed by </w:t>
      </w:r>
      <w:r w:rsidRPr="00802A62">
        <w:rPr>
          <w:rFonts w:eastAsia="Times New Roman"/>
          <w:i/>
          <w:iCs/>
          <w:sz w:val="24"/>
          <w:szCs w:val="24"/>
        </w:rPr>
        <w:t xml:space="preserve">Methylomonas </w:t>
      </w:r>
      <w:r w:rsidRPr="00802A62">
        <w:rPr>
          <w:rFonts w:eastAsia="Times New Roman"/>
          <w:sz w:val="24"/>
          <w:szCs w:val="24"/>
        </w:rPr>
        <w:t xml:space="preserve">sp. WSC-7. The differentially expressed genes were annotated by KEGG’s BlastKOALA. A total of 55 differentially expressed genes from </w:t>
      </w:r>
      <w:r w:rsidRPr="00802A62">
        <w:rPr>
          <w:rFonts w:eastAsia="Times New Roman"/>
          <w:i/>
          <w:iCs/>
          <w:sz w:val="24"/>
          <w:szCs w:val="24"/>
        </w:rPr>
        <w:t xml:space="preserve">M. trichosporium </w:t>
      </w:r>
      <w:r w:rsidRPr="00802A62">
        <w:rPr>
          <w:rFonts w:eastAsia="Times New Roman"/>
          <w:sz w:val="24"/>
          <w:szCs w:val="24"/>
        </w:rPr>
        <w:t xml:space="preserve">OB3b and 599 genes from </w:t>
      </w:r>
      <w:r w:rsidRPr="00802A62">
        <w:rPr>
          <w:rFonts w:eastAsia="Times New Roman"/>
          <w:i/>
          <w:iCs/>
          <w:sz w:val="24"/>
          <w:szCs w:val="24"/>
        </w:rPr>
        <w:t xml:space="preserve">Methylomonas </w:t>
      </w:r>
      <w:r w:rsidRPr="00802A62">
        <w:rPr>
          <w:rFonts w:eastAsia="Times New Roman"/>
          <w:sz w:val="24"/>
          <w:szCs w:val="24"/>
        </w:rPr>
        <w:t>sp. WSC-7 were annotated.   </w:t>
      </w:r>
    </w:p>
    <w:p w14:paraId="2EF6C4B7" w14:textId="77777777" w:rsidR="000C7072" w:rsidRPr="00802A62" w:rsidRDefault="000C7072" w:rsidP="006E624A">
      <w:pPr>
        <w:pStyle w:val="Heading4"/>
      </w:pPr>
      <w:r w:rsidRPr="00802A62">
        <w:rPr>
          <w:i/>
          <w:iCs/>
        </w:rPr>
        <w:lastRenderedPageBreak/>
        <w:t xml:space="preserve">M. trichosporium </w:t>
      </w:r>
      <w:r w:rsidRPr="00802A62">
        <w:t xml:space="preserve">OB3b &amp; </w:t>
      </w:r>
      <w:r w:rsidRPr="00802A62">
        <w:rPr>
          <w:i/>
          <w:iCs/>
        </w:rPr>
        <w:t xml:space="preserve">Methylomonas </w:t>
      </w:r>
      <w:r w:rsidRPr="00802A62">
        <w:t>sp. WSC-7 ROS Gene Expression </w:t>
      </w:r>
    </w:p>
    <w:p w14:paraId="5CBF159A" w14:textId="31DA2852" w:rsidR="000C7072" w:rsidRDefault="000C7072" w:rsidP="000C7072">
      <w:pPr>
        <w:spacing w:line="480" w:lineRule="auto"/>
        <w:textAlignment w:val="baseline"/>
        <w:rPr>
          <w:rFonts w:eastAsia="Times New Roman"/>
          <w:sz w:val="24"/>
          <w:szCs w:val="24"/>
        </w:rPr>
      </w:pPr>
      <w:r w:rsidRPr="00802A62">
        <w:rPr>
          <w:rFonts w:eastAsia="Times New Roman"/>
          <w:sz w:val="24"/>
          <w:szCs w:val="24"/>
        </w:rPr>
        <w:t>There were notable differences in the ROS gene expression profiles across different conditions. </w:t>
      </w:r>
      <w:r w:rsidRPr="347D99D0">
        <w:rPr>
          <w:rFonts w:eastAsia="Times New Roman"/>
          <w:i/>
          <w:iCs/>
          <w:sz w:val="24"/>
          <w:szCs w:val="24"/>
        </w:rPr>
        <w:t xml:space="preserve">M. trichosporium </w:t>
      </w:r>
      <w:r w:rsidRPr="347D99D0">
        <w:rPr>
          <w:rFonts w:eastAsia="Times New Roman"/>
          <w:sz w:val="24"/>
          <w:szCs w:val="24"/>
        </w:rPr>
        <w:t>OB3b overexpressed a cytochrome c peroxidase gene when grow</w:t>
      </w:r>
      <w:r w:rsidR="006042BB">
        <w:rPr>
          <w:rFonts w:eastAsia="Times New Roman"/>
          <w:sz w:val="24"/>
          <w:szCs w:val="24"/>
        </w:rPr>
        <w:t>n</w:t>
      </w:r>
      <w:r w:rsidRPr="347D99D0">
        <w:rPr>
          <w:rFonts w:eastAsia="Times New Roman"/>
          <w:sz w:val="24"/>
          <w:szCs w:val="24"/>
        </w:rPr>
        <w:t xml:space="preserve"> at high oxygen. Expression of this gene decreased when grow</w:t>
      </w:r>
      <w:r w:rsidR="006042BB">
        <w:rPr>
          <w:rFonts w:eastAsia="Times New Roman"/>
          <w:sz w:val="24"/>
          <w:szCs w:val="24"/>
        </w:rPr>
        <w:t>n</w:t>
      </w:r>
      <w:r w:rsidRPr="347D99D0">
        <w:rPr>
          <w:rFonts w:eastAsia="Times New Roman"/>
          <w:sz w:val="24"/>
          <w:szCs w:val="24"/>
        </w:rPr>
        <w:t xml:space="preserve"> with catalase and decreased even more when grow</w:t>
      </w:r>
      <w:r w:rsidR="006042BB">
        <w:rPr>
          <w:rFonts w:eastAsia="Times New Roman"/>
          <w:sz w:val="24"/>
          <w:szCs w:val="24"/>
        </w:rPr>
        <w:t>n</w:t>
      </w:r>
      <w:r w:rsidRPr="347D99D0">
        <w:rPr>
          <w:rFonts w:eastAsia="Times New Roman"/>
          <w:sz w:val="24"/>
          <w:szCs w:val="24"/>
        </w:rPr>
        <w:t xml:space="preserve"> at low oxygen (</w:t>
      </w:r>
      <w:r w:rsidRPr="347D99D0">
        <w:rPr>
          <w:rFonts w:eastAsia="Times New Roman"/>
          <w:b/>
          <w:bCs/>
          <w:sz w:val="24"/>
          <w:szCs w:val="24"/>
        </w:rPr>
        <w:t>Fig. 2</w:t>
      </w:r>
      <w:r w:rsidRPr="347D99D0">
        <w:rPr>
          <w:rFonts w:eastAsia="Times New Roman"/>
          <w:sz w:val="24"/>
          <w:szCs w:val="24"/>
        </w:rPr>
        <w:t xml:space="preserve">). The same trend can be observed for the </w:t>
      </w:r>
      <w:r w:rsidRPr="347D99D0">
        <w:rPr>
          <w:rFonts w:eastAsia="Times New Roman"/>
          <w:i/>
          <w:iCs/>
          <w:sz w:val="24"/>
          <w:szCs w:val="24"/>
        </w:rPr>
        <w:t xml:space="preserve">katG </w:t>
      </w:r>
      <w:r w:rsidRPr="347D99D0">
        <w:rPr>
          <w:rFonts w:eastAsia="Times New Roman"/>
          <w:sz w:val="24"/>
          <w:szCs w:val="24"/>
        </w:rPr>
        <w:t xml:space="preserve">gene encoding for catalase-peroxidase in OB3b. However, the change in expression is not statistically significant (adjusted p-value = 0.14). Additionally, </w:t>
      </w:r>
      <w:r w:rsidR="006042BB">
        <w:rPr>
          <w:rFonts w:eastAsia="Times New Roman"/>
          <w:sz w:val="24"/>
          <w:szCs w:val="24"/>
        </w:rPr>
        <w:t xml:space="preserve">in OB3b </w:t>
      </w:r>
      <w:r w:rsidRPr="347D99D0">
        <w:rPr>
          <w:rFonts w:eastAsia="Times New Roman"/>
          <w:sz w:val="24"/>
          <w:szCs w:val="24"/>
        </w:rPr>
        <w:t xml:space="preserve">a gene encoding for superoxide dismutase was </w:t>
      </w:r>
      <w:r w:rsidR="006042BB">
        <w:rPr>
          <w:rFonts w:eastAsia="Times New Roman"/>
          <w:sz w:val="24"/>
          <w:szCs w:val="24"/>
        </w:rPr>
        <w:t>underexpressed</w:t>
      </w:r>
      <w:r w:rsidRPr="347D99D0">
        <w:rPr>
          <w:rFonts w:eastAsia="Times New Roman"/>
          <w:sz w:val="24"/>
          <w:szCs w:val="24"/>
        </w:rPr>
        <w:t xml:space="preserve"> in the catalase condition compared to both the high oxygen and low oxygen conditions. This same gene was expressed the greatest in the low oxygen condition (</w:t>
      </w:r>
      <w:r w:rsidRPr="347D99D0">
        <w:rPr>
          <w:rFonts w:eastAsia="Times New Roman"/>
          <w:b/>
          <w:bCs/>
          <w:sz w:val="24"/>
          <w:szCs w:val="24"/>
        </w:rPr>
        <w:t>Fig. 2</w:t>
      </w:r>
      <w:r w:rsidRPr="347D99D0">
        <w:rPr>
          <w:rFonts w:eastAsia="Times New Roman"/>
          <w:sz w:val="24"/>
          <w:szCs w:val="24"/>
        </w:rPr>
        <w:t xml:space="preserve">). The decreased expression of these genes when catalase is added to the growth medium further implies that these genes are involved in ROS remediation and that </w:t>
      </w:r>
      <w:r w:rsidR="00C805EB">
        <w:rPr>
          <w:rFonts w:eastAsia="Times New Roman"/>
          <w:sz w:val="24"/>
          <w:szCs w:val="24"/>
        </w:rPr>
        <w:t xml:space="preserve">the </w:t>
      </w:r>
      <w:r w:rsidRPr="347D99D0">
        <w:rPr>
          <w:rFonts w:eastAsia="Times New Roman"/>
          <w:sz w:val="24"/>
          <w:szCs w:val="24"/>
        </w:rPr>
        <w:t>addition of catalase may aid in ROS remediation during growth on methane, reducing the need for OB3b to produce ROS defense enzymes.  </w:t>
      </w:r>
    </w:p>
    <w:p w14:paraId="14C9BE24" w14:textId="03B84FC2" w:rsidR="000C7072" w:rsidRDefault="00302C65" w:rsidP="000C7072">
      <w:pPr>
        <w:spacing w:line="480" w:lineRule="auto"/>
        <w:textAlignment w:val="baseline"/>
        <w:rPr>
          <w:rFonts w:eastAsia="Times New Roman"/>
          <w:sz w:val="24"/>
          <w:szCs w:val="24"/>
        </w:rPr>
      </w:pPr>
      <w:r>
        <w:rPr>
          <w:rFonts w:eastAsia="Times New Roman"/>
          <w:noProof/>
          <w:sz w:val="24"/>
          <w:szCs w:val="24"/>
          <w14:ligatures w14:val="standardContextual"/>
        </w:rPr>
        <w:lastRenderedPageBreak/>
        <mc:AlternateContent>
          <mc:Choice Requires="wps">
            <w:drawing>
              <wp:anchor distT="0" distB="0" distL="114300" distR="114300" simplePos="0" relativeHeight="251659264" behindDoc="0" locked="0" layoutInCell="1" allowOverlap="1" wp14:anchorId="2BE53CE3" wp14:editId="248EA794">
                <wp:simplePos x="0" y="0"/>
                <wp:positionH relativeFrom="column">
                  <wp:posOffset>115747</wp:posOffset>
                </wp:positionH>
                <wp:positionV relativeFrom="paragraph">
                  <wp:posOffset>3559215</wp:posOffset>
                </wp:positionV>
                <wp:extent cx="5714469" cy="897890"/>
                <wp:effectExtent l="0" t="0" r="635" b="3810"/>
                <wp:wrapNone/>
                <wp:docPr id="194344855" name="Text Box 3"/>
                <wp:cNvGraphicFramePr/>
                <a:graphic xmlns:a="http://schemas.openxmlformats.org/drawingml/2006/main">
                  <a:graphicData uri="http://schemas.microsoft.com/office/word/2010/wordprocessingShape">
                    <wps:wsp>
                      <wps:cNvSpPr txBox="1"/>
                      <wps:spPr>
                        <a:xfrm>
                          <a:off x="0" y="0"/>
                          <a:ext cx="5714469" cy="897890"/>
                        </a:xfrm>
                        <a:prstGeom prst="rect">
                          <a:avLst/>
                        </a:prstGeom>
                        <a:solidFill>
                          <a:schemeClr val="lt1"/>
                        </a:solidFill>
                        <a:ln w="6350">
                          <a:noFill/>
                        </a:ln>
                      </wps:spPr>
                      <wps:txbx>
                        <w:txbxContent>
                          <w:p w14:paraId="7D1AFC4E" w14:textId="702B1895" w:rsidR="000C7072" w:rsidRPr="00802A62" w:rsidRDefault="000C7072" w:rsidP="000C7072">
                            <w:pPr>
                              <w:spacing w:line="240" w:lineRule="auto"/>
                              <w:textAlignment w:val="baseline"/>
                              <w:rPr>
                                <w:rFonts w:eastAsia="Times New Roman"/>
                                <w:sz w:val="24"/>
                                <w:szCs w:val="24"/>
                              </w:rPr>
                            </w:pPr>
                            <w:r w:rsidRPr="000C7072">
                              <w:rPr>
                                <w:rFonts w:eastAsia="Times New Roman"/>
                                <w:b/>
                                <w:bCs/>
                                <w:sz w:val="24"/>
                                <w:szCs w:val="24"/>
                              </w:rPr>
                              <w:t>Figure 2:</w:t>
                            </w:r>
                            <w:r>
                              <w:rPr>
                                <w:rFonts w:eastAsia="Times New Roman"/>
                                <w:sz w:val="24"/>
                                <w:szCs w:val="24"/>
                              </w:rPr>
                              <w:t xml:space="preserve"> Normalized counts of Cytochrome c Peroxidase and Superoxide Dismutase genes in </w:t>
                            </w:r>
                            <w:r>
                              <w:rPr>
                                <w:rFonts w:eastAsia="Times New Roman"/>
                                <w:i/>
                                <w:iCs/>
                                <w:sz w:val="24"/>
                                <w:szCs w:val="24"/>
                              </w:rPr>
                              <w:t xml:space="preserve">M. trichosporium </w:t>
                            </w:r>
                            <w:r>
                              <w:rPr>
                                <w:rFonts w:eastAsia="Times New Roman"/>
                                <w:sz w:val="24"/>
                                <w:szCs w:val="24"/>
                              </w:rPr>
                              <w:t>OB3b across high oxygen, low oxygen, and catalase containing conditions. Data are shown as the +/- standard deviation of triplicate samples.</w:t>
                            </w:r>
                            <w:r>
                              <w:rPr>
                                <w:rFonts w:eastAsia="Times New Roman"/>
                                <w:i/>
                                <w:iCs/>
                                <w:sz w:val="24"/>
                                <w:szCs w:val="24"/>
                              </w:rPr>
                              <w:t xml:space="preserve"> </w:t>
                            </w:r>
                            <w:r>
                              <w:rPr>
                                <w:rFonts w:eastAsia="Times New Roman"/>
                                <w:sz w:val="24"/>
                                <w:szCs w:val="24"/>
                              </w:rPr>
                              <w:t xml:space="preserve"> </w:t>
                            </w:r>
                          </w:p>
                          <w:p w14:paraId="3385DC3B" w14:textId="77777777" w:rsidR="000C7072" w:rsidRDefault="000C70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E53CE3" id="_x0000_t202" coordsize="21600,21600" o:spt="202" path="m,l,21600r21600,l21600,xe">
                <v:stroke joinstyle="miter"/>
                <v:path gradientshapeok="t" o:connecttype="rect"/>
              </v:shapetype>
              <v:shape id="Text Box 3" o:spid="_x0000_s1026" type="#_x0000_t202" style="position:absolute;margin-left:9.1pt;margin-top:280.25pt;width:449.95pt;height:7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" fillcolor="white [3201]" stroked="f" strokeweight=".5pt">
                <v:textbox>
                  <w:txbxContent>
                    <w:p w14:paraId="7D1AFC4E" w14:textId="702B1895" w:rsidR="000C7072" w:rsidRPr="00802A62" w:rsidRDefault="000C7072" w:rsidP="000C7072">
                      <w:pPr>
                        <w:spacing w:line="240" w:lineRule="auto"/>
                        <w:textAlignment w:val="baseline"/>
                        <w:rPr>
                          <w:rFonts w:eastAsia="Times New Roman"/>
                          <w:sz w:val="24"/>
                          <w:szCs w:val="24"/>
                        </w:rPr>
                      </w:pPr>
                      <w:r w:rsidRPr="000C7072">
                        <w:rPr>
                          <w:rFonts w:eastAsia="Times New Roman"/>
                          <w:b/>
                          <w:bCs/>
                          <w:sz w:val="24"/>
                          <w:szCs w:val="24"/>
                        </w:rPr>
                        <w:t>Figure 2:</w:t>
                      </w:r>
                      <w:r>
                        <w:rPr>
                          <w:rFonts w:eastAsia="Times New Roman"/>
                          <w:sz w:val="24"/>
                          <w:szCs w:val="24"/>
                        </w:rPr>
                        <w:t xml:space="preserve"> Normalized counts of Cytochrome c Peroxidase and Superoxide Dismutase genes in </w:t>
                      </w:r>
                      <w:r>
                        <w:rPr>
                          <w:rFonts w:eastAsia="Times New Roman"/>
                          <w:i/>
                          <w:iCs/>
                          <w:sz w:val="24"/>
                          <w:szCs w:val="24"/>
                        </w:rPr>
                        <w:t xml:space="preserve">M. trichosporium </w:t>
                      </w:r>
                      <w:r>
                        <w:rPr>
                          <w:rFonts w:eastAsia="Times New Roman"/>
                          <w:sz w:val="24"/>
                          <w:szCs w:val="24"/>
                        </w:rPr>
                        <w:t>OB3b across high oxygen, low oxygen, and catalase containing conditions. Data are shown as the +/- standard deviation of triplicate samples.</w:t>
                      </w:r>
                      <w:r>
                        <w:rPr>
                          <w:rFonts w:eastAsia="Times New Roman"/>
                          <w:i/>
                          <w:iCs/>
                          <w:sz w:val="24"/>
                          <w:szCs w:val="24"/>
                        </w:rPr>
                        <w:t xml:space="preserve"> </w:t>
                      </w:r>
                      <w:r>
                        <w:rPr>
                          <w:rFonts w:eastAsia="Times New Roman"/>
                          <w:sz w:val="24"/>
                          <w:szCs w:val="24"/>
                        </w:rPr>
                        <w:t xml:space="preserve"> </w:t>
                      </w:r>
                    </w:p>
                    <w:p w14:paraId="3385DC3B" w14:textId="77777777" w:rsidR="000C7072" w:rsidRDefault="000C7072"/>
                  </w:txbxContent>
                </v:textbox>
              </v:shape>
            </w:pict>
          </mc:Fallback>
        </mc:AlternateContent>
      </w:r>
      <w:r>
        <w:rPr>
          <w:rFonts w:eastAsia="Times New Roman"/>
          <w:noProof/>
          <w:sz w:val="24"/>
          <w:szCs w:val="24"/>
          <w14:ligatures w14:val="standardContextual"/>
        </w:rPr>
        <w:drawing>
          <wp:anchor distT="0" distB="0" distL="114300" distR="114300" simplePos="0" relativeHeight="251675648" behindDoc="1" locked="0" layoutInCell="1" allowOverlap="1" wp14:anchorId="33106CAD" wp14:editId="145F174F">
            <wp:simplePos x="0" y="0"/>
            <wp:positionH relativeFrom="column">
              <wp:posOffset>114300</wp:posOffset>
            </wp:positionH>
            <wp:positionV relativeFrom="paragraph">
              <wp:posOffset>0</wp:posOffset>
            </wp:positionV>
            <wp:extent cx="5715000" cy="3559810"/>
            <wp:effectExtent l="0" t="0" r="0" b="0"/>
            <wp:wrapTight wrapText="bothSides">
              <wp:wrapPolygon edited="0">
                <wp:start x="0" y="0"/>
                <wp:lineTo x="0" y="21500"/>
                <wp:lineTo x="21552" y="21500"/>
                <wp:lineTo x="21552" y="0"/>
                <wp:lineTo x="0" y="0"/>
              </wp:wrapPolygon>
            </wp:wrapTight>
            <wp:docPr id="1288795869" name="Picture 2"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95869" name="Picture 2" descr="A graph of different colored bar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15000" cy="3559810"/>
                    </a:xfrm>
                    <a:prstGeom prst="rect">
                      <a:avLst/>
                    </a:prstGeom>
                  </pic:spPr>
                </pic:pic>
              </a:graphicData>
            </a:graphic>
            <wp14:sizeRelH relativeFrom="page">
              <wp14:pctWidth>0</wp14:pctWidth>
            </wp14:sizeRelH>
            <wp14:sizeRelV relativeFrom="page">
              <wp14:pctHeight>0</wp14:pctHeight>
            </wp14:sizeRelV>
          </wp:anchor>
        </w:drawing>
      </w:r>
    </w:p>
    <w:p w14:paraId="1743D3BE" w14:textId="77777777" w:rsidR="000C7072" w:rsidRDefault="000C7072" w:rsidP="000C7072">
      <w:pPr>
        <w:spacing w:line="480" w:lineRule="auto"/>
        <w:textAlignment w:val="baseline"/>
        <w:rPr>
          <w:rFonts w:eastAsia="Times New Roman"/>
          <w:sz w:val="24"/>
          <w:szCs w:val="24"/>
        </w:rPr>
      </w:pPr>
    </w:p>
    <w:p w14:paraId="414EDEFD" w14:textId="76B6A48B" w:rsidR="000C7072" w:rsidRPr="00FA2DD0" w:rsidRDefault="00044CFD" w:rsidP="00FA2DD0">
      <w:pPr>
        <w:pStyle w:val="Heading5"/>
      </w:pPr>
      <w:bookmarkStart w:id="57" w:name="_Toc161933727"/>
      <w:bookmarkStart w:id="58" w:name="_Toc161935364"/>
      <w:r w:rsidRPr="00FA2DD0">
        <w:t>Figure 2: ROS gene counts – Methylosinus trichosporium OB3b</w:t>
      </w:r>
      <w:bookmarkEnd w:id="57"/>
      <w:bookmarkEnd w:id="58"/>
    </w:p>
    <w:p w14:paraId="466F081C" w14:textId="77777777" w:rsidR="000C7072" w:rsidRDefault="000C7072" w:rsidP="000C7072">
      <w:pPr>
        <w:spacing w:line="480" w:lineRule="auto"/>
        <w:textAlignment w:val="baseline"/>
        <w:rPr>
          <w:rFonts w:eastAsia="Times New Roman"/>
          <w:i/>
          <w:iCs/>
          <w:sz w:val="24"/>
          <w:szCs w:val="24"/>
        </w:rPr>
      </w:pPr>
    </w:p>
    <w:p w14:paraId="5E1F0D79" w14:textId="17D37826" w:rsidR="000C7072" w:rsidRDefault="000C7072" w:rsidP="000C7072">
      <w:pPr>
        <w:spacing w:line="480" w:lineRule="auto"/>
        <w:textAlignment w:val="baseline"/>
        <w:rPr>
          <w:rFonts w:eastAsia="Times New Roman"/>
          <w:sz w:val="24"/>
          <w:szCs w:val="24"/>
        </w:rPr>
      </w:pPr>
      <w:r w:rsidRPr="00802A62">
        <w:rPr>
          <w:rFonts w:eastAsia="Times New Roman"/>
          <w:i/>
          <w:iCs/>
          <w:sz w:val="24"/>
          <w:szCs w:val="24"/>
        </w:rPr>
        <w:t xml:space="preserve">Methylomonas. </w:t>
      </w:r>
      <w:r w:rsidRPr="00802A62">
        <w:rPr>
          <w:rFonts w:eastAsia="Times New Roman"/>
          <w:sz w:val="24"/>
          <w:szCs w:val="24"/>
        </w:rPr>
        <w:t>sp. WSC-7 also expresses a cytochrome c peroxidase that could be reducing H</w:t>
      </w:r>
      <w:r w:rsidRPr="00802A62">
        <w:rPr>
          <w:rFonts w:eastAsia="Times New Roman"/>
          <w:sz w:val="24"/>
          <w:szCs w:val="24"/>
          <w:vertAlign w:val="subscript"/>
        </w:rPr>
        <w:t>2</w:t>
      </w:r>
      <w:r w:rsidRPr="00802A62">
        <w:rPr>
          <w:rFonts w:eastAsia="Times New Roman"/>
          <w:sz w:val="24"/>
          <w:szCs w:val="24"/>
        </w:rPr>
        <w:t>O</w:t>
      </w:r>
      <w:r w:rsidRPr="00802A62">
        <w:rPr>
          <w:rFonts w:eastAsia="Times New Roman"/>
          <w:sz w:val="24"/>
          <w:szCs w:val="24"/>
          <w:vertAlign w:val="subscript"/>
        </w:rPr>
        <w:t>2</w:t>
      </w:r>
      <w:r w:rsidR="00282C8C">
        <w:rPr>
          <w:rFonts w:eastAsia="Times New Roman"/>
          <w:sz w:val="24"/>
          <w:szCs w:val="24"/>
          <w:vertAlign w:val="subscript"/>
        </w:rPr>
        <w:t xml:space="preserve">. </w:t>
      </w:r>
      <w:r w:rsidR="00282C8C">
        <w:rPr>
          <w:rFonts w:eastAsia="Times New Roman"/>
          <w:sz w:val="24"/>
          <w:szCs w:val="24"/>
        </w:rPr>
        <w:t>H</w:t>
      </w:r>
      <w:r w:rsidRPr="00802A62">
        <w:rPr>
          <w:rFonts w:eastAsia="Times New Roman"/>
          <w:sz w:val="24"/>
          <w:szCs w:val="24"/>
        </w:rPr>
        <w:t xml:space="preserve">owever, unlike in </w:t>
      </w:r>
      <w:r w:rsidRPr="00802A62">
        <w:rPr>
          <w:rFonts w:eastAsia="Times New Roman"/>
          <w:i/>
          <w:iCs/>
          <w:sz w:val="24"/>
          <w:szCs w:val="24"/>
        </w:rPr>
        <w:t xml:space="preserve">M. trichosporium </w:t>
      </w:r>
      <w:r w:rsidRPr="00802A62">
        <w:rPr>
          <w:rFonts w:eastAsia="Times New Roman"/>
          <w:sz w:val="24"/>
          <w:szCs w:val="24"/>
        </w:rPr>
        <w:t>OB3b, the highest expression level is in the low oxygen condition with less in the catalase condition, and in the high oxygen condition it is expressed at very low levels if at all (</w:t>
      </w:r>
      <w:r w:rsidRPr="00802A62">
        <w:rPr>
          <w:rFonts w:eastAsia="Times New Roman"/>
          <w:b/>
          <w:bCs/>
          <w:sz w:val="24"/>
          <w:szCs w:val="24"/>
        </w:rPr>
        <w:t>Fig. 3</w:t>
      </w:r>
      <w:r w:rsidRPr="00802A62">
        <w:rPr>
          <w:rFonts w:eastAsia="Times New Roman"/>
          <w:sz w:val="24"/>
          <w:szCs w:val="24"/>
        </w:rPr>
        <w:t xml:space="preserve">). There is also a superoxide dismutase gene being differentially expressed in sp. WSC-7. This gene is expressed at low oxygen, </w:t>
      </w:r>
      <w:r w:rsidRPr="00802A62">
        <w:rPr>
          <w:rFonts w:eastAsia="Times New Roman"/>
          <w:color w:val="000000"/>
          <w:sz w:val="24"/>
          <w:szCs w:val="24"/>
        </w:rPr>
        <w:t>far less at high oxygen condition, and not at all in the catalase condition (</w:t>
      </w:r>
      <w:r w:rsidRPr="00802A62">
        <w:rPr>
          <w:rFonts w:eastAsia="Times New Roman"/>
          <w:b/>
          <w:bCs/>
          <w:color w:val="000000"/>
          <w:sz w:val="24"/>
          <w:szCs w:val="24"/>
        </w:rPr>
        <w:t>Fig. 3</w:t>
      </w:r>
      <w:r w:rsidRPr="00802A62">
        <w:rPr>
          <w:rFonts w:eastAsia="Times New Roman"/>
          <w:color w:val="000000"/>
          <w:sz w:val="24"/>
          <w:szCs w:val="24"/>
        </w:rPr>
        <w:t xml:space="preserve">). This trend leads us to </w:t>
      </w:r>
      <w:r w:rsidR="00282C8C">
        <w:rPr>
          <w:rFonts w:eastAsia="Times New Roman"/>
          <w:color w:val="000000"/>
          <w:sz w:val="24"/>
          <w:szCs w:val="24"/>
        </w:rPr>
        <w:t xml:space="preserve">hypothesize </w:t>
      </w:r>
      <w:r w:rsidRPr="00802A62">
        <w:rPr>
          <w:rFonts w:eastAsia="Times New Roman"/>
          <w:color w:val="000000"/>
          <w:sz w:val="24"/>
          <w:szCs w:val="24"/>
        </w:rPr>
        <w:t xml:space="preserve">that under elevated oxygen conditions, </w:t>
      </w:r>
      <w:r w:rsidRPr="00802A62">
        <w:rPr>
          <w:rFonts w:eastAsia="Times New Roman"/>
          <w:i/>
          <w:iCs/>
          <w:color w:val="000000"/>
          <w:sz w:val="24"/>
          <w:szCs w:val="24"/>
        </w:rPr>
        <w:t xml:space="preserve">Methylomonas </w:t>
      </w:r>
      <w:r w:rsidRPr="00802A62">
        <w:rPr>
          <w:rFonts w:eastAsia="Times New Roman"/>
          <w:color w:val="000000"/>
          <w:sz w:val="24"/>
          <w:szCs w:val="24"/>
        </w:rPr>
        <w:t xml:space="preserve">sp. WSC-7 uses a method of ROS defense that is distinct from OB3b. </w:t>
      </w:r>
      <w:r w:rsidR="005F7401">
        <w:rPr>
          <w:rFonts w:eastAsia="Times New Roman"/>
          <w:color w:val="000000"/>
          <w:sz w:val="24"/>
          <w:szCs w:val="24"/>
        </w:rPr>
        <w:t>Based</w:t>
      </w:r>
      <w:r w:rsidRPr="00802A62">
        <w:rPr>
          <w:rFonts w:eastAsia="Times New Roman"/>
          <w:color w:val="000000"/>
          <w:sz w:val="24"/>
          <w:szCs w:val="24"/>
        </w:rPr>
        <w:t xml:space="preserve"> on observations of cell clustering under growth </w:t>
      </w:r>
      <w:r w:rsidRPr="00802A62">
        <w:rPr>
          <w:rFonts w:eastAsia="Times New Roman"/>
          <w:color w:val="000000"/>
          <w:sz w:val="24"/>
          <w:szCs w:val="24"/>
        </w:rPr>
        <w:lastRenderedPageBreak/>
        <w:t xml:space="preserve">conditions of high oxygen </w:t>
      </w:r>
      <w:r w:rsidR="005F7401">
        <w:rPr>
          <w:rFonts w:eastAsia="Times New Roman"/>
          <w:color w:val="000000"/>
          <w:sz w:val="24"/>
          <w:szCs w:val="24"/>
        </w:rPr>
        <w:t xml:space="preserve">and that this cell cluster is </w:t>
      </w:r>
      <w:r w:rsidRPr="00802A62">
        <w:rPr>
          <w:rFonts w:eastAsia="Times New Roman"/>
          <w:color w:val="000000"/>
          <w:sz w:val="24"/>
          <w:szCs w:val="24"/>
        </w:rPr>
        <w:t>lacking when oxygen is lower (</w:t>
      </w:r>
      <w:r w:rsidRPr="00802A62">
        <w:rPr>
          <w:rFonts w:eastAsia="Times New Roman"/>
          <w:b/>
          <w:bCs/>
          <w:color w:val="000000"/>
          <w:sz w:val="24"/>
          <w:szCs w:val="24"/>
        </w:rPr>
        <w:t>Fig. 4</w:t>
      </w:r>
      <w:r w:rsidRPr="00802A62">
        <w:rPr>
          <w:rFonts w:eastAsia="Times New Roman"/>
          <w:color w:val="000000"/>
          <w:sz w:val="24"/>
          <w:szCs w:val="24"/>
        </w:rPr>
        <w:t>), strain WSC-7 may cluster together to reduce the diffusion of oxygen to the cells as a primary means of dealing with increased aeration.</w:t>
      </w:r>
      <w:r w:rsidRPr="00802A62">
        <w:rPr>
          <w:rFonts w:eastAsia="Times New Roman"/>
          <w:b/>
          <w:bCs/>
          <w:sz w:val="24"/>
          <w:szCs w:val="24"/>
        </w:rPr>
        <w:t xml:space="preserve"> </w:t>
      </w:r>
      <w:r w:rsidRPr="00802A62">
        <w:rPr>
          <w:rFonts w:eastAsia="Times New Roman"/>
          <w:sz w:val="24"/>
          <w:szCs w:val="24"/>
        </w:rPr>
        <w:t xml:space="preserve">In addition to the observed cell clustering, </w:t>
      </w:r>
      <w:r w:rsidRPr="00802A62">
        <w:rPr>
          <w:rFonts w:eastAsia="Times New Roman"/>
          <w:i/>
          <w:iCs/>
          <w:sz w:val="24"/>
          <w:szCs w:val="24"/>
        </w:rPr>
        <w:t xml:space="preserve">Methylomonas </w:t>
      </w:r>
      <w:r w:rsidRPr="00802A62">
        <w:rPr>
          <w:rFonts w:eastAsia="Times New Roman"/>
          <w:sz w:val="24"/>
          <w:szCs w:val="24"/>
        </w:rPr>
        <w:t>sp. WSC-7 expressed several genes associated with flagellar biosynthesis proteins and flagellar component proteins</w:t>
      </w:r>
      <w:r w:rsidR="00282C8C">
        <w:rPr>
          <w:rFonts w:eastAsia="Times New Roman"/>
          <w:sz w:val="24"/>
          <w:szCs w:val="24"/>
        </w:rPr>
        <w:t xml:space="preserve"> (</w:t>
      </w:r>
      <w:r w:rsidR="00282C8C" w:rsidRPr="00802A62">
        <w:rPr>
          <w:rFonts w:eastAsia="Times New Roman"/>
          <w:i/>
          <w:iCs/>
          <w:sz w:val="24"/>
          <w:szCs w:val="24"/>
        </w:rPr>
        <w:t>flgBCDEFGHIK</w:t>
      </w:r>
      <w:r w:rsidR="00282C8C">
        <w:rPr>
          <w:rFonts w:eastAsia="Times New Roman"/>
          <w:sz w:val="24"/>
          <w:szCs w:val="24"/>
        </w:rPr>
        <w:t>)</w:t>
      </w:r>
      <w:r w:rsidRPr="00802A62">
        <w:rPr>
          <w:rFonts w:eastAsia="Times New Roman"/>
          <w:sz w:val="24"/>
          <w:szCs w:val="24"/>
        </w:rPr>
        <w:t xml:space="preserve"> to a much greater extent in the low oxygen conditions than in high oxygen or catalase amended conditions (</w:t>
      </w:r>
      <w:r w:rsidRPr="00802A62">
        <w:rPr>
          <w:rFonts w:eastAsia="Times New Roman"/>
          <w:b/>
          <w:bCs/>
          <w:sz w:val="24"/>
          <w:szCs w:val="24"/>
        </w:rPr>
        <w:t>Fig. 5</w:t>
      </w:r>
      <w:r w:rsidRPr="00802A62">
        <w:rPr>
          <w:rFonts w:eastAsia="Times New Roman"/>
          <w:sz w:val="24"/>
          <w:szCs w:val="24"/>
        </w:rPr>
        <w:t xml:space="preserve">). </w:t>
      </w:r>
      <w:r w:rsidR="00282C8C">
        <w:rPr>
          <w:rFonts w:eastAsia="Times New Roman"/>
          <w:sz w:val="24"/>
          <w:szCs w:val="24"/>
        </w:rPr>
        <w:t>Additionally</w:t>
      </w:r>
      <w:r w:rsidRPr="00802A62">
        <w:rPr>
          <w:rFonts w:eastAsia="Times New Roman"/>
          <w:sz w:val="24"/>
          <w:szCs w:val="24"/>
        </w:rPr>
        <w:t xml:space="preserve">, the </w:t>
      </w:r>
      <w:r w:rsidRPr="00802A62">
        <w:rPr>
          <w:rFonts w:eastAsia="Times New Roman"/>
          <w:i/>
          <w:iCs/>
          <w:sz w:val="24"/>
          <w:szCs w:val="24"/>
        </w:rPr>
        <w:t xml:space="preserve">cheBDRV </w:t>
      </w:r>
      <w:r w:rsidRPr="00802A62">
        <w:rPr>
          <w:rFonts w:eastAsia="Times New Roman"/>
          <w:sz w:val="24"/>
          <w:szCs w:val="24"/>
        </w:rPr>
        <w:t>chemotaxis protein genes are expressed at higher levels in the low oxygen condition as well (</w:t>
      </w:r>
      <w:r w:rsidRPr="00B014B4">
        <w:rPr>
          <w:rFonts w:eastAsia="Times New Roman"/>
          <w:b/>
          <w:bCs/>
          <w:sz w:val="24"/>
          <w:szCs w:val="24"/>
        </w:rPr>
        <w:t>Fig. 5</w:t>
      </w:r>
      <w:r w:rsidRPr="00802A62">
        <w:rPr>
          <w:rFonts w:eastAsia="Times New Roman"/>
          <w:sz w:val="24"/>
          <w:szCs w:val="24"/>
        </w:rPr>
        <w:t>). The increase in the expression of flagellar protein synthesis genes and chemotaxis response genes suggests that there is increased motility in the low oxygen condition, perhaps as an aerotaxis response to facilitate access to oxygen when the concentration is lower.   </w:t>
      </w:r>
    </w:p>
    <w:p w14:paraId="6AE6B200" w14:textId="77777777" w:rsidR="000C7072" w:rsidRDefault="000C7072" w:rsidP="000C7072">
      <w:pPr>
        <w:spacing w:line="480" w:lineRule="auto"/>
        <w:textAlignment w:val="baseline"/>
        <w:rPr>
          <w:rFonts w:eastAsia="Times New Roman"/>
          <w:sz w:val="24"/>
          <w:szCs w:val="24"/>
        </w:rPr>
      </w:pPr>
    </w:p>
    <w:p w14:paraId="35D40BFF" w14:textId="77777777" w:rsidR="000C7072" w:rsidRDefault="000C7072" w:rsidP="000C7072">
      <w:pPr>
        <w:spacing w:line="480" w:lineRule="auto"/>
        <w:textAlignment w:val="baseline"/>
        <w:rPr>
          <w:rFonts w:eastAsia="Times New Roman"/>
          <w:sz w:val="24"/>
          <w:szCs w:val="24"/>
        </w:rPr>
      </w:pPr>
    </w:p>
    <w:p w14:paraId="13C78298" w14:textId="77777777" w:rsidR="000C7072" w:rsidRDefault="000C7072" w:rsidP="000C7072">
      <w:pPr>
        <w:spacing w:line="480" w:lineRule="auto"/>
        <w:textAlignment w:val="baseline"/>
        <w:rPr>
          <w:rFonts w:eastAsia="Times New Roman"/>
          <w:sz w:val="24"/>
          <w:szCs w:val="24"/>
        </w:rPr>
      </w:pPr>
    </w:p>
    <w:p w14:paraId="0B5B8720" w14:textId="77777777" w:rsidR="000C7072" w:rsidRDefault="000C7072" w:rsidP="000C7072">
      <w:pPr>
        <w:spacing w:line="480" w:lineRule="auto"/>
        <w:textAlignment w:val="baseline"/>
        <w:rPr>
          <w:rFonts w:eastAsia="Times New Roman"/>
          <w:sz w:val="24"/>
          <w:szCs w:val="24"/>
        </w:rPr>
      </w:pPr>
    </w:p>
    <w:p w14:paraId="3F973B93" w14:textId="77777777" w:rsidR="000C7072" w:rsidRDefault="000C7072" w:rsidP="000C7072">
      <w:pPr>
        <w:spacing w:line="480" w:lineRule="auto"/>
        <w:textAlignment w:val="baseline"/>
        <w:rPr>
          <w:rFonts w:eastAsia="Times New Roman"/>
          <w:sz w:val="24"/>
          <w:szCs w:val="24"/>
        </w:rPr>
      </w:pPr>
    </w:p>
    <w:p w14:paraId="3D9F4A42" w14:textId="77777777" w:rsidR="000C7072" w:rsidRDefault="000C7072" w:rsidP="000C7072">
      <w:pPr>
        <w:spacing w:line="480" w:lineRule="auto"/>
        <w:textAlignment w:val="baseline"/>
        <w:rPr>
          <w:rFonts w:eastAsia="Times New Roman"/>
          <w:sz w:val="24"/>
          <w:szCs w:val="24"/>
        </w:rPr>
      </w:pPr>
    </w:p>
    <w:p w14:paraId="009AEFDB" w14:textId="353F3B70" w:rsidR="000C7072" w:rsidRDefault="000C7072" w:rsidP="000C7072">
      <w:pPr>
        <w:spacing w:line="480" w:lineRule="auto"/>
        <w:textAlignment w:val="baseline"/>
        <w:rPr>
          <w:rFonts w:eastAsia="Times New Roman"/>
          <w:sz w:val="24"/>
          <w:szCs w:val="24"/>
        </w:rPr>
      </w:pPr>
    </w:p>
    <w:p w14:paraId="155A84E3" w14:textId="08FFB7B3" w:rsidR="000C7072" w:rsidRDefault="000C7072" w:rsidP="000C7072">
      <w:pPr>
        <w:spacing w:line="480" w:lineRule="auto"/>
        <w:textAlignment w:val="baseline"/>
        <w:rPr>
          <w:rFonts w:eastAsia="Times New Roman"/>
          <w:sz w:val="24"/>
          <w:szCs w:val="24"/>
        </w:rPr>
      </w:pPr>
    </w:p>
    <w:p w14:paraId="7E1B2B3F" w14:textId="32A41A27" w:rsidR="000C7072" w:rsidRDefault="000C7072" w:rsidP="000C7072">
      <w:pPr>
        <w:spacing w:line="480" w:lineRule="auto"/>
        <w:textAlignment w:val="baseline"/>
        <w:rPr>
          <w:rFonts w:eastAsia="Times New Roman"/>
          <w:sz w:val="24"/>
          <w:szCs w:val="24"/>
        </w:rPr>
      </w:pPr>
    </w:p>
    <w:p w14:paraId="6B4B13F8" w14:textId="55D7FA73" w:rsidR="000C7072" w:rsidRDefault="000C7072" w:rsidP="000C7072">
      <w:pPr>
        <w:spacing w:line="480" w:lineRule="auto"/>
        <w:textAlignment w:val="baseline"/>
        <w:rPr>
          <w:rFonts w:eastAsia="Times New Roman"/>
          <w:sz w:val="24"/>
          <w:szCs w:val="24"/>
        </w:rPr>
      </w:pPr>
      <w:r>
        <w:rPr>
          <w:rFonts w:eastAsia="Times New Roman"/>
          <w:noProof/>
          <w:sz w:val="24"/>
          <w:szCs w:val="24"/>
          <w14:ligatures w14:val="standardContextual"/>
        </w:rPr>
        <w:lastRenderedPageBreak/>
        <w:drawing>
          <wp:anchor distT="0" distB="0" distL="114300" distR="114300" simplePos="0" relativeHeight="251660288" behindDoc="1" locked="0" layoutInCell="1" allowOverlap="1" wp14:anchorId="3CBE4FF5" wp14:editId="4A4E6AA7">
            <wp:simplePos x="0" y="0"/>
            <wp:positionH relativeFrom="column">
              <wp:posOffset>0</wp:posOffset>
            </wp:positionH>
            <wp:positionV relativeFrom="paragraph">
              <wp:posOffset>156210</wp:posOffset>
            </wp:positionV>
            <wp:extent cx="5942965" cy="5130800"/>
            <wp:effectExtent l="0" t="0" r="0" b="0"/>
            <wp:wrapTight wrapText="bothSides">
              <wp:wrapPolygon edited="0">
                <wp:start x="600" y="481"/>
                <wp:lineTo x="600" y="16895"/>
                <wp:lineTo x="10801" y="17697"/>
                <wp:lineTo x="1477" y="18178"/>
                <wp:lineTo x="1431" y="18552"/>
                <wp:lineTo x="1800" y="18552"/>
                <wp:lineTo x="1523" y="18927"/>
                <wp:lineTo x="1431" y="19729"/>
                <wp:lineTo x="1477" y="20263"/>
                <wp:lineTo x="1754" y="20263"/>
                <wp:lineTo x="1477" y="20531"/>
                <wp:lineTo x="1523" y="20851"/>
                <wp:lineTo x="1893" y="20958"/>
                <wp:lineTo x="10201" y="20958"/>
                <wp:lineTo x="14540" y="20851"/>
                <wp:lineTo x="15048" y="20798"/>
                <wp:lineTo x="14955" y="20263"/>
                <wp:lineTo x="15279" y="20210"/>
                <wp:lineTo x="15509" y="19622"/>
                <wp:lineTo x="15371" y="19408"/>
                <wp:lineTo x="15740" y="19194"/>
                <wp:lineTo x="15786" y="18980"/>
                <wp:lineTo x="15463" y="18552"/>
                <wp:lineTo x="15602" y="18285"/>
                <wp:lineTo x="10801" y="17697"/>
                <wp:lineTo x="21279" y="16895"/>
                <wp:lineTo x="21279" y="481"/>
                <wp:lineTo x="600" y="481"/>
              </wp:wrapPolygon>
            </wp:wrapTight>
            <wp:docPr id="21434776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477643" name="Picture 21434776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2965" cy="5130800"/>
                    </a:xfrm>
                    <a:prstGeom prst="rect">
                      <a:avLst/>
                    </a:prstGeom>
                  </pic:spPr>
                </pic:pic>
              </a:graphicData>
            </a:graphic>
            <wp14:sizeRelH relativeFrom="page">
              <wp14:pctWidth>0</wp14:pctWidth>
            </wp14:sizeRelH>
            <wp14:sizeRelV relativeFrom="page">
              <wp14:pctHeight>0</wp14:pctHeight>
            </wp14:sizeRelV>
          </wp:anchor>
        </w:drawing>
      </w:r>
    </w:p>
    <w:p w14:paraId="43C901E9" w14:textId="77777777" w:rsidR="000C7072" w:rsidRDefault="000C7072" w:rsidP="000C7072">
      <w:pPr>
        <w:spacing w:line="480" w:lineRule="auto"/>
        <w:textAlignment w:val="baseline"/>
        <w:rPr>
          <w:rFonts w:eastAsia="Times New Roman"/>
          <w:sz w:val="24"/>
          <w:szCs w:val="24"/>
        </w:rPr>
      </w:pPr>
    </w:p>
    <w:p w14:paraId="7250EA7F" w14:textId="77777777" w:rsidR="000C7072" w:rsidRDefault="000C7072" w:rsidP="000C7072">
      <w:pPr>
        <w:spacing w:line="480" w:lineRule="auto"/>
        <w:textAlignment w:val="baseline"/>
        <w:rPr>
          <w:rFonts w:eastAsia="Times New Roman"/>
          <w:sz w:val="24"/>
          <w:szCs w:val="24"/>
        </w:rPr>
      </w:pPr>
    </w:p>
    <w:p w14:paraId="4B72DA90" w14:textId="77777777" w:rsidR="000C7072" w:rsidRDefault="000C7072" w:rsidP="000C7072">
      <w:pPr>
        <w:spacing w:line="480" w:lineRule="auto"/>
        <w:textAlignment w:val="baseline"/>
        <w:rPr>
          <w:rFonts w:eastAsia="Times New Roman"/>
          <w:sz w:val="24"/>
          <w:szCs w:val="24"/>
        </w:rPr>
      </w:pPr>
    </w:p>
    <w:p w14:paraId="40CF39A4" w14:textId="12574DC4" w:rsidR="00044CFD" w:rsidRPr="00044CFD" w:rsidRDefault="00044CFD" w:rsidP="006A2F31">
      <w:pPr>
        <w:pStyle w:val="Heading5"/>
        <w:rPr>
          <w:rFonts w:eastAsia="Times New Roman"/>
        </w:rPr>
      </w:pPr>
      <w:bookmarkStart w:id="59" w:name="_Toc161933728"/>
      <w:bookmarkStart w:id="60" w:name="_Toc161935365"/>
      <w:r>
        <w:rPr>
          <w:rFonts w:eastAsia="Times New Roman"/>
        </w:rPr>
        <w:t xml:space="preserve">Figure 3: ROS gene counts – </w:t>
      </w:r>
      <w:r>
        <w:rPr>
          <w:rFonts w:eastAsia="Times New Roman"/>
          <w:i/>
          <w:iCs/>
        </w:rPr>
        <w:t xml:space="preserve">Methylomonas </w:t>
      </w:r>
      <w:r>
        <w:rPr>
          <w:rFonts w:eastAsia="Times New Roman"/>
        </w:rPr>
        <w:t>sp. WSC-7</w:t>
      </w:r>
      <w:bookmarkEnd w:id="59"/>
      <w:bookmarkEnd w:id="60"/>
    </w:p>
    <w:p w14:paraId="3F7DFB8F" w14:textId="77777777" w:rsidR="000C7072" w:rsidRDefault="000C7072" w:rsidP="000C7072">
      <w:pPr>
        <w:spacing w:line="480" w:lineRule="auto"/>
        <w:textAlignment w:val="baseline"/>
        <w:rPr>
          <w:rFonts w:eastAsia="Times New Roman"/>
          <w:sz w:val="24"/>
          <w:szCs w:val="24"/>
        </w:rPr>
      </w:pPr>
    </w:p>
    <w:p w14:paraId="2CAFE896" w14:textId="77777777" w:rsidR="000C7072" w:rsidRDefault="000C7072" w:rsidP="000C7072">
      <w:pPr>
        <w:spacing w:line="480" w:lineRule="auto"/>
        <w:textAlignment w:val="baseline"/>
        <w:rPr>
          <w:rFonts w:eastAsia="Times New Roman"/>
          <w:sz w:val="24"/>
          <w:szCs w:val="24"/>
        </w:rPr>
      </w:pPr>
    </w:p>
    <w:p w14:paraId="3D400EEE" w14:textId="77777777" w:rsidR="000C7072" w:rsidRDefault="000C7072" w:rsidP="000C7072">
      <w:pPr>
        <w:spacing w:line="480" w:lineRule="auto"/>
        <w:textAlignment w:val="baseline"/>
        <w:rPr>
          <w:rFonts w:eastAsia="Times New Roman"/>
          <w:sz w:val="24"/>
          <w:szCs w:val="24"/>
        </w:rPr>
      </w:pPr>
    </w:p>
    <w:p w14:paraId="000BAF04" w14:textId="2DC36B1D" w:rsidR="000C7072" w:rsidRDefault="000C7072" w:rsidP="000C7072">
      <w:pPr>
        <w:spacing w:line="480" w:lineRule="auto"/>
        <w:textAlignment w:val="baseline"/>
        <w:rPr>
          <w:rFonts w:eastAsia="Times New Roman"/>
          <w:sz w:val="24"/>
          <w:szCs w:val="24"/>
        </w:rPr>
      </w:pPr>
      <w:r>
        <w:rPr>
          <w:rFonts w:eastAsia="Times New Roman"/>
          <w:noProof/>
          <w:sz w:val="24"/>
          <w:szCs w:val="24"/>
          <w14:ligatures w14:val="standardContextual"/>
        </w:rPr>
        <w:lastRenderedPageBreak/>
        <w:drawing>
          <wp:anchor distT="0" distB="0" distL="114300" distR="114300" simplePos="0" relativeHeight="251661312" behindDoc="1" locked="0" layoutInCell="1" allowOverlap="1" wp14:anchorId="7AFD18E2" wp14:editId="2DF94E13">
            <wp:simplePos x="0" y="0"/>
            <wp:positionH relativeFrom="column">
              <wp:posOffset>447153</wp:posOffset>
            </wp:positionH>
            <wp:positionV relativeFrom="paragraph">
              <wp:posOffset>0</wp:posOffset>
            </wp:positionV>
            <wp:extent cx="4711065" cy="4355465"/>
            <wp:effectExtent l="0" t="0" r="635" b="0"/>
            <wp:wrapTight wrapText="bothSides">
              <wp:wrapPolygon edited="0">
                <wp:start x="0" y="0"/>
                <wp:lineTo x="0" y="17068"/>
                <wp:lineTo x="10772" y="17131"/>
                <wp:lineTo x="233" y="17761"/>
                <wp:lineTo x="233" y="20029"/>
                <wp:lineTo x="873" y="20155"/>
                <wp:lineTo x="4542" y="20155"/>
                <wp:lineTo x="349" y="20469"/>
                <wp:lineTo x="291" y="20784"/>
                <wp:lineTo x="466" y="21162"/>
                <wp:lineTo x="20380" y="21162"/>
                <wp:lineTo x="20671" y="20658"/>
                <wp:lineTo x="19973" y="20343"/>
                <wp:lineTo x="21428" y="20029"/>
                <wp:lineTo x="21254" y="19084"/>
                <wp:lineTo x="21079" y="18769"/>
                <wp:lineTo x="20497" y="18139"/>
                <wp:lineTo x="20613" y="17761"/>
                <wp:lineTo x="10772" y="17131"/>
                <wp:lineTo x="21545" y="17131"/>
                <wp:lineTo x="21545" y="0"/>
                <wp:lineTo x="0" y="0"/>
              </wp:wrapPolygon>
            </wp:wrapTight>
            <wp:docPr id="9804983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98303" name="Picture 98049830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1065" cy="4355465"/>
                    </a:xfrm>
                    <a:prstGeom prst="rect">
                      <a:avLst/>
                    </a:prstGeom>
                  </pic:spPr>
                </pic:pic>
              </a:graphicData>
            </a:graphic>
            <wp14:sizeRelH relativeFrom="page">
              <wp14:pctWidth>0</wp14:pctWidth>
            </wp14:sizeRelH>
            <wp14:sizeRelV relativeFrom="page">
              <wp14:pctHeight>0</wp14:pctHeight>
            </wp14:sizeRelV>
          </wp:anchor>
        </w:drawing>
      </w:r>
    </w:p>
    <w:p w14:paraId="20F792CB" w14:textId="74422E9F" w:rsidR="000C7072" w:rsidRDefault="000C7072" w:rsidP="000C7072">
      <w:pPr>
        <w:spacing w:line="480" w:lineRule="auto"/>
        <w:textAlignment w:val="baseline"/>
        <w:rPr>
          <w:rFonts w:eastAsia="Times New Roman"/>
          <w:sz w:val="24"/>
          <w:szCs w:val="24"/>
        </w:rPr>
      </w:pPr>
    </w:p>
    <w:p w14:paraId="7B6214E3" w14:textId="5FC04E51" w:rsidR="000C7072" w:rsidRDefault="000C7072" w:rsidP="000C7072">
      <w:pPr>
        <w:spacing w:line="480" w:lineRule="auto"/>
        <w:textAlignment w:val="baseline"/>
        <w:rPr>
          <w:rFonts w:eastAsia="Times New Roman"/>
          <w:sz w:val="24"/>
          <w:szCs w:val="24"/>
        </w:rPr>
      </w:pPr>
    </w:p>
    <w:p w14:paraId="51742C5A" w14:textId="0C40D1F5" w:rsidR="000C7072" w:rsidRDefault="000C7072" w:rsidP="000C7072">
      <w:pPr>
        <w:spacing w:line="480" w:lineRule="auto"/>
        <w:textAlignment w:val="baseline"/>
        <w:rPr>
          <w:rFonts w:eastAsia="Times New Roman"/>
          <w:sz w:val="24"/>
          <w:szCs w:val="24"/>
        </w:rPr>
      </w:pPr>
    </w:p>
    <w:p w14:paraId="482F288B" w14:textId="77777777" w:rsidR="000C7072" w:rsidRDefault="000C7072" w:rsidP="000C7072">
      <w:pPr>
        <w:spacing w:line="480" w:lineRule="auto"/>
        <w:textAlignment w:val="baseline"/>
        <w:rPr>
          <w:rFonts w:eastAsia="Times New Roman"/>
          <w:sz w:val="24"/>
          <w:szCs w:val="24"/>
        </w:rPr>
      </w:pPr>
    </w:p>
    <w:p w14:paraId="4DDA7A57" w14:textId="77777777" w:rsidR="000C7072" w:rsidRDefault="000C7072" w:rsidP="000C7072">
      <w:pPr>
        <w:spacing w:line="480" w:lineRule="auto"/>
        <w:textAlignment w:val="baseline"/>
        <w:rPr>
          <w:rFonts w:eastAsia="Times New Roman"/>
          <w:sz w:val="24"/>
          <w:szCs w:val="24"/>
        </w:rPr>
      </w:pPr>
    </w:p>
    <w:p w14:paraId="412601CE" w14:textId="77777777" w:rsidR="000C7072" w:rsidRDefault="000C7072" w:rsidP="000C7072">
      <w:pPr>
        <w:spacing w:line="480" w:lineRule="auto"/>
        <w:textAlignment w:val="baseline"/>
        <w:rPr>
          <w:rFonts w:eastAsia="Times New Roman"/>
          <w:sz w:val="24"/>
          <w:szCs w:val="24"/>
        </w:rPr>
      </w:pPr>
    </w:p>
    <w:p w14:paraId="687CAB33" w14:textId="77777777" w:rsidR="000C7072" w:rsidRDefault="000C7072" w:rsidP="000C7072">
      <w:pPr>
        <w:spacing w:line="480" w:lineRule="auto"/>
        <w:textAlignment w:val="baseline"/>
        <w:rPr>
          <w:rFonts w:eastAsia="Times New Roman"/>
          <w:sz w:val="24"/>
          <w:szCs w:val="24"/>
        </w:rPr>
      </w:pPr>
    </w:p>
    <w:p w14:paraId="27E5D3DA" w14:textId="77777777" w:rsidR="000C7072" w:rsidRDefault="000C7072" w:rsidP="000C7072">
      <w:pPr>
        <w:spacing w:line="480" w:lineRule="auto"/>
        <w:textAlignment w:val="baseline"/>
        <w:rPr>
          <w:rFonts w:eastAsia="Times New Roman"/>
          <w:sz w:val="24"/>
          <w:szCs w:val="24"/>
        </w:rPr>
      </w:pPr>
    </w:p>
    <w:p w14:paraId="2921EBDC" w14:textId="77777777" w:rsidR="000C7072" w:rsidRPr="00802A62" w:rsidRDefault="000C7072" w:rsidP="000C7072">
      <w:pPr>
        <w:spacing w:line="480" w:lineRule="auto"/>
        <w:textAlignment w:val="baseline"/>
        <w:rPr>
          <w:rFonts w:eastAsia="Times New Roman"/>
          <w:sz w:val="24"/>
          <w:szCs w:val="24"/>
        </w:rPr>
      </w:pPr>
    </w:p>
    <w:p w14:paraId="5CE39FCF" w14:textId="2DACE8C5" w:rsidR="000C7072" w:rsidRPr="00044CFD" w:rsidRDefault="00044CFD" w:rsidP="006A2F31">
      <w:pPr>
        <w:pStyle w:val="Heading5"/>
        <w:rPr>
          <w:rFonts w:eastAsia="Times New Roman"/>
        </w:rPr>
      </w:pPr>
      <w:bookmarkStart w:id="61" w:name="_Toc161933729"/>
      <w:bookmarkStart w:id="62" w:name="_Toc161935366"/>
      <w:r>
        <w:rPr>
          <w:rFonts w:eastAsia="Times New Roman"/>
        </w:rPr>
        <w:t xml:space="preserve">Figure 4: </w:t>
      </w:r>
      <w:r>
        <w:rPr>
          <w:rFonts w:eastAsia="Times New Roman"/>
          <w:i/>
          <w:iCs/>
        </w:rPr>
        <w:t xml:space="preserve">Methylomonas </w:t>
      </w:r>
      <w:r>
        <w:rPr>
          <w:rFonts w:eastAsia="Times New Roman"/>
        </w:rPr>
        <w:t>sp. WSC-7 Biofilm Formation in Growth Media</w:t>
      </w:r>
      <w:bookmarkEnd w:id="61"/>
      <w:bookmarkEnd w:id="62"/>
      <w:r>
        <w:rPr>
          <w:rFonts w:eastAsia="Times New Roman"/>
        </w:rPr>
        <w:t xml:space="preserve"> </w:t>
      </w:r>
    </w:p>
    <w:p w14:paraId="1B04D65B" w14:textId="77777777" w:rsidR="000C7072" w:rsidRDefault="000C7072" w:rsidP="000C7072">
      <w:pPr>
        <w:spacing w:line="480" w:lineRule="auto"/>
        <w:textAlignment w:val="baseline"/>
        <w:rPr>
          <w:rFonts w:eastAsia="Times New Roman"/>
          <w:b/>
          <w:bCs/>
          <w:i/>
          <w:iCs/>
          <w:sz w:val="24"/>
          <w:szCs w:val="24"/>
        </w:rPr>
      </w:pPr>
    </w:p>
    <w:p w14:paraId="4AA287F6" w14:textId="77777777" w:rsidR="000C7072" w:rsidRDefault="000C7072" w:rsidP="000C7072">
      <w:pPr>
        <w:spacing w:line="480" w:lineRule="auto"/>
        <w:textAlignment w:val="baseline"/>
        <w:rPr>
          <w:rFonts w:eastAsia="Times New Roman"/>
          <w:b/>
          <w:bCs/>
          <w:i/>
          <w:iCs/>
          <w:sz w:val="24"/>
          <w:szCs w:val="24"/>
        </w:rPr>
      </w:pPr>
    </w:p>
    <w:p w14:paraId="2E8C71CE" w14:textId="5AC6BA71" w:rsidR="000C7072" w:rsidRDefault="000C7072" w:rsidP="000C7072">
      <w:pPr>
        <w:spacing w:line="480" w:lineRule="auto"/>
        <w:textAlignment w:val="baseline"/>
        <w:rPr>
          <w:rFonts w:eastAsia="Times New Roman"/>
          <w:b/>
          <w:bCs/>
          <w:i/>
          <w:iCs/>
          <w:sz w:val="24"/>
          <w:szCs w:val="24"/>
        </w:rPr>
      </w:pPr>
      <w:r>
        <w:rPr>
          <w:rFonts w:eastAsia="Times New Roman"/>
          <w:b/>
          <w:bCs/>
          <w:i/>
          <w:iCs/>
          <w:noProof/>
          <w:sz w:val="24"/>
          <w:szCs w:val="24"/>
          <w14:ligatures w14:val="standardContextual"/>
        </w:rPr>
        <w:lastRenderedPageBreak/>
        <w:drawing>
          <wp:anchor distT="0" distB="0" distL="114300" distR="114300" simplePos="0" relativeHeight="251676672" behindDoc="1" locked="0" layoutInCell="1" allowOverlap="1" wp14:anchorId="14EB727F" wp14:editId="76906B5C">
            <wp:simplePos x="0" y="0"/>
            <wp:positionH relativeFrom="column">
              <wp:posOffset>115570</wp:posOffset>
            </wp:positionH>
            <wp:positionV relativeFrom="paragraph">
              <wp:posOffset>0</wp:posOffset>
            </wp:positionV>
            <wp:extent cx="5713095" cy="4363085"/>
            <wp:effectExtent l="0" t="0" r="0" b="0"/>
            <wp:wrapTight wrapText="bothSides">
              <wp:wrapPolygon edited="0">
                <wp:start x="0" y="63"/>
                <wp:lineTo x="0" y="17604"/>
                <wp:lineTo x="432" y="18296"/>
                <wp:lineTo x="432" y="19051"/>
                <wp:lineTo x="2785" y="19302"/>
                <wp:lineTo x="432" y="19302"/>
                <wp:lineTo x="432" y="21062"/>
                <wp:lineTo x="528" y="21314"/>
                <wp:lineTo x="864" y="21503"/>
                <wp:lineTo x="7202" y="21503"/>
                <wp:lineTo x="12052" y="21314"/>
                <wp:lineTo x="17382" y="20811"/>
                <wp:lineTo x="17382" y="19679"/>
                <wp:lineTo x="15029" y="19302"/>
                <wp:lineTo x="17862" y="19113"/>
                <wp:lineTo x="17382" y="18296"/>
                <wp:lineTo x="18342" y="18296"/>
                <wp:lineTo x="20983" y="17542"/>
                <wp:lineTo x="20935" y="63"/>
                <wp:lineTo x="0" y="63"/>
              </wp:wrapPolygon>
            </wp:wrapTight>
            <wp:docPr id="3338474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47449" name="Picture 33384744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13095" cy="4363085"/>
                    </a:xfrm>
                    <a:prstGeom prst="rect">
                      <a:avLst/>
                    </a:prstGeom>
                  </pic:spPr>
                </pic:pic>
              </a:graphicData>
            </a:graphic>
            <wp14:sizeRelH relativeFrom="page">
              <wp14:pctWidth>0</wp14:pctWidth>
            </wp14:sizeRelH>
            <wp14:sizeRelV relativeFrom="page">
              <wp14:pctHeight>0</wp14:pctHeight>
            </wp14:sizeRelV>
          </wp:anchor>
        </w:drawing>
      </w:r>
    </w:p>
    <w:p w14:paraId="009A6014" w14:textId="76C6A889" w:rsidR="000C7072" w:rsidRPr="00044CFD" w:rsidRDefault="00044CFD" w:rsidP="006A2F31">
      <w:pPr>
        <w:pStyle w:val="Heading5"/>
        <w:rPr>
          <w:rFonts w:eastAsia="Times New Roman"/>
        </w:rPr>
      </w:pPr>
      <w:bookmarkStart w:id="63" w:name="_Toc161933730"/>
      <w:bookmarkStart w:id="64" w:name="_Toc161935367"/>
      <w:r>
        <w:rPr>
          <w:rFonts w:eastAsia="Times New Roman"/>
        </w:rPr>
        <w:t xml:space="preserve">Figure 5: Gene counts of motility genes in </w:t>
      </w:r>
      <w:r>
        <w:rPr>
          <w:rFonts w:eastAsia="Times New Roman"/>
          <w:i/>
          <w:iCs/>
        </w:rPr>
        <w:t xml:space="preserve">Methylomonas </w:t>
      </w:r>
      <w:r>
        <w:rPr>
          <w:rFonts w:eastAsia="Times New Roman"/>
        </w:rPr>
        <w:t>sp. WSC-7</w:t>
      </w:r>
      <w:bookmarkEnd w:id="63"/>
      <w:bookmarkEnd w:id="64"/>
    </w:p>
    <w:p w14:paraId="6854B65E" w14:textId="5CF6BC15" w:rsidR="000C7072" w:rsidRPr="00802A62" w:rsidRDefault="000C7072" w:rsidP="006E624A">
      <w:pPr>
        <w:pStyle w:val="Heading4"/>
      </w:pPr>
      <w:r w:rsidRPr="00802A62">
        <w:rPr>
          <w:i/>
          <w:iCs/>
        </w:rPr>
        <w:t xml:space="preserve">M. trichosporium </w:t>
      </w:r>
      <w:r w:rsidRPr="00802A62">
        <w:t xml:space="preserve">OB3b &amp; </w:t>
      </w:r>
      <w:r w:rsidRPr="00802A62">
        <w:rPr>
          <w:i/>
          <w:iCs/>
        </w:rPr>
        <w:t xml:space="preserve">Methylomonas </w:t>
      </w:r>
      <w:r w:rsidRPr="00802A62">
        <w:t>sp. WSC-7 Methane Oxidation Pathway Gene Expression  </w:t>
      </w:r>
    </w:p>
    <w:p w14:paraId="5117C2A6" w14:textId="482DAC08" w:rsidR="006A2F31" w:rsidRDefault="000C7072" w:rsidP="000C7072">
      <w:pPr>
        <w:spacing w:line="480" w:lineRule="auto"/>
        <w:textAlignment w:val="baseline"/>
        <w:rPr>
          <w:rFonts w:eastAsia="Times New Roman"/>
          <w:color w:val="0078D4"/>
          <w:sz w:val="24"/>
          <w:szCs w:val="24"/>
        </w:rPr>
      </w:pPr>
      <w:r w:rsidRPr="347D99D0">
        <w:rPr>
          <w:rFonts w:eastAsia="Times New Roman"/>
          <w:sz w:val="24"/>
          <w:szCs w:val="24"/>
        </w:rPr>
        <w:t xml:space="preserve">The WSC-7 </w:t>
      </w:r>
      <w:r w:rsidRPr="347D99D0">
        <w:rPr>
          <w:rFonts w:eastAsia="Times New Roman"/>
          <w:i/>
          <w:iCs/>
          <w:sz w:val="24"/>
          <w:szCs w:val="24"/>
        </w:rPr>
        <w:t>pmoABC</w:t>
      </w:r>
      <w:r w:rsidRPr="347D99D0">
        <w:rPr>
          <w:rFonts w:eastAsia="Times New Roman"/>
          <w:sz w:val="24"/>
          <w:szCs w:val="24"/>
        </w:rPr>
        <w:t xml:space="preserve"> genes coding for the particulate methane monooxygenase are expressed at much greater levels than the </w:t>
      </w:r>
      <w:r w:rsidRPr="347D99D0">
        <w:rPr>
          <w:rFonts w:eastAsia="Times New Roman"/>
          <w:i/>
          <w:iCs/>
          <w:sz w:val="24"/>
          <w:szCs w:val="24"/>
        </w:rPr>
        <w:t>mmoXYC</w:t>
      </w:r>
      <w:r w:rsidRPr="347D99D0">
        <w:rPr>
          <w:rFonts w:eastAsia="Times New Roman"/>
          <w:sz w:val="24"/>
          <w:szCs w:val="24"/>
        </w:rPr>
        <w:t xml:space="preserve"> genes in all conditions (</w:t>
      </w:r>
      <w:r w:rsidRPr="347D99D0">
        <w:rPr>
          <w:rFonts w:eastAsia="Times New Roman"/>
          <w:b/>
          <w:bCs/>
          <w:sz w:val="24"/>
          <w:szCs w:val="24"/>
        </w:rPr>
        <w:t>Fig. 6</w:t>
      </w:r>
      <w:r w:rsidRPr="347D99D0">
        <w:rPr>
          <w:rFonts w:eastAsia="Times New Roman"/>
          <w:sz w:val="24"/>
          <w:szCs w:val="24"/>
        </w:rPr>
        <w:t xml:space="preserve">). For the </w:t>
      </w:r>
      <w:r w:rsidRPr="347D99D0">
        <w:rPr>
          <w:rFonts w:eastAsia="Times New Roman"/>
          <w:i/>
          <w:iCs/>
          <w:sz w:val="24"/>
          <w:szCs w:val="24"/>
        </w:rPr>
        <w:t xml:space="preserve">pmoABC </w:t>
      </w:r>
      <w:r w:rsidRPr="347D99D0">
        <w:rPr>
          <w:rFonts w:eastAsia="Times New Roman"/>
          <w:sz w:val="24"/>
          <w:szCs w:val="24"/>
        </w:rPr>
        <w:t xml:space="preserve">genes there is not a statistically significant change in expression under any condition. However, the expression of each of the </w:t>
      </w:r>
      <w:r w:rsidRPr="347D99D0">
        <w:rPr>
          <w:rFonts w:eastAsia="Times New Roman"/>
          <w:i/>
          <w:iCs/>
          <w:sz w:val="24"/>
          <w:szCs w:val="24"/>
        </w:rPr>
        <w:t xml:space="preserve">mmoXYC </w:t>
      </w:r>
      <w:r w:rsidRPr="347D99D0">
        <w:rPr>
          <w:rFonts w:eastAsia="Times New Roman"/>
          <w:sz w:val="24"/>
          <w:szCs w:val="24"/>
        </w:rPr>
        <w:t>genes is significantly lower in the low oxygen condition.</w:t>
      </w:r>
      <w:r w:rsidR="00147743" w:rsidRPr="347D99D0">
        <w:rPr>
          <w:rFonts w:eastAsia="Times New Roman"/>
          <w:sz w:val="24"/>
          <w:szCs w:val="24"/>
        </w:rPr>
        <w:t xml:space="preserve"> </w:t>
      </w:r>
      <w:r w:rsidR="00202B1D" w:rsidRPr="347D99D0">
        <w:rPr>
          <w:rFonts w:eastAsia="Times New Roman"/>
          <w:sz w:val="24"/>
          <w:szCs w:val="24"/>
        </w:rPr>
        <w:t xml:space="preserve">In WSC-7, </w:t>
      </w:r>
      <w:r w:rsidRPr="347D99D0">
        <w:rPr>
          <w:rFonts w:eastAsia="Times New Roman"/>
          <w:sz w:val="24"/>
          <w:szCs w:val="24"/>
        </w:rPr>
        <w:t xml:space="preserve">the methanol dehydrogenase genes </w:t>
      </w:r>
      <w:r w:rsidRPr="347D99D0">
        <w:rPr>
          <w:rFonts w:eastAsia="Times New Roman"/>
          <w:i/>
          <w:iCs/>
          <w:sz w:val="24"/>
          <w:szCs w:val="24"/>
        </w:rPr>
        <w:t>xoxF</w:t>
      </w:r>
      <w:r w:rsidRPr="347D99D0">
        <w:rPr>
          <w:rFonts w:eastAsia="Times New Roman"/>
          <w:sz w:val="24"/>
          <w:szCs w:val="24"/>
        </w:rPr>
        <w:t xml:space="preserve"> and </w:t>
      </w:r>
      <w:r w:rsidRPr="347D99D0">
        <w:rPr>
          <w:rFonts w:eastAsia="Times New Roman"/>
          <w:i/>
          <w:iCs/>
          <w:sz w:val="24"/>
          <w:szCs w:val="24"/>
        </w:rPr>
        <w:t>mxaF</w:t>
      </w:r>
      <w:r w:rsidRPr="347D99D0">
        <w:rPr>
          <w:rFonts w:eastAsia="Times New Roman"/>
          <w:sz w:val="24"/>
          <w:szCs w:val="24"/>
        </w:rPr>
        <w:t xml:space="preserve"> </w:t>
      </w:r>
      <w:r w:rsidR="0023119E">
        <w:rPr>
          <w:rFonts w:eastAsia="Times New Roman"/>
          <w:sz w:val="24"/>
          <w:szCs w:val="24"/>
        </w:rPr>
        <w:t xml:space="preserve">are expressed </w:t>
      </w:r>
      <w:r w:rsidRPr="347D99D0">
        <w:rPr>
          <w:rFonts w:eastAsia="Times New Roman"/>
          <w:sz w:val="24"/>
          <w:szCs w:val="24"/>
        </w:rPr>
        <w:t xml:space="preserve">in all conditions with </w:t>
      </w:r>
      <w:r w:rsidRPr="347D99D0">
        <w:rPr>
          <w:rFonts w:eastAsia="Times New Roman"/>
          <w:i/>
          <w:iCs/>
          <w:sz w:val="24"/>
          <w:szCs w:val="24"/>
        </w:rPr>
        <w:t xml:space="preserve">xoxF </w:t>
      </w:r>
      <w:r w:rsidR="00202B1D" w:rsidRPr="347D99D0">
        <w:rPr>
          <w:rFonts w:eastAsia="Times New Roman"/>
          <w:sz w:val="24"/>
          <w:szCs w:val="24"/>
        </w:rPr>
        <w:t xml:space="preserve">showing </w:t>
      </w:r>
      <w:r w:rsidR="005E05A5">
        <w:rPr>
          <w:rFonts w:eastAsia="Times New Roman"/>
          <w:sz w:val="24"/>
          <w:szCs w:val="24"/>
        </w:rPr>
        <w:t>increased expression</w:t>
      </w:r>
      <w:r w:rsidR="00202B1D" w:rsidRPr="347D99D0">
        <w:rPr>
          <w:rFonts w:eastAsia="Times New Roman"/>
          <w:sz w:val="24"/>
          <w:szCs w:val="24"/>
        </w:rPr>
        <w:t xml:space="preserve"> under low oxygen.  </w:t>
      </w:r>
      <w:r w:rsidR="0023119E" w:rsidRPr="347D99D0">
        <w:rPr>
          <w:rFonts w:eastAsia="Times New Roman"/>
          <w:sz w:val="24"/>
          <w:szCs w:val="24"/>
        </w:rPr>
        <w:t xml:space="preserve">In OB3b, </w:t>
      </w:r>
      <w:r w:rsidR="00440C70">
        <w:rPr>
          <w:rFonts w:eastAsia="Times New Roman"/>
          <w:sz w:val="24"/>
          <w:szCs w:val="24"/>
        </w:rPr>
        <w:t xml:space="preserve">there are no statistically </w:t>
      </w:r>
      <w:r w:rsidR="00440C70">
        <w:rPr>
          <w:rFonts w:eastAsia="Times New Roman"/>
          <w:sz w:val="24"/>
          <w:szCs w:val="24"/>
        </w:rPr>
        <w:lastRenderedPageBreak/>
        <w:t xml:space="preserve">significant changes in </w:t>
      </w:r>
      <w:r w:rsidR="00F70A0D">
        <w:rPr>
          <w:rFonts w:eastAsia="Times New Roman"/>
          <w:sz w:val="24"/>
          <w:szCs w:val="24"/>
        </w:rPr>
        <w:t>MMO protein gene expression levels</w:t>
      </w:r>
      <w:r w:rsidR="0023119E" w:rsidRPr="347D99D0">
        <w:rPr>
          <w:rFonts w:eastAsia="Times New Roman"/>
          <w:sz w:val="24"/>
          <w:szCs w:val="24"/>
        </w:rPr>
        <w:t xml:space="preserve"> (</w:t>
      </w:r>
      <w:r w:rsidR="0023119E" w:rsidRPr="0023119E">
        <w:rPr>
          <w:rFonts w:eastAsia="Times New Roman"/>
          <w:b/>
          <w:bCs/>
          <w:sz w:val="24"/>
          <w:szCs w:val="24"/>
        </w:rPr>
        <w:t>Fig. 7</w:t>
      </w:r>
      <w:r w:rsidR="0023119E" w:rsidRPr="347D99D0">
        <w:rPr>
          <w:rFonts w:eastAsia="Times New Roman"/>
          <w:sz w:val="24"/>
          <w:szCs w:val="24"/>
        </w:rPr>
        <w:t xml:space="preserve">). </w:t>
      </w:r>
      <w:r w:rsidR="00F70A0D">
        <w:rPr>
          <w:rFonts w:eastAsia="Times New Roman"/>
          <w:sz w:val="24"/>
          <w:szCs w:val="24"/>
        </w:rPr>
        <w:t>Further,</w:t>
      </w:r>
      <w:r w:rsidR="0023119E" w:rsidRPr="347D99D0">
        <w:rPr>
          <w:rFonts w:eastAsia="Times New Roman"/>
          <w:sz w:val="24"/>
          <w:szCs w:val="24"/>
        </w:rPr>
        <w:t xml:space="preserve"> in OB3b, the </w:t>
      </w:r>
      <w:r w:rsidR="0023119E" w:rsidRPr="347D99D0">
        <w:rPr>
          <w:rFonts w:eastAsia="Times New Roman"/>
          <w:i/>
          <w:iCs/>
          <w:sz w:val="24"/>
          <w:szCs w:val="24"/>
        </w:rPr>
        <w:t>mxaF</w:t>
      </w:r>
      <w:r w:rsidR="0023119E" w:rsidRPr="347D99D0">
        <w:rPr>
          <w:rFonts w:eastAsia="Times New Roman"/>
          <w:sz w:val="24"/>
          <w:szCs w:val="24"/>
        </w:rPr>
        <w:t xml:space="preserve"> and </w:t>
      </w:r>
      <w:r w:rsidR="0023119E" w:rsidRPr="347D99D0">
        <w:rPr>
          <w:rFonts w:eastAsia="Times New Roman"/>
          <w:i/>
          <w:iCs/>
          <w:sz w:val="24"/>
          <w:szCs w:val="24"/>
        </w:rPr>
        <w:t xml:space="preserve">xoxF </w:t>
      </w:r>
      <w:r w:rsidR="0023119E" w:rsidRPr="347D99D0">
        <w:rPr>
          <w:rFonts w:eastAsia="Times New Roman"/>
          <w:sz w:val="24"/>
          <w:szCs w:val="24"/>
        </w:rPr>
        <w:t>methanol dehydrogenases are expressed at similar levels in each condition (</w:t>
      </w:r>
      <w:r w:rsidR="0023119E" w:rsidRPr="347D99D0">
        <w:rPr>
          <w:rFonts w:eastAsia="Times New Roman"/>
          <w:b/>
          <w:bCs/>
          <w:sz w:val="24"/>
          <w:szCs w:val="24"/>
        </w:rPr>
        <w:t>Fig. 7</w:t>
      </w:r>
      <w:r w:rsidR="0023119E" w:rsidRPr="347D99D0">
        <w:rPr>
          <w:rFonts w:eastAsia="Times New Roman"/>
          <w:sz w:val="24"/>
          <w:szCs w:val="24"/>
        </w:rPr>
        <w:t>). </w:t>
      </w:r>
      <w:r w:rsidRPr="347D99D0">
        <w:rPr>
          <w:rFonts w:eastAsia="Times New Roman"/>
          <w:sz w:val="24"/>
          <w:szCs w:val="24"/>
        </w:rPr>
        <w:t xml:space="preserve">  </w:t>
      </w:r>
    </w:p>
    <w:p w14:paraId="35CBCCC0" w14:textId="6EFBE89D" w:rsidR="000C7072" w:rsidRPr="006A2F31" w:rsidRDefault="00044CFD" w:rsidP="006A2F31">
      <w:pPr>
        <w:pStyle w:val="Heading5"/>
        <w:rPr>
          <w:rFonts w:eastAsia="Times New Roman"/>
        </w:rPr>
      </w:pPr>
      <w:bookmarkStart w:id="65" w:name="_Toc161933731"/>
      <w:bookmarkStart w:id="66" w:name="_Toc161935368"/>
      <w:r w:rsidRPr="006A2F31">
        <w:t>Figure 6: WSC-7 Methane oxidation gene counts</w:t>
      </w:r>
      <w:bookmarkEnd w:id="65"/>
      <w:bookmarkEnd w:id="66"/>
    </w:p>
    <w:p w14:paraId="73E63B99" w14:textId="6A888E2C" w:rsidR="000C7072" w:rsidRDefault="001939AD" w:rsidP="000C7072">
      <w:pPr>
        <w:spacing w:line="480" w:lineRule="auto"/>
        <w:textAlignment w:val="baseline"/>
        <w:rPr>
          <w:rFonts w:eastAsia="Times New Roman"/>
          <w:color w:val="0078D4"/>
          <w:sz w:val="24"/>
          <w:szCs w:val="24"/>
        </w:rPr>
      </w:pPr>
      <w:r>
        <w:rPr>
          <w:rFonts w:eastAsia="Times New Roman"/>
          <w:noProof/>
          <w:color w:val="0078D4"/>
          <w:sz w:val="24"/>
          <w:szCs w:val="24"/>
          <w14:ligatures w14:val="standardContextual"/>
        </w:rPr>
        <mc:AlternateContent>
          <mc:Choice Requires="wps">
            <w:drawing>
              <wp:anchor distT="0" distB="0" distL="114300" distR="114300" simplePos="0" relativeHeight="251662336" behindDoc="0" locked="0" layoutInCell="1" allowOverlap="1" wp14:anchorId="13C313BD" wp14:editId="279B274B">
                <wp:simplePos x="0" y="0"/>
                <wp:positionH relativeFrom="column">
                  <wp:posOffset>225707</wp:posOffset>
                </wp:positionH>
                <wp:positionV relativeFrom="paragraph">
                  <wp:posOffset>4711989</wp:posOffset>
                </wp:positionV>
                <wp:extent cx="5603594" cy="1064871"/>
                <wp:effectExtent l="0" t="0" r="0" b="2540"/>
                <wp:wrapNone/>
                <wp:docPr id="133457491" name="Text Box 14"/>
                <wp:cNvGraphicFramePr/>
                <a:graphic xmlns:a="http://schemas.openxmlformats.org/drawingml/2006/main">
                  <a:graphicData uri="http://schemas.microsoft.com/office/word/2010/wordprocessingShape">
                    <wps:wsp>
                      <wps:cNvSpPr txBox="1"/>
                      <wps:spPr>
                        <a:xfrm>
                          <a:off x="0" y="0"/>
                          <a:ext cx="5603594" cy="1064871"/>
                        </a:xfrm>
                        <a:prstGeom prst="rect">
                          <a:avLst/>
                        </a:prstGeom>
                        <a:solidFill>
                          <a:schemeClr val="lt1"/>
                        </a:solidFill>
                        <a:ln w="6350">
                          <a:noFill/>
                        </a:ln>
                      </wps:spPr>
                      <wps:txbx>
                        <w:txbxContent>
                          <w:p w14:paraId="7A680AF5" w14:textId="050F5EC6" w:rsidR="001939AD" w:rsidRPr="006A2F31" w:rsidRDefault="001939AD">
                            <w:pPr>
                              <w:rPr>
                                <w:sz w:val="24"/>
                                <w:szCs w:val="24"/>
                              </w:rPr>
                            </w:pPr>
                            <w:r w:rsidRPr="006A2F31">
                              <w:rPr>
                                <w:b/>
                                <w:bCs/>
                                <w:sz w:val="24"/>
                                <w:szCs w:val="24"/>
                              </w:rPr>
                              <w:t xml:space="preserve">Figure 6: </w:t>
                            </w:r>
                            <w:r w:rsidRPr="006A2F31">
                              <w:rPr>
                                <w:sz w:val="24"/>
                                <w:szCs w:val="24"/>
                              </w:rPr>
                              <w:t xml:space="preserve">Normalized counts of methane and methanol oxidation genes by </w:t>
                            </w:r>
                            <w:r w:rsidRPr="006A2F31">
                              <w:rPr>
                                <w:i/>
                                <w:iCs/>
                                <w:sz w:val="24"/>
                                <w:szCs w:val="24"/>
                              </w:rPr>
                              <w:t xml:space="preserve">Methylomonas </w:t>
                            </w:r>
                            <w:r w:rsidRPr="006A2F31">
                              <w:rPr>
                                <w:sz w:val="24"/>
                                <w:szCs w:val="24"/>
                              </w:rPr>
                              <w:t xml:space="preserve">sp. WSC-7 in </w:t>
                            </w:r>
                            <w:r w:rsidR="00202B1D" w:rsidRPr="006A2F31">
                              <w:rPr>
                                <w:sz w:val="24"/>
                                <w:szCs w:val="24"/>
                              </w:rPr>
                              <w:t>catalase (blue)</w:t>
                            </w:r>
                            <w:r w:rsidR="00202B1D">
                              <w:rPr>
                                <w:sz w:val="24"/>
                                <w:szCs w:val="24"/>
                              </w:rPr>
                              <w:t xml:space="preserve">, </w:t>
                            </w:r>
                            <w:r w:rsidRPr="006A2F31">
                              <w:rPr>
                                <w:sz w:val="24"/>
                                <w:szCs w:val="24"/>
                              </w:rPr>
                              <w:t xml:space="preserve">high oxygen (orange), </w:t>
                            </w:r>
                            <w:r w:rsidR="00202B1D">
                              <w:rPr>
                                <w:sz w:val="24"/>
                                <w:szCs w:val="24"/>
                              </w:rPr>
                              <w:t xml:space="preserve">and </w:t>
                            </w:r>
                            <w:r w:rsidRPr="006A2F31">
                              <w:rPr>
                                <w:sz w:val="24"/>
                                <w:szCs w:val="24"/>
                              </w:rPr>
                              <w:t>low oxygen (green), conditions. Data are shown as the +/- standard deviation across triplicate samples for the high and low conditions and duplicate samples for the catalase condition.</w:t>
                            </w:r>
                            <w:r w:rsidR="00044CFD" w:rsidRPr="006A2F31">
                              <w:rPr>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313BD" id="Text Box 14" o:spid="_x0000_s1027" type="#_x0000_t202" style="position:absolute;margin-left:17.75pt;margin-top:371pt;width:441.25pt;height:8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" fillcolor="white [3201]" stroked="f" strokeweight=".5pt">
                <v:textbox>
                  <w:txbxContent>
                    <w:p w14:paraId="7A680AF5" w14:textId="050F5EC6" w:rsidR="001939AD" w:rsidRPr="006A2F31" w:rsidRDefault="001939AD">
                      <w:pPr>
                        <w:rPr>
                          <w:sz w:val="24"/>
                          <w:szCs w:val="24"/>
                        </w:rPr>
                      </w:pPr>
                      <w:r w:rsidRPr="006A2F31">
                        <w:rPr>
                          <w:b/>
                          <w:bCs/>
                          <w:sz w:val="24"/>
                          <w:szCs w:val="24"/>
                        </w:rPr>
                        <w:t xml:space="preserve">Figure 6: </w:t>
                      </w:r>
                      <w:r w:rsidRPr="006A2F31">
                        <w:rPr>
                          <w:sz w:val="24"/>
                          <w:szCs w:val="24"/>
                        </w:rPr>
                        <w:t xml:space="preserve">Normalized counts of methane and methanol oxidation genes by </w:t>
                      </w:r>
                      <w:r w:rsidRPr="006A2F31">
                        <w:rPr>
                          <w:i/>
                          <w:iCs/>
                          <w:sz w:val="24"/>
                          <w:szCs w:val="24"/>
                        </w:rPr>
                        <w:t xml:space="preserve">Methylomonas </w:t>
                      </w:r>
                      <w:r w:rsidRPr="006A2F31">
                        <w:rPr>
                          <w:sz w:val="24"/>
                          <w:szCs w:val="24"/>
                        </w:rPr>
                        <w:t xml:space="preserve">sp. WSC-7 in </w:t>
                      </w:r>
                      <w:r w:rsidR="00202B1D" w:rsidRPr="006A2F31">
                        <w:rPr>
                          <w:sz w:val="24"/>
                          <w:szCs w:val="24"/>
                        </w:rPr>
                        <w:t>catalase (blue)</w:t>
                      </w:r>
                      <w:r w:rsidR="00202B1D">
                        <w:rPr>
                          <w:sz w:val="24"/>
                          <w:szCs w:val="24"/>
                        </w:rPr>
                        <w:t xml:space="preserve">, </w:t>
                      </w:r>
                      <w:r w:rsidRPr="006A2F31">
                        <w:rPr>
                          <w:sz w:val="24"/>
                          <w:szCs w:val="24"/>
                        </w:rPr>
                        <w:t xml:space="preserve">high oxygen (orange), </w:t>
                      </w:r>
                      <w:r w:rsidR="00202B1D">
                        <w:rPr>
                          <w:sz w:val="24"/>
                          <w:szCs w:val="24"/>
                        </w:rPr>
                        <w:t xml:space="preserve">and </w:t>
                      </w:r>
                      <w:r w:rsidRPr="006A2F31">
                        <w:rPr>
                          <w:sz w:val="24"/>
                          <w:szCs w:val="24"/>
                        </w:rPr>
                        <w:t>low oxygen (green), conditions. Data are shown as the +/- standard deviation across triplicate samples for the high and low conditions and duplicate samples for the catalase condition.</w:t>
                      </w:r>
                      <w:r w:rsidR="00044CFD" w:rsidRPr="006A2F31">
                        <w:rPr>
                          <w:sz w:val="24"/>
                          <w:szCs w:val="24"/>
                        </w:rPr>
                        <w:t xml:space="preserve"> </w:t>
                      </w:r>
                    </w:p>
                  </w:txbxContent>
                </v:textbox>
              </v:shape>
            </w:pict>
          </mc:Fallback>
        </mc:AlternateContent>
      </w:r>
      <w:r w:rsidR="000C7072">
        <w:rPr>
          <w:rFonts w:eastAsia="Times New Roman"/>
          <w:noProof/>
          <w:color w:val="0078D4"/>
          <w:sz w:val="24"/>
          <w:szCs w:val="24"/>
          <w14:ligatures w14:val="standardContextual"/>
        </w:rPr>
        <w:drawing>
          <wp:inline distT="0" distB="0" distL="0" distR="0" wp14:anchorId="6DC5087C" wp14:editId="5B159F74">
            <wp:extent cx="5943600" cy="4852670"/>
            <wp:effectExtent l="0" t="0" r="0" b="0"/>
            <wp:docPr id="14507070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07045" name="Picture 145070704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7239" cy="4855641"/>
                    </a:xfrm>
                    <a:prstGeom prst="rect">
                      <a:avLst/>
                    </a:prstGeom>
                  </pic:spPr>
                </pic:pic>
              </a:graphicData>
            </a:graphic>
          </wp:inline>
        </w:drawing>
      </w:r>
    </w:p>
    <w:p w14:paraId="410978D7" w14:textId="77777777" w:rsidR="000C7072" w:rsidRDefault="000C7072" w:rsidP="000C7072">
      <w:pPr>
        <w:spacing w:line="480" w:lineRule="auto"/>
        <w:textAlignment w:val="baseline"/>
        <w:rPr>
          <w:rFonts w:eastAsia="Times New Roman"/>
          <w:color w:val="0078D4"/>
          <w:sz w:val="24"/>
          <w:szCs w:val="24"/>
        </w:rPr>
      </w:pPr>
    </w:p>
    <w:p w14:paraId="046E01BB" w14:textId="77777777" w:rsidR="000C7072" w:rsidRDefault="000C7072" w:rsidP="000C7072">
      <w:pPr>
        <w:spacing w:line="480" w:lineRule="auto"/>
        <w:textAlignment w:val="baseline"/>
        <w:rPr>
          <w:rFonts w:eastAsia="Times New Roman"/>
          <w:color w:val="0078D4"/>
          <w:sz w:val="24"/>
          <w:szCs w:val="24"/>
        </w:rPr>
      </w:pPr>
    </w:p>
    <w:p w14:paraId="74964A85" w14:textId="5F38B845" w:rsidR="000C7072" w:rsidRDefault="00044CFD" w:rsidP="000C7072">
      <w:pPr>
        <w:spacing w:line="480" w:lineRule="auto"/>
        <w:textAlignment w:val="baseline"/>
        <w:rPr>
          <w:rFonts w:eastAsia="Times New Roman"/>
          <w:color w:val="0078D4"/>
          <w:sz w:val="24"/>
          <w:szCs w:val="24"/>
        </w:rPr>
      </w:pPr>
      <w:r>
        <w:rPr>
          <w:rFonts w:eastAsia="Times New Roman"/>
          <w:noProof/>
          <w:color w:val="0078D4"/>
          <w:sz w:val="24"/>
          <w:szCs w:val="24"/>
          <w14:ligatures w14:val="standardContextual"/>
        </w:rPr>
        <w:lastRenderedPageBreak/>
        <mc:AlternateContent>
          <mc:Choice Requires="wps">
            <w:drawing>
              <wp:anchor distT="0" distB="0" distL="114300" distR="114300" simplePos="0" relativeHeight="251664384" behindDoc="0" locked="0" layoutInCell="1" allowOverlap="1" wp14:anchorId="4647A1AB" wp14:editId="79956EF6">
                <wp:simplePos x="0" y="0"/>
                <wp:positionH relativeFrom="column">
                  <wp:posOffset>114300</wp:posOffset>
                </wp:positionH>
                <wp:positionV relativeFrom="paragraph">
                  <wp:posOffset>4340506</wp:posOffset>
                </wp:positionV>
                <wp:extent cx="5771515" cy="1030147"/>
                <wp:effectExtent l="0" t="0" r="0" b="0"/>
                <wp:wrapNone/>
                <wp:docPr id="840465175" name="Text Box 14"/>
                <wp:cNvGraphicFramePr/>
                <a:graphic xmlns:a="http://schemas.openxmlformats.org/drawingml/2006/main">
                  <a:graphicData uri="http://schemas.microsoft.com/office/word/2010/wordprocessingShape">
                    <wps:wsp>
                      <wps:cNvSpPr txBox="1"/>
                      <wps:spPr>
                        <a:xfrm>
                          <a:off x="0" y="0"/>
                          <a:ext cx="5771515" cy="1030147"/>
                        </a:xfrm>
                        <a:prstGeom prst="rect">
                          <a:avLst/>
                        </a:prstGeom>
                        <a:solidFill>
                          <a:schemeClr val="lt1"/>
                        </a:solidFill>
                        <a:ln w="6350">
                          <a:noFill/>
                        </a:ln>
                      </wps:spPr>
                      <wps:txbx>
                        <w:txbxContent>
                          <w:p w14:paraId="3B53C5C9" w14:textId="36FA757E" w:rsidR="001939AD" w:rsidRPr="006A2F31" w:rsidRDefault="001939AD" w:rsidP="001939AD">
                            <w:pPr>
                              <w:rPr>
                                <w:rStyle w:val="Heading5Char"/>
                              </w:rPr>
                            </w:pPr>
                            <w:r w:rsidRPr="006E624A">
                              <w:rPr>
                                <w:b/>
                                <w:bCs/>
                                <w:sz w:val="24"/>
                                <w:szCs w:val="24"/>
                              </w:rPr>
                              <w:t xml:space="preserve">Figure 7: </w:t>
                            </w:r>
                            <w:r w:rsidRPr="006E624A">
                              <w:rPr>
                                <w:sz w:val="24"/>
                                <w:szCs w:val="24"/>
                              </w:rPr>
                              <w:t xml:space="preserve">Normalized counts of methane and methanol oxidation genes by </w:t>
                            </w:r>
                            <w:r w:rsidRPr="006E624A">
                              <w:rPr>
                                <w:i/>
                                <w:iCs/>
                                <w:sz w:val="24"/>
                                <w:szCs w:val="24"/>
                              </w:rPr>
                              <w:t xml:space="preserve">M. trichosporium </w:t>
                            </w:r>
                            <w:r w:rsidRPr="006E624A">
                              <w:rPr>
                                <w:sz w:val="24"/>
                                <w:szCs w:val="24"/>
                              </w:rPr>
                              <w:t xml:space="preserve">OB3b in </w:t>
                            </w:r>
                            <w:r w:rsidR="007D3DBA">
                              <w:rPr>
                                <w:sz w:val="24"/>
                                <w:szCs w:val="24"/>
                              </w:rPr>
                              <w:t>catalase</w:t>
                            </w:r>
                            <w:r w:rsidRPr="006E624A">
                              <w:rPr>
                                <w:sz w:val="24"/>
                                <w:szCs w:val="24"/>
                              </w:rPr>
                              <w:t xml:space="preserve"> (</w:t>
                            </w:r>
                            <w:r w:rsidR="007D3DBA">
                              <w:rPr>
                                <w:sz w:val="24"/>
                                <w:szCs w:val="24"/>
                              </w:rPr>
                              <w:t>blue</w:t>
                            </w:r>
                            <w:r w:rsidRPr="006E624A">
                              <w:rPr>
                                <w:sz w:val="24"/>
                                <w:szCs w:val="24"/>
                              </w:rPr>
                              <w:t xml:space="preserve">), </w:t>
                            </w:r>
                            <w:r w:rsidR="007D3DBA">
                              <w:rPr>
                                <w:sz w:val="24"/>
                                <w:szCs w:val="24"/>
                              </w:rPr>
                              <w:t xml:space="preserve">high </w:t>
                            </w:r>
                            <w:r w:rsidRPr="006E624A">
                              <w:rPr>
                                <w:sz w:val="24"/>
                                <w:szCs w:val="24"/>
                              </w:rPr>
                              <w:t>oxygen (</w:t>
                            </w:r>
                            <w:r w:rsidR="007D3DBA">
                              <w:rPr>
                                <w:sz w:val="24"/>
                                <w:szCs w:val="24"/>
                              </w:rPr>
                              <w:t>orange</w:t>
                            </w:r>
                            <w:r w:rsidRPr="006E624A">
                              <w:rPr>
                                <w:sz w:val="24"/>
                                <w:szCs w:val="24"/>
                              </w:rPr>
                              <w:t xml:space="preserve">), and </w:t>
                            </w:r>
                            <w:r w:rsidR="007D3DBA">
                              <w:rPr>
                                <w:sz w:val="24"/>
                                <w:szCs w:val="24"/>
                              </w:rPr>
                              <w:t>low oxygen</w:t>
                            </w:r>
                            <w:r w:rsidR="007D3DBA" w:rsidRPr="006E624A">
                              <w:rPr>
                                <w:sz w:val="24"/>
                                <w:szCs w:val="24"/>
                              </w:rPr>
                              <w:t xml:space="preserve"> </w:t>
                            </w:r>
                            <w:r w:rsidRPr="006E624A">
                              <w:rPr>
                                <w:sz w:val="24"/>
                                <w:szCs w:val="24"/>
                              </w:rPr>
                              <w:t>(</w:t>
                            </w:r>
                            <w:r w:rsidR="007D3DBA">
                              <w:rPr>
                                <w:sz w:val="24"/>
                                <w:szCs w:val="24"/>
                              </w:rPr>
                              <w:t>green</w:t>
                            </w:r>
                            <w:r w:rsidRPr="006E624A">
                              <w:rPr>
                                <w:sz w:val="24"/>
                                <w:szCs w:val="24"/>
                              </w:rPr>
                              <w:t>) conditions. Data are shown as the +/- standard deviation across triplicate samples for the high and low conditions and duplicate samples for the catalase condition.</w:t>
                            </w:r>
                            <w:r w:rsidR="00044CFD">
                              <w:rPr>
                                <w:sz w:val="24"/>
                                <w:szCs w:val="24"/>
                              </w:rPr>
                              <w:t xml:space="preserve"> </w:t>
                            </w:r>
                            <w:r w:rsidR="00044CFD" w:rsidRPr="006A2F31">
                              <w:rPr>
                                <w:rStyle w:val="Heading5Char"/>
                              </w:rPr>
                              <w:t>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7A1AB" id="_x0000_s1028" type="#_x0000_t202" style="position:absolute;margin-left:9pt;margin-top:341.75pt;width:454.45pt;height:8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" fillcolor="white [3201]" stroked="f" strokeweight=".5pt">
                <v:textbox>
                  <w:txbxContent>
                    <w:p w14:paraId="3B53C5C9" w14:textId="36FA757E" w:rsidR="001939AD" w:rsidRPr="006A2F31" w:rsidRDefault="001939AD" w:rsidP="001939AD">
                      <w:pPr>
                        <w:rPr>
                          <w:rStyle w:val="Heading5Char"/>
                        </w:rPr>
                      </w:pPr>
                      <w:r w:rsidRPr="006E624A">
                        <w:rPr>
                          <w:b/>
                          <w:bCs/>
                          <w:sz w:val="24"/>
                          <w:szCs w:val="24"/>
                        </w:rPr>
                        <w:t xml:space="preserve">Figure 7: </w:t>
                      </w:r>
                      <w:r w:rsidRPr="006E624A">
                        <w:rPr>
                          <w:sz w:val="24"/>
                          <w:szCs w:val="24"/>
                        </w:rPr>
                        <w:t xml:space="preserve">Normalized counts of methane and methanol oxidation genes by </w:t>
                      </w:r>
                      <w:r w:rsidRPr="006E624A">
                        <w:rPr>
                          <w:i/>
                          <w:iCs/>
                          <w:sz w:val="24"/>
                          <w:szCs w:val="24"/>
                        </w:rPr>
                        <w:t xml:space="preserve">M. trichosporium </w:t>
                      </w:r>
                      <w:r w:rsidRPr="006E624A">
                        <w:rPr>
                          <w:sz w:val="24"/>
                          <w:szCs w:val="24"/>
                        </w:rPr>
                        <w:t xml:space="preserve">OB3b in </w:t>
                      </w:r>
                      <w:r w:rsidR="007D3DBA">
                        <w:rPr>
                          <w:sz w:val="24"/>
                          <w:szCs w:val="24"/>
                        </w:rPr>
                        <w:t>catalase</w:t>
                      </w:r>
                      <w:r w:rsidRPr="006E624A">
                        <w:rPr>
                          <w:sz w:val="24"/>
                          <w:szCs w:val="24"/>
                        </w:rPr>
                        <w:t xml:space="preserve"> (</w:t>
                      </w:r>
                      <w:r w:rsidR="007D3DBA">
                        <w:rPr>
                          <w:sz w:val="24"/>
                          <w:szCs w:val="24"/>
                        </w:rPr>
                        <w:t>blue</w:t>
                      </w:r>
                      <w:r w:rsidRPr="006E624A">
                        <w:rPr>
                          <w:sz w:val="24"/>
                          <w:szCs w:val="24"/>
                        </w:rPr>
                        <w:t xml:space="preserve">), </w:t>
                      </w:r>
                      <w:r w:rsidR="007D3DBA">
                        <w:rPr>
                          <w:sz w:val="24"/>
                          <w:szCs w:val="24"/>
                        </w:rPr>
                        <w:t xml:space="preserve">high </w:t>
                      </w:r>
                      <w:r w:rsidRPr="006E624A">
                        <w:rPr>
                          <w:sz w:val="24"/>
                          <w:szCs w:val="24"/>
                        </w:rPr>
                        <w:t>oxygen (</w:t>
                      </w:r>
                      <w:r w:rsidR="007D3DBA">
                        <w:rPr>
                          <w:sz w:val="24"/>
                          <w:szCs w:val="24"/>
                        </w:rPr>
                        <w:t>orange</w:t>
                      </w:r>
                      <w:r w:rsidRPr="006E624A">
                        <w:rPr>
                          <w:sz w:val="24"/>
                          <w:szCs w:val="24"/>
                        </w:rPr>
                        <w:t xml:space="preserve">), and </w:t>
                      </w:r>
                      <w:r w:rsidR="007D3DBA">
                        <w:rPr>
                          <w:sz w:val="24"/>
                          <w:szCs w:val="24"/>
                        </w:rPr>
                        <w:t>low oxygen</w:t>
                      </w:r>
                      <w:r w:rsidR="007D3DBA" w:rsidRPr="006E624A">
                        <w:rPr>
                          <w:sz w:val="24"/>
                          <w:szCs w:val="24"/>
                        </w:rPr>
                        <w:t xml:space="preserve"> </w:t>
                      </w:r>
                      <w:r w:rsidRPr="006E624A">
                        <w:rPr>
                          <w:sz w:val="24"/>
                          <w:szCs w:val="24"/>
                        </w:rPr>
                        <w:t>(</w:t>
                      </w:r>
                      <w:r w:rsidR="007D3DBA">
                        <w:rPr>
                          <w:sz w:val="24"/>
                          <w:szCs w:val="24"/>
                        </w:rPr>
                        <w:t>green</w:t>
                      </w:r>
                      <w:r w:rsidRPr="006E624A">
                        <w:rPr>
                          <w:sz w:val="24"/>
                          <w:szCs w:val="24"/>
                        </w:rPr>
                        <w:t>) conditions. Data are shown as the +/- standard deviation across triplicate samples for the high and low conditions and duplicate samples for the catalase condition.</w:t>
                      </w:r>
                      <w:r w:rsidR="00044CFD">
                        <w:rPr>
                          <w:sz w:val="24"/>
                          <w:szCs w:val="24"/>
                        </w:rPr>
                        <w:t xml:space="preserve"> </w:t>
                      </w:r>
                      <w:r w:rsidR="00044CFD" w:rsidRPr="006A2F31">
                        <w:rPr>
                          <w:rStyle w:val="Heading5Char"/>
                        </w:rPr>
                        <w:t>counts</w:t>
                      </w:r>
                    </w:p>
                  </w:txbxContent>
                </v:textbox>
              </v:shape>
            </w:pict>
          </mc:Fallback>
        </mc:AlternateContent>
      </w:r>
      <w:r w:rsidR="001939AD">
        <w:rPr>
          <w:rFonts w:eastAsia="Times New Roman"/>
          <w:noProof/>
          <w:color w:val="0078D4"/>
          <w:sz w:val="24"/>
          <w:szCs w:val="24"/>
          <w14:ligatures w14:val="standardContextual"/>
        </w:rPr>
        <w:drawing>
          <wp:inline distT="0" distB="0" distL="0" distR="0" wp14:anchorId="16E872FD" wp14:editId="2C85C0F4">
            <wp:extent cx="6242712" cy="4341886"/>
            <wp:effectExtent l="0" t="0" r="0" b="0"/>
            <wp:docPr id="14033524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52480" name="Picture 14033524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47715" cy="4345365"/>
                    </a:xfrm>
                    <a:prstGeom prst="rect">
                      <a:avLst/>
                    </a:prstGeom>
                  </pic:spPr>
                </pic:pic>
              </a:graphicData>
            </a:graphic>
          </wp:inline>
        </w:drawing>
      </w:r>
    </w:p>
    <w:p w14:paraId="0D8ED5C2" w14:textId="3498A683" w:rsidR="000C7072" w:rsidRDefault="000C7072" w:rsidP="000C7072">
      <w:pPr>
        <w:spacing w:line="480" w:lineRule="auto"/>
        <w:textAlignment w:val="baseline"/>
        <w:rPr>
          <w:rFonts w:eastAsia="Times New Roman"/>
          <w:color w:val="0078D4"/>
          <w:sz w:val="24"/>
          <w:szCs w:val="24"/>
        </w:rPr>
      </w:pPr>
    </w:p>
    <w:p w14:paraId="2F69D72B" w14:textId="77777777" w:rsidR="000C7072" w:rsidRDefault="000C7072" w:rsidP="000C7072">
      <w:pPr>
        <w:spacing w:line="480" w:lineRule="auto"/>
        <w:textAlignment w:val="baseline"/>
        <w:rPr>
          <w:rFonts w:eastAsia="Times New Roman"/>
          <w:color w:val="0078D4"/>
          <w:sz w:val="24"/>
          <w:szCs w:val="24"/>
        </w:rPr>
      </w:pPr>
    </w:p>
    <w:p w14:paraId="1343039F" w14:textId="55A7960F" w:rsidR="000C7072" w:rsidRPr="006A2F31" w:rsidRDefault="006A2F31" w:rsidP="006A2F31">
      <w:pPr>
        <w:pStyle w:val="Heading5"/>
        <w:rPr>
          <w:rFonts w:eastAsia="Times New Roman"/>
        </w:rPr>
      </w:pPr>
      <w:bookmarkStart w:id="67" w:name="_Toc161933732"/>
      <w:bookmarkStart w:id="68" w:name="_Toc161935369"/>
      <w:r w:rsidRPr="006A2F31">
        <w:t>Figure 7: OB3b Methane oxidation gene</w:t>
      </w:r>
      <w:bookmarkEnd w:id="67"/>
      <w:bookmarkEnd w:id="68"/>
    </w:p>
    <w:p w14:paraId="3C165ADB" w14:textId="77777777" w:rsidR="000C7072" w:rsidRDefault="000C7072" w:rsidP="000C7072">
      <w:pPr>
        <w:spacing w:line="480" w:lineRule="auto"/>
        <w:textAlignment w:val="baseline"/>
        <w:rPr>
          <w:rFonts w:eastAsia="Times New Roman"/>
          <w:color w:val="0078D4"/>
          <w:sz w:val="24"/>
          <w:szCs w:val="24"/>
        </w:rPr>
      </w:pPr>
    </w:p>
    <w:p w14:paraId="13C0DE80" w14:textId="77777777" w:rsidR="000C7072" w:rsidRDefault="000C7072" w:rsidP="000C7072">
      <w:pPr>
        <w:spacing w:line="480" w:lineRule="auto"/>
        <w:textAlignment w:val="baseline"/>
        <w:rPr>
          <w:rFonts w:eastAsia="Times New Roman"/>
          <w:color w:val="0078D4"/>
          <w:sz w:val="24"/>
          <w:szCs w:val="24"/>
        </w:rPr>
      </w:pPr>
    </w:p>
    <w:p w14:paraId="73E57DB0" w14:textId="6D91A51E" w:rsidR="000C7072" w:rsidRDefault="000C7072" w:rsidP="000C7072">
      <w:pPr>
        <w:spacing w:line="480" w:lineRule="auto"/>
        <w:textAlignment w:val="baseline"/>
        <w:rPr>
          <w:rFonts w:eastAsia="Times New Roman"/>
          <w:color w:val="0078D4"/>
          <w:sz w:val="24"/>
          <w:szCs w:val="24"/>
        </w:rPr>
      </w:pPr>
    </w:p>
    <w:p w14:paraId="6494E504" w14:textId="224809D0" w:rsidR="000C7072" w:rsidRPr="00802A62" w:rsidRDefault="000C7072" w:rsidP="000C7072">
      <w:pPr>
        <w:spacing w:line="480" w:lineRule="auto"/>
        <w:textAlignment w:val="baseline"/>
        <w:rPr>
          <w:rFonts w:eastAsia="Times New Roman"/>
          <w:color w:val="0078D4"/>
          <w:sz w:val="24"/>
          <w:szCs w:val="24"/>
        </w:rPr>
      </w:pPr>
      <w:r w:rsidRPr="000C7072">
        <w:t xml:space="preserve"> </w:t>
      </w:r>
    </w:p>
    <w:p w14:paraId="667AB7D7" w14:textId="77777777" w:rsidR="000C7072" w:rsidRPr="00802A62" w:rsidRDefault="000C7072" w:rsidP="006E624A">
      <w:pPr>
        <w:pStyle w:val="Heading4"/>
      </w:pPr>
      <w:r w:rsidRPr="00802A62">
        <w:rPr>
          <w:i/>
          <w:iCs/>
        </w:rPr>
        <w:lastRenderedPageBreak/>
        <w:t xml:space="preserve">Methylomonas </w:t>
      </w:r>
      <w:r w:rsidRPr="00802A62">
        <w:t>sp. WSC-7 Growth Phenotypes in Changing Oxygen Concentrations and Scanning Electron Microscopy of WSC-7 Biofilms </w:t>
      </w:r>
    </w:p>
    <w:p w14:paraId="0CEBA7FF" w14:textId="77777777"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The cells of </w:t>
      </w:r>
      <w:r w:rsidRPr="00802A62">
        <w:rPr>
          <w:rFonts w:eastAsia="Times New Roman"/>
          <w:i/>
          <w:iCs/>
          <w:sz w:val="24"/>
          <w:szCs w:val="24"/>
        </w:rPr>
        <w:t xml:space="preserve">Methylomonas </w:t>
      </w:r>
      <w:r w:rsidRPr="00802A62">
        <w:rPr>
          <w:rFonts w:eastAsia="Times New Roman"/>
          <w:sz w:val="24"/>
          <w:szCs w:val="24"/>
        </w:rPr>
        <w:t>sp. WSC-7 were observed to form clumps which floated in the high oxygen conditions, but not at low oxygen (</w:t>
      </w:r>
      <w:r w:rsidRPr="00802A62">
        <w:rPr>
          <w:rFonts w:eastAsia="Times New Roman"/>
          <w:b/>
          <w:bCs/>
          <w:sz w:val="24"/>
          <w:szCs w:val="24"/>
        </w:rPr>
        <w:t>Fig. 4</w:t>
      </w:r>
      <w:r w:rsidRPr="00802A62">
        <w:rPr>
          <w:rFonts w:eastAsia="Times New Roman"/>
          <w:sz w:val="24"/>
          <w:szCs w:val="24"/>
        </w:rPr>
        <w:t>). However, biofilms were observed using electron microscopy under all conditions.  Although the cells did not appear to form a biofilm in the bottles when growing in the low oxygen conditions, they appear to have the same cell stacking structure as the cells growing in the high oxygen and catalase conditions when observing the scanning electron micrographs (</w:t>
      </w:r>
      <w:r w:rsidRPr="00802A62">
        <w:rPr>
          <w:rFonts w:eastAsia="Times New Roman"/>
          <w:b/>
          <w:bCs/>
          <w:sz w:val="24"/>
          <w:szCs w:val="24"/>
        </w:rPr>
        <w:t>Fig. 8</w:t>
      </w:r>
      <w:r w:rsidRPr="00802A62">
        <w:rPr>
          <w:rFonts w:eastAsia="Times New Roman"/>
          <w:sz w:val="24"/>
          <w:szCs w:val="24"/>
        </w:rPr>
        <w:t>). This suggests the capacity form clumps was present under all conditions, but only visible at high oxygen.    </w:t>
      </w:r>
    </w:p>
    <w:p w14:paraId="4798A2E6" w14:textId="77777777"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w:t>
      </w:r>
    </w:p>
    <w:p w14:paraId="45AE3369" w14:textId="50B35E1E"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w:t>
      </w:r>
      <w:r w:rsidR="001939AD">
        <w:rPr>
          <w:rFonts w:eastAsia="Times New Roman"/>
          <w:noProof/>
          <w:sz w:val="24"/>
          <w:szCs w:val="24"/>
          <w14:ligatures w14:val="standardContextual"/>
        </w:rPr>
        <w:drawing>
          <wp:inline distT="0" distB="0" distL="0" distR="0" wp14:anchorId="0C2E8F9A" wp14:editId="3028C30A">
            <wp:extent cx="5943600" cy="2280213"/>
            <wp:effectExtent l="0" t="0" r="0" b="0"/>
            <wp:docPr id="13907125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12520" name="Picture 1390712520"/>
                    <pic:cNvPicPr/>
                  </pic:nvPicPr>
                  <pic:blipFill>
                    <a:blip r:embed="rId23">
                      <a:extLst>
                        <a:ext uri="{28A0092B-C50C-407E-A947-70E740481C1C}">
                          <a14:useLocalDpi xmlns:a14="http://schemas.microsoft.com/office/drawing/2010/main" val="0"/>
                        </a:ext>
                      </a:extLst>
                    </a:blip>
                    <a:stretch>
                      <a:fillRect/>
                    </a:stretch>
                  </pic:blipFill>
                  <pic:spPr>
                    <a:xfrm>
                      <a:off x="0" y="0"/>
                      <a:ext cx="5949576" cy="2282506"/>
                    </a:xfrm>
                    <a:prstGeom prst="rect">
                      <a:avLst/>
                    </a:prstGeom>
                  </pic:spPr>
                </pic:pic>
              </a:graphicData>
            </a:graphic>
          </wp:inline>
        </w:drawing>
      </w:r>
    </w:p>
    <w:p w14:paraId="46F72586" w14:textId="258F8101" w:rsidR="000C7072" w:rsidRPr="00802A62" w:rsidRDefault="00044CFD" w:rsidP="006A2F31">
      <w:pPr>
        <w:pStyle w:val="Heading5"/>
        <w:rPr>
          <w:rFonts w:eastAsia="Times New Roman"/>
        </w:rPr>
      </w:pPr>
      <w:bookmarkStart w:id="69" w:name="_Toc161933733"/>
      <w:bookmarkStart w:id="70" w:name="_Toc161935370"/>
      <w:r>
        <w:rPr>
          <w:rFonts w:eastAsia="Times New Roman"/>
        </w:rPr>
        <w:t>Figure 8: WSC-7 SEM Images</w:t>
      </w:r>
      <w:bookmarkEnd w:id="69"/>
      <w:bookmarkEnd w:id="70"/>
      <w:r>
        <w:rPr>
          <w:rFonts w:eastAsia="Times New Roman"/>
        </w:rPr>
        <w:t xml:space="preserve"> </w:t>
      </w:r>
    </w:p>
    <w:p w14:paraId="1267727B" w14:textId="77777777"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w:t>
      </w:r>
    </w:p>
    <w:p w14:paraId="0778C376" w14:textId="77777777" w:rsidR="008F74F3" w:rsidRDefault="008F74F3" w:rsidP="006E624A">
      <w:pPr>
        <w:pStyle w:val="Heading3"/>
        <w:rPr>
          <w:rFonts w:eastAsia="Times New Roman"/>
        </w:rPr>
      </w:pPr>
    </w:p>
    <w:p w14:paraId="259F8245" w14:textId="5D9DBD6C" w:rsidR="000C7072" w:rsidRPr="00802A62" w:rsidRDefault="000C7072" w:rsidP="006E624A">
      <w:pPr>
        <w:pStyle w:val="Heading3"/>
        <w:rPr>
          <w:rFonts w:eastAsia="Times New Roman"/>
        </w:rPr>
      </w:pPr>
      <w:bookmarkStart w:id="71" w:name="_Toc167115835"/>
      <w:r w:rsidRPr="00802A62">
        <w:rPr>
          <w:rFonts w:eastAsia="Times New Roman"/>
        </w:rPr>
        <w:lastRenderedPageBreak/>
        <w:t>Discussion</w:t>
      </w:r>
      <w:bookmarkEnd w:id="71"/>
      <w:r w:rsidRPr="00802A62">
        <w:rPr>
          <w:rFonts w:eastAsia="Times New Roman"/>
        </w:rPr>
        <w:t>  </w:t>
      </w:r>
    </w:p>
    <w:p w14:paraId="735563A2" w14:textId="77777777" w:rsidR="000C7072" w:rsidRPr="00802A62" w:rsidRDefault="000C7072" w:rsidP="006E624A">
      <w:pPr>
        <w:pStyle w:val="Heading4"/>
      </w:pPr>
      <w:r w:rsidRPr="00802A62">
        <w:t xml:space="preserve">Lower Oxygen Concentrations Leads to Lower Expression of Soluble Methane Monooxygenase in </w:t>
      </w:r>
      <w:r w:rsidRPr="00802A62">
        <w:rPr>
          <w:i/>
          <w:iCs/>
        </w:rPr>
        <w:t xml:space="preserve">Methylomonas </w:t>
      </w:r>
      <w:r w:rsidRPr="00802A62">
        <w:t>sp. WSC-7 </w:t>
      </w:r>
    </w:p>
    <w:p w14:paraId="763CA5B5" w14:textId="1FFF376B" w:rsidR="000C7072" w:rsidRPr="00802A62" w:rsidRDefault="000C7072" w:rsidP="000C7072">
      <w:pPr>
        <w:spacing w:line="480" w:lineRule="auto"/>
        <w:textAlignment w:val="baseline"/>
        <w:rPr>
          <w:rFonts w:eastAsia="Times New Roman"/>
          <w:sz w:val="24"/>
          <w:szCs w:val="24"/>
        </w:rPr>
      </w:pPr>
      <w:r w:rsidRPr="00802A62">
        <w:rPr>
          <w:rFonts w:eastAsia="Times New Roman"/>
          <w:sz w:val="24"/>
          <w:szCs w:val="24"/>
        </w:rPr>
        <w:t xml:space="preserve">It has been determined that genes encoding the soluble methane monooxygenase in the type I MOB WSC-7 are more impacted by decreases in oxygen concentration than </w:t>
      </w:r>
      <w:r w:rsidR="00B014B4">
        <w:rPr>
          <w:rFonts w:eastAsia="Times New Roman"/>
          <w:sz w:val="24"/>
          <w:szCs w:val="24"/>
        </w:rPr>
        <w:t>those</w:t>
      </w:r>
      <w:r w:rsidRPr="00802A62">
        <w:rPr>
          <w:rFonts w:eastAsia="Times New Roman"/>
          <w:sz w:val="24"/>
          <w:szCs w:val="24"/>
        </w:rPr>
        <w:t xml:space="preserve"> of the genes for particulate methane monooxygenase</w:t>
      </w:r>
      <w:r w:rsidR="006B38F5">
        <w:rPr>
          <w:rFonts w:eastAsia="Times New Roman"/>
          <w:sz w:val="24"/>
          <w:szCs w:val="24"/>
        </w:rPr>
        <w:t xml:space="preserve">. WSC-7 in low oxygen had </w:t>
      </w:r>
      <w:r w:rsidRPr="00802A62">
        <w:rPr>
          <w:rFonts w:eastAsia="Times New Roman"/>
          <w:sz w:val="24"/>
          <w:szCs w:val="24"/>
        </w:rPr>
        <w:t xml:space="preserve">decreased expression of </w:t>
      </w:r>
      <w:r w:rsidRPr="00802A62">
        <w:rPr>
          <w:rFonts w:eastAsia="Times New Roman"/>
          <w:i/>
          <w:iCs/>
          <w:sz w:val="24"/>
          <w:szCs w:val="24"/>
        </w:rPr>
        <w:t>mmoXYC</w:t>
      </w:r>
      <w:r w:rsidRPr="00802A62">
        <w:rPr>
          <w:rFonts w:eastAsia="Times New Roman"/>
          <w:sz w:val="24"/>
          <w:szCs w:val="24"/>
        </w:rPr>
        <w:t xml:space="preserve"> genes. Interestingly, </w:t>
      </w:r>
      <w:r w:rsidR="00896DC5">
        <w:rPr>
          <w:rFonts w:eastAsia="Times New Roman"/>
          <w:sz w:val="24"/>
          <w:szCs w:val="24"/>
        </w:rPr>
        <w:t>the</w:t>
      </w:r>
      <w:r w:rsidRPr="00802A62">
        <w:rPr>
          <w:rFonts w:eastAsia="Times New Roman"/>
          <w:sz w:val="24"/>
          <w:szCs w:val="24"/>
        </w:rPr>
        <w:t xml:space="preserve"> same trend </w:t>
      </w:r>
      <w:r w:rsidR="00896DC5">
        <w:rPr>
          <w:rFonts w:eastAsia="Times New Roman"/>
          <w:sz w:val="24"/>
          <w:szCs w:val="24"/>
        </w:rPr>
        <w:t xml:space="preserve">was not present </w:t>
      </w:r>
      <w:r w:rsidRPr="00802A62">
        <w:rPr>
          <w:rFonts w:eastAsia="Times New Roman"/>
          <w:sz w:val="24"/>
          <w:szCs w:val="24"/>
        </w:rPr>
        <w:t xml:space="preserve">in type II MOB OB3b. In OB3b, there was a slightly higher expression of </w:t>
      </w:r>
      <w:r w:rsidRPr="00802A62">
        <w:rPr>
          <w:rFonts w:eastAsia="Times New Roman"/>
          <w:i/>
          <w:iCs/>
          <w:sz w:val="24"/>
          <w:szCs w:val="24"/>
        </w:rPr>
        <w:t>mmoX</w:t>
      </w:r>
      <w:r w:rsidRPr="00802A62">
        <w:rPr>
          <w:rFonts w:eastAsia="Times New Roman"/>
          <w:sz w:val="24"/>
          <w:szCs w:val="24"/>
        </w:rPr>
        <w:t xml:space="preserve"> under </w:t>
      </w:r>
      <w:r w:rsidR="00900F07">
        <w:rPr>
          <w:rFonts w:eastAsia="Times New Roman"/>
          <w:sz w:val="24"/>
          <w:szCs w:val="24"/>
        </w:rPr>
        <w:t xml:space="preserve">the </w:t>
      </w:r>
      <w:r w:rsidRPr="00802A62">
        <w:rPr>
          <w:rFonts w:eastAsia="Times New Roman"/>
          <w:sz w:val="24"/>
          <w:szCs w:val="24"/>
        </w:rPr>
        <w:t xml:space="preserve">catalase </w:t>
      </w:r>
      <w:r w:rsidR="00900F07">
        <w:rPr>
          <w:rFonts w:eastAsia="Times New Roman"/>
          <w:sz w:val="24"/>
          <w:szCs w:val="24"/>
        </w:rPr>
        <w:t xml:space="preserve">condition, but this change was not </w:t>
      </w:r>
      <w:r w:rsidR="00B014B4">
        <w:rPr>
          <w:rFonts w:eastAsia="Times New Roman"/>
          <w:sz w:val="24"/>
          <w:szCs w:val="24"/>
        </w:rPr>
        <w:t>statistically</w:t>
      </w:r>
      <w:r w:rsidR="00900F07">
        <w:rPr>
          <w:rFonts w:eastAsia="Times New Roman"/>
          <w:sz w:val="24"/>
          <w:szCs w:val="24"/>
        </w:rPr>
        <w:t xml:space="preserve"> significant</w:t>
      </w:r>
      <w:r w:rsidRPr="00802A62">
        <w:rPr>
          <w:rFonts w:eastAsia="Times New Roman"/>
          <w:sz w:val="24"/>
          <w:szCs w:val="24"/>
        </w:rPr>
        <w:t xml:space="preserve"> and gene expression in high and low oxygen conditions </w:t>
      </w:r>
      <w:r w:rsidR="00B014B4">
        <w:rPr>
          <w:rFonts w:eastAsia="Times New Roman"/>
          <w:sz w:val="24"/>
          <w:szCs w:val="24"/>
        </w:rPr>
        <w:t>was</w:t>
      </w:r>
      <w:r w:rsidRPr="00802A62">
        <w:rPr>
          <w:rFonts w:eastAsia="Times New Roman"/>
          <w:sz w:val="24"/>
          <w:szCs w:val="24"/>
        </w:rPr>
        <w:t xml:space="preserve"> similar. Other studies have demonstrated that in wild-type OB3b and OB3b mutants that are unable to </w:t>
      </w:r>
      <w:r w:rsidR="00B014B4">
        <w:rPr>
          <w:rFonts w:eastAsia="Times New Roman"/>
          <w:sz w:val="24"/>
          <w:szCs w:val="24"/>
        </w:rPr>
        <w:t>express</w:t>
      </w:r>
      <w:r w:rsidRPr="00802A62">
        <w:rPr>
          <w:rFonts w:eastAsia="Times New Roman"/>
          <w:sz w:val="24"/>
          <w:szCs w:val="24"/>
        </w:rPr>
        <w:t xml:space="preserve"> genes for particulate methane monooxygenase</w:t>
      </w:r>
      <w:r w:rsidR="00B014B4">
        <w:rPr>
          <w:rFonts w:eastAsia="Times New Roman"/>
          <w:sz w:val="24"/>
          <w:szCs w:val="24"/>
        </w:rPr>
        <w:t>,</w:t>
      </w:r>
      <w:r w:rsidRPr="00802A62">
        <w:rPr>
          <w:rFonts w:eastAsia="Times New Roman"/>
          <w:sz w:val="24"/>
          <w:szCs w:val="24"/>
        </w:rPr>
        <w:t xml:space="preserve"> increases in oxygen concentration from 10% headspace O</w:t>
      </w:r>
      <w:r w:rsidRPr="00802A62">
        <w:rPr>
          <w:rFonts w:eastAsia="Times New Roman"/>
          <w:sz w:val="24"/>
          <w:szCs w:val="24"/>
          <w:vertAlign w:val="subscript"/>
        </w:rPr>
        <w:t>2</w:t>
      </w:r>
      <w:r w:rsidRPr="00802A62">
        <w:rPr>
          <w:rFonts w:eastAsia="Times New Roman"/>
          <w:sz w:val="24"/>
          <w:szCs w:val="24"/>
        </w:rPr>
        <w:t xml:space="preserve"> to 80% headspace O</w:t>
      </w:r>
      <w:r w:rsidRPr="00802A62">
        <w:rPr>
          <w:rFonts w:eastAsia="Times New Roman"/>
          <w:sz w:val="24"/>
          <w:szCs w:val="24"/>
          <w:vertAlign w:val="subscript"/>
        </w:rPr>
        <w:t>2</w:t>
      </w:r>
      <w:r w:rsidRPr="00802A62">
        <w:rPr>
          <w:rFonts w:eastAsia="Times New Roman"/>
          <w:sz w:val="24"/>
          <w:szCs w:val="24"/>
        </w:rPr>
        <w:t xml:space="preserve"> decreased sMMO protein levels and enzyme activity</w:t>
      </w:r>
      <w:r w:rsidR="009E4F0E">
        <w:rPr>
          <w:rFonts w:eastAsia="Times New Roman"/>
          <w:sz w:val="24"/>
          <w:szCs w:val="24"/>
        </w:rPr>
        <w:t xml:space="preserve"> (31). </w:t>
      </w:r>
      <w:r w:rsidR="00896DC5">
        <w:rPr>
          <w:rFonts w:eastAsia="Times New Roman"/>
          <w:sz w:val="24"/>
          <w:szCs w:val="24"/>
        </w:rPr>
        <w:t xml:space="preserve">This study </w:t>
      </w:r>
      <w:r w:rsidRPr="00802A62">
        <w:rPr>
          <w:rFonts w:eastAsia="Times New Roman"/>
          <w:sz w:val="24"/>
          <w:szCs w:val="24"/>
        </w:rPr>
        <w:t xml:space="preserve">did not </w:t>
      </w:r>
      <w:r w:rsidR="006B38F5">
        <w:rPr>
          <w:rFonts w:eastAsia="Times New Roman"/>
          <w:sz w:val="24"/>
          <w:szCs w:val="24"/>
        </w:rPr>
        <w:t xml:space="preserve">see a change in expression of the sMMO gene </w:t>
      </w:r>
      <w:r w:rsidR="006B38F5">
        <w:rPr>
          <w:rFonts w:eastAsia="Times New Roman"/>
          <w:i/>
          <w:iCs/>
          <w:sz w:val="24"/>
          <w:szCs w:val="24"/>
        </w:rPr>
        <w:t xml:space="preserve">mmoX </w:t>
      </w:r>
      <w:r w:rsidR="006B38F5">
        <w:rPr>
          <w:rFonts w:eastAsia="Times New Roman"/>
          <w:sz w:val="24"/>
          <w:szCs w:val="24"/>
        </w:rPr>
        <w:t xml:space="preserve">for Ob3b, </w:t>
      </w:r>
      <w:r w:rsidRPr="00802A62">
        <w:rPr>
          <w:rFonts w:eastAsia="Times New Roman"/>
          <w:sz w:val="24"/>
          <w:szCs w:val="24"/>
        </w:rPr>
        <w:t>but ranges of O</w:t>
      </w:r>
      <w:r w:rsidRPr="00802A62">
        <w:rPr>
          <w:rFonts w:eastAsia="Times New Roman"/>
          <w:sz w:val="24"/>
          <w:szCs w:val="24"/>
          <w:vertAlign w:val="subscript"/>
        </w:rPr>
        <w:t>2</w:t>
      </w:r>
      <w:r w:rsidRPr="00802A62">
        <w:rPr>
          <w:rFonts w:eastAsia="Times New Roman"/>
          <w:sz w:val="24"/>
          <w:szCs w:val="24"/>
        </w:rPr>
        <w:t xml:space="preserve"> </w:t>
      </w:r>
      <w:r w:rsidR="00896DC5">
        <w:rPr>
          <w:rFonts w:eastAsia="Times New Roman"/>
          <w:sz w:val="24"/>
          <w:szCs w:val="24"/>
        </w:rPr>
        <w:t xml:space="preserve">examined </w:t>
      </w:r>
      <w:r w:rsidR="006B38F5">
        <w:rPr>
          <w:rFonts w:eastAsia="Times New Roman"/>
          <w:sz w:val="24"/>
          <w:szCs w:val="24"/>
        </w:rPr>
        <w:t xml:space="preserve">in this study </w:t>
      </w:r>
      <w:r w:rsidR="00896DC5">
        <w:rPr>
          <w:rFonts w:eastAsia="Times New Roman"/>
          <w:sz w:val="24"/>
          <w:szCs w:val="24"/>
        </w:rPr>
        <w:t xml:space="preserve">were </w:t>
      </w:r>
      <w:r w:rsidRPr="00802A62">
        <w:rPr>
          <w:rFonts w:eastAsia="Times New Roman"/>
          <w:sz w:val="24"/>
          <w:szCs w:val="24"/>
        </w:rPr>
        <w:t xml:space="preserve">from 5% to 21% which may account for this discrepancy. Perhaps this observation </w:t>
      </w:r>
      <w:r w:rsidR="006B38F5">
        <w:rPr>
          <w:rFonts w:eastAsia="Times New Roman"/>
          <w:sz w:val="24"/>
          <w:szCs w:val="24"/>
        </w:rPr>
        <w:t xml:space="preserve">suggests </w:t>
      </w:r>
      <w:r w:rsidRPr="00802A62">
        <w:rPr>
          <w:rFonts w:eastAsia="Times New Roman"/>
          <w:sz w:val="24"/>
          <w:szCs w:val="24"/>
        </w:rPr>
        <w:t>that oxygen levels impact type I and type II MOB sMMO genes differently. </w:t>
      </w:r>
    </w:p>
    <w:p w14:paraId="0FAE0E56" w14:textId="77777777" w:rsidR="000C7072" w:rsidRPr="00802A62" w:rsidRDefault="000C7072" w:rsidP="006E624A">
      <w:pPr>
        <w:pStyle w:val="Heading4"/>
      </w:pPr>
      <w:r w:rsidRPr="00802A62">
        <w:rPr>
          <w:i/>
          <w:iCs/>
        </w:rPr>
        <w:t>Methylosinus trichosporium</w:t>
      </w:r>
      <w:r w:rsidRPr="00802A62">
        <w:t xml:space="preserve"> OB3b May Remediate Negative Impacts on MOR by Expression of Cytochrome c Peroxidase and Superoxide Dismutase </w:t>
      </w:r>
    </w:p>
    <w:p w14:paraId="2368BD34" w14:textId="5FFDB583" w:rsidR="000C7072" w:rsidRPr="00802A62" w:rsidRDefault="000C7072" w:rsidP="000C7072">
      <w:pPr>
        <w:spacing w:line="480" w:lineRule="auto"/>
        <w:textAlignment w:val="baseline"/>
        <w:rPr>
          <w:rFonts w:eastAsia="Times New Roman"/>
          <w:sz w:val="24"/>
          <w:szCs w:val="24"/>
        </w:rPr>
      </w:pPr>
      <w:r w:rsidRPr="347D99D0">
        <w:rPr>
          <w:rFonts w:eastAsia="Times New Roman"/>
          <w:color w:val="000000" w:themeColor="text1"/>
          <w:sz w:val="24"/>
          <w:szCs w:val="24"/>
        </w:rPr>
        <w:t xml:space="preserve">Changing the headspace oxygen concentration and/or amending the growth medium with 20 </w:t>
      </w:r>
      <w:r w:rsidR="00EB700C" w:rsidRPr="347D99D0">
        <w:rPr>
          <w:rFonts w:eastAsia="Times New Roman"/>
          <w:color w:val="000000" w:themeColor="text1"/>
          <w:sz w:val="24"/>
          <w:szCs w:val="24"/>
        </w:rPr>
        <w:t>µg</w:t>
      </w:r>
      <w:r w:rsidRPr="347D99D0">
        <w:rPr>
          <w:rFonts w:eastAsia="Times New Roman"/>
          <w:color w:val="000000" w:themeColor="text1"/>
          <w:sz w:val="24"/>
          <w:szCs w:val="24"/>
        </w:rPr>
        <w:t>/mL of catalase impac</w:t>
      </w:r>
      <w:r w:rsidR="00D97CAE">
        <w:rPr>
          <w:rFonts w:eastAsia="Times New Roman"/>
          <w:color w:val="000000" w:themeColor="text1"/>
          <w:sz w:val="24"/>
          <w:szCs w:val="24"/>
        </w:rPr>
        <w:t>ted</w:t>
      </w:r>
      <w:r w:rsidRPr="347D99D0">
        <w:rPr>
          <w:rFonts w:eastAsia="Times New Roman"/>
          <w:color w:val="000000" w:themeColor="text1"/>
          <w:sz w:val="24"/>
          <w:szCs w:val="24"/>
        </w:rPr>
        <w:t xml:space="preserve"> the MOR and gene expression profile of </w:t>
      </w:r>
      <w:r w:rsidR="00224D46">
        <w:rPr>
          <w:rFonts w:eastAsia="Times New Roman"/>
          <w:color w:val="000000" w:themeColor="text1"/>
          <w:sz w:val="24"/>
          <w:szCs w:val="24"/>
        </w:rPr>
        <w:t>m</w:t>
      </w:r>
      <w:r w:rsidR="007D3DBA">
        <w:rPr>
          <w:rFonts w:eastAsia="Times New Roman"/>
          <w:color w:val="000000" w:themeColor="text1"/>
          <w:sz w:val="24"/>
          <w:szCs w:val="24"/>
        </w:rPr>
        <w:t>ethane-oxidizing</w:t>
      </w:r>
      <w:r w:rsidRPr="347D99D0">
        <w:rPr>
          <w:rFonts w:eastAsia="Times New Roman"/>
          <w:color w:val="000000" w:themeColor="text1"/>
          <w:sz w:val="24"/>
          <w:szCs w:val="24"/>
        </w:rPr>
        <w:t xml:space="preserve"> bacteria when they are growing in pure culture. </w:t>
      </w:r>
      <w:r w:rsidRPr="347D99D0">
        <w:rPr>
          <w:rFonts w:eastAsia="Times New Roman"/>
          <w:i/>
          <w:iCs/>
          <w:color w:val="000000" w:themeColor="text1"/>
          <w:sz w:val="24"/>
          <w:szCs w:val="24"/>
        </w:rPr>
        <w:t xml:space="preserve">M. trichosporium </w:t>
      </w:r>
      <w:r w:rsidRPr="347D99D0">
        <w:rPr>
          <w:rFonts w:eastAsia="Times New Roman"/>
          <w:color w:val="000000" w:themeColor="text1"/>
          <w:sz w:val="24"/>
          <w:szCs w:val="24"/>
        </w:rPr>
        <w:t xml:space="preserve">OB3b had genes related to the remediation of radical oxygen toxicity including cytochrome c peroxidase and superoxide </w:t>
      </w:r>
      <w:r w:rsidRPr="347D99D0">
        <w:rPr>
          <w:rFonts w:eastAsia="Times New Roman"/>
          <w:color w:val="000000" w:themeColor="text1"/>
          <w:sz w:val="24"/>
          <w:szCs w:val="24"/>
        </w:rPr>
        <w:lastRenderedPageBreak/>
        <w:t>dismutase (SOD) overexpressed in the high oxygen condition compared to when catalase was used to amend the media, or when there was a lower concentration of headspace O</w:t>
      </w:r>
      <w:r w:rsidRPr="347D99D0">
        <w:rPr>
          <w:rFonts w:eastAsia="Times New Roman"/>
          <w:color w:val="000000" w:themeColor="text1"/>
          <w:sz w:val="24"/>
          <w:szCs w:val="24"/>
          <w:vertAlign w:val="subscript"/>
        </w:rPr>
        <w:t>2</w:t>
      </w:r>
      <w:r w:rsidRPr="347D99D0">
        <w:rPr>
          <w:rFonts w:eastAsia="Times New Roman"/>
          <w:color w:val="000000" w:themeColor="text1"/>
          <w:sz w:val="24"/>
          <w:szCs w:val="24"/>
        </w:rPr>
        <w:t>.  </w:t>
      </w:r>
    </w:p>
    <w:p w14:paraId="2453014A" w14:textId="034A549C" w:rsidR="000C7072" w:rsidRPr="00802A62" w:rsidRDefault="000C7072" w:rsidP="000C7072">
      <w:pPr>
        <w:spacing w:line="480" w:lineRule="auto"/>
        <w:textAlignment w:val="baseline"/>
        <w:rPr>
          <w:rFonts w:eastAsia="Times New Roman"/>
          <w:sz w:val="24"/>
          <w:szCs w:val="24"/>
        </w:rPr>
      </w:pPr>
      <w:r w:rsidRPr="347D99D0">
        <w:rPr>
          <w:rFonts w:eastAsia="Times New Roman"/>
          <w:color w:val="000000" w:themeColor="text1"/>
          <w:sz w:val="24"/>
          <w:szCs w:val="24"/>
        </w:rPr>
        <w:t>This observation that when O</w:t>
      </w:r>
      <w:r w:rsidRPr="347D99D0">
        <w:rPr>
          <w:rFonts w:eastAsia="Times New Roman"/>
          <w:color w:val="000000" w:themeColor="text1"/>
          <w:sz w:val="24"/>
          <w:szCs w:val="24"/>
          <w:vertAlign w:val="subscript"/>
        </w:rPr>
        <w:t>2</w:t>
      </w:r>
      <w:r w:rsidRPr="347D99D0">
        <w:rPr>
          <w:rFonts w:eastAsia="Times New Roman"/>
          <w:color w:val="000000" w:themeColor="text1"/>
          <w:sz w:val="24"/>
          <w:szCs w:val="24"/>
        </w:rPr>
        <w:t xml:space="preserve"> concentration is higher, the expression of ROS defense genes in OB3b increases is plausible. It has been demonstrated that when aerobically growing cells are exposed to elevated oxygen concentrations, there is a proportional increase in the accumulation of ROS such as superoxide and hydrogen peroxide inside cells</w:t>
      </w:r>
      <w:r w:rsidR="009E4F0E" w:rsidRPr="347D99D0">
        <w:rPr>
          <w:rFonts w:eastAsia="Times New Roman"/>
          <w:color w:val="000000" w:themeColor="text1"/>
          <w:sz w:val="24"/>
          <w:szCs w:val="24"/>
        </w:rPr>
        <w:t xml:space="preserve"> (10, 32-34). </w:t>
      </w:r>
      <w:r w:rsidRPr="347D99D0">
        <w:rPr>
          <w:rFonts w:eastAsia="Times New Roman"/>
          <w:color w:val="000000" w:themeColor="text1"/>
          <w:sz w:val="24"/>
          <w:szCs w:val="24"/>
        </w:rPr>
        <w:t xml:space="preserve">Specifically, the observation that cytochrome c peroxidase is one of the enzymes that is used by OB3b to mitigate hydrogen peroxide buildup is also supported by previous experiments. It has been demonstrated that cytochrome c peroxidase from </w:t>
      </w:r>
      <w:r w:rsidRPr="347D99D0">
        <w:rPr>
          <w:rFonts w:eastAsia="Times New Roman"/>
          <w:i/>
          <w:iCs/>
          <w:color w:val="000000" w:themeColor="text1"/>
          <w:sz w:val="24"/>
          <w:szCs w:val="24"/>
        </w:rPr>
        <w:t xml:space="preserve">Methylococcus capsulatus </w:t>
      </w:r>
      <w:r w:rsidRPr="347D99D0">
        <w:rPr>
          <w:rFonts w:eastAsia="Times New Roman"/>
          <w:color w:val="000000" w:themeColor="text1"/>
          <w:sz w:val="24"/>
          <w:szCs w:val="24"/>
        </w:rPr>
        <w:t>Bath is capable of peroxide reduction</w:t>
      </w:r>
      <w:r w:rsidR="005C0233">
        <w:rPr>
          <w:rFonts w:eastAsia="Times New Roman"/>
          <w:color w:val="000000" w:themeColor="text1"/>
          <w:sz w:val="24"/>
          <w:szCs w:val="24"/>
        </w:rPr>
        <w:t>. R</w:t>
      </w:r>
      <w:r w:rsidRPr="347D99D0">
        <w:rPr>
          <w:rFonts w:eastAsia="Times New Roman"/>
          <w:color w:val="000000" w:themeColor="text1"/>
          <w:sz w:val="24"/>
          <w:szCs w:val="24"/>
        </w:rPr>
        <w:t>esearchers in th</w:t>
      </w:r>
      <w:r w:rsidR="00830937" w:rsidRPr="347D99D0">
        <w:rPr>
          <w:rFonts w:eastAsia="Times New Roman"/>
          <w:color w:val="000000" w:themeColor="text1"/>
          <w:sz w:val="24"/>
          <w:szCs w:val="24"/>
        </w:rPr>
        <w:t>at</w:t>
      </w:r>
      <w:r w:rsidRPr="347D99D0">
        <w:rPr>
          <w:rFonts w:eastAsia="Times New Roman"/>
          <w:color w:val="000000" w:themeColor="text1"/>
          <w:sz w:val="24"/>
          <w:szCs w:val="24"/>
        </w:rPr>
        <w:t xml:space="preserve"> study speculate that because of the peroxide formation induced by monooxygenase O</w:t>
      </w:r>
      <w:r w:rsidRPr="347D99D0">
        <w:rPr>
          <w:rFonts w:eastAsia="Times New Roman"/>
          <w:color w:val="000000" w:themeColor="text1"/>
          <w:sz w:val="24"/>
          <w:szCs w:val="24"/>
          <w:vertAlign w:val="subscript"/>
        </w:rPr>
        <w:t>2</w:t>
      </w:r>
      <w:r w:rsidRPr="347D99D0">
        <w:rPr>
          <w:rFonts w:eastAsia="Times New Roman"/>
          <w:color w:val="000000" w:themeColor="text1"/>
          <w:sz w:val="24"/>
          <w:szCs w:val="24"/>
        </w:rPr>
        <w:t xml:space="preserve"> activation, peroxide toxicity remediation could be a reasonable role for the protein</w:t>
      </w:r>
      <w:r w:rsidR="009E4F0E" w:rsidRPr="347D99D0">
        <w:rPr>
          <w:rFonts w:eastAsia="Times New Roman"/>
          <w:color w:val="000000" w:themeColor="text1"/>
          <w:sz w:val="24"/>
          <w:szCs w:val="24"/>
        </w:rPr>
        <w:t xml:space="preserve"> (15).</w:t>
      </w:r>
    </w:p>
    <w:p w14:paraId="4ECE8832" w14:textId="5740775F" w:rsidR="000C7072" w:rsidRPr="00802A62" w:rsidRDefault="000C7072" w:rsidP="000C7072">
      <w:pPr>
        <w:spacing w:line="480" w:lineRule="auto"/>
        <w:textAlignment w:val="baseline"/>
        <w:rPr>
          <w:rFonts w:eastAsia="Times New Roman"/>
          <w:sz w:val="24"/>
          <w:szCs w:val="24"/>
        </w:rPr>
      </w:pPr>
      <w:r w:rsidRPr="00802A62">
        <w:rPr>
          <w:rFonts w:eastAsia="Times New Roman"/>
          <w:color w:val="000000"/>
          <w:sz w:val="24"/>
          <w:szCs w:val="24"/>
        </w:rPr>
        <w:t xml:space="preserve">In </w:t>
      </w:r>
      <w:r w:rsidRPr="00802A62">
        <w:rPr>
          <w:rFonts w:eastAsia="Times New Roman"/>
          <w:i/>
          <w:iCs/>
          <w:color w:val="000000"/>
          <w:sz w:val="24"/>
          <w:szCs w:val="24"/>
        </w:rPr>
        <w:t xml:space="preserve">M. trichosporium </w:t>
      </w:r>
      <w:r w:rsidRPr="00802A62">
        <w:rPr>
          <w:rFonts w:eastAsia="Times New Roman"/>
          <w:color w:val="000000"/>
          <w:sz w:val="24"/>
          <w:szCs w:val="24"/>
        </w:rPr>
        <w:t xml:space="preserve">OB3b, the superoxide dismutase encoding gene is also differentially expressed in the same manner, where at a higher headspace oxygen concentration, the gene is expressed more. This could happen for potentially the same reason, as a means of scavenging toxic superoxide radicals which have been shown to be generated by bacterial aerobic metabolism and cause cellular </w:t>
      </w:r>
      <w:r w:rsidR="009E4F0E">
        <w:rPr>
          <w:rFonts w:eastAsia="Times New Roman"/>
          <w:color w:val="000000"/>
          <w:sz w:val="24"/>
          <w:szCs w:val="24"/>
        </w:rPr>
        <w:t>damage (7,9,35).</w:t>
      </w:r>
      <w:r w:rsidRPr="00802A62">
        <w:rPr>
          <w:rFonts w:eastAsia="Times New Roman"/>
          <w:color w:val="000000"/>
          <w:sz w:val="24"/>
          <w:szCs w:val="24"/>
        </w:rPr>
        <w:t> </w:t>
      </w:r>
    </w:p>
    <w:p w14:paraId="644BBB95" w14:textId="77777777" w:rsidR="000C7072" w:rsidRPr="00802A62" w:rsidRDefault="000C7072" w:rsidP="006E624A">
      <w:pPr>
        <w:pStyle w:val="Heading4"/>
      </w:pPr>
      <w:r w:rsidRPr="00802A62">
        <w:rPr>
          <w:i/>
          <w:iCs/>
        </w:rPr>
        <w:t xml:space="preserve">Methylomonas </w:t>
      </w:r>
      <w:r w:rsidRPr="00802A62">
        <w:t>sp. WSC-7 May Utilize Cell Clumping to Defend Against ROS Toxicity </w:t>
      </w:r>
    </w:p>
    <w:p w14:paraId="48681FAA" w14:textId="7B08F29D" w:rsidR="000C7072" w:rsidRPr="00802A62" w:rsidRDefault="00896DC5" w:rsidP="000C7072">
      <w:pPr>
        <w:spacing w:line="480" w:lineRule="auto"/>
        <w:textAlignment w:val="baseline"/>
        <w:rPr>
          <w:rFonts w:eastAsia="Times New Roman"/>
          <w:sz w:val="24"/>
          <w:szCs w:val="24"/>
        </w:rPr>
      </w:pPr>
      <w:r>
        <w:rPr>
          <w:rFonts w:eastAsia="Times New Roman"/>
          <w:color w:val="000000" w:themeColor="text1"/>
          <w:sz w:val="24"/>
          <w:szCs w:val="24"/>
        </w:rPr>
        <w:t>These data suggest</w:t>
      </w:r>
      <w:r w:rsidR="000C7072" w:rsidRPr="347D99D0">
        <w:rPr>
          <w:rFonts w:eastAsia="Times New Roman"/>
          <w:color w:val="000000" w:themeColor="text1"/>
          <w:sz w:val="24"/>
          <w:szCs w:val="24"/>
        </w:rPr>
        <w:t xml:space="preserve"> that WSC-7 cells are clustering together as a way to defend against ROS toxicity when exposed to unfavorably high concentrations of O</w:t>
      </w:r>
      <w:r w:rsidR="000C7072" w:rsidRPr="347D99D0">
        <w:rPr>
          <w:rFonts w:eastAsia="Times New Roman"/>
          <w:color w:val="000000" w:themeColor="text1"/>
          <w:sz w:val="24"/>
          <w:szCs w:val="24"/>
          <w:vertAlign w:val="subscript"/>
        </w:rPr>
        <w:t>2</w:t>
      </w:r>
      <w:r w:rsidR="000C7072" w:rsidRPr="347D99D0">
        <w:rPr>
          <w:rFonts w:eastAsia="Times New Roman"/>
          <w:color w:val="000000" w:themeColor="text1"/>
          <w:sz w:val="24"/>
          <w:szCs w:val="24"/>
        </w:rPr>
        <w:t xml:space="preserve">. </w:t>
      </w:r>
      <w:r>
        <w:rPr>
          <w:rFonts w:eastAsia="Times New Roman"/>
          <w:color w:val="000000" w:themeColor="text1"/>
          <w:sz w:val="24"/>
          <w:szCs w:val="24"/>
        </w:rPr>
        <w:t>At</w:t>
      </w:r>
      <w:r w:rsidR="000C7072" w:rsidRPr="347D99D0">
        <w:rPr>
          <w:rFonts w:eastAsia="Times New Roman"/>
          <w:color w:val="000000" w:themeColor="text1"/>
          <w:sz w:val="24"/>
          <w:szCs w:val="24"/>
        </w:rPr>
        <w:t xml:space="preserve"> higher O</w:t>
      </w:r>
      <w:r w:rsidR="000C7072" w:rsidRPr="347D99D0">
        <w:rPr>
          <w:rFonts w:eastAsia="Times New Roman"/>
          <w:color w:val="000000" w:themeColor="text1"/>
          <w:sz w:val="24"/>
          <w:szCs w:val="24"/>
          <w:vertAlign w:val="subscript"/>
        </w:rPr>
        <w:t>2</w:t>
      </w:r>
      <w:r w:rsidR="000C7072" w:rsidRPr="347D99D0">
        <w:rPr>
          <w:rFonts w:eastAsia="Times New Roman"/>
          <w:color w:val="000000" w:themeColor="text1"/>
          <w:sz w:val="24"/>
          <w:szCs w:val="24"/>
        </w:rPr>
        <w:t xml:space="preserve"> concentrations the </w:t>
      </w:r>
      <w:r w:rsidR="000C7072" w:rsidRPr="347D99D0">
        <w:rPr>
          <w:rFonts w:eastAsia="Times New Roman"/>
          <w:i/>
          <w:iCs/>
          <w:color w:val="000000" w:themeColor="text1"/>
          <w:sz w:val="24"/>
          <w:szCs w:val="24"/>
        </w:rPr>
        <w:t xml:space="preserve">Methylomonas </w:t>
      </w:r>
      <w:r w:rsidR="000C7072" w:rsidRPr="347D99D0">
        <w:rPr>
          <w:rFonts w:eastAsia="Times New Roman"/>
          <w:color w:val="000000" w:themeColor="text1"/>
          <w:sz w:val="24"/>
          <w:szCs w:val="24"/>
        </w:rPr>
        <w:t xml:space="preserve">sp. WSC-7 cells tend to clump together to form </w:t>
      </w:r>
      <w:r w:rsidR="00D97CAE">
        <w:rPr>
          <w:rFonts w:eastAsia="Times New Roman"/>
          <w:color w:val="000000" w:themeColor="text1"/>
          <w:sz w:val="24"/>
          <w:szCs w:val="24"/>
        </w:rPr>
        <w:t>flocs</w:t>
      </w:r>
      <w:r w:rsidR="000C7072" w:rsidRPr="347D99D0">
        <w:rPr>
          <w:rFonts w:eastAsia="Times New Roman"/>
          <w:color w:val="000000" w:themeColor="text1"/>
          <w:sz w:val="24"/>
          <w:szCs w:val="24"/>
        </w:rPr>
        <w:t>, but when growing in the low O</w:t>
      </w:r>
      <w:r w:rsidR="000C7072" w:rsidRPr="347D99D0">
        <w:rPr>
          <w:rFonts w:eastAsia="Times New Roman"/>
          <w:color w:val="000000" w:themeColor="text1"/>
          <w:sz w:val="24"/>
          <w:szCs w:val="24"/>
          <w:vertAlign w:val="subscript"/>
        </w:rPr>
        <w:t xml:space="preserve">2 </w:t>
      </w:r>
      <w:r w:rsidR="000C7072" w:rsidRPr="347D99D0">
        <w:rPr>
          <w:rFonts w:eastAsia="Times New Roman"/>
          <w:color w:val="000000" w:themeColor="text1"/>
          <w:sz w:val="24"/>
          <w:szCs w:val="24"/>
        </w:rPr>
        <w:t>condition, the cells disperse throughout the growth medium (</w:t>
      </w:r>
      <w:r w:rsidR="009E4F0E" w:rsidRPr="347D99D0">
        <w:rPr>
          <w:rFonts w:eastAsia="Times New Roman"/>
          <w:b/>
          <w:bCs/>
          <w:color w:val="000000" w:themeColor="text1"/>
          <w:sz w:val="24"/>
          <w:szCs w:val="24"/>
        </w:rPr>
        <w:t>Fig. 4</w:t>
      </w:r>
      <w:r w:rsidR="000C7072" w:rsidRPr="347D99D0">
        <w:rPr>
          <w:rFonts w:eastAsia="Times New Roman"/>
          <w:color w:val="000000" w:themeColor="text1"/>
          <w:sz w:val="24"/>
          <w:szCs w:val="24"/>
        </w:rPr>
        <w:t xml:space="preserve">). This correlates with </w:t>
      </w:r>
      <w:r w:rsidR="000C7072" w:rsidRPr="347D99D0">
        <w:rPr>
          <w:rFonts w:eastAsia="Times New Roman"/>
          <w:color w:val="000000" w:themeColor="text1"/>
          <w:sz w:val="24"/>
          <w:szCs w:val="24"/>
        </w:rPr>
        <w:lastRenderedPageBreak/>
        <w:t xml:space="preserve">increased expression of flagellar biosynthesis protein genes in the low oxygen condition. Since the flagellar protein genes are downregulated in the high oxygen condition, this could lead to less motility, </w:t>
      </w:r>
      <w:r w:rsidR="00D97CAE">
        <w:rPr>
          <w:rFonts w:eastAsia="Times New Roman"/>
          <w:color w:val="000000" w:themeColor="text1"/>
          <w:sz w:val="24"/>
          <w:szCs w:val="24"/>
        </w:rPr>
        <w:t xml:space="preserve">and </w:t>
      </w:r>
      <w:r w:rsidR="000C7072" w:rsidRPr="347D99D0">
        <w:rPr>
          <w:rFonts w:eastAsia="Times New Roman"/>
          <w:color w:val="000000" w:themeColor="text1"/>
          <w:sz w:val="24"/>
          <w:szCs w:val="24"/>
        </w:rPr>
        <w:t>reduction in cell dispersal. Moreover, biofilm formation consists of a transition of motility to non-motility by bacterial cells to facilitate cell</w:t>
      </w:r>
      <w:r w:rsidR="00D97CAE">
        <w:rPr>
          <w:rFonts w:eastAsia="Times New Roman"/>
          <w:color w:val="000000" w:themeColor="text1"/>
          <w:sz w:val="24"/>
          <w:szCs w:val="24"/>
        </w:rPr>
        <w:t>-</w:t>
      </w:r>
      <w:r w:rsidR="000C7072" w:rsidRPr="347D99D0">
        <w:rPr>
          <w:rFonts w:eastAsia="Times New Roman"/>
          <w:color w:val="000000" w:themeColor="text1"/>
          <w:sz w:val="24"/>
          <w:szCs w:val="24"/>
        </w:rPr>
        <w:t>to</w:t>
      </w:r>
      <w:r w:rsidR="00D97CAE">
        <w:rPr>
          <w:rFonts w:eastAsia="Times New Roman"/>
          <w:color w:val="000000" w:themeColor="text1"/>
          <w:sz w:val="24"/>
          <w:szCs w:val="24"/>
        </w:rPr>
        <w:t>-</w:t>
      </w:r>
      <w:r w:rsidR="000C7072" w:rsidRPr="347D99D0">
        <w:rPr>
          <w:rFonts w:eastAsia="Times New Roman"/>
          <w:color w:val="000000" w:themeColor="text1"/>
          <w:sz w:val="24"/>
          <w:szCs w:val="24"/>
        </w:rPr>
        <w:t>cell adhesion</w:t>
      </w:r>
      <w:r w:rsidR="009E4F0E" w:rsidRPr="347D99D0">
        <w:rPr>
          <w:rFonts w:eastAsia="Times New Roman"/>
          <w:color w:val="000000" w:themeColor="text1"/>
          <w:sz w:val="24"/>
          <w:szCs w:val="24"/>
        </w:rPr>
        <w:t xml:space="preserve"> (36) </w:t>
      </w:r>
      <w:r w:rsidR="000C7072" w:rsidRPr="347D99D0">
        <w:rPr>
          <w:rFonts w:eastAsia="Times New Roman"/>
          <w:color w:val="000000" w:themeColor="text1"/>
          <w:sz w:val="24"/>
          <w:szCs w:val="24"/>
        </w:rPr>
        <w:t xml:space="preserve">so it is plausible that when </w:t>
      </w:r>
      <w:r w:rsidR="00D97CAE">
        <w:rPr>
          <w:rFonts w:eastAsia="Times New Roman"/>
          <w:color w:val="000000" w:themeColor="text1"/>
          <w:sz w:val="24"/>
          <w:szCs w:val="24"/>
        </w:rPr>
        <w:t>clustered</w:t>
      </w:r>
      <w:r w:rsidR="00830937" w:rsidRPr="347D99D0">
        <w:rPr>
          <w:rFonts w:eastAsia="Times New Roman"/>
          <w:color w:val="000000" w:themeColor="text1"/>
          <w:sz w:val="24"/>
          <w:szCs w:val="24"/>
        </w:rPr>
        <w:t>, expression of</w:t>
      </w:r>
      <w:r w:rsidR="000C7072" w:rsidRPr="347D99D0">
        <w:rPr>
          <w:rFonts w:eastAsia="Times New Roman"/>
          <w:color w:val="000000" w:themeColor="text1"/>
          <w:sz w:val="24"/>
          <w:szCs w:val="24"/>
        </w:rPr>
        <w:t xml:space="preserve"> flagella</w:t>
      </w:r>
      <w:r w:rsidR="00830937" w:rsidRPr="347D99D0">
        <w:rPr>
          <w:rFonts w:eastAsia="Times New Roman"/>
          <w:color w:val="000000" w:themeColor="text1"/>
          <w:sz w:val="24"/>
          <w:szCs w:val="24"/>
        </w:rPr>
        <w:t>r</w:t>
      </w:r>
      <w:r w:rsidR="000C7072" w:rsidRPr="347D99D0">
        <w:rPr>
          <w:rFonts w:eastAsia="Times New Roman"/>
          <w:color w:val="000000" w:themeColor="text1"/>
          <w:sz w:val="24"/>
          <w:szCs w:val="24"/>
        </w:rPr>
        <w:t xml:space="preserve"> proteins </w:t>
      </w:r>
      <w:r w:rsidR="00830937" w:rsidRPr="347D99D0">
        <w:rPr>
          <w:rFonts w:eastAsia="Times New Roman"/>
          <w:color w:val="000000" w:themeColor="text1"/>
          <w:sz w:val="24"/>
          <w:szCs w:val="24"/>
        </w:rPr>
        <w:t>is shut down</w:t>
      </w:r>
      <w:r w:rsidR="000C7072" w:rsidRPr="347D99D0">
        <w:rPr>
          <w:rFonts w:eastAsia="Times New Roman"/>
          <w:color w:val="000000" w:themeColor="text1"/>
          <w:sz w:val="24"/>
          <w:szCs w:val="24"/>
        </w:rPr>
        <w:t xml:space="preserve">. The WSC-7 cell aggregation could serve as a defense against elevated oxygen exposure because there is a </w:t>
      </w:r>
      <w:r w:rsidR="000C7072" w:rsidRPr="347D99D0">
        <w:rPr>
          <w:rFonts w:eastAsia="Times New Roman"/>
          <w:sz w:val="24"/>
          <w:szCs w:val="24"/>
        </w:rPr>
        <w:t xml:space="preserve">reduction in the surface-to-volume ratio of the cells by limiting oxygen diffusion </w:t>
      </w:r>
      <w:r w:rsidR="009E4F0E" w:rsidRPr="347D99D0">
        <w:rPr>
          <w:rFonts w:eastAsia="Times New Roman"/>
          <w:sz w:val="24"/>
          <w:szCs w:val="24"/>
        </w:rPr>
        <w:t xml:space="preserve">(19). </w:t>
      </w:r>
      <w:r w:rsidR="000C7072" w:rsidRPr="347D99D0">
        <w:rPr>
          <w:rFonts w:eastAsia="Times New Roman"/>
          <w:color w:val="000000" w:themeColor="text1"/>
          <w:sz w:val="24"/>
          <w:szCs w:val="24"/>
        </w:rPr>
        <w:t>Further,</w:t>
      </w:r>
      <w:r>
        <w:rPr>
          <w:rFonts w:eastAsia="Times New Roman"/>
          <w:color w:val="000000" w:themeColor="text1"/>
          <w:sz w:val="24"/>
          <w:szCs w:val="24"/>
        </w:rPr>
        <w:t xml:space="preserve"> it was </w:t>
      </w:r>
      <w:r w:rsidR="000C7072" w:rsidRPr="347D99D0">
        <w:rPr>
          <w:rFonts w:eastAsia="Times New Roman"/>
          <w:color w:val="000000" w:themeColor="text1"/>
          <w:sz w:val="24"/>
          <w:szCs w:val="24"/>
        </w:rPr>
        <w:t xml:space="preserve">observed that </w:t>
      </w:r>
      <w:r w:rsidR="000C7072" w:rsidRPr="347D99D0">
        <w:rPr>
          <w:rFonts w:eastAsia="Times New Roman"/>
          <w:i/>
          <w:iCs/>
          <w:color w:val="000000" w:themeColor="text1"/>
          <w:sz w:val="24"/>
          <w:szCs w:val="24"/>
        </w:rPr>
        <w:t xml:space="preserve">Methylomonas </w:t>
      </w:r>
      <w:r w:rsidR="000C7072" w:rsidRPr="347D99D0">
        <w:rPr>
          <w:rFonts w:eastAsia="Times New Roman"/>
          <w:color w:val="000000" w:themeColor="text1"/>
          <w:sz w:val="24"/>
          <w:szCs w:val="24"/>
        </w:rPr>
        <w:t xml:space="preserve">sp. WSC-7 was shown to have higher expression of the </w:t>
      </w:r>
      <w:r w:rsidR="000C7072" w:rsidRPr="347D99D0">
        <w:rPr>
          <w:rFonts w:eastAsia="Times New Roman"/>
          <w:i/>
          <w:iCs/>
          <w:color w:val="000000" w:themeColor="text1"/>
          <w:sz w:val="24"/>
          <w:szCs w:val="24"/>
        </w:rPr>
        <w:t xml:space="preserve">cheB, cheD, cheR, and cheV </w:t>
      </w:r>
      <w:r w:rsidR="000C7072" w:rsidRPr="347D99D0">
        <w:rPr>
          <w:rFonts w:eastAsia="Times New Roman"/>
          <w:color w:val="000000" w:themeColor="text1"/>
          <w:sz w:val="24"/>
          <w:szCs w:val="24"/>
        </w:rPr>
        <w:t xml:space="preserve">genes under conditions of low oxygen. It has been shown that </w:t>
      </w:r>
      <w:r w:rsidR="000C7072" w:rsidRPr="347D99D0">
        <w:rPr>
          <w:rFonts w:eastAsia="Times New Roman"/>
          <w:i/>
          <w:iCs/>
          <w:color w:val="000000" w:themeColor="text1"/>
          <w:sz w:val="24"/>
          <w:szCs w:val="24"/>
        </w:rPr>
        <w:t xml:space="preserve">A. brasilense </w:t>
      </w:r>
      <w:r w:rsidR="000C7072" w:rsidRPr="347D99D0">
        <w:rPr>
          <w:rFonts w:eastAsia="Times New Roman"/>
          <w:color w:val="000000" w:themeColor="text1"/>
          <w:sz w:val="24"/>
          <w:szCs w:val="24"/>
        </w:rPr>
        <w:t xml:space="preserve">mutants that have been unable to express </w:t>
      </w:r>
      <w:r w:rsidR="000C7072" w:rsidRPr="347D99D0">
        <w:rPr>
          <w:rFonts w:eastAsia="Times New Roman"/>
          <w:i/>
          <w:iCs/>
          <w:color w:val="000000" w:themeColor="text1"/>
          <w:sz w:val="24"/>
          <w:szCs w:val="24"/>
        </w:rPr>
        <w:t xml:space="preserve">cheB </w:t>
      </w:r>
      <w:r w:rsidR="000C7072" w:rsidRPr="347D99D0">
        <w:rPr>
          <w:rFonts w:eastAsia="Times New Roman"/>
          <w:color w:val="000000" w:themeColor="text1"/>
          <w:sz w:val="24"/>
          <w:szCs w:val="24"/>
        </w:rPr>
        <w:t xml:space="preserve">or </w:t>
      </w:r>
      <w:r w:rsidR="000C7072" w:rsidRPr="347D99D0">
        <w:rPr>
          <w:rFonts w:eastAsia="Times New Roman"/>
          <w:i/>
          <w:iCs/>
          <w:color w:val="000000" w:themeColor="text1"/>
          <w:sz w:val="24"/>
          <w:szCs w:val="24"/>
        </w:rPr>
        <w:t xml:space="preserve">cheR </w:t>
      </w:r>
      <w:r w:rsidR="000C7072" w:rsidRPr="347D99D0">
        <w:rPr>
          <w:rFonts w:eastAsia="Times New Roman"/>
          <w:color w:val="000000" w:themeColor="text1"/>
          <w:sz w:val="24"/>
          <w:szCs w:val="24"/>
        </w:rPr>
        <w:t>genes are shown have an impaired aerotaxis response even though the cells remain motile</w:t>
      </w:r>
      <w:r w:rsidR="009E4F0E" w:rsidRPr="347D99D0">
        <w:rPr>
          <w:rFonts w:eastAsia="Times New Roman"/>
          <w:color w:val="000000" w:themeColor="text1"/>
          <w:sz w:val="24"/>
          <w:szCs w:val="24"/>
        </w:rPr>
        <w:t xml:space="preserve"> (37)</w:t>
      </w:r>
      <w:r w:rsidR="00830937" w:rsidRPr="347D99D0">
        <w:rPr>
          <w:rFonts w:eastAsia="Times New Roman"/>
          <w:color w:val="000000" w:themeColor="text1"/>
          <w:sz w:val="24"/>
          <w:szCs w:val="24"/>
        </w:rPr>
        <w:t>.  This may</w:t>
      </w:r>
      <w:r w:rsidR="009E4F0E" w:rsidRPr="347D99D0">
        <w:rPr>
          <w:rFonts w:eastAsia="Times New Roman"/>
          <w:color w:val="000000" w:themeColor="text1"/>
          <w:sz w:val="24"/>
          <w:szCs w:val="24"/>
        </w:rPr>
        <w:t xml:space="preserve"> </w:t>
      </w:r>
      <w:r w:rsidR="000C7072" w:rsidRPr="347D99D0">
        <w:rPr>
          <w:rFonts w:eastAsia="Times New Roman"/>
          <w:color w:val="000000" w:themeColor="text1"/>
          <w:sz w:val="24"/>
          <w:szCs w:val="24"/>
        </w:rPr>
        <w:t xml:space="preserve">suggest that </w:t>
      </w:r>
      <w:r w:rsidR="00830937" w:rsidRPr="347D99D0">
        <w:rPr>
          <w:rFonts w:eastAsia="Times New Roman"/>
          <w:color w:val="000000" w:themeColor="text1"/>
          <w:sz w:val="24"/>
          <w:szCs w:val="24"/>
        </w:rPr>
        <w:t xml:space="preserve">the differentially expressed </w:t>
      </w:r>
      <w:r w:rsidR="00830937" w:rsidRPr="00C805EB">
        <w:rPr>
          <w:rFonts w:eastAsia="Times New Roman"/>
          <w:i/>
          <w:iCs/>
          <w:color w:val="000000" w:themeColor="text1"/>
          <w:sz w:val="24"/>
          <w:szCs w:val="24"/>
        </w:rPr>
        <w:t>che</w:t>
      </w:r>
      <w:r w:rsidR="00830937" w:rsidRPr="347D99D0">
        <w:rPr>
          <w:rFonts w:eastAsia="Times New Roman"/>
          <w:color w:val="000000" w:themeColor="text1"/>
          <w:sz w:val="24"/>
          <w:szCs w:val="24"/>
        </w:rPr>
        <w:t xml:space="preserve"> </w:t>
      </w:r>
      <w:r w:rsidR="000C7072" w:rsidRPr="347D99D0">
        <w:rPr>
          <w:rFonts w:eastAsia="Times New Roman"/>
          <w:color w:val="000000" w:themeColor="text1"/>
          <w:sz w:val="24"/>
          <w:szCs w:val="24"/>
        </w:rPr>
        <w:t xml:space="preserve">genes are </w:t>
      </w:r>
      <w:r w:rsidR="00D97CAE">
        <w:rPr>
          <w:rFonts w:eastAsia="Times New Roman"/>
          <w:color w:val="000000" w:themeColor="text1"/>
          <w:sz w:val="24"/>
          <w:szCs w:val="24"/>
        </w:rPr>
        <w:t xml:space="preserve">important </w:t>
      </w:r>
      <w:r w:rsidR="000C7072" w:rsidRPr="347D99D0">
        <w:rPr>
          <w:rFonts w:eastAsia="Times New Roman"/>
          <w:color w:val="000000" w:themeColor="text1"/>
          <w:sz w:val="24"/>
          <w:szCs w:val="24"/>
        </w:rPr>
        <w:t xml:space="preserve">to properly navigating to oxygen. Also, </w:t>
      </w:r>
      <w:r w:rsidR="000C7072" w:rsidRPr="347D99D0">
        <w:rPr>
          <w:rFonts w:eastAsia="Times New Roman"/>
          <w:i/>
          <w:iCs/>
          <w:color w:val="000000" w:themeColor="text1"/>
          <w:sz w:val="24"/>
          <w:szCs w:val="24"/>
        </w:rPr>
        <w:t xml:space="preserve">A. brasilense </w:t>
      </w:r>
      <w:r w:rsidR="000C7072" w:rsidRPr="347D99D0">
        <w:rPr>
          <w:rFonts w:eastAsia="Times New Roman"/>
          <w:color w:val="000000" w:themeColor="text1"/>
          <w:sz w:val="24"/>
          <w:szCs w:val="24"/>
        </w:rPr>
        <w:t xml:space="preserve">cells have been shown to cluster together under elevated oxygen concentrations and </w:t>
      </w:r>
      <w:r w:rsidR="000C7072" w:rsidRPr="347D99D0">
        <w:rPr>
          <w:rFonts w:eastAsia="Times New Roman"/>
          <w:i/>
          <w:iCs/>
          <w:color w:val="000000" w:themeColor="text1"/>
          <w:sz w:val="24"/>
          <w:szCs w:val="24"/>
        </w:rPr>
        <w:t>A. brasilense</w:t>
      </w:r>
      <w:r w:rsidR="000C7072" w:rsidRPr="347D99D0">
        <w:rPr>
          <w:rFonts w:eastAsia="Times New Roman"/>
          <w:color w:val="000000" w:themeColor="text1"/>
          <w:sz w:val="24"/>
          <w:szCs w:val="24"/>
        </w:rPr>
        <w:t xml:space="preserve"> mutants lacking their ability to express chemotaxis genes clump together more frequently</w:t>
      </w:r>
      <w:r w:rsidR="009E4F0E" w:rsidRPr="347D99D0">
        <w:rPr>
          <w:rFonts w:eastAsia="Times New Roman"/>
          <w:color w:val="000000" w:themeColor="text1"/>
          <w:sz w:val="24"/>
          <w:szCs w:val="24"/>
        </w:rPr>
        <w:t xml:space="preserve"> (17,18). </w:t>
      </w:r>
      <w:r w:rsidR="000C7072" w:rsidRPr="347D99D0">
        <w:rPr>
          <w:rFonts w:eastAsia="Times New Roman"/>
          <w:color w:val="000000" w:themeColor="text1"/>
          <w:sz w:val="24"/>
          <w:szCs w:val="24"/>
        </w:rPr>
        <w:t xml:space="preserve">This makes sense, as </w:t>
      </w:r>
      <w:r w:rsidR="000C7072" w:rsidRPr="347D99D0">
        <w:rPr>
          <w:rFonts w:eastAsia="Times New Roman"/>
          <w:i/>
          <w:iCs/>
          <w:color w:val="000000" w:themeColor="text1"/>
          <w:sz w:val="24"/>
          <w:szCs w:val="24"/>
        </w:rPr>
        <w:t xml:space="preserve">A. brasilense </w:t>
      </w:r>
      <w:r w:rsidR="000C7072" w:rsidRPr="347D99D0">
        <w:rPr>
          <w:rFonts w:eastAsia="Times New Roman"/>
          <w:color w:val="000000" w:themeColor="text1"/>
          <w:sz w:val="24"/>
          <w:szCs w:val="24"/>
        </w:rPr>
        <w:t>has been shown to avoid unfavorable oxygen concentrations that are either too high or too low via aerotaxis</w:t>
      </w:r>
      <w:r w:rsidR="009E4F0E" w:rsidRPr="347D99D0">
        <w:rPr>
          <w:rFonts w:eastAsia="Times New Roman"/>
          <w:color w:val="000000" w:themeColor="text1"/>
          <w:sz w:val="24"/>
          <w:szCs w:val="24"/>
        </w:rPr>
        <w:t xml:space="preserve"> (38)</w:t>
      </w:r>
      <w:r w:rsidR="000C7072" w:rsidRPr="347D99D0">
        <w:rPr>
          <w:rFonts w:eastAsia="Times New Roman"/>
          <w:color w:val="000000" w:themeColor="text1"/>
          <w:sz w:val="24"/>
          <w:szCs w:val="24"/>
        </w:rPr>
        <w:t xml:space="preserve">. Strain WSC-7 </w:t>
      </w:r>
      <w:r w:rsidR="00830937" w:rsidRPr="347D99D0">
        <w:rPr>
          <w:rFonts w:eastAsia="Times New Roman"/>
          <w:color w:val="000000" w:themeColor="text1"/>
          <w:sz w:val="24"/>
          <w:szCs w:val="24"/>
        </w:rPr>
        <w:t>likely does</w:t>
      </w:r>
      <w:r w:rsidR="000C7072" w:rsidRPr="347D99D0">
        <w:rPr>
          <w:rFonts w:eastAsia="Times New Roman"/>
          <w:color w:val="000000" w:themeColor="text1"/>
          <w:sz w:val="24"/>
          <w:szCs w:val="24"/>
        </w:rPr>
        <w:t xml:space="preserve"> the same, where under conditions that are </w:t>
      </w:r>
      <w:r w:rsidR="005C0233">
        <w:rPr>
          <w:rFonts w:eastAsia="Times New Roman"/>
          <w:color w:val="000000" w:themeColor="text1"/>
          <w:sz w:val="24"/>
          <w:szCs w:val="24"/>
        </w:rPr>
        <w:t>oxygen-rich</w:t>
      </w:r>
      <w:r w:rsidR="000C7072" w:rsidRPr="347D99D0">
        <w:rPr>
          <w:rFonts w:eastAsia="Times New Roman"/>
          <w:color w:val="000000" w:themeColor="text1"/>
          <w:sz w:val="24"/>
          <w:szCs w:val="24"/>
        </w:rPr>
        <w:t>, the cells clump together, but under lower oxygen conditions, the cells are motile and migrate towards oxygen concentrations that optimize oxygen exposure to the cells</w:t>
      </w:r>
      <w:r w:rsidR="005C0233">
        <w:rPr>
          <w:rFonts w:eastAsia="Times New Roman"/>
          <w:color w:val="000000" w:themeColor="text1"/>
          <w:sz w:val="24"/>
          <w:szCs w:val="24"/>
        </w:rPr>
        <w:t>. However, this may come</w:t>
      </w:r>
      <w:r w:rsidR="000C7072" w:rsidRPr="347D99D0">
        <w:rPr>
          <w:rFonts w:eastAsia="Times New Roman"/>
          <w:color w:val="000000" w:themeColor="text1"/>
          <w:sz w:val="24"/>
          <w:szCs w:val="24"/>
        </w:rPr>
        <w:t xml:space="preserve"> with having to compensate for ROS toxicity by expressing peroxidase and SOD genes as observed here. </w:t>
      </w:r>
    </w:p>
    <w:p w14:paraId="43947668" w14:textId="1CF8CE27" w:rsidR="008764B1" w:rsidRPr="008764B1" w:rsidRDefault="000C7072" w:rsidP="000C7072">
      <w:pPr>
        <w:spacing w:line="480" w:lineRule="auto"/>
        <w:textAlignment w:val="baseline"/>
        <w:rPr>
          <w:rFonts w:eastAsia="Times New Roman"/>
          <w:color w:val="000000"/>
          <w:sz w:val="24"/>
          <w:szCs w:val="24"/>
        </w:rPr>
      </w:pPr>
      <w:r w:rsidRPr="00802A62">
        <w:rPr>
          <w:rFonts w:eastAsia="Times New Roman"/>
          <w:color w:val="000000"/>
          <w:sz w:val="24"/>
          <w:szCs w:val="24"/>
        </w:rPr>
        <w:t xml:space="preserve">Some key conclusions arise from these findings. The type II methanotroph </w:t>
      </w:r>
      <w:r w:rsidRPr="00802A62">
        <w:rPr>
          <w:rFonts w:eastAsia="Times New Roman"/>
          <w:i/>
          <w:iCs/>
          <w:color w:val="000000"/>
          <w:sz w:val="24"/>
          <w:szCs w:val="24"/>
        </w:rPr>
        <w:t xml:space="preserve">M. trichosporium </w:t>
      </w:r>
      <w:r w:rsidRPr="00802A62">
        <w:rPr>
          <w:rFonts w:eastAsia="Times New Roman"/>
          <w:color w:val="000000"/>
          <w:sz w:val="24"/>
          <w:szCs w:val="24"/>
        </w:rPr>
        <w:t xml:space="preserve">OB3b transcribes genes needed to </w:t>
      </w:r>
      <w:r w:rsidR="004D33E1">
        <w:rPr>
          <w:rFonts w:eastAsia="Times New Roman"/>
          <w:color w:val="000000"/>
          <w:sz w:val="24"/>
          <w:szCs w:val="24"/>
        </w:rPr>
        <w:t>mitigate</w:t>
      </w:r>
      <w:r w:rsidRPr="00802A62">
        <w:rPr>
          <w:rFonts w:eastAsia="Times New Roman"/>
          <w:color w:val="000000"/>
          <w:sz w:val="24"/>
          <w:szCs w:val="24"/>
        </w:rPr>
        <w:t xml:space="preserve"> the toxic effects of ROS more when growing at elevated O</w:t>
      </w:r>
      <w:r w:rsidRPr="00802A62">
        <w:rPr>
          <w:rFonts w:eastAsia="Times New Roman"/>
          <w:color w:val="000000"/>
          <w:sz w:val="24"/>
          <w:szCs w:val="24"/>
          <w:vertAlign w:val="subscript"/>
        </w:rPr>
        <w:t>2</w:t>
      </w:r>
      <w:r w:rsidRPr="00802A62">
        <w:rPr>
          <w:rFonts w:eastAsia="Times New Roman"/>
          <w:color w:val="000000"/>
          <w:sz w:val="24"/>
          <w:szCs w:val="24"/>
        </w:rPr>
        <w:t xml:space="preserve"> concentrations, but the type I methanotroph </w:t>
      </w:r>
      <w:r w:rsidRPr="00802A62">
        <w:rPr>
          <w:rFonts w:eastAsia="Times New Roman"/>
          <w:i/>
          <w:iCs/>
          <w:color w:val="000000"/>
          <w:sz w:val="24"/>
          <w:szCs w:val="24"/>
        </w:rPr>
        <w:t xml:space="preserve">Methylomonas </w:t>
      </w:r>
      <w:r w:rsidRPr="00802A62">
        <w:rPr>
          <w:rFonts w:eastAsia="Times New Roman"/>
          <w:color w:val="000000"/>
          <w:sz w:val="24"/>
          <w:szCs w:val="24"/>
        </w:rPr>
        <w:t xml:space="preserve">sp. WSC-7 appears to </w:t>
      </w:r>
      <w:r w:rsidR="004D33E1">
        <w:rPr>
          <w:rFonts w:eastAsia="Times New Roman"/>
          <w:color w:val="000000"/>
          <w:sz w:val="24"/>
          <w:szCs w:val="24"/>
        </w:rPr>
        <w:lastRenderedPageBreak/>
        <w:t>mitigate</w:t>
      </w:r>
      <w:r w:rsidRPr="00802A62">
        <w:rPr>
          <w:rFonts w:eastAsia="Times New Roman"/>
          <w:color w:val="000000"/>
          <w:sz w:val="24"/>
          <w:szCs w:val="24"/>
        </w:rPr>
        <w:t xml:space="preserve"> the toxic effects of ROS differently than OB3b </w:t>
      </w:r>
      <w:r w:rsidR="006D2A6A">
        <w:rPr>
          <w:rFonts w:eastAsia="Times New Roman"/>
          <w:color w:val="000000"/>
          <w:sz w:val="24"/>
          <w:szCs w:val="24"/>
        </w:rPr>
        <w:t xml:space="preserve">by </w:t>
      </w:r>
      <w:r w:rsidRPr="00802A62">
        <w:rPr>
          <w:rFonts w:eastAsia="Times New Roman"/>
          <w:color w:val="000000"/>
          <w:sz w:val="24"/>
          <w:szCs w:val="24"/>
        </w:rPr>
        <w:t>facilitating cell clumping as a potential defense mechanism from ROS toxicity. While this study is limited to just two different strains of MOB, the fact that there such a drastic distinction in their behavior demonstrates that when trying to optimize growth conditions for the isolation, cultivation and biotechnical implication of MOB, the consideration of oxygen concentration is critical and has an impact on cellular metabolism and physiology. </w:t>
      </w:r>
    </w:p>
    <w:p w14:paraId="6A9A0673" w14:textId="33CBA0A9" w:rsidR="000C7072" w:rsidRPr="00802A62" w:rsidRDefault="000C7072" w:rsidP="006E624A">
      <w:pPr>
        <w:pStyle w:val="Heading3"/>
        <w:rPr>
          <w:rFonts w:eastAsia="Times New Roman"/>
        </w:rPr>
      </w:pPr>
      <w:r w:rsidRPr="00802A62">
        <w:rPr>
          <w:rFonts w:eastAsia="Times New Roman"/>
        </w:rPr>
        <w:t> </w:t>
      </w:r>
      <w:bookmarkStart w:id="72" w:name="_Toc167115836"/>
      <w:r w:rsidRPr="00802A62">
        <w:rPr>
          <w:rFonts w:eastAsia="Times New Roman"/>
        </w:rPr>
        <w:t>References</w:t>
      </w:r>
      <w:bookmarkEnd w:id="72"/>
      <w:r w:rsidRPr="00802A62">
        <w:rPr>
          <w:rFonts w:eastAsia="Times New Roman"/>
        </w:rPr>
        <w:t> </w:t>
      </w:r>
    </w:p>
    <w:p w14:paraId="1CA1286A" w14:textId="77777777" w:rsidR="000C7072" w:rsidRPr="000C7072" w:rsidRDefault="000C7072" w:rsidP="000C7072">
      <w:pPr>
        <w:rPr>
          <w:sz w:val="24"/>
          <w:szCs w:val="24"/>
        </w:rPr>
      </w:pPr>
      <w:r w:rsidRPr="000C7072">
        <w:rPr>
          <w:sz w:val="24"/>
          <w:szCs w:val="24"/>
        </w:rPr>
        <w:t>1.</w:t>
      </w:r>
      <w:r w:rsidRPr="000C7072">
        <w:rPr>
          <w:sz w:val="24"/>
          <w:szCs w:val="24"/>
        </w:rPr>
        <w:tab/>
        <w:t xml:space="preserve">Hanson RS, Hanson TE. Methanotrophic bacteria. Microbiol Rev. 1996 Jun;60(2):439–71.  </w:t>
      </w:r>
    </w:p>
    <w:p w14:paraId="6D981E6E" w14:textId="77777777" w:rsidR="000C7072" w:rsidRPr="000C7072" w:rsidRDefault="000C7072" w:rsidP="000C7072">
      <w:pPr>
        <w:rPr>
          <w:sz w:val="24"/>
          <w:szCs w:val="24"/>
        </w:rPr>
      </w:pPr>
      <w:r w:rsidRPr="000C7072">
        <w:rPr>
          <w:sz w:val="24"/>
          <w:szCs w:val="24"/>
        </w:rPr>
        <w:t>2.</w:t>
      </w:r>
      <w:r w:rsidRPr="000C7072">
        <w:rPr>
          <w:sz w:val="24"/>
          <w:szCs w:val="24"/>
        </w:rPr>
        <w:tab/>
        <w:t xml:space="preserve">Milich L. The role of methane in global warming: where might mitigation strategies be focused? Glob Environ Change. 1999 Oct 1;9(3):179–201.  </w:t>
      </w:r>
    </w:p>
    <w:p w14:paraId="7FD45D70" w14:textId="17CBAD8F" w:rsidR="000C7072" w:rsidRPr="000C7072" w:rsidRDefault="000C7072" w:rsidP="000C7072">
      <w:pPr>
        <w:rPr>
          <w:sz w:val="24"/>
          <w:szCs w:val="24"/>
        </w:rPr>
      </w:pPr>
      <w:r w:rsidRPr="000C7072">
        <w:rPr>
          <w:sz w:val="24"/>
          <w:szCs w:val="24"/>
        </w:rPr>
        <w:t>3.</w:t>
      </w:r>
      <w:r w:rsidRPr="000C7072">
        <w:rPr>
          <w:sz w:val="24"/>
          <w:szCs w:val="24"/>
        </w:rPr>
        <w:tab/>
        <w:t>Oremland RS, Culbertson CW. Importance of methane-oxidizing bacteria in the methane budget as revealed by the use of a specific inhibitor. Nat</w:t>
      </w:r>
      <w:r w:rsidR="0087443B">
        <w:rPr>
          <w:sz w:val="24"/>
          <w:szCs w:val="24"/>
        </w:rPr>
        <w:t>.</w:t>
      </w:r>
      <w:r w:rsidRPr="000C7072">
        <w:rPr>
          <w:sz w:val="24"/>
          <w:szCs w:val="24"/>
        </w:rPr>
        <w:t xml:space="preserve"> 1992 Apr;356(6368):421–3.  </w:t>
      </w:r>
    </w:p>
    <w:p w14:paraId="11119F15" w14:textId="28483B6A" w:rsidR="000C7072" w:rsidRPr="000C7072" w:rsidRDefault="000C7072" w:rsidP="000C7072">
      <w:pPr>
        <w:rPr>
          <w:sz w:val="24"/>
          <w:szCs w:val="24"/>
        </w:rPr>
      </w:pPr>
      <w:r w:rsidRPr="000C7072">
        <w:rPr>
          <w:sz w:val="24"/>
          <w:szCs w:val="24"/>
        </w:rPr>
        <w:t>4.</w:t>
      </w:r>
      <w:r w:rsidRPr="000C7072">
        <w:rPr>
          <w:sz w:val="24"/>
          <w:szCs w:val="24"/>
        </w:rPr>
        <w:tab/>
        <w:t>Guerrero-Cruz S, Vaksmaa A, Horn MA, Niemann H, Pijuan M, Ho A. Methanotrophs: Discoveries, Environmental Relevance, and a Perspective on Current and Future Applications. Fron</w:t>
      </w:r>
      <w:r w:rsidR="0087443B">
        <w:rPr>
          <w:sz w:val="24"/>
          <w:szCs w:val="24"/>
        </w:rPr>
        <w:t>t</w:t>
      </w:r>
      <w:r w:rsidRPr="000C7072">
        <w:rPr>
          <w:sz w:val="24"/>
          <w:szCs w:val="24"/>
        </w:rPr>
        <w:t xml:space="preserve"> Microbio</w:t>
      </w:r>
      <w:r w:rsidR="0087443B">
        <w:rPr>
          <w:sz w:val="24"/>
          <w:szCs w:val="24"/>
        </w:rPr>
        <w:t>l</w:t>
      </w:r>
      <w:r w:rsidR="009E4F0E">
        <w:rPr>
          <w:sz w:val="24"/>
          <w:szCs w:val="24"/>
        </w:rPr>
        <w:t xml:space="preserve">. </w:t>
      </w:r>
      <w:r w:rsidRPr="000C7072">
        <w:rPr>
          <w:sz w:val="24"/>
          <w:szCs w:val="24"/>
        </w:rPr>
        <w:t>2021</w:t>
      </w:r>
      <w:r w:rsidR="0087443B">
        <w:rPr>
          <w:sz w:val="24"/>
          <w:szCs w:val="24"/>
        </w:rPr>
        <w:t>;12.</w:t>
      </w:r>
      <w:r w:rsidRPr="000C7072">
        <w:rPr>
          <w:sz w:val="24"/>
          <w:szCs w:val="24"/>
        </w:rPr>
        <w:t xml:space="preserve"> </w:t>
      </w:r>
    </w:p>
    <w:p w14:paraId="6C1092D0" w14:textId="05B619EC" w:rsidR="000C7072" w:rsidRPr="000C7072" w:rsidRDefault="000C7072" w:rsidP="000C7072">
      <w:pPr>
        <w:rPr>
          <w:sz w:val="24"/>
          <w:szCs w:val="24"/>
        </w:rPr>
      </w:pPr>
      <w:r w:rsidRPr="000C7072">
        <w:rPr>
          <w:sz w:val="24"/>
          <w:szCs w:val="24"/>
        </w:rPr>
        <w:t>5.</w:t>
      </w:r>
      <w:r w:rsidRPr="000C7072">
        <w:rPr>
          <w:sz w:val="24"/>
          <w:szCs w:val="24"/>
        </w:rPr>
        <w:tab/>
        <w:t>Imlay JA. Where in the world do bacteria experience oxidative stress? Env</w:t>
      </w:r>
      <w:r w:rsidR="0087443B">
        <w:rPr>
          <w:sz w:val="24"/>
          <w:szCs w:val="24"/>
        </w:rPr>
        <w:t xml:space="preserve"> </w:t>
      </w:r>
      <w:r w:rsidRPr="000C7072">
        <w:rPr>
          <w:sz w:val="24"/>
          <w:szCs w:val="24"/>
        </w:rPr>
        <w:t>Micr</w:t>
      </w:r>
      <w:r w:rsidR="0087443B">
        <w:rPr>
          <w:sz w:val="24"/>
          <w:szCs w:val="24"/>
        </w:rPr>
        <w:t xml:space="preserve">biol. </w:t>
      </w:r>
      <w:r w:rsidRPr="000C7072">
        <w:rPr>
          <w:sz w:val="24"/>
          <w:szCs w:val="24"/>
        </w:rPr>
        <w:t xml:space="preserve">2019;21(2):521–30.  </w:t>
      </w:r>
    </w:p>
    <w:p w14:paraId="52DD1984" w14:textId="6FDD574C" w:rsidR="000C7072" w:rsidRPr="000C7072" w:rsidRDefault="000C7072" w:rsidP="000C7072">
      <w:pPr>
        <w:rPr>
          <w:sz w:val="24"/>
          <w:szCs w:val="24"/>
        </w:rPr>
      </w:pPr>
      <w:r w:rsidRPr="000C7072">
        <w:rPr>
          <w:sz w:val="24"/>
          <w:szCs w:val="24"/>
        </w:rPr>
        <w:t>6.</w:t>
      </w:r>
      <w:r w:rsidRPr="000C7072">
        <w:rPr>
          <w:sz w:val="24"/>
          <w:szCs w:val="24"/>
        </w:rPr>
        <w:tab/>
        <w:t>González-Flecha B, Demple B. Homeostatic regulation of intracellular hydrogen peroxide concentration in aerobically growing Escherichia coli. J Bacteriol</w:t>
      </w:r>
      <w:r w:rsidR="009E4F0E">
        <w:rPr>
          <w:sz w:val="24"/>
          <w:szCs w:val="24"/>
        </w:rPr>
        <w:t xml:space="preserve">. </w:t>
      </w:r>
      <w:r w:rsidRPr="000C7072">
        <w:rPr>
          <w:sz w:val="24"/>
          <w:szCs w:val="24"/>
        </w:rPr>
        <w:t>1997</w:t>
      </w:r>
      <w:r w:rsidR="009E4F0E">
        <w:rPr>
          <w:sz w:val="24"/>
          <w:szCs w:val="24"/>
        </w:rPr>
        <w:t>.</w:t>
      </w:r>
    </w:p>
    <w:p w14:paraId="0728C2C9" w14:textId="77777777" w:rsidR="000C7072" w:rsidRPr="000C7072" w:rsidRDefault="000C7072" w:rsidP="000C7072">
      <w:pPr>
        <w:rPr>
          <w:sz w:val="24"/>
          <w:szCs w:val="24"/>
        </w:rPr>
      </w:pPr>
      <w:r w:rsidRPr="000C7072">
        <w:rPr>
          <w:sz w:val="24"/>
          <w:szCs w:val="24"/>
        </w:rPr>
        <w:t>7.</w:t>
      </w:r>
      <w:r w:rsidRPr="000C7072">
        <w:rPr>
          <w:sz w:val="24"/>
          <w:szCs w:val="24"/>
        </w:rPr>
        <w:tab/>
        <w:t xml:space="preserve">Shvinka JE, Toma MK, Galinina NI, SkĀRds IV, Viesturs UE. Production of Superoxide Radicals during Bacterial Respiration. Microbiology. 1979;113(2):377–82.  </w:t>
      </w:r>
    </w:p>
    <w:p w14:paraId="41C546BA" w14:textId="2D497017" w:rsidR="000C7072" w:rsidRPr="000C7072" w:rsidRDefault="000C7072" w:rsidP="000C7072">
      <w:pPr>
        <w:rPr>
          <w:sz w:val="24"/>
          <w:szCs w:val="24"/>
        </w:rPr>
      </w:pPr>
      <w:r w:rsidRPr="000C7072">
        <w:rPr>
          <w:sz w:val="24"/>
          <w:szCs w:val="24"/>
        </w:rPr>
        <w:t>8.</w:t>
      </w:r>
      <w:r w:rsidRPr="000C7072">
        <w:rPr>
          <w:sz w:val="24"/>
          <w:szCs w:val="24"/>
        </w:rPr>
        <w:tab/>
        <w:t xml:space="preserve">Miyaji A, Suzuki M, Baba T, Kamachi T, Okura I. Hydrogen peroxide as an effecter on the inactivation of particulate methane monooxygenase under aerobic conditions. </w:t>
      </w:r>
      <w:r w:rsidR="0087443B" w:rsidRPr="0087443B">
        <w:rPr>
          <w:sz w:val="24"/>
          <w:szCs w:val="24"/>
        </w:rPr>
        <w:t>J Mol Catal B Enzym</w:t>
      </w:r>
      <w:r w:rsidR="0087443B">
        <w:rPr>
          <w:sz w:val="24"/>
          <w:szCs w:val="24"/>
        </w:rPr>
        <w:t xml:space="preserve">. </w:t>
      </w:r>
      <w:r w:rsidRPr="000C7072">
        <w:rPr>
          <w:sz w:val="24"/>
          <w:szCs w:val="24"/>
        </w:rPr>
        <w:t xml:space="preserve">2009 May 1;57(1):211–5.  </w:t>
      </w:r>
    </w:p>
    <w:p w14:paraId="48371FC4" w14:textId="7DF034BF" w:rsidR="000C7072" w:rsidRPr="000C7072" w:rsidRDefault="000C7072" w:rsidP="000C7072">
      <w:pPr>
        <w:rPr>
          <w:sz w:val="24"/>
          <w:szCs w:val="24"/>
        </w:rPr>
      </w:pPr>
      <w:r w:rsidRPr="000C7072">
        <w:rPr>
          <w:sz w:val="24"/>
          <w:szCs w:val="24"/>
        </w:rPr>
        <w:t>9.</w:t>
      </w:r>
      <w:r w:rsidRPr="000C7072">
        <w:rPr>
          <w:sz w:val="24"/>
          <w:szCs w:val="24"/>
        </w:rPr>
        <w:tab/>
        <w:t xml:space="preserve">Cabiscol Català E, Tamarit Sumalla J, Ros Salvador J. Oxidative stress in bacteria and protein damage by reactive oxygen species. </w:t>
      </w:r>
      <w:r w:rsidR="0087443B" w:rsidRPr="0087443B">
        <w:rPr>
          <w:sz w:val="24"/>
          <w:szCs w:val="24"/>
        </w:rPr>
        <w:t>Intern</w:t>
      </w:r>
      <w:r w:rsidR="0087443B">
        <w:rPr>
          <w:sz w:val="24"/>
          <w:szCs w:val="24"/>
        </w:rPr>
        <w:t>.</w:t>
      </w:r>
      <w:r w:rsidR="0087443B" w:rsidRPr="0087443B">
        <w:rPr>
          <w:sz w:val="24"/>
          <w:szCs w:val="24"/>
        </w:rPr>
        <w:t xml:space="preserve"> Micro</w:t>
      </w:r>
      <w:r w:rsidR="0087443B">
        <w:rPr>
          <w:sz w:val="24"/>
          <w:szCs w:val="24"/>
        </w:rPr>
        <w:t>.</w:t>
      </w:r>
      <w:r w:rsidR="0087443B" w:rsidRPr="0087443B">
        <w:rPr>
          <w:sz w:val="24"/>
          <w:szCs w:val="24"/>
        </w:rPr>
        <w:t>, 2000</w:t>
      </w:r>
      <w:r w:rsidR="0087443B">
        <w:rPr>
          <w:sz w:val="24"/>
          <w:szCs w:val="24"/>
        </w:rPr>
        <w:t>;3(1):</w:t>
      </w:r>
      <w:r w:rsidR="0087443B" w:rsidRPr="0087443B">
        <w:rPr>
          <w:sz w:val="24"/>
          <w:szCs w:val="24"/>
        </w:rPr>
        <w:t>3-8</w:t>
      </w:r>
    </w:p>
    <w:p w14:paraId="05CA8603" w14:textId="77777777" w:rsidR="000C7072" w:rsidRPr="000C7072" w:rsidRDefault="000C7072" w:rsidP="000C7072">
      <w:pPr>
        <w:rPr>
          <w:sz w:val="24"/>
          <w:szCs w:val="24"/>
        </w:rPr>
      </w:pPr>
      <w:r w:rsidRPr="000C7072">
        <w:rPr>
          <w:sz w:val="24"/>
          <w:szCs w:val="24"/>
        </w:rPr>
        <w:t>10.</w:t>
      </w:r>
      <w:r w:rsidRPr="000C7072">
        <w:rPr>
          <w:sz w:val="24"/>
          <w:szCs w:val="24"/>
        </w:rPr>
        <w:tab/>
        <w:t xml:space="preserve">Imlay JA. The molecular mechanisms and physiological consequences of oxidative stress: lessons from a model bacterium. Nat Rev Microbiol. 2013 Jul;11(7):443–54.  </w:t>
      </w:r>
    </w:p>
    <w:p w14:paraId="4583D278" w14:textId="77777777" w:rsidR="000C7072" w:rsidRPr="000C7072" w:rsidRDefault="000C7072" w:rsidP="000C7072">
      <w:pPr>
        <w:rPr>
          <w:sz w:val="24"/>
          <w:szCs w:val="24"/>
        </w:rPr>
      </w:pPr>
      <w:r w:rsidRPr="000C7072">
        <w:rPr>
          <w:sz w:val="24"/>
          <w:szCs w:val="24"/>
        </w:rPr>
        <w:lastRenderedPageBreak/>
        <w:t>11.</w:t>
      </w:r>
      <w:r w:rsidRPr="000C7072">
        <w:rPr>
          <w:sz w:val="24"/>
          <w:szCs w:val="24"/>
        </w:rPr>
        <w:tab/>
        <w:t xml:space="preserve">Messner KR, Imlay JA. The identification of primary sites of superoxide and hydrogen peroxide formation in the aerobic respiratory chain and sulfite reductase complex of Escherichia coli. J Biol Chem. 1999 Apr 9;274(15):10119–28.  </w:t>
      </w:r>
    </w:p>
    <w:p w14:paraId="6D2E13F7" w14:textId="77777777" w:rsidR="000C7072" w:rsidRPr="000C7072" w:rsidRDefault="000C7072" w:rsidP="000C7072">
      <w:pPr>
        <w:rPr>
          <w:sz w:val="24"/>
          <w:szCs w:val="24"/>
        </w:rPr>
      </w:pPr>
      <w:r w:rsidRPr="000C7072">
        <w:rPr>
          <w:sz w:val="24"/>
          <w:szCs w:val="24"/>
        </w:rPr>
        <w:t>12.</w:t>
      </w:r>
      <w:r w:rsidRPr="000C7072">
        <w:rPr>
          <w:sz w:val="24"/>
          <w:szCs w:val="24"/>
        </w:rPr>
        <w:tab/>
        <w:t xml:space="preserve">Korshunov S, Imlay JA. Two sources of endogenous H2O2 in Escherichia coli. Mol Microbiol. 2010 Mar;75(6):1389–401.  </w:t>
      </w:r>
    </w:p>
    <w:p w14:paraId="1BC0EAC9" w14:textId="77777777" w:rsidR="000C7072" w:rsidRPr="000C7072" w:rsidRDefault="000C7072" w:rsidP="000C7072">
      <w:pPr>
        <w:rPr>
          <w:sz w:val="24"/>
          <w:szCs w:val="24"/>
        </w:rPr>
      </w:pPr>
      <w:r w:rsidRPr="000C7072">
        <w:rPr>
          <w:sz w:val="24"/>
          <w:szCs w:val="24"/>
        </w:rPr>
        <w:t>13.</w:t>
      </w:r>
      <w:r w:rsidRPr="000C7072">
        <w:rPr>
          <w:sz w:val="24"/>
          <w:szCs w:val="24"/>
        </w:rPr>
        <w:tab/>
        <w:t xml:space="preserve">Ross MO, Rosenzweig AC. A tale of two methane monooxygenases. J Biol Inorg Chem. 2017 Apr 1;22(2):307–19.  </w:t>
      </w:r>
    </w:p>
    <w:p w14:paraId="52FBE4D4" w14:textId="77777777" w:rsidR="000C7072" w:rsidRPr="000C7072" w:rsidRDefault="000C7072" w:rsidP="000C7072">
      <w:pPr>
        <w:rPr>
          <w:sz w:val="24"/>
          <w:szCs w:val="24"/>
        </w:rPr>
      </w:pPr>
      <w:r w:rsidRPr="000C7072">
        <w:rPr>
          <w:sz w:val="24"/>
          <w:szCs w:val="24"/>
        </w:rPr>
        <w:t>14.</w:t>
      </w:r>
      <w:r w:rsidRPr="000C7072">
        <w:rPr>
          <w:sz w:val="24"/>
          <w:szCs w:val="24"/>
        </w:rPr>
        <w:tab/>
        <w:t xml:space="preserve">Peng W, Qu X, Shaik S, Wang B. Deciphering the oxygen activation mechanism at the CuC site of particulate methane monooxygenase. Nat Catal. 2021 Apr;4(4):266–73.  </w:t>
      </w:r>
    </w:p>
    <w:p w14:paraId="2486819E" w14:textId="77777777" w:rsidR="000C7072" w:rsidRPr="000C7072" w:rsidRDefault="000C7072" w:rsidP="000C7072">
      <w:pPr>
        <w:rPr>
          <w:sz w:val="24"/>
          <w:szCs w:val="24"/>
        </w:rPr>
      </w:pPr>
      <w:r w:rsidRPr="000C7072">
        <w:rPr>
          <w:sz w:val="24"/>
          <w:szCs w:val="24"/>
        </w:rPr>
        <w:t>15.</w:t>
      </w:r>
      <w:r w:rsidRPr="000C7072">
        <w:rPr>
          <w:sz w:val="24"/>
          <w:szCs w:val="24"/>
        </w:rPr>
        <w:tab/>
        <w:t xml:space="preserve">Zahn J, Arciero DM, Hooper A, Coats JR, Dispirito A. Cytochrome c peroxidase from Methylococcus capsulatus Bath. Arch Microbiol. 1997 Dec;168(5):362–72.  </w:t>
      </w:r>
    </w:p>
    <w:p w14:paraId="572753C1" w14:textId="772451C4" w:rsidR="000C7072" w:rsidRPr="000C7072" w:rsidRDefault="000C7072" w:rsidP="000C7072">
      <w:pPr>
        <w:rPr>
          <w:sz w:val="24"/>
          <w:szCs w:val="24"/>
        </w:rPr>
      </w:pPr>
      <w:r w:rsidRPr="000C7072">
        <w:rPr>
          <w:sz w:val="24"/>
          <w:szCs w:val="24"/>
        </w:rPr>
        <w:t>16.</w:t>
      </w:r>
      <w:r w:rsidRPr="000C7072">
        <w:rPr>
          <w:sz w:val="24"/>
          <w:szCs w:val="24"/>
        </w:rPr>
        <w:tab/>
        <w:t>Seixas AF, Quendera AP, Sousa JP, Silva AFQ, Arraiano CM, Andrade JM. Bacterial Response to Oxidative Stress and RNA Oxidation. Front Genet</w:t>
      </w:r>
      <w:r w:rsidR="009E4F0E">
        <w:rPr>
          <w:sz w:val="24"/>
          <w:szCs w:val="24"/>
        </w:rPr>
        <w:t xml:space="preserve">. </w:t>
      </w:r>
      <w:r w:rsidRPr="000C7072">
        <w:rPr>
          <w:sz w:val="24"/>
          <w:szCs w:val="24"/>
        </w:rPr>
        <w:t>2022</w:t>
      </w:r>
      <w:r w:rsidR="0087443B">
        <w:rPr>
          <w:sz w:val="24"/>
          <w:szCs w:val="24"/>
        </w:rPr>
        <w:t>;12.</w:t>
      </w:r>
    </w:p>
    <w:p w14:paraId="1AC4E649" w14:textId="190E9F03" w:rsidR="000C7072" w:rsidRPr="000C7072" w:rsidRDefault="000C7072" w:rsidP="000C7072">
      <w:pPr>
        <w:rPr>
          <w:sz w:val="24"/>
          <w:szCs w:val="24"/>
        </w:rPr>
      </w:pPr>
      <w:r w:rsidRPr="000C7072">
        <w:rPr>
          <w:sz w:val="24"/>
          <w:szCs w:val="24"/>
        </w:rPr>
        <w:t>17.</w:t>
      </w:r>
      <w:r w:rsidRPr="000C7072">
        <w:rPr>
          <w:sz w:val="24"/>
          <w:szCs w:val="24"/>
        </w:rPr>
        <w:tab/>
        <w:t>Bible AN, Khalsa-Moyers GK, Mukherjee T, Green CS, Mishra P, Purcell A, et al. Metabolic Adaptations of Azospirillum brasilense to Oxygen Stress by Cell-to-Cell Clumping and Flocculation. Appl Envir</w:t>
      </w:r>
      <w:r w:rsidR="0087443B">
        <w:rPr>
          <w:sz w:val="24"/>
          <w:szCs w:val="24"/>
        </w:rPr>
        <w:t>on</w:t>
      </w:r>
      <w:r w:rsidRPr="000C7072">
        <w:rPr>
          <w:sz w:val="24"/>
          <w:szCs w:val="24"/>
        </w:rPr>
        <w:t xml:space="preserve"> Microbiol. 2015 Dec 15;81(24):8346–57.  </w:t>
      </w:r>
    </w:p>
    <w:p w14:paraId="0EC349D3" w14:textId="77777777" w:rsidR="000C7072" w:rsidRPr="000C7072" w:rsidRDefault="000C7072" w:rsidP="000C7072">
      <w:pPr>
        <w:rPr>
          <w:sz w:val="24"/>
          <w:szCs w:val="24"/>
        </w:rPr>
      </w:pPr>
      <w:r w:rsidRPr="000C7072">
        <w:rPr>
          <w:sz w:val="24"/>
          <w:szCs w:val="24"/>
        </w:rPr>
        <w:t>18.</w:t>
      </w:r>
      <w:r w:rsidRPr="000C7072">
        <w:rPr>
          <w:sz w:val="24"/>
          <w:szCs w:val="24"/>
        </w:rPr>
        <w:tab/>
        <w:t xml:space="preserve">Bible A, Russell MH, Alexandre G. The Azospirillum brasilense Che1 chemotaxis pathway controls swimming velocity, which affects transient cell-to-cell clumping. J Bacteriol. 2012 Jul;194(13):3343–55.  </w:t>
      </w:r>
    </w:p>
    <w:p w14:paraId="74F3EC2E" w14:textId="37032478" w:rsidR="000C7072" w:rsidRPr="000C7072" w:rsidRDefault="000C7072" w:rsidP="000C7072">
      <w:pPr>
        <w:rPr>
          <w:sz w:val="24"/>
          <w:szCs w:val="24"/>
        </w:rPr>
      </w:pPr>
      <w:r w:rsidRPr="000C7072">
        <w:rPr>
          <w:sz w:val="24"/>
          <w:szCs w:val="24"/>
        </w:rPr>
        <w:t>19.</w:t>
      </w:r>
      <w:r w:rsidRPr="000C7072">
        <w:rPr>
          <w:sz w:val="24"/>
          <w:szCs w:val="24"/>
        </w:rPr>
        <w:tab/>
        <w:t xml:space="preserve">Bible AN, Stephens BB, Ortega DR, Xie Z, Alexandre G. Function of a Chemotaxis-Like Signal Transduction Pathway in Modulating Motility, Cell Clumping, and Cell Length in the Alphaproteobacterium Azospirillum brasilense. J Bacteriol. 2008 Oct;190(19):6365–75.  </w:t>
      </w:r>
    </w:p>
    <w:p w14:paraId="4CB89A52" w14:textId="4DB54115" w:rsidR="000C7072" w:rsidRPr="000C7072" w:rsidRDefault="000C7072" w:rsidP="000C7072">
      <w:pPr>
        <w:rPr>
          <w:sz w:val="24"/>
          <w:szCs w:val="24"/>
        </w:rPr>
      </w:pPr>
      <w:r w:rsidRPr="000C7072">
        <w:rPr>
          <w:sz w:val="24"/>
          <w:szCs w:val="24"/>
        </w:rPr>
        <w:t>20.</w:t>
      </w:r>
      <w:r w:rsidRPr="000C7072">
        <w:rPr>
          <w:sz w:val="24"/>
          <w:szCs w:val="24"/>
        </w:rPr>
        <w:tab/>
        <w:t xml:space="preserve">Whittenbury R, Phillips KC, Wilkinson JF. Enrichment, Isolation and Some Properties of Methane-utilizing Bacteria. Microbiol. 1970;61(2):205–18.  </w:t>
      </w:r>
    </w:p>
    <w:p w14:paraId="61050E22" w14:textId="77777777" w:rsidR="000C7072" w:rsidRPr="000C7072" w:rsidRDefault="000C7072" w:rsidP="000C7072">
      <w:pPr>
        <w:rPr>
          <w:sz w:val="24"/>
          <w:szCs w:val="24"/>
        </w:rPr>
      </w:pPr>
      <w:r w:rsidRPr="000C7072">
        <w:rPr>
          <w:sz w:val="24"/>
          <w:szCs w:val="24"/>
        </w:rPr>
        <w:t>21.</w:t>
      </w:r>
      <w:r w:rsidRPr="000C7072">
        <w:rPr>
          <w:sz w:val="24"/>
          <w:szCs w:val="24"/>
        </w:rPr>
        <w:tab/>
        <w:t xml:space="preserve">Chen S, Zhou Y, Chen Y, Gu J. fastp: an ultra-fast all-in-one FASTQ preprocessor. Bioinformatics. 2018 Sep 1;34(17):i884–90.  </w:t>
      </w:r>
    </w:p>
    <w:p w14:paraId="19FC2018" w14:textId="77777777" w:rsidR="000C7072" w:rsidRPr="000C7072" w:rsidRDefault="000C7072" w:rsidP="000C7072">
      <w:pPr>
        <w:rPr>
          <w:sz w:val="24"/>
          <w:szCs w:val="24"/>
        </w:rPr>
      </w:pPr>
      <w:r w:rsidRPr="000C7072">
        <w:rPr>
          <w:sz w:val="24"/>
          <w:szCs w:val="24"/>
        </w:rPr>
        <w:t>22.</w:t>
      </w:r>
      <w:r w:rsidRPr="000C7072">
        <w:rPr>
          <w:sz w:val="24"/>
          <w:szCs w:val="24"/>
        </w:rPr>
        <w:tab/>
        <w:t xml:space="preserve">Souvorov A, Agarwala R, Lipman DJ. SKESA: strategic k-mer extension for scrupulous assemblies. Genome Biol. 2018 Oct 4;19(1):153.  </w:t>
      </w:r>
    </w:p>
    <w:p w14:paraId="78680837" w14:textId="77777777" w:rsidR="000C7072" w:rsidRPr="000C7072" w:rsidRDefault="000C7072" w:rsidP="000C7072">
      <w:pPr>
        <w:rPr>
          <w:sz w:val="24"/>
          <w:szCs w:val="24"/>
        </w:rPr>
      </w:pPr>
      <w:r w:rsidRPr="000C7072">
        <w:rPr>
          <w:sz w:val="24"/>
          <w:szCs w:val="24"/>
        </w:rPr>
        <w:t>23.</w:t>
      </w:r>
      <w:r w:rsidRPr="000C7072">
        <w:rPr>
          <w:sz w:val="24"/>
          <w:szCs w:val="24"/>
        </w:rPr>
        <w:tab/>
        <w:t xml:space="preserve">Parks DH, Imelfort M, Skennerton CT, Hugenholtz P, Tyson GW. CheckM: assessing the quality of microbial genomes recovered from isolates, single cells, and metagenomes. Genome Res. 2015 Jul;25(7):1043–55.  </w:t>
      </w:r>
    </w:p>
    <w:p w14:paraId="4A101B78" w14:textId="77777777" w:rsidR="000C7072" w:rsidRPr="000C7072" w:rsidRDefault="000C7072" w:rsidP="000C7072">
      <w:pPr>
        <w:rPr>
          <w:sz w:val="24"/>
          <w:szCs w:val="24"/>
        </w:rPr>
      </w:pPr>
      <w:r w:rsidRPr="000C7072">
        <w:rPr>
          <w:sz w:val="24"/>
          <w:szCs w:val="24"/>
        </w:rPr>
        <w:t>24.</w:t>
      </w:r>
      <w:r w:rsidRPr="000C7072">
        <w:rPr>
          <w:sz w:val="24"/>
          <w:szCs w:val="24"/>
        </w:rPr>
        <w:tab/>
        <w:t xml:space="preserve">O’Leary NA, Wright MW, Brister JR, Ciufo S, Haddad D, McVeigh R, et al. Reference sequence (RefSeq) database at NCBI: current status, taxonomic expansion, and functional annotation. Nucleic Acids Res. 2016 Jan 4;44(D1):D733-745.  </w:t>
      </w:r>
    </w:p>
    <w:p w14:paraId="66FA9D3D" w14:textId="77777777" w:rsidR="000C7072" w:rsidRPr="000C7072" w:rsidRDefault="000C7072" w:rsidP="000C7072">
      <w:pPr>
        <w:rPr>
          <w:sz w:val="24"/>
          <w:szCs w:val="24"/>
        </w:rPr>
      </w:pPr>
      <w:r w:rsidRPr="000C7072">
        <w:rPr>
          <w:sz w:val="24"/>
          <w:szCs w:val="24"/>
        </w:rPr>
        <w:lastRenderedPageBreak/>
        <w:t>25.</w:t>
      </w:r>
      <w:r w:rsidRPr="000C7072">
        <w:rPr>
          <w:sz w:val="24"/>
          <w:szCs w:val="24"/>
        </w:rPr>
        <w:tab/>
        <w:t xml:space="preserve">Hyatt D, Chen GL, LoCascio PF, Land ML, Larimer FW, Hauser LJ. Prodigal: prokaryotic gene recognition and translation initiation site identification. BMC Bioinformatics. 2010 Mar 8;11(1):119.  </w:t>
      </w:r>
    </w:p>
    <w:p w14:paraId="376F146A" w14:textId="77777777" w:rsidR="000C7072" w:rsidRPr="000C7072" w:rsidRDefault="000C7072" w:rsidP="000C7072">
      <w:pPr>
        <w:rPr>
          <w:sz w:val="24"/>
          <w:szCs w:val="24"/>
        </w:rPr>
      </w:pPr>
      <w:r w:rsidRPr="000C7072">
        <w:rPr>
          <w:sz w:val="24"/>
          <w:szCs w:val="24"/>
        </w:rPr>
        <w:t>26.</w:t>
      </w:r>
      <w:r w:rsidRPr="000C7072">
        <w:rPr>
          <w:sz w:val="24"/>
          <w:szCs w:val="24"/>
        </w:rPr>
        <w:tab/>
        <w:t xml:space="preserve">Seemann T. Barrnap: BAsic Rapid Ribosomal RNA Predictor. 2013.  </w:t>
      </w:r>
    </w:p>
    <w:p w14:paraId="3B6EE586" w14:textId="77777777" w:rsidR="000C7072" w:rsidRPr="000C7072" w:rsidRDefault="000C7072" w:rsidP="000C7072">
      <w:pPr>
        <w:rPr>
          <w:sz w:val="24"/>
          <w:szCs w:val="24"/>
        </w:rPr>
      </w:pPr>
      <w:r w:rsidRPr="000C7072">
        <w:rPr>
          <w:sz w:val="24"/>
          <w:szCs w:val="24"/>
        </w:rPr>
        <w:t>27.</w:t>
      </w:r>
      <w:r w:rsidRPr="000C7072">
        <w:rPr>
          <w:sz w:val="24"/>
          <w:szCs w:val="24"/>
        </w:rPr>
        <w:tab/>
        <w:t xml:space="preserve">Langmead B, Salzberg SL. Fast gapped-read alignment with Bowtie 2. Nat Methods. 2012 Apr;9(4):357–9.  </w:t>
      </w:r>
    </w:p>
    <w:p w14:paraId="2868164E" w14:textId="77777777" w:rsidR="000C7072" w:rsidRPr="000C7072" w:rsidRDefault="000C7072" w:rsidP="000C7072">
      <w:pPr>
        <w:rPr>
          <w:sz w:val="24"/>
          <w:szCs w:val="24"/>
        </w:rPr>
      </w:pPr>
      <w:r w:rsidRPr="000C7072">
        <w:rPr>
          <w:sz w:val="24"/>
          <w:szCs w:val="24"/>
        </w:rPr>
        <w:t>28.</w:t>
      </w:r>
      <w:r w:rsidRPr="000C7072">
        <w:rPr>
          <w:sz w:val="24"/>
          <w:szCs w:val="24"/>
        </w:rPr>
        <w:tab/>
        <w:t xml:space="preserve">Patro R, Duggal G, Love MI, Irizarry RA, Kingsford C. Salmon provides fast and bias-aware quantification of transcript expression. Nat Methods. 2017 Apr;14(4):417–9.  </w:t>
      </w:r>
    </w:p>
    <w:p w14:paraId="3C2C72E5" w14:textId="6054CF5C" w:rsidR="000C7072" w:rsidRPr="000C7072" w:rsidRDefault="000C7072" w:rsidP="000C7072">
      <w:pPr>
        <w:rPr>
          <w:sz w:val="24"/>
          <w:szCs w:val="24"/>
        </w:rPr>
      </w:pPr>
      <w:r w:rsidRPr="000C7072">
        <w:rPr>
          <w:sz w:val="24"/>
          <w:szCs w:val="24"/>
        </w:rPr>
        <w:t>29.</w:t>
      </w:r>
      <w:r w:rsidRPr="000C7072">
        <w:rPr>
          <w:sz w:val="24"/>
          <w:szCs w:val="24"/>
        </w:rPr>
        <w:tab/>
        <w:t xml:space="preserve">Love MI, Huber W, Anders S. Moderated estimation of fold change and dispersion for RNA-seq data with DESeq2. Genome Biol. 2014 Dec 5;15(12):550.  </w:t>
      </w:r>
    </w:p>
    <w:p w14:paraId="10409CC0" w14:textId="26745D43" w:rsidR="000C7072" w:rsidRPr="000C7072" w:rsidRDefault="000C7072" w:rsidP="000C7072">
      <w:pPr>
        <w:rPr>
          <w:sz w:val="24"/>
          <w:szCs w:val="24"/>
        </w:rPr>
      </w:pPr>
      <w:r w:rsidRPr="000C7072">
        <w:rPr>
          <w:sz w:val="24"/>
          <w:szCs w:val="24"/>
        </w:rPr>
        <w:t>30.</w:t>
      </w:r>
      <w:r w:rsidRPr="000C7072">
        <w:rPr>
          <w:sz w:val="24"/>
          <w:szCs w:val="24"/>
        </w:rPr>
        <w:tab/>
        <w:t xml:space="preserve">Kanehisa M, Sato Y, Morishima K. BlastKOALA and GhostKOALA: KEGG Tools for Functional Characterization of Genome and Metagenome Sequences. J Mol Biol. 2016 Feb 22;428(4):726–31.  </w:t>
      </w:r>
    </w:p>
    <w:p w14:paraId="19CA3843" w14:textId="54E02858" w:rsidR="000C7072" w:rsidRPr="000C7072" w:rsidRDefault="000C7072" w:rsidP="000C7072">
      <w:pPr>
        <w:rPr>
          <w:sz w:val="24"/>
          <w:szCs w:val="24"/>
        </w:rPr>
      </w:pPr>
      <w:r w:rsidRPr="000C7072">
        <w:rPr>
          <w:sz w:val="24"/>
          <w:szCs w:val="24"/>
        </w:rPr>
        <w:t>31.</w:t>
      </w:r>
      <w:r w:rsidRPr="000C7072">
        <w:rPr>
          <w:sz w:val="24"/>
          <w:szCs w:val="24"/>
        </w:rPr>
        <w:tab/>
        <w:t>Kim HJ, Graham DW. Effect of oxygen level on simultaneous nitrogenase and sMMO expression and activity in Methylosinus trichosporium OB3b and its sMMOC mutant, PP319: aerotolerant N2 fixation in PP319. FEMS Microbiol Let</w:t>
      </w:r>
      <w:r w:rsidR="0087443B">
        <w:rPr>
          <w:sz w:val="24"/>
          <w:szCs w:val="24"/>
        </w:rPr>
        <w:t>t</w:t>
      </w:r>
      <w:r w:rsidRPr="000C7072">
        <w:rPr>
          <w:sz w:val="24"/>
          <w:szCs w:val="24"/>
        </w:rPr>
        <w:t xml:space="preserve">. 2001 Jul 1;201(2):133–8.  </w:t>
      </w:r>
    </w:p>
    <w:p w14:paraId="7DDD12E4" w14:textId="77777777" w:rsidR="000C7072" w:rsidRPr="000C7072" w:rsidRDefault="000C7072" w:rsidP="000C7072">
      <w:pPr>
        <w:rPr>
          <w:sz w:val="24"/>
          <w:szCs w:val="24"/>
        </w:rPr>
      </w:pPr>
      <w:r w:rsidRPr="000C7072">
        <w:rPr>
          <w:sz w:val="24"/>
          <w:szCs w:val="24"/>
        </w:rPr>
        <w:t>32.</w:t>
      </w:r>
      <w:r w:rsidRPr="000C7072">
        <w:rPr>
          <w:sz w:val="24"/>
          <w:szCs w:val="24"/>
        </w:rPr>
        <w:tab/>
        <w:t xml:space="preserve">McDonald CA, Fagan RL, Collard F, Monnier VM, Palfey BA. Oxygen Reactivity in Flavoenzymes: Context Matters. J Am Chem Soc. 2011 Oct 26;133(42):16809–11.  </w:t>
      </w:r>
    </w:p>
    <w:p w14:paraId="252AA9A5" w14:textId="3131CAD8" w:rsidR="000C7072" w:rsidRPr="000C7072" w:rsidRDefault="000C7072" w:rsidP="000C7072">
      <w:pPr>
        <w:rPr>
          <w:sz w:val="24"/>
          <w:szCs w:val="24"/>
        </w:rPr>
      </w:pPr>
      <w:r w:rsidRPr="000C7072">
        <w:rPr>
          <w:sz w:val="24"/>
          <w:szCs w:val="24"/>
        </w:rPr>
        <w:t>33.</w:t>
      </w:r>
      <w:r w:rsidRPr="000C7072">
        <w:rPr>
          <w:sz w:val="24"/>
          <w:szCs w:val="24"/>
        </w:rPr>
        <w:tab/>
        <w:t xml:space="preserve">Baez A, Shiloach J. Effect of elevated oxygen concentration on bacteria, yeasts, and cells propagated for production of biological compounds. Microb Cell Fact. 2014 Dec 19;13(1):181.  </w:t>
      </w:r>
    </w:p>
    <w:p w14:paraId="70BAD94F" w14:textId="3D887683" w:rsidR="000C7072" w:rsidRPr="000C7072" w:rsidRDefault="000C7072" w:rsidP="000C7072">
      <w:pPr>
        <w:rPr>
          <w:sz w:val="24"/>
          <w:szCs w:val="24"/>
        </w:rPr>
      </w:pPr>
      <w:r w:rsidRPr="000C7072">
        <w:rPr>
          <w:sz w:val="24"/>
          <w:szCs w:val="24"/>
        </w:rPr>
        <w:t>34.</w:t>
      </w:r>
      <w:r w:rsidRPr="000C7072">
        <w:rPr>
          <w:sz w:val="24"/>
          <w:szCs w:val="24"/>
        </w:rPr>
        <w:tab/>
      </w:r>
      <w:r w:rsidR="009E4F0E" w:rsidRPr="009E4F0E">
        <w:rPr>
          <w:sz w:val="24"/>
          <w:szCs w:val="24"/>
        </w:rPr>
        <w:t xml:space="preserve">Korshunov S, Imlay JA. Detection and quantification of superoxide formed within the periplasm of Escherichia coli. J Bacteriol. 2006 Sep;188(17):6326-34. </w:t>
      </w:r>
    </w:p>
    <w:p w14:paraId="4B2F98A5" w14:textId="77777777" w:rsidR="000C7072" w:rsidRPr="000C7072" w:rsidRDefault="000C7072" w:rsidP="000C7072">
      <w:pPr>
        <w:rPr>
          <w:sz w:val="24"/>
          <w:szCs w:val="24"/>
        </w:rPr>
      </w:pPr>
      <w:r w:rsidRPr="000C7072">
        <w:rPr>
          <w:sz w:val="24"/>
          <w:szCs w:val="24"/>
        </w:rPr>
        <w:t>35.</w:t>
      </w:r>
      <w:r w:rsidRPr="000C7072">
        <w:rPr>
          <w:sz w:val="24"/>
          <w:szCs w:val="24"/>
        </w:rPr>
        <w:tab/>
        <w:t xml:space="preserve">Borisov VB, Siletsky SA, Nastasi MR, Forte E. ROS Defense Systems and Terminal Oxidases in Bacteria. Antioxidants. 2021 Jun;10(6):839.  </w:t>
      </w:r>
    </w:p>
    <w:p w14:paraId="7BFFCFF9" w14:textId="4B1A22E8" w:rsidR="000C7072" w:rsidRPr="000C7072" w:rsidRDefault="000C7072" w:rsidP="000C7072">
      <w:pPr>
        <w:rPr>
          <w:sz w:val="24"/>
          <w:szCs w:val="24"/>
        </w:rPr>
      </w:pPr>
      <w:r w:rsidRPr="000C7072">
        <w:rPr>
          <w:sz w:val="24"/>
          <w:szCs w:val="24"/>
        </w:rPr>
        <w:t>36.</w:t>
      </w:r>
      <w:r w:rsidRPr="000C7072">
        <w:rPr>
          <w:sz w:val="24"/>
          <w:szCs w:val="24"/>
        </w:rPr>
        <w:tab/>
        <w:t>Guttenplan SB, Kearns DB. Regulation of flagellar motility during biofilm formation. FEMS Microbiol Rev</w:t>
      </w:r>
      <w:r w:rsidR="0087443B">
        <w:rPr>
          <w:sz w:val="24"/>
          <w:szCs w:val="24"/>
        </w:rPr>
        <w:t>s</w:t>
      </w:r>
      <w:r w:rsidRPr="000C7072">
        <w:rPr>
          <w:sz w:val="24"/>
          <w:szCs w:val="24"/>
        </w:rPr>
        <w:t xml:space="preserve">. 2013 Nov 1;37(6):849–71.  </w:t>
      </w:r>
    </w:p>
    <w:p w14:paraId="1FDA8217" w14:textId="77777777" w:rsidR="000C7072" w:rsidRPr="000C7072" w:rsidRDefault="000C7072" w:rsidP="000C7072">
      <w:pPr>
        <w:rPr>
          <w:sz w:val="24"/>
          <w:szCs w:val="24"/>
        </w:rPr>
      </w:pPr>
      <w:r w:rsidRPr="000C7072">
        <w:rPr>
          <w:sz w:val="24"/>
          <w:szCs w:val="24"/>
        </w:rPr>
        <w:t>37.</w:t>
      </w:r>
      <w:r w:rsidRPr="000C7072">
        <w:rPr>
          <w:sz w:val="24"/>
          <w:szCs w:val="24"/>
        </w:rPr>
        <w:tab/>
        <w:t xml:space="preserve">Stephens BB, Loar SN, Alexandre G. Role of CheB and CheR in the Complex Chemotactic and Aerotactic Pathway of Azospirillum brasilense. J Bacteriol. 2006 Jul;188(13):4759–68.  </w:t>
      </w:r>
    </w:p>
    <w:p w14:paraId="1CBD5EEF" w14:textId="77777777" w:rsidR="000C7072" w:rsidRPr="000C7072" w:rsidRDefault="000C7072" w:rsidP="000C7072">
      <w:pPr>
        <w:rPr>
          <w:sz w:val="24"/>
          <w:szCs w:val="24"/>
        </w:rPr>
      </w:pPr>
      <w:r w:rsidRPr="000C7072">
        <w:rPr>
          <w:sz w:val="24"/>
          <w:szCs w:val="24"/>
        </w:rPr>
        <w:t>38.</w:t>
      </w:r>
      <w:r w:rsidRPr="000C7072">
        <w:rPr>
          <w:sz w:val="24"/>
          <w:szCs w:val="24"/>
        </w:rPr>
        <w:tab/>
        <w:t xml:space="preserve">Zhulin IB, Bespalov VA, Johnson MS, Taylor BL. Oxygen taxis and proton motive force in Azospirillum brasilense. J Bacteriol. 1996 Sep;178(17):5199–204.  </w:t>
      </w:r>
    </w:p>
    <w:p w14:paraId="27EFC19B" w14:textId="77777777" w:rsidR="000C7072" w:rsidRDefault="000C7072" w:rsidP="000C7072">
      <w:r>
        <w:t xml:space="preserve"> </w:t>
      </w:r>
    </w:p>
    <w:p w14:paraId="4833BE1E" w14:textId="77777777" w:rsidR="004F5205" w:rsidRDefault="004F5205" w:rsidP="006E624A">
      <w:pPr>
        <w:spacing w:line="480" w:lineRule="auto"/>
        <w:rPr>
          <w:b/>
          <w:bCs/>
          <w:sz w:val="40"/>
          <w:szCs w:val="40"/>
        </w:rPr>
      </w:pPr>
    </w:p>
    <w:p w14:paraId="5BDC5D9A" w14:textId="77777777" w:rsidR="009B0281" w:rsidRDefault="009B0281" w:rsidP="006E624A">
      <w:pPr>
        <w:pStyle w:val="Heading1"/>
      </w:pPr>
      <w:bookmarkStart w:id="73" w:name="_Toc161933734"/>
      <w:bookmarkStart w:id="74" w:name="_Toc161934671"/>
      <w:bookmarkStart w:id="75" w:name="_Toc161935371"/>
    </w:p>
    <w:p w14:paraId="00C9268C" w14:textId="77777777" w:rsidR="009B0281" w:rsidRDefault="009B0281" w:rsidP="006E624A">
      <w:pPr>
        <w:pStyle w:val="Heading1"/>
      </w:pPr>
    </w:p>
    <w:p w14:paraId="706B924C" w14:textId="77777777" w:rsidR="009B0281" w:rsidRDefault="009B0281" w:rsidP="006E624A">
      <w:pPr>
        <w:pStyle w:val="Heading1"/>
      </w:pPr>
    </w:p>
    <w:p w14:paraId="293388DB" w14:textId="3FD884CD" w:rsidR="00F33B92" w:rsidRPr="003D6F4A" w:rsidRDefault="00F33B92" w:rsidP="006E624A">
      <w:pPr>
        <w:pStyle w:val="Heading1"/>
      </w:pPr>
      <w:bookmarkStart w:id="76" w:name="_Toc167115837"/>
      <w:r w:rsidRPr="006E624A">
        <w:t>Chapter</w:t>
      </w:r>
      <w:r w:rsidRPr="003D6F4A">
        <w:t xml:space="preserve"> 3</w:t>
      </w:r>
      <w:bookmarkEnd w:id="73"/>
      <w:bookmarkEnd w:id="74"/>
      <w:bookmarkEnd w:id="75"/>
      <w:bookmarkEnd w:id="76"/>
    </w:p>
    <w:p w14:paraId="3915FE6B" w14:textId="0A57D7D3" w:rsidR="00F33B92" w:rsidRPr="00C93714" w:rsidRDefault="00F33B92" w:rsidP="006E624A">
      <w:pPr>
        <w:pStyle w:val="Heading2"/>
      </w:pPr>
      <w:bookmarkStart w:id="77" w:name="_Toc167115838"/>
      <w:r w:rsidRPr="003D6F4A">
        <w:t xml:space="preserve">Effect of Coculturing the </w:t>
      </w:r>
      <w:r w:rsidR="007D3DBA">
        <w:t>Methane-</w:t>
      </w:r>
      <w:r w:rsidR="00224D46">
        <w:t>O</w:t>
      </w:r>
      <w:r w:rsidR="007D3DBA">
        <w:t>xidizing</w:t>
      </w:r>
      <w:r w:rsidRPr="003D6F4A">
        <w:t xml:space="preserve"> Bacterium </w:t>
      </w:r>
      <w:r w:rsidRPr="003D6F4A">
        <w:rPr>
          <w:i/>
          <w:iCs/>
        </w:rPr>
        <w:t xml:space="preserve">Methylosinus trichosporium </w:t>
      </w:r>
      <w:r w:rsidRPr="003D6F4A">
        <w:t xml:space="preserve">OB3b with </w:t>
      </w:r>
      <w:r w:rsidRPr="003D6F4A">
        <w:rPr>
          <w:i/>
          <w:iCs/>
        </w:rPr>
        <w:t>Flavobacterium</w:t>
      </w:r>
      <w:r w:rsidRPr="003D6F4A">
        <w:t xml:space="preserve">, </w:t>
      </w:r>
      <w:r w:rsidRPr="003D6F4A">
        <w:rPr>
          <w:i/>
          <w:iCs/>
        </w:rPr>
        <w:t>Cupriavidus</w:t>
      </w:r>
      <w:r w:rsidRPr="003D6F4A">
        <w:t xml:space="preserve">, </w:t>
      </w:r>
      <w:r w:rsidR="00C93714">
        <w:t xml:space="preserve">or </w:t>
      </w:r>
      <w:r w:rsidRPr="003D6F4A">
        <w:rPr>
          <w:i/>
          <w:iCs/>
        </w:rPr>
        <w:t>Pseudomonas</w:t>
      </w:r>
      <w:r w:rsidR="00C93714">
        <w:rPr>
          <w:i/>
          <w:iCs/>
        </w:rPr>
        <w:t xml:space="preserve"> </w:t>
      </w:r>
      <w:r w:rsidR="00C93714">
        <w:t>Bacteria</w:t>
      </w:r>
      <w:bookmarkEnd w:id="77"/>
    </w:p>
    <w:p w14:paraId="627AACC1" w14:textId="77777777" w:rsidR="00292E2C" w:rsidRPr="00677A22" w:rsidRDefault="00292E2C" w:rsidP="006E624A">
      <w:pPr>
        <w:pStyle w:val="Heading3"/>
      </w:pPr>
      <w:bookmarkStart w:id="78" w:name="_Toc167115839"/>
      <w:r w:rsidRPr="00677A22">
        <w:t>Abstract</w:t>
      </w:r>
      <w:bookmarkEnd w:id="78"/>
    </w:p>
    <w:p w14:paraId="46CE49B7" w14:textId="020ED48C" w:rsidR="00292E2C" w:rsidRPr="00292E2C" w:rsidRDefault="00314B0B" w:rsidP="00292E2C">
      <w:pPr>
        <w:spacing w:line="480" w:lineRule="auto"/>
        <w:rPr>
          <w:sz w:val="24"/>
          <w:szCs w:val="24"/>
        </w:rPr>
      </w:pPr>
      <w:r>
        <w:rPr>
          <w:sz w:val="24"/>
          <w:szCs w:val="24"/>
        </w:rPr>
        <w:t>Methane-oxidizing bacteria (</w:t>
      </w:r>
      <w:r w:rsidR="00292E2C" w:rsidRPr="00292E2C">
        <w:rPr>
          <w:sz w:val="24"/>
          <w:szCs w:val="24"/>
        </w:rPr>
        <w:t>MOB</w:t>
      </w:r>
      <w:r>
        <w:rPr>
          <w:sz w:val="24"/>
          <w:szCs w:val="24"/>
        </w:rPr>
        <w:t>)</w:t>
      </w:r>
      <w:r w:rsidR="00292E2C" w:rsidRPr="00292E2C">
        <w:rPr>
          <w:sz w:val="24"/>
          <w:szCs w:val="24"/>
        </w:rPr>
        <w:t xml:space="preserve"> are critical members of </w:t>
      </w:r>
      <w:r>
        <w:rPr>
          <w:sz w:val="24"/>
          <w:szCs w:val="24"/>
        </w:rPr>
        <w:t>methane-containing</w:t>
      </w:r>
      <w:r w:rsidR="00292E2C" w:rsidRPr="00292E2C">
        <w:rPr>
          <w:sz w:val="24"/>
          <w:szCs w:val="24"/>
        </w:rPr>
        <w:t xml:space="preserve"> ecosystems and are highly involved in biogeochemical cycling. Despite their crucial role, there is still a lot to learn about how the MOB interact with other bacteria in their environment. This research investigates the growth conditions and community dynamics of methane-oxidizing </w:t>
      </w:r>
      <w:r w:rsidR="009B0281">
        <w:rPr>
          <w:sz w:val="24"/>
          <w:szCs w:val="24"/>
        </w:rPr>
        <w:t>co-culture</w:t>
      </w:r>
      <w:r w:rsidR="00292E2C" w:rsidRPr="00292E2C">
        <w:rPr>
          <w:sz w:val="24"/>
          <w:szCs w:val="24"/>
        </w:rPr>
        <w:t xml:space="preserve">s, focusing on the interactions between </w:t>
      </w:r>
      <w:r>
        <w:rPr>
          <w:sz w:val="24"/>
          <w:szCs w:val="24"/>
        </w:rPr>
        <w:t xml:space="preserve">the MOB </w:t>
      </w:r>
      <w:r w:rsidR="00292E2C" w:rsidRPr="00292E2C">
        <w:rPr>
          <w:i/>
          <w:iCs/>
          <w:sz w:val="24"/>
          <w:szCs w:val="24"/>
        </w:rPr>
        <w:t xml:space="preserve">Methylosinus trichosporium </w:t>
      </w:r>
      <w:r w:rsidR="00292E2C" w:rsidRPr="00292E2C">
        <w:rPr>
          <w:sz w:val="24"/>
          <w:szCs w:val="24"/>
        </w:rPr>
        <w:t>OB3b and the non-</w:t>
      </w:r>
      <w:r w:rsidR="00224D46">
        <w:rPr>
          <w:sz w:val="24"/>
          <w:szCs w:val="24"/>
        </w:rPr>
        <w:t>m</w:t>
      </w:r>
      <w:r w:rsidR="007D3DBA">
        <w:rPr>
          <w:sz w:val="24"/>
          <w:szCs w:val="24"/>
        </w:rPr>
        <w:t>ethane-oxidizing</w:t>
      </w:r>
      <w:r w:rsidR="00292E2C" w:rsidRPr="00292E2C">
        <w:rPr>
          <w:sz w:val="24"/>
          <w:szCs w:val="24"/>
        </w:rPr>
        <w:t xml:space="preserve"> heterotrophic bacteria (NMOHB) of the genera </w:t>
      </w:r>
      <w:r w:rsidR="00292E2C" w:rsidRPr="00292E2C">
        <w:rPr>
          <w:i/>
          <w:iCs/>
          <w:sz w:val="24"/>
          <w:szCs w:val="24"/>
        </w:rPr>
        <w:t>Flavobacterium</w:t>
      </w:r>
      <w:r w:rsidR="00292E2C" w:rsidRPr="00292E2C">
        <w:rPr>
          <w:sz w:val="24"/>
          <w:szCs w:val="24"/>
        </w:rPr>
        <w:t xml:space="preserve">, </w:t>
      </w:r>
      <w:r w:rsidR="00292E2C" w:rsidRPr="00292E2C">
        <w:rPr>
          <w:i/>
          <w:iCs/>
          <w:sz w:val="24"/>
          <w:szCs w:val="24"/>
        </w:rPr>
        <w:t>Cupriavidus</w:t>
      </w:r>
      <w:r w:rsidR="00292E2C" w:rsidRPr="00292E2C">
        <w:rPr>
          <w:sz w:val="24"/>
          <w:szCs w:val="24"/>
        </w:rPr>
        <w:t xml:space="preserve">, and </w:t>
      </w:r>
      <w:r w:rsidR="00292E2C" w:rsidRPr="00292E2C">
        <w:rPr>
          <w:i/>
          <w:iCs/>
          <w:sz w:val="24"/>
          <w:szCs w:val="24"/>
        </w:rPr>
        <w:t>Pseudomonas</w:t>
      </w:r>
      <w:r w:rsidR="00292E2C" w:rsidRPr="00292E2C">
        <w:rPr>
          <w:sz w:val="24"/>
          <w:szCs w:val="24"/>
        </w:rPr>
        <w:t xml:space="preserve">. Heterotrophic plate counts were used to determine whether NMOHB could grow in methane-oxidizing </w:t>
      </w:r>
      <w:r w:rsidR="009B0281">
        <w:rPr>
          <w:sz w:val="24"/>
          <w:szCs w:val="24"/>
        </w:rPr>
        <w:t>co-culture</w:t>
      </w:r>
      <w:r w:rsidR="00292E2C" w:rsidRPr="00292E2C">
        <w:rPr>
          <w:sz w:val="24"/>
          <w:szCs w:val="24"/>
        </w:rPr>
        <w:t xml:space="preserve">s. </w:t>
      </w:r>
      <w:r w:rsidR="00896DC5">
        <w:rPr>
          <w:sz w:val="24"/>
          <w:szCs w:val="24"/>
        </w:rPr>
        <w:t xml:space="preserve">All </w:t>
      </w:r>
      <w:r w:rsidR="00292E2C" w:rsidRPr="00292E2C">
        <w:rPr>
          <w:sz w:val="24"/>
          <w:szCs w:val="24"/>
        </w:rPr>
        <w:t>three NMOHB</w:t>
      </w:r>
      <w:r w:rsidR="00896DC5">
        <w:rPr>
          <w:sz w:val="24"/>
          <w:szCs w:val="24"/>
        </w:rPr>
        <w:t xml:space="preserve"> grew in methane-oxidizing condtions</w:t>
      </w:r>
      <w:r w:rsidR="00292E2C" w:rsidRPr="00292E2C">
        <w:rPr>
          <w:sz w:val="24"/>
          <w:szCs w:val="24"/>
        </w:rPr>
        <w:t xml:space="preserve"> suggesting carbon substrate utilization derived from methane oxidation. Furthermore, </w:t>
      </w:r>
      <w:r w:rsidR="009B0281">
        <w:rPr>
          <w:sz w:val="24"/>
          <w:szCs w:val="24"/>
        </w:rPr>
        <w:t>co-culture</w:t>
      </w:r>
      <w:r w:rsidR="00292E2C" w:rsidRPr="00292E2C">
        <w:rPr>
          <w:sz w:val="24"/>
          <w:szCs w:val="24"/>
        </w:rPr>
        <w:t xml:space="preserve">s with </w:t>
      </w:r>
      <w:r w:rsidR="00292E2C" w:rsidRPr="00292E2C">
        <w:rPr>
          <w:i/>
          <w:iCs/>
          <w:sz w:val="24"/>
          <w:szCs w:val="24"/>
        </w:rPr>
        <w:t>Pseudomonas chlororaphis</w:t>
      </w:r>
      <w:r w:rsidR="00292E2C" w:rsidRPr="00292E2C">
        <w:rPr>
          <w:sz w:val="24"/>
          <w:szCs w:val="24"/>
        </w:rPr>
        <w:t xml:space="preserve"> HC exhibited enhanced methane oxidation rates compared to monoculture, indicating a stimulating effect of </w:t>
      </w:r>
      <w:r w:rsidR="00292E2C" w:rsidRPr="00292E2C">
        <w:rPr>
          <w:i/>
          <w:iCs/>
          <w:sz w:val="24"/>
          <w:szCs w:val="24"/>
        </w:rPr>
        <w:t>P. chlororaphis</w:t>
      </w:r>
      <w:r w:rsidR="00292E2C" w:rsidRPr="00292E2C">
        <w:rPr>
          <w:sz w:val="24"/>
          <w:szCs w:val="24"/>
        </w:rPr>
        <w:t xml:space="preserve"> HC on methane utilization by MOB. Transcriptomic analysis revealed differential gene expression patterns in both MOB and NMOHB during </w:t>
      </w:r>
      <w:r w:rsidR="009B0281">
        <w:rPr>
          <w:sz w:val="24"/>
          <w:szCs w:val="24"/>
        </w:rPr>
        <w:t>co-culture</w:t>
      </w:r>
      <w:r w:rsidR="00292E2C" w:rsidRPr="00292E2C">
        <w:rPr>
          <w:sz w:val="24"/>
          <w:szCs w:val="24"/>
        </w:rPr>
        <w:t xml:space="preserve"> and points to potential cross-feeding of C4 dicarboxylates and methanol from the MOB to the NMOHB. Further, NMOHB displayed upregulation of genes </w:t>
      </w:r>
      <w:r w:rsidR="00292E2C" w:rsidRPr="00292E2C">
        <w:rPr>
          <w:sz w:val="24"/>
          <w:szCs w:val="24"/>
        </w:rPr>
        <w:lastRenderedPageBreak/>
        <w:t xml:space="preserve">involved in ROS remediation, suggesting a response to oxidative stress induced by methane oxidation. Additionally, NMOHB exhibited alterations in nitrogen utilization and amino acid metabolism genes, possibly reflecting adaptations to the </w:t>
      </w:r>
      <w:r w:rsidR="009B0281">
        <w:rPr>
          <w:sz w:val="24"/>
          <w:szCs w:val="24"/>
        </w:rPr>
        <w:t>co-culture</w:t>
      </w:r>
      <w:r w:rsidR="00292E2C" w:rsidRPr="00292E2C">
        <w:rPr>
          <w:sz w:val="24"/>
          <w:szCs w:val="24"/>
        </w:rPr>
        <w:t xml:space="preserve"> environment. Overall, these findings shed light on the metabolic interactions between MOB and NMOHB in methane-oxidizing systems, highlighting the potential for carbon sharing, nitrogen exchange, and ROS defense mechanisms. </w:t>
      </w:r>
    </w:p>
    <w:p w14:paraId="1BCE25F1" w14:textId="77777777" w:rsidR="00F33B92" w:rsidRPr="00F33B92" w:rsidRDefault="00F33B92" w:rsidP="006E624A">
      <w:pPr>
        <w:pStyle w:val="Heading3"/>
      </w:pPr>
      <w:bookmarkStart w:id="79" w:name="_Toc167115840"/>
      <w:r w:rsidRPr="00F33B92">
        <w:t>Introduction</w:t>
      </w:r>
      <w:bookmarkEnd w:id="79"/>
    </w:p>
    <w:p w14:paraId="4E924493" w14:textId="52F85498" w:rsidR="00F33B92" w:rsidRPr="00F33B92" w:rsidRDefault="00F33B92" w:rsidP="00F33B92">
      <w:pPr>
        <w:spacing w:line="480" w:lineRule="auto"/>
        <w:rPr>
          <w:sz w:val="24"/>
          <w:szCs w:val="24"/>
        </w:rPr>
      </w:pPr>
      <w:r w:rsidRPr="00F33B92">
        <w:rPr>
          <w:sz w:val="24"/>
          <w:szCs w:val="24"/>
        </w:rPr>
        <w:t>Methane (CH</w:t>
      </w:r>
      <w:r w:rsidRPr="00F33B92">
        <w:rPr>
          <w:sz w:val="24"/>
          <w:szCs w:val="24"/>
          <w:vertAlign w:val="subscript"/>
        </w:rPr>
        <w:t>4</w:t>
      </w:r>
      <w:r w:rsidRPr="00F33B92">
        <w:rPr>
          <w:sz w:val="24"/>
          <w:szCs w:val="24"/>
        </w:rPr>
        <w:t>) is a key greenhouse gas. It is the most abundant reduced compound in the Earth’s atmosphere and its impact on the global warming effect is second only to carbon dioxide (CO</w:t>
      </w:r>
      <w:r w:rsidRPr="00F33B92">
        <w:rPr>
          <w:sz w:val="24"/>
          <w:szCs w:val="24"/>
          <w:vertAlign w:val="subscript"/>
        </w:rPr>
        <w:t>2</w:t>
      </w:r>
      <w:r w:rsidRPr="00F33B92">
        <w:rPr>
          <w:sz w:val="24"/>
          <w:szCs w:val="24"/>
        </w:rPr>
        <w:t xml:space="preserve">) </w:t>
      </w:r>
      <w:r w:rsidRPr="00F33B92">
        <w:rPr>
          <w:sz w:val="24"/>
          <w:szCs w:val="24"/>
        </w:rPr>
        <w:fldChar w:fldCharType="begin"/>
      </w:r>
      <w:r w:rsidRPr="00F33B92">
        <w:rPr>
          <w:sz w:val="24"/>
          <w:szCs w:val="24"/>
        </w:rPr>
        <w:instrText xml:space="preserve"> ADDIN ZOTERO_ITEM CSL_CITATION {"citationID":"9Iy1obwP","properties":{"formattedCitation":"(1)","plainCitation":"(1)","noteIndex":0},"citationItems":[{"id":25,"uris":["http://zotero.org/users/local/ptYqL6dd/items/TGKXIJHZ",["http://zotero.org/users/local/ptYqL6dd/items/TGKXIJHZ"],"http://zotero.org/users/11931443/items/TGKXIJHZ"],"itemData":{"id":25,"type":"article-journal","abstract":"Methane (CH4) is produced in many natural systems that are vulnerable to change under a warming climate, yet current CH4 budgets, as well as future shifts in CH4 emissions, have high uncertainties. Climate change has the potential to increase CH4 emissions from critical systems such as wetlands, marine and freshwater systems, permafrost, and methane hydrates, through shifts in temperature, hydrology, vegetation, landscape disturbance, and sea level rise. Increased CH4 emissions from these systems would in turn induce further climate change, resulting in a positive climate feedback. Here we synthesize biological, geochemical, and physically focused CH4 climate feedback literature, bringing together the key findings of these disciplines. We discuss environment-specific feedback processes, including the microbial, physical, and geochemical interlinkages and the timescales on which they operate, and present the current state of knowledge of CH4 climate feedbacks in the immediate and distant future. The important linkages between microbial activity and climate warming are discussed with the aim to better constrain the sensitivity of the CH4 cycle to future climate predictions. We determine that wetlands will form the majority of the CH4 climate feedback up to 2100. Beyond this timescale, CH4 emissions from marine and freshwater systems and permafrost environments could become more important. Significant CH4 emissions to the atmosphere from the dissociation of methane hydrates are not expected in the near future. Our key findings highlight the importance of quantifying whether CH4 consumption can counterbalance CH4 production under future climate scenarios.","container-title":"Reviews of Geophysics","DOI":"10.1002/2017RG000559","ISSN":"1944-9208","issue":"1","language":"en","note":"_eprint: https://agupubs.onlinelibrary.wiley.com/doi/pdf/10.1002/2017RG000559","page":"207-250","source":"Wiley Online Library","title":"Methane Feedbacks to the Global Climate System in a Warmer World","volume":"56","author":[{"family":"Dean","given":"Joshua F."},{"family":"Middelburg","given":"Jack J."},{"family":"Röckmann","given":"Thomas"},{"family":"Aerts","given":"Rien"},{"family":"Blauw","given":"Luke G."},{"family":"Egger","given":"Matthias"},{"family":"Jetten","given":"Mike S. M."},{"family":"Jong","given":"Anniek E. E.","dropping-particle":"de"},{"family":"Meisel","given":"Ove H."},{"family":"Rasigraf","given":"Olivia"},{"family":"Slomp","given":"Caroline P."},{"family":"Zandt","given":"Michiel H.","dropping-particle":"in't"},{"family":"Dolman","given":"A. J."}],"issued":{"date-parts":[["2018"]]}}}],"schema":"https://github.com/citation-style-language/schema/raw/master/csl-citation.json"} </w:instrText>
      </w:r>
      <w:r w:rsidRPr="00F33B92">
        <w:rPr>
          <w:sz w:val="24"/>
          <w:szCs w:val="24"/>
        </w:rPr>
        <w:fldChar w:fldCharType="separate"/>
      </w:r>
      <w:r w:rsidRPr="00F33B92">
        <w:rPr>
          <w:sz w:val="24"/>
          <w:szCs w:val="24"/>
        </w:rPr>
        <w:t>(1)</w:t>
      </w:r>
      <w:r w:rsidRPr="00F33B92">
        <w:rPr>
          <w:sz w:val="24"/>
          <w:szCs w:val="24"/>
        </w:rPr>
        <w:fldChar w:fldCharType="end"/>
      </w:r>
      <w:r w:rsidRPr="00F33B92">
        <w:rPr>
          <w:sz w:val="24"/>
          <w:szCs w:val="24"/>
        </w:rPr>
        <w:t xml:space="preserve">. Between geochemical and biological sources, it is estimated that 500-600 Tg of methane is introduced into the atmosphere every year and about 60% of that total is anthropogenic </w:t>
      </w:r>
      <w:r w:rsidRPr="00F33B92">
        <w:rPr>
          <w:sz w:val="24"/>
          <w:szCs w:val="24"/>
        </w:rPr>
        <w:fldChar w:fldCharType="begin"/>
      </w:r>
      <w:r w:rsidRPr="00F33B92">
        <w:rPr>
          <w:sz w:val="24"/>
          <w:szCs w:val="24"/>
        </w:rPr>
        <w:instrText xml:space="preserve"> ADDIN ZOTERO_ITEM CSL_CITATION {"citationID":"s9F7Ps0x","properties":{"formattedCitation":"(2)","plainCitation":"(2)","noteIndex":0},"citationItems":[{"id":76,"uris":["http://zotero.org/users/local/ptYqL6dd/items/V7YTURIV",["http://zotero.org/users/local/ptYqL6dd/items/V7YTURIV"],"http://zotero.org/users/11931443/items/V7YTURIV"],"itemData":{"id":76,"type":"article-journal","abstract":"&lt;p&gt;&lt;strong class=\"journal-contentHeaderColor\"&gt;Abstract.&lt;/strong&gt; Understanding and quantifying the global methane (&lt;span class=\"inline-formula\"&gt;CH&lt;sub&gt;4&lt;/sub&gt;&lt;/span&gt;) budget is important for assessing realistic pathways to mitigate climate change. Atmospheric emissions and concentrations of &lt;span class=\"inline-formula\"&gt;CH&lt;sub&gt;4&lt;/sub&gt;&lt;/span&gt; continue to increase, making &lt;span class=\"inline-formula\"&gt;CH&lt;sub&gt;4&lt;/sub&gt;&lt;/span&gt; the second most important human-influenced greenhouse gas in terms of climate forcing, after carbon dioxide (&lt;span class=\"inline-formula\"&gt;CO&lt;sub&gt;2&lt;/sub&gt;&lt;/span&gt;). The relative importance of &lt;span class=\"inline-formula\"&gt;CH&lt;sub&gt;4&lt;/sub&gt;&lt;/span&gt; compared to &lt;span class=\"inline-formula\"&gt;CO&lt;sub&gt;2&lt;/sub&gt;&lt;/span&gt; depends on its shorter atmospheric lifetime, stronger warming potential, and variations in atmospheric growth rate over the past decade, the causes of which are still debated. Two major challenges in reducing uncertainties in the atmospheric growth rate arise from the variety of geographically overlapping &lt;span class=\"inline-formula\"&gt;CH&lt;sub&gt;4&lt;/sub&gt;&lt;/span&gt; sources and from the destruction of &lt;span class=\"inline-formula\"&gt;CH&lt;sub&gt;4&lt;/sub&gt;&lt;/span&gt; by short-lived hydroxyl radicals (OH). To address these challenges, we have established a consortium of multidisciplinary scientists under the umbrella of the Global Carbon Project to synthesize and stimulate new research aimed at improving and regularly updating the global methane budget. Following Saunois et al. (2016), we present here the second version of the living review paper dedicated to the decadal methane budget, integrating results of top-down studies (atmospheric observations within an atmospheric inverse-modelling framework) and bottom-up estimates (including process-based models for estimating land surface emissions and atmospheric chemistry, inventories of anthropogenic emissions, and data-driven extrapolations).&lt;/p&gt; &lt;p&gt;&lt;span id=\"page1564\"/&gt;For the 2008–2017 decade, global methane emissions are estimated by atmospheric inversions (a top-down approach) to be 576&amp;thinsp;Tg&amp;thinsp;&lt;span class=\"inline-formula\"&gt;CH&lt;sub&gt;4&lt;/sub&gt;&lt;/span&gt;&amp;thinsp;yr&lt;span class=\"inline-formula\"&gt;&lt;sup&gt;−1&lt;/sup&gt;&lt;/span&gt; (range 550–594, corresponding to the minimum and maximum estimates of the model ensemble). Of this total, 359&amp;thinsp;Tg&amp;thinsp;&lt;span class=\"inline-formula\"&gt;CH&lt;sub&gt;4&lt;/sub&gt;&lt;/span&gt;&amp;thinsp;yr&lt;span class=\"inline-formula\"&gt;&lt;sup&gt;−1&lt;/sup&gt;&lt;/span&gt; or &lt;span class=\"inline-formula\"&gt;</w:instrText>
      </w:r>
      <w:r w:rsidRPr="00F33B92">
        <w:rPr>
          <w:rFonts w:ascii="Cambria Math" w:hAnsi="Cambria Math" w:cs="Cambria Math"/>
          <w:sz w:val="24"/>
          <w:szCs w:val="24"/>
        </w:rPr>
        <w:instrText>∼</w:instrText>
      </w:r>
      <w:r w:rsidRPr="00F33B92">
        <w:rPr>
          <w:sz w:val="24"/>
          <w:szCs w:val="24"/>
        </w:rPr>
        <w:instrText>&lt;/span&gt;&amp;thinsp;60&amp;thinsp;% is attributed to anthropogenic sources, that is emissions caused by direct human activity (i.e. anthropogenic emissions; range 336–376&amp;thinsp;Tg&amp;thinsp;&lt;span class=\"inline-formula\"&gt;CH&lt;sub&gt;4&lt;/sub&gt;&lt;/span&gt;&amp;thinsp;yr&lt;span class=\"inline-formula\"&gt;&lt;sup&gt;−1&lt;/sup&gt;&lt;/span&gt; or 50&amp;thinsp;%–65&amp;thinsp;%). The mean annual total emission for the new decade (2008–2017) is 29&amp;thinsp;Tg&amp;thinsp;&lt;span class=\"inline-formula\"&gt;CH&lt;sub&gt;4&lt;/sub&gt;&lt;/span&gt;&amp;thinsp;yr&lt;span class=\"inline-formula\"&gt;&lt;sup&gt;−1&lt;/sup&gt;&lt;/span&gt; larger than our estimate for the previous decade (2000–2009), and 24&amp;thinsp;Tg&amp;thinsp;&lt;span class=\"inline-formula\"&gt;CH&lt;sub&gt;4&lt;/sub&gt;&lt;/span&gt;&amp;thinsp;yr&lt;span class=\"inline-formula\"&gt;&lt;sup&gt;−1&lt;/sup&gt;&lt;/span&gt; larger than the one reported in the previous budget for 2003–2012 (Saunois et al., 2016). Since 2012, global &lt;span class=\"inline-formula\"&gt;CH&lt;sub&gt;4&lt;/sub&gt;&lt;/span&gt; emissions have been tracking the warmest scenarios assessed by the Intergovernmental Panel on Climate Change. Bottom-up methods suggest almost 30&amp;thinsp;% larger global emissions (737&amp;thinsp;Tg&amp;thinsp;&lt;span class=\"inline-formula\"&gt;CH&lt;sub&gt;4&lt;/sub&gt;&lt;/span&gt;&amp;thinsp;yr&lt;span class=\"inline-formula\"&gt;&lt;sup&gt;−1&lt;/sup&gt;&lt;/span&gt;, range 594–881) than top-down inversion methods. Indeed, bottom-up estimates for natural sources such as natural wetlands, other inland water systems, and geological sources are higher than top-down estimates. The atmospheric constraints on the top-down budget suggest that at least some of these bottom-up emissions are overestimated. The latitudinal distribution of atmospheric observation-based emissions indicates a predominance of tropical emissions (&lt;span class=\"inline-formula\"&gt;</w:instrText>
      </w:r>
      <w:r w:rsidRPr="00F33B92">
        <w:rPr>
          <w:rFonts w:ascii="Cambria Math" w:hAnsi="Cambria Math" w:cs="Cambria Math"/>
          <w:sz w:val="24"/>
          <w:szCs w:val="24"/>
        </w:rPr>
        <w:instrText>∼</w:instrText>
      </w:r>
      <w:r w:rsidRPr="00F33B92">
        <w:rPr>
          <w:sz w:val="24"/>
          <w:szCs w:val="24"/>
        </w:rPr>
        <w:instrText>&lt;/span&gt;&amp;thinsp;65&amp;thinsp;% of the global budget, &lt;span class=\"inline-formula\"&gt;&amp;lt;&lt;/span&gt;&amp;thinsp;30&lt;span class=\"inline-formula\"&gt;&lt;sup&gt;</w:instrText>
      </w:r>
      <w:r w:rsidRPr="00F33B92">
        <w:rPr>
          <w:rFonts w:ascii="Cambria Math" w:hAnsi="Cambria Math" w:cs="Cambria Math"/>
          <w:sz w:val="24"/>
          <w:szCs w:val="24"/>
        </w:rPr>
        <w:instrText>∘</w:instrText>
      </w:r>
      <w:r w:rsidRPr="00F33B92">
        <w:rPr>
          <w:sz w:val="24"/>
          <w:szCs w:val="24"/>
        </w:rPr>
        <w:instrText>&lt;/sup&gt;&lt;/span&gt;&amp;thinsp;N) compared to mid-latitudes (&lt;span class=\"inline-formula\"&gt;</w:instrText>
      </w:r>
      <w:r w:rsidRPr="00F33B92">
        <w:rPr>
          <w:rFonts w:ascii="Cambria Math" w:hAnsi="Cambria Math" w:cs="Cambria Math"/>
          <w:sz w:val="24"/>
          <w:szCs w:val="24"/>
        </w:rPr>
        <w:instrText>∼</w:instrText>
      </w:r>
      <w:r w:rsidRPr="00F33B92">
        <w:rPr>
          <w:sz w:val="24"/>
          <w:szCs w:val="24"/>
        </w:rPr>
        <w:instrText>&lt;/span&gt;&amp;thinsp;30&amp;thinsp;%, 30–60&lt;span class=\"inline-formula\"&gt;&lt;sup&gt;</w:instrText>
      </w:r>
      <w:r w:rsidRPr="00F33B92">
        <w:rPr>
          <w:rFonts w:ascii="Cambria Math" w:hAnsi="Cambria Math" w:cs="Cambria Math"/>
          <w:sz w:val="24"/>
          <w:szCs w:val="24"/>
        </w:rPr>
        <w:instrText>∘</w:instrText>
      </w:r>
      <w:r w:rsidRPr="00F33B92">
        <w:rPr>
          <w:sz w:val="24"/>
          <w:szCs w:val="24"/>
        </w:rPr>
        <w:instrText>&lt;/sup&gt;&lt;/span&gt;&amp;thinsp;N) and high northern latitudes (&lt;span class=\"inline-formula\"&gt;</w:instrText>
      </w:r>
      <w:r w:rsidRPr="00F33B92">
        <w:rPr>
          <w:rFonts w:ascii="Cambria Math" w:hAnsi="Cambria Math" w:cs="Cambria Math"/>
          <w:sz w:val="24"/>
          <w:szCs w:val="24"/>
        </w:rPr>
        <w:instrText>∼</w:instrText>
      </w:r>
      <w:r w:rsidRPr="00F33B92">
        <w:rPr>
          <w:sz w:val="24"/>
          <w:szCs w:val="24"/>
        </w:rPr>
        <w:instrText>&lt;/span&gt;&amp;thinsp;4&amp;thinsp;%, 60–90&lt;span class=\"inline-formula\"&gt;&lt;sup&gt;</w:instrText>
      </w:r>
      <w:r w:rsidRPr="00F33B92">
        <w:rPr>
          <w:rFonts w:ascii="Cambria Math" w:hAnsi="Cambria Math" w:cs="Cambria Math"/>
          <w:sz w:val="24"/>
          <w:szCs w:val="24"/>
        </w:rPr>
        <w:instrText>∘</w:instrText>
      </w:r>
      <w:r w:rsidRPr="00F33B92">
        <w:rPr>
          <w:sz w:val="24"/>
          <w:szCs w:val="24"/>
        </w:rPr>
        <w:instrText xml:space="preserve">&lt;/sup&gt;&lt;/span&gt;&amp;thinsp;N). The most important source of uncertainty in the methane budget is attributable to natural emissions, especially those from wetlands and other inland waters.&lt;/p&gt; &lt;p&gt;Some of our global source estimates are smaller than those in previously published budgets (Saunois et al., 2016; Kirschke et al., 2013). In particular wetland emissions are about 35&amp;thinsp;Tg&amp;thinsp;&lt;span class=\"inline-formula\"&gt;CH&lt;sub&gt;4&lt;/sub&gt;&lt;/span&gt;&amp;thinsp;yr&lt;span class=\"inline-formula\"&gt;&lt;sup&gt;−1&lt;/sup&gt;&lt;/span&gt; lower due to improved partition wetlands and other inland waters. Emissions from geological sources and wild animals are also found to be smaller by 7&amp;thinsp;Tg&amp;thinsp;&lt;span class=\"inline-formula\"&gt;CH&lt;sub&gt;4&lt;/sub&gt;&lt;/span&gt;&amp;thinsp;yr&lt;span class=\"inline-formula\"&gt;&lt;sup&gt;−1&lt;/sup&gt;&lt;/span&gt; by 8&amp;thinsp;Tg&amp;thinsp;&lt;span class=\"inline-formula\"&gt;CH&lt;sub&gt;4&lt;/sub&gt;&lt;/span&gt;&amp;thinsp;yr&lt;span class=\"inline-formula\"&gt;&lt;sup&gt;−1&lt;/sup&gt;&lt;/span&gt;, respectively. However, the overall discrepancy between bottom-up and top-down estimates has been reduced by only 5&amp;thinsp;% compared to Saunois et al. (2016), due to a higher estimate of emissions from inland waters, highlighting the need for more detailed research on emissions factors. Priorities for improving the methane budget include (i) a global, high-resolution map of water-saturated soils and inundated areas emitting methane based on a robust classification of different types of emitting habitats; (ii) further development of process-based models for inland-water emissions; (iii) intensification of methane observations at local scales (e.g., FLUXNET-&lt;span class=\"inline-formula\"&gt;CH&lt;sub&gt;4&lt;/sub&gt;&lt;/span&gt; measurements) and urban-scale monitoring to constrain bottom-up land surface models, and at regional scales (surface networks and satellites) to constrain atmospheric inversions; (iv) improvements of transport models and the representation of photochemical sinks in top-down inversions; and (v) development of a 3D variational inversion system using isotopic and/or co-emitted species such as ethane to improve source partitioning.&lt;/p&gt; &lt;p&gt;The data presented here can be downloaded from &lt;a href=\"https://doi.org/10.18160/GCP-CH4-2019\"&gt;https://doi.org/10.18160/GCP-CH4-2019&lt;/a&gt; (Saunois et al., 2020) and from the Global Carbon Project.&lt;/p&gt;","container-title":"Earth System Science Data","DOI":"10.5194/essd-12-1561-2020","ISSN":"1866-3508","issue":"3","language":"English","note":"publisher: Copernicus GmbH","page":"1561-1623","source":"essd.copernicus.org","title":"The Global Methane Budget 2000–2017","volume":"12","author":[{"family":"Saunois","given":"Marielle"},{"family":"Stavert","given":"Ann R."},{"family":"Poulter","given":"Ben"},{"family":"Bousquet","given":"Philippe"},{"family":"Canadell","given":"Josep G."},{"family":"Jackson","given":"Robert B."},{"family":"Raymond","given":"Peter A."},{"family":"Dlugokencky","given":"Edward J."},{"family":"Houweling","given":"Sander"},{"family":"Patra","given":"Prabir K."},{"family":"Ciais","given":"Philippe"},{"family":"Arora","given":"Vivek K."},{"family":"Bastviken","given":"David"},{"family":"Bergamaschi","given":"Peter"},{"family":"Blake","given":"Donald R."},{"family":"Brailsford","given":"Gordon"},{"family":"Bruhwiler","given":"Lori"},{"family":"Carlson","given":"Kimberly M."},{"family":"Carrol","given":"Mark"},{"family":"Castaldi","given":"Simona"},{"family":"Chandra","given":"Naveen"},{"family":"Crevoisier","given":"Cyril"},{"family":"Crill","given":"Patrick M."},{"family":"Covey","given":"Kristofer"},{"family":"Curry","given":"Charles L."},{"family":"Etiope","given":"Giuseppe"},{"family":"Frankenberg","given":"Christian"},{"family":"Gedney","given":"Nicola"},{"family":"Hegglin","given":"Michaela I."},{"family":"Höglund-Isaksson","given":"Lena"},{"family":"Hugelius","given":"Gustaf"},{"family":"Ishizawa","given":"Misa"},{"family":"Ito","given":"Akihiko"},{"family":"Janssens-Maenhout","given":"Greet"},{"family":"Jensen","given":"Katherine M."},{"family":"Joos","given":"Fortunat"},{"family":"Kleinen","given":"Thomas"},{"family":"Krummel","given":"Paul B."},{"family":"Langenfelds","given":"Ray L."},{"family":"Laruelle","given":"Goulven G."},{"family":"Liu","given":"Licheng"},{"family":"Machida","given":"Toshinobu"},{"family":"Maksyutov","given":"Shamil"},{"family":"McDonald","given":"Kyle C."},{"family":"McNorton","given":"Joe"},{"family":"Miller","given":"Paul A."},{"family":"Melton","given":"Joe R."},{"family":"Morino","given":"Isamu"},{"family":"Müller","given":"Jurek"},{"family":"Murguia-Flores","given":"Fabiola"},{"family":"Naik","given":"Vaishali"},{"family":"Niwa","given":"Yosuke"},{"family":"Noce","given":"Sergio"},{"family":"O'Doherty","given":"Simon"},{"family":"Parker","given":"Robert J."},{"family":"Peng","given":"Changhui"},{"family":"Peng","given":"Shushi"},{"family":"Peters","given":"Glen P."},{"family":"Prigent","given":"Catherine"},{"family":"Prinn","given":"Ronald"},{"family":"Ramonet","given":"Michel"},{"family":"Regnier","given":"Pierre"},{"family":"Riley","given":"William J."},{"family":"Rosentreter","given":"Judith A."},{"family":"Segers","given":"Arjo"},{"family":"Simpson","given":"Isobel J."},{"family":"Shi","given":"Hao"},{"family":"Smith","given":"Steven J."},{"family":"Steele","given":"L. Paul"},{"family":"Thornton","given":"Brett F."},{"family":"Tian","given":"Hanqin"},{"family":"Tohjima","given":"Yasunori"},{"family":"Tubiello","given":"Francesco N."},{"family":"Tsuruta","given":"Aki"},{"family":"Viovy","given":"Nicolas"},{"family":"Voulgarakis","given":"Apostolos"},{"family":"Weber","given":"Thomas S."},{"family":"Weele","given":"Michiel","non-dropping-particle":"van"},{"family":"Werf","given":"Guido R.","non-dropping-particle":"van der"},{"family":"Weiss","given":"Ray F."},{"family":"Worthy","given":"Doug"},{"family":"Wunch","given":"Debra"},{"family":"Yin","given":"Yi"},{"family":"Yoshida","given":"Yukio"},{"family":"Zhang","given":"Wenxin"},{"family":"Zhang","given":"Zhen"},{"family":"Zhao","given":"Yuanhong"},{"family":"Zheng","given":"Bo"},{"family":"Zhu","given":"Qing"},{"family":"Zhu","given":"Qiuan"},{"family":"Zhuang","given":"Qianlai"}],"issued":{"date-parts":[["2020",7,15]]}}}],"schema":"https://github.com/citation-style-language/schema/raw/master/csl-citation.json"} </w:instrText>
      </w:r>
      <w:r w:rsidRPr="00F33B92">
        <w:rPr>
          <w:sz w:val="24"/>
          <w:szCs w:val="24"/>
        </w:rPr>
        <w:fldChar w:fldCharType="separate"/>
      </w:r>
      <w:r w:rsidRPr="00F33B92">
        <w:rPr>
          <w:sz w:val="24"/>
          <w:szCs w:val="24"/>
        </w:rPr>
        <w:t>(2)</w:t>
      </w:r>
      <w:r w:rsidRPr="00F33B92">
        <w:rPr>
          <w:sz w:val="24"/>
          <w:szCs w:val="24"/>
        </w:rPr>
        <w:fldChar w:fldCharType="end"/>
      </w:r>
      <w:r w:rsidRPr="00F33B92">
        <w:rPr>
          <w:sz w:val="24"/>
          <w:szCs w:val="24"/>
        </w:rPr>
        <w:t>. Some of the sources of CH</w:t>
      </w:r>
      <w:r w:rsidRPr="00F33B92">
        <w:rPr>
          <w:sz w:val="24"/>
          <w:szCs w:val="24"/>
          <w:vertAlign w:val="subscript"/>
        </w:rPr>
        <w:t>4</w:t>
      </w:r>
      <w:r w:rsidRPr="00F33B92">
        <w:rPr>
          <w:sz w:val="24"/>
          <w:szCs w:val="24"/>
        </w:rPr>
        <w:t xml:space="preserve"> include a</w:t>
      </w:r>
      <w:r w:rsidR="00D23012">
        <w:rPr>
          <w:sz w:val="24"/>
          <w:szCs w:val="24"/>
        </w:rPr>
        <w:t>c</w:t>
      </w:r>
      <w:r w:rsidRPr="00F33B92">
        <w:rPr>
          <w:sz w:val="24"/>
          <w:szCs w:val="24"/>
        </w:rPr>
        <w:t>rtic tundra and other wetlands, rice paddies, oceans, lakes, ponds, many different soils and sediments, landfills, and deserts. In each of these ecosystems, the major biological sink for CH</w:t>
      </w:r>
      <w:r w:rsidRPr="00F33B92">
        <w:rPr>
          <w:sz w:val="24"/>
          <w:szCs w:val="24"/>
          <w:vertAlign w:val="subscript"/>
        </w:rPr>
        <w:t>4</w:t>
      </w:r>
      <w:r w:rsidRPr="00F33B92">
        <w:rPr>
          <w:sz w:val="24"/>
          <w:szCs w:val="24"/>
        </w:rPr>
        <w:t xml:space="preserve"> is oxidation to CO</w:t>
      </w:r>
      <w:r w:rsidRPr="00F33B92">
        <w:rPr>
          <w:sz w:val="24"/>
          <w:szCs w:val="24"/>
          <w:vertAlign w:val="subscript"/>
        </w:rPr>
        <w:t>2</w:t>
      </w:r>
      <w:r w:rsidRPr="00F33B92">
        <w:rPr>
          <w:sz w:val="24"/>
          <w:szCs w:val="24"/>
        </w:rPr>
        <w:t xml:space="preserve"> by methane-oxidizing bacteria (MOB) (also called methanotrophs) </w:t>
      </w:r>
      <w:r w:rsidRPr="00F33B92">
        <w:rPr>
          <w:sz w:val="24"/>
          <w:szCs w:val="24"/>
        </w:rPr>
        <w:fldChar w:fldCharType="begin"/>
      </w:r>
      <w:r w:rsidRPr="00F33B92">
        <w:rPr>
          <w:sz w:val="24"/>
          <w:szCs w:val="24"/>
        </w:rPr>
        <w:instrText xml:space="preserve"> ADDIN ZOTERO_ITEM CSL_CITATION {"citationID":"lX631z8X","properties":{"formattedCitation":"(3)","plainCitation":"(3)","noteIndex":0},"citationItems":[{"id":22,"uris":["http://zotero.org/users/local/ptYqL6dd/items/BMABS62R",["http://zotero.org/users/local/ptYqL6dd/items/BMABS62R"],"http://zotero.org/users/11931443/items/BMABS62R"],"itemData":{"id":22,"type":"article-journal","abstract":"Methane-utilizing bacteria (methanotrophs) are a diverse group of gram-negative bacteria that are related to other members of the Proteobacteria. These bacteria are classified into three groups based on the pathways used for assimilation of formaldehyde, the major source of cell carbon, and other physiological and morphological features. The type I and type X methanotrophs are found within the gamma subdivision of the Proteobacteria and employ the ribulose monophosphate pathway for formaldehyde assimilation, whereas type II methanotrophs, which employ the serine pathway for formaldehyde assimilation, form a coherent cluster within the beta subdivision of the Proteobacteria. Methanotrophic bacteria are ubiquitous. The growth of type II bacteria appears to be favored in environments that contain relatively high levels of methane, low levels of dissolved oxygen, and limiting concentrations of combined nitrogen and/or copper. Type I methanotrophs appear to be dominant in environments in which methane is limiting and combined nitrogen and copper levels are relatively high. These bacteria serve as biofilters for the oxidation of methane produced in anaerobic environments, and when oxygen is present in soils, atmospheric methane is oxidized. Their activities in nature are greatly influenced by agricultural practices and other human activities. Recent evidence indicates that naturally occurring, uncultured methanotrophs represent new genera. Methanotrophs that are capable of oxidizing methane at atmospheric levels exhibit methane oxidation kinetics different from those of methanotrophs available in pure cultures. A limited number of methanotrophs have the genetic capacity to synthesize a soluble methane monooxygenase which catalyzes the rapid oxidation of environmental pollutants including trichloroethylene.","container-title":"Microbiological Reviews","ISSN":"0146-0749","issue":"2","journalAbbreviation":"Microbiol Rev","note":"PMID: 8801441\nPMCID: PMC239451","page":"439-471","source":"PubMed Central","title":"Methanotrophic bacteria.","volume":"60","author":[{"family":"Hanson","given":"R S"},{"family":"Hanson","given":"T E"}],"issued":{"date-parts":[["1996",6]]}}}],"schema":"https://github.com/citation-style-language/schema/raw/master/csl-citation.json"} </w:instrText>
      </w:r>
      <w:r w:rsidRPr="00F33B92">
        <w:rPr>
          <w:sz w:val="24"/>
          <w:szCs w:val="24"/>
        </w:rPr>
        <w:fldChar w:fldCharType="separate"/>
      </w:r>
      <w:r w:rsidRPr="00F33B92">
        <w:rPr>
          <w:sz w:val="24"/>
          <w:szCs w:val="24"/>
        </w:rPr>
        <w:t>(3)</w:t>
      </w:r>
      <w:r w:rsidRPr="00F33B92">
        <w:rPr>
          <w:sz w:val="24"/>
          <w:szCs w:val="24"/>
        </w:rPr>
        <w:fldChar w:fldCharType="end"/>
      </w:r>
      <w:r w:rsidRPr="00F33B92">
        <w:rPr>
          <w:sz w:val="24"/>
          <w:szCs w:val="24"/>
        </w:rPr>
        <w:t>. Because of their distinct role in CH</w:t>
      </w:r>
      <w:r w:rsidRPr="00F33B92">
        <w:rPr>
          <w:sz w:val="24"/>
          <w:szCs w:val="24"/>
          <w:vertAlign w:val="subscript"/>
        </w:rPr>
        <w:t>4</w:t>
      </w:r>
      <w:r w:rsidRPr="00F33B92">
        <w:rPr>
          <w:sz w:val="24"/>
          <w:szCs w:val="24"/>
        </w:rPr>
        <w:t xml:space="preserve"> degradation, methanotrophs are critical components of these ecosystems and in the global carbon cycle.</w:t>
      </w:r>
    </w:p>
    <w:p w14:paraId="0CFC9FA8" w14:textId="5A402EDE" w:rsidR="00F33B92" w:rsidRPr="00F33B92" w:rsidRDefault="00F33B92" w:rsidP="00F33B92">
      <w:pPr>
        <w:spacing w:line="480" w:lineRule="auto"/>
        <w:rPr>
          <w:sz w:val="24"/>
          <w:szCs w:val="24"/>
        </w:rPr>
      </w:pPr>
      <w:r w:rsidRPr="347D99D0">
        <w:rPr>
          <w:sz w:val="24"/>
          <w:szCs w:val="24"/>
        </w:rPr>
        <w:t xml:space="preserve">Most aerobic methanotrophic bacteria are considered either type I or II methanotrophs. The most critical difference is that the type I methanotrophs utilize the ribulose monophosphate (RuMP) pathway for carbon assimilation while type II use the serine cycle </w:t>
      </w:r>
      <w:r w:rsidRPr="347D99D0">
        <w:rPr>
          <w:sz w:val="24"/>
          <w:szCs w:val="24"/>
        </w:rPr>
        <w:fldChar w:fldCharType="begin"/>
      </w:r>
      <w:r w:rsidRPr="347D99D0">
        <w:rPr>
          <w:sz w:val="24"/>
          <w:szCs w:val="24"/>
        </w:rPr>
        <w:instrText xml:space="preserve"> ADDIN ZOTERO_ITEM CSL_CITATION {"citationID":"ZhuAAvZ2","properties":{"formattedCitation":"(4)","plainCitation":"(4)","noteIndex":0},"citationItems":[{"id":124,"uris":["http://zotero.org/users/local/ptYqL6dd/items/CF9VSGNA",["http://zotero.org/users/local/ptYqL6dd/items/CF9VSGNA"],"http://zotero.org/users/11931443/items/CF9VSGNA"],"itemData":{"id":124,"type":"chapter","container-title":"The Prokaryotes","event-place":"New York, NY","ISBN":"978-0-387-25495-1","language":"en","note":"DOI: 10.1007/0-387-30745-1_15","page":"266-289","publisher":"Springer New York","publisher-place":"New York, NY","source":"DOI.org (Crossref)","title":"The Methanotrophs — The Families Methylococcaceae and Methylocystaceae","URL":"http://link.springer.com/10.1007/0-387-30745-1_15","editor":[{"family":"Dworkin","given":"Martin"},{"family":"Falkow","given":"Stanley"},{"family":"Rosenberg","given":"Eugene"},{"family":"Schleifer","given":"Karl-Heinz"},{"family":"Stackebrandt","given":"Erko"}],"author":[{"family":"Bowman","given":"John"}],"accessed":{"date-parts":[["2021",11,14]]},"issued":{"date-parts":[["2006"]]}}}],"schema":"https://github.com/citation-style-language/schema/raw/master/csl-citation.json"} </w:instrText>
      </w:r>
      <w:r w:rsidRPr="347D99D0">
        <w:rPr>
          <w:sz w:val="24"/>
          <w:szCs w:val="24"/>
        </w:rPr>
        <w:fldChar w:fldCharType="separate"/>
      </w:r>
      <w:r w:rsidRPr="347D99D0">
        <w:rPr>
          <w:sz w:val="24"/>
          <w:szCs w:val="24"/>
        </w:rPr>
        <w:t>(4)</w:t>
      </w:r>
      <w:r w:rsidRPr="347D99D0">
        <w:rPr>
          <w:sz w:val="24"/>
          <w:szCs w:val="24"/>
        </w:rPr>
        <w:fldChar w:fldCharType="end"/>
      </w:r>
      <w:r w:rsidRPr="347D99D0">
        <w:rPr>
          <w:sz w:val="24"/>
          <w:szCs w:val="24"/>
        </w:rPr>
        <w:t>. Prior to carbon assimilation, CH</w:t>
      </w:r>
      <w:r w:rsidRPr="347D99D0">
        <w:rPr>
          <w:sz w:val="24"/>
          <w:szCs w:val="24"/>
          <w:vertAlign w:val="subscript"/>
        </w:rPr>
        <w:t>4</w:t>
      </w:r>
      <w:r w:rsidRPr="347D99D0">
        <w:rPr>
          <w:sz w:val="24"/>
          <w:szCs w:val="24"/>
        </w:rPr>
        <w:t xml:space="preserve"> is oxidized by aerobic MOB to methanol (CH</w:t>
      </w:r>
      <w:r w:rsidRPr="347D99D0">
        <w:rPr>
          <w:sz w:val="24"/>
          <w:szCs w:val="24"/>
          <w:vertAlign w:val="subscript"/>
        </w:rPr>
        <w:t>3</w:t>
      </w:r>
      <w:r w:rsidRPr="347D99D0">
        <w:rPr>
          <w:sz w:val="24"/>
          <w:szCs w:val="24"/>
        </w:rPr>
        <w:t xml:space="preserve">OH) via an oxygen dependent methane monooxygenase </w:t>
      </w:r>
      <w:r w:rsidRPr="347D99D0">
        <w:rPr>
          <w:sz w:val="24"/>
          <w:szCs w:val="24"/>
        </w:rPr>
        <w:fldChar w:fldCharType="begin"/>
      </w:r>
      <w:r w:rsidRPr="347D99D0">
        <w:rPr>
          <w:sz w:val="24"/>
          <w:szCs w:val="24"/>
        </w:rPr>
        <w:instrText xml:space="preserve"> ADDIN ZOTERO_ITEM CSL_CITATION {"citationID":"ZSMljED1","properties":{"formattedCitation":"(3)","plainCitation":"(3)","noteIndex":0},"citationItems":[{"id":22,"uris":["http://zotero.org/users/local/ptYqL6dd/items/BMABS62R",["http://zotero.org/users/local/ptYqL6dd/items/BMABS62R"],"http://zotero.org/users/11931443/items/BMABS62R"],"itemData":{"id":22,"type":"article-journal","abstract":"Methane-utilizing bacteria (methanotrophs) are a diverse group of gram-negative bacteria that are related to other members of the Proteobacteria. These bacteria are classified into three groups based on the pathways used for assimilation of formaldehyde, the major source of cell carbon, and other physiological and morphological features. The type I and type X methanotrophs are found within the gamma subdivision of the Proteobacteria and employ the ribulose monophosphate pathway for formaldehyde assimilation, whereas type II methanotrophs, which employ the serine pathway for formaldehyde assimilation, form a coherent cluster within the beta subdivision of the Proteobacteria. Methanotrophic bacteria are ubiquitous. The growth of type II bacteria appears to be favored in environments that contain relatively high levels of methane, low levels of dissolved oxygen, and limiting concentrations of combined nitrogen and/or copper. Type I methanotrophs appear to be dominant in environments in which methane is limiting and combined nitrogen and copper levels are relatively high. These bacteria serve as biofilters for the oxidation of methane produced in anaerobic environments, and when oxygen is present in soils, atmospheric methane is oxidized. Their activities in nature are greatly influenced by agricultural practices and other human activities. Recent evidence indicates that naturally occurring, uncultured methanotrophs represent new genera. Methanotrophs that are capable of oxidizing methane at atmospheric levels exhibit methane oxidation kinetics different from those of methanotrophs available in pure cultures. A limited number of methanotrophs have the genetic capacity to synthesize a soluble methane monooxygenase which catalyzes the rapid oxidation of environmental pollutants including trichloroethylene.","container-title":"Microbiological Reviews","ISSN":"0146-0749","issue":"2","journalAbbreviation":"Microbiol Rev","note":"PMID: 8801441\nPMCID: PMC239451","page":"439-471","source":"PubMed Central","title":"Methanotrophic bacteria.","volume":"60","author":[{"family":"Hanson","given":"R S"},{"family":"Hanson","given":"T E"}],"issued":{"date-parts":[["1996",6]]}}}],"schema":"https://github.com/citation-style-language/schema/raw/master/csl-citation.json"} </w:instrText>
      </w:r>
      <w:r w:rsidRPr="347D99D0">
        <w:rPr>
          <w:sz w:val="24"/>
          <w:szCs w:val="24"/>
        </w:rPr>
        <w:fldChar w:fldCharType="separate"/>
      </w:r>
      <w:r w:rsidRPr="347D99D0">
        <w:rPr>
          <w:sz w:val="24"/>
          <w:szCs w:val="24"/>
        </w:rPr>
        <w:t>(3)</w:t>
      </w:r>
      <w:r w:rsidRPr="347D99D0">
        <w:rPr>
          <w:sz w:val="24"/>
          <w:szCs w:val="24"/>
        </w:rPr>
        <w:fldChar w:fldCharType="end"/>
      </w:r>
      <w:r w:rsidRPr="347D99D0">
        <w:rPr>
          <w:sz w:val="24"/>
          <w:szCs w:val="24"/>
        </w:rPr>
        <w:t>. The CH</w:t>
      </w:r>
      <w:r w:rsidRPr="347D99D0">
        <w:rPr>
          <w:sz w:val="24"/>
          <w:szCs w:val="24"/>
          <w:vertAlign w:val="subscript"/>
        </w:rPr>
        <w:t>3</w:t>
      </w:r>
      <w:r w:rsidRPr="347D99D0">
        <w:rPr>
          <w:sz w:val="24"/>
          <w:szCs w:val="24"/>
        </w:rPr>
        <w:t>OH is further oxidized to formaldehyde via a methanol dehydrogenase where it assimilated by either the RuMP or serine pathway</w:t>
      </w:r>
      <w:r w:rsidR="00DF0BFE" w:rsidRPr="347D99D0">
        <w:rPr>
          <w:sz w:val="24"/>
          <w:szCs w:val="24"/>
        </w:rPr>
        <w:t>s</w:t>
      </w:r>
      <w:r w:rsidRPr="347D99D0">
        <w:rPr>
          <w:sz w:val="24"/>
          <w:szCs w:val="24"/>
        </w:rPr>
        <w:t xml:space="preserve"> </w:t>
      </w:r>
      <w:r w:rsidRPr="347D99D0">
        <w:rPr>
          <w:sz w:val="24"/>
          <w:szCs w:val="24"/>
        </w:rPr>
        <w:fldChar w:fldCharType="begin"/>
      </w:r>
      <w:r w:rsidRPr="347D99D0">
        <w:rPr>
          <w:sz w:val="24"/>
          <w:szCs w:val="24"/>
        </w:rPr>
        <w:instrText xml:space="preserve"> ADDIN ZOTERO_ITEM CSL_CITATION {"citationID":"tnLrjMT0","properties":{"formattedCitation":"(3)","plainCitation":"(3)","noteIndex":0},"citationItems":[{"id":22,"uris":["http://zotero.org/users/local/ptYqL6dd/items/BMABS62R",["http://zotero.org/users/local/ptYqL6dd/items/BMABS62R"],"http://zotero.org/users/11931443/items/BMABS62R"],"itemData":{"id":22,"type":"article-journal","abstract":"Methane-utilizing bacteria (methanotrophs) are a diverse group of gram-negative bacteria that are related to other members of the Proteobacteria. These bacteria are classified into three groups based on the pathways used for assimilation of formaldehyde, the major source of cell carbon, and other physiological and morphological features. The type I and type X methanotrophs are found within the gamma subdivision of the Proteobacteria and employ the ribulose monophosphate pathway for formaldehyde assimilation, whereas type II methanotrophs, which employ the serine pathway for formaldehyde assimilation, form a coherent cluster within the beta subdivision of the Proteobacteria. Methanotrophic bacteria are ubiquitous. The growth of type II bacteria appears to be favored in environments that contain relatively high levels of methane, low levels of dissolved oxygen, and limiting concentrations of combined nitrogen and/or copper. Type I methanotrophs appear to be dominant in environments in which methane is limiting and combined nitrogen and copper levels are relatively high. These bacteria serve as biofilters for the oxidation of methane produced in anaerobic environments, and when oxygen is present in soils, atmospheric methane is oxidized. Their activities in nature are greatly influenced by agricultural practices and other human activities. Recent evidence indicates that naturally occurring, uncultured methanotrophs represent new genera. Methanotrophs that are capable of oxidizing methane at atmospheric levels exhibit methane oxidation kinetics different from those of methanotrophs available in pure cultures. A limited number of methanotrophs have the genetic capacity to synthesize a soluble methane monooxygenase which catalyzes the rapid oxidation of environmental pollutants including trichloroethylene.","container-title":"Microbiological Reviews","ISSN":"0146-0749","issue":"2","journalAbbreviation":"Microbiol Rev","note":"PMID: 8801441\nPMCID: PMC239451","page":"439-471","source":"PubMed Central","title":"Methanotrophic bacteria.","volume":"60","author":[{"family":"Hanson","given":"R S"},{"family":"Hanson","given":"T E"}],"issued":{"date-parts":[["1996",6]]}}}],"schema":"https://github.com/citation-style-language/schema/raw/master/csl-citation.json"} </w:instrText>
      </w:r>
      <w:r w:rsidRPr="347D99D0">
        <w:rPr>
          <w:sz w:val="24"/>
          <w:szCs w:val="24"/>
        </w:rPr>
        <w:fldChar w:fldCharType="separate"/>
      </w:r>
      <w:r w:rsidRPr="347D99D0">
        <w:rPr>
          <w:sz w:val="24"/>
          <w:szCs w:val="24"/>
        </w:rPr>
        <w:t>(3)</w:t>
      </w:r>
      <w:r w:rsidRPr="347D99D0">
        <w:rPr>
          <w:sz w:val="24"/>
          <w:szCs w:val="24"/>
        </w:rPr>
        <w:fldChar w:fldCharType="end"/>
      </w:r>
      <w:r w:rsidRPr="347D99D0">
        <w:rPr>
          <w:sz w:val="24"/>
          <w:szCs w:val="24"/>
        </w:rPr>
        <w:t xml:space="preserve">. Remaining </w:t>
      </w:r>
      <w:r w:rsidRPr="347D99D0">
        <w:rPr>
          <w:sz w:val="24"/>
          <w:szCs w:val="24"/>
        </w:rPr>
        <w:lastRenderedPageBreak/>
        <w:t>formaldehyde is oxidized to formate and then to CO</w:t>
      </w:r>
      <w:r w:rsidRPr="347D99D0">
        <w:rPr>
          <w:sz w:val="24"/>
          <w:szCs w:val="24"/>
          <w:vertAlign w:val="subscript"/>
        </w:rPr>
        <w:t>2</w:t>
      </w:r>
      <w:r w:rsidRPr="347D99D0">
        <w:rPr>
          <w:sz w:val="24"/>
          <w:szCs w:val="24"/>
        </w:rPr>
        <w:t xml:space="preserve"> via formaldehyde and formate dehydrogenases </w:t>
      </w:r>
      <w:r w:rsidRPr="347D99D0">
        <w:rPr>
          <w:sz w:val="24"/>
          <w:szCs w:val="24"/>
        </w:rPr>
        <w:fldChar w:fldCharType="begin"/>
      </w:r>
      <w:r w:rsidRPr="347D99D0">
        <w:rPr>
          <w:sz w:val="24"/>
          <w:szCs w:val="24"/>
        </w:rPr>
        <w:instrText xml:space="preserve"> ADDIN ZOTERO_ITEM CSL_CITATION {"citationID":"je15ZITt","properties":{"formattedCitation":"(3)","plainCitation":"(3)","noteIndex":0},"citationItems":[{"id":22,"uris":["http://zotero.org/users/local/ptYqL6dd/items/BMABS62R",["http://zotero.org/users/local/ptYqL6dd/items/BMABS62R"],"http://zotero.org/users/11931443/items/BMABS62R"],"itemData":{"id":22,"type":"article-journal","abstract":"Methane-utilizing bacteria (methanotrophs) are a diverse group of gram-negative bacteria that are related to other members of the Proteobacteria. These bacteria are classified into three groups based on the pathways used for assimilation of formaldehyde, the major source of cell carbon, and other physiological and morphological features. The type I and type X methanotrophs are found within the gamma subdivision of the Proteobacteria and employ the ribulose monophosphate pathway for formaldehyde assimilation, whereas type II methanotrophs, which employ the serine pathway for formaldehyde assimilation, form a coherent cluster within the beta subdivision of the Proteobacteria. Methanotrophic bacteria are ubiquitous. The growth of type II bacteria appears to be favored in environments that contain relatively high levels of methane, low levels of dissolved oxygen, and limiting concentrations of combined nitrogen and/or copper. Type I methanotrophs appear to be dominant in environments in which methane is limiting and combined nitrogen and copper levels are relatively high. These bacteria serve as biofilters for the oxidation of methane produced in anaerobic environments, and when oxygen is present in soils, atmospheric methane is oxidized. Their activities in nature are greatly influenced by agricultural practices and other human activities. Recent evidence indicates that naturally occurring, uncultured methanotrophs represent new genera. Methanotrophs that are capable of oxidizing methane at atmospheric levels exhibit methane oxidation kinetics different from those of methanotrophs available in pure cultures. A limited number of methanotrophs have the genetic capacity to synthesize a soluble methane monooxygenase which catalyzes the rapid oxidation of environmental pollutants including trichloroethylene.","container-title":"Microbiological Reviews","ISSN":"0146-0749","issue":"2","journalAbbreviation":"Microbiol Rev","note":"PMID: 8801441\nPMCID: PMC239451","page":"439-471","source":"PubMed Central","title":"Methanotrophic bacteria.","volume":"60","author":[{"family":"Hanson","given":"R S"},{"family":"Hanson","given":"T E"}],"issued":{"date-parts":[["1996",6]]}}}],"schema":"https://github.com/citation-style-language/schema/raw/master/csl-citation.json"} </w:instrText>
      </w:r>
      <w:r w:rsidRPr="347D99D0">
        <w:rPr>
          <w:sz w:val="24"/>
          <w:szCs w:val="24"/>
        </w:rPr>
        <w:fldChar w:fldCharType="separate"/>
      </w:r>
      <w:r w:rsidRPr="347D99D0">
        <w:rPr>
          <w:sz w:val="24"/>
          <w:szCs w:val="24"/>
        </w:rPr>
        <w:t>(3)</w:t>
      </w:r>
      <w:r w:rsidRPr="347D99D0">
        <w:rPr>
          <w:sz w:val="24"/>
          <w:szCs w:val="24"/>
        </w:rPr>
        <w:fldChar w:fldCharType="end"/>
      </w:r>
      <w:r w:rsidRPr="347D99D0">
        <w:rPr>
          <w:sz w:val="24"/>
          <w:szCs w:val="24"/>
        </w:rPr>
        <w:t xml:space="preserve">. Also, some MOB have been shown to use a complete oxidative TCA cycle </w:t>
      </w:r>
      <w:r w:rsidRPr="347D99D0">
        <w:rPr>
          <w:sz w:val="24"/>
          <w:szCs w:val="24"/>
        </w:rPr>
        <w:fldChar w:fldCharType="begin"/>
      </w:r>
      <w:r w:rsidRPr="347D99D0">
        <w:rPr>
          <w:sz w:val="24"/>
          <w:szCs w:val="24"/>
        </w:rPr>
        <w:instrText xml:space="preserve"> ADDIN ZOTERO_ITEM CSL_CITATION {"citationID":"C4WHGYOh","properties":{"formattedCitation":"(5)","plainCitation":"(5)","noteIndex":0},"citationItems":[{"id":97,"uris":["http://zotero.org/users/local/ptYqL6dd/items/UGKDWQZ2",["http://zotero.org/users/local/ptYqL6dd/items/UGKDWQZ2"],"http://zotero.org/users/11931443/items/UGKDWQZ2"],"itemData":{"id":97,"type":"article-journal","abstract":"Methanotrophs are a group of bacteria that use methane as sole carbon and energy source. Type I methanotrophs are gamma-proteobacterial methanotrophs using the ribulose monophosphate cycle (RuMP) cycle for methane assimilation. In order to facilitate metabolic engineering in the industrially promising Type I methanotroph Methylomicrobium buryatense 5GB1, flux analysis of cellular metabolism is needed and 13C tracer analysis is a foundational tool for such work. This biological system has a single-carbon input and a special network topology that together pose challenges to the current well-established methodology for 13C tracer analysis using a multi-carbon input such as glucose, and to date, no 13C tracer analysis of flux in a Type I methanotroph has been reported. In this study, we showed that by monitoring labeling patterns of several key intermediate metabolites in core metabolism, it is possible to quantitate the relative flux ratios for important branch points, such as the malate node. In addition, it is possible to assess the operation of the TCA cycle, which has been thought to be incomplete in Type I methanotrophs. Surprisingly, our analysis provides direct evidence of a complete, oxidative TCA cycle operating in M. buryatense 5GB1 using methane as sole carbon and energy substrate, contributing about 45% of the total flux for de novo malate production. Combined with mutant analysis, this method was able to identify fumA (METBUDRAFT_1453/MBURv2__60244) as the primary fumarase involved in the oxidative TCA cycle, among 2 predicted fumarases, supported by 13C tracer analysis on both fumA and fumC single knockouts. Interrupting the oxidative TCA cycle leads to a severe growth defect, suggesting that the oxidative TCA cycle functions to not only provide precursors for de novo biomass synthesis, but also to provide reducing power to the system. This information provides new opportunities for metabolic engineering of M. buryatense for the production of industrially relevant products.","container-title":"Metabolic Engineering","DOI":"10.1016/j.ymben.2017.05.003","ISSN":"1096-7176","journalAbbreviation":"Metabolic Engineering","language":"en","page":"43-51","source":"ScienceDirect","title":"The oxidative TCA cycle operates during methanotrophic growth of the Type I methanotroph Methylomicrobium buryatense 5GB1","volume":"42","author":[{"family":"Fu","given":"Yanfen"},{"family":"Li","given":"Yi"},{"family":"Lidstrom","given":"Mary"}],"issued":{"date-parts":[["2017",7,1]]}}}],"schema":"https://github.com/citation-style-language/schema/raw/master/csl-citation.json"} </w:instrText>
      </w:r>
      <w:r w:rsidRPr="347D99D0">
        <w:rPr>
          <w:sz w:val="24"/>
          <w:szCs w:val="24"/>
        </w:rPr>
        <w:fldChar w:fldCharType="separate"/>
      </w:r>
      <w:r w:rsidRPr="347D99D0">
        <w:rPr>
          <w:sz w:val="24"/>
          <w:szCs w:val="24"/>
        </w:rPr>
        <w:t>(5)</w:t>
      </w:r>
      <w:r w:rsidRPr="347D99D0">
        <w:rPr>
          <w:sz w:val="24"/>
          <w:szCs w:val="24"/>
        </w:rPr>
        <w:fldChar w:fldCharType="end"/>
      </w:r>
      <w:r w:rsidRPr="347D99D0">
        <w:rPr>
          <w:sz w:val="24"/>
          <w:szCs w:val="24"/>
        </w:rPr>
        <w:t>. It has been shown that intermediate metabolites of CH</w:t>
      </w:r>
      <w:r w:rsidRPr="347D99D0">
        <w:rPr>
          <w:sz w:val="24"/>
          <w:szCs w:val="24"/>
          <w:vertAlign w:val="subscript"/>
        </w:rPr>
        <w:t>4</w:t>
      </w:r>
      <w:r w:rsidRPr="347D99D0">
        <w:rPr>
          <w:sz w:val="24"/>
          <w:szCs w:val="24"/>
        </w:rPr>
        <w:t xml:space="preserve"> metabolism are released externally from the cell and made available to other organisms, including metabolites such as CH</w:t>
      </w:r>
      <w:r w:rsidRPr="347D99D0">
        <w:rPr>
          <w:sz w:val="24"/>
          <w:szCs w:val="24"/>
          <w:vertAlign w:val="subscript"/>
        </w:rPr>
        <w:t>3</w:t>
      </w:r>
      <w:r w:rsidRPr="347D99D0">
        <w:rPr>
          <w:sz w:val="24"/>
          <w:szCs w:val="24"/>
        </w:rPr>
        <w:t xml:space="preserve">OH, acetate, and other organic acids </w:t>
      </w:r>
      <w:r w:rsidRPr="347D99D0">
        <w:rPr>
          <w:sz w:val="24"/>
          <w:szCs w:val="24"/>
        </w:rPr>
        <w:fldChar w:fldCharType="begin"/>
      </w:r>
      <w:r w:rsidRPr="347D99D0">
        <w:rPr>
          <w:sz w:val="24"/>
          <w:szCs w:val="24"/>
        </w:rPr>
        <w:instrText xml:space="preserve"> ADDIN ZOTERO_ITEM CSL_CITATION {"citationID":"TF8upGhg","properties":{"formattedCitation":"(6,7)","plainCitation":"(6,7)","noteIndex":0},"citationItems":[{"id":128,"uris":["http://zotero.org/users/11931443/items/UL633UH8"],"itemData":{"id":128,"type":"article-journal","abstract":"Non-methanotrophic bacteria such as methylotrophs often coexist with methane-oxidizing bacteria (methanotrophs) by cross-feeding on methane-derived carbon. Methanol has long been considered a major compound that mediates cross-feeding of methane-derived carbon. Despite the potential importance of cross-feeding in the global carbon cycle, only a few studies have actually explored metabolic responses of a bacteria when cross-feeding on a methanotroph. Recently, we isolated a novel facultative methylotroph, Methyloceanibacter caenitepidi Gela4, which grows syntrophically with the methanotroph, Methylocaldum marinum S8. To assess the potential metabolic pathways in M. caenitepidi Gela4 co-cultured with M. marinum S8, we conducted genomic analyses of the two strains, as well as RNA-Seq and chemical analyses of M. caenitepidi Gela4, both in pure culture with methanol and in co-culture with methanotrophs. Genes involved in the serine pathway were downregulated in M. caenitepidi Gela4 under co-culture conditions, and methanol was below the detection limit (&lt; 310 nM) in both pure culture of M. marinum S8 and co-culture. In contrast, genes involved in the tricarboxylic acid cycle, as well as acetyl-CoA synthetase, were upregulated in M. caenitepidi Gela4 under co-culture conditions. Notably, a pure culture of M. marinum S8 produced acetate (&lt; 16 μM) during growth. These results suggested that an organic compound other than methanol, possibly acetate, might be the major carbon source for M. caenitepidi Gela4 cross-fed by M. marinum S8. Co-culture of M. caenitepidi Gela4 and M. marinum S8 may represent a model system to further study methanol-independent cross-feeding from methanotrophs to non-methanotrophic bacteria.","container-title":"PLOS ONE","DOI":"10.1371/journal.pone.0213535","ISSN":"1932-6203","issue":"3","journalAbbreviation":"PLOS ONE","language":"en","note":"publisher: Public Library of Science","page":"e0213535","source":"PLoS Journals","title":"Possible cross-feeding pathway of facultative methylotroph Methyloceanibacter caenitepidi Gela4 on methanotroph Methylocaldum marinum S8","volume":"14","author":[{"family":"Takeuchi","given":"Mio"},{"family":"Ozaki","given":"Haruka"},{"family":"Hiraoka","given":"Satoshi"},{"family":"Kamagata","given":"Yoichi"},{"family":"Sakata","given":"Susumu"},{"family":"Yoshioka","given":"Hideyoshi"},{"family":"Iwasaki","given":"Wataru"}],"issued":{"date-parts":[["2019",3,14]]}}},{"id":127,"uris":["http://zotero.org/users/11931443/items/C9FEY7AZ"],"itemData":{"id":127,"type":"article-journal","abstract":"The utilization of methane, a potent greenhouse gas, is an important component of local and global carbon cycles that is characterized by tight linkages between methane-utilizing (methanotrophic) and nonmethanotrophic bacteria. It has been suggested that the methanotroph sustains these nonmethanotrophs by cross-feeding, because subsequent products of the methane oxidation pathway, such as methanol, represent alternative carbon sources. We established cocultures in a microcosm model system to determine the mechanism and substrate that underlay the observed cross-feeding in the environment. Lanthanum, a rare earth element, was applied because of its increasing importance in methylotrophy. We used co-occurring strains isolated from Lake Washington sediment that are involved in methane utilization: a methanotroph and two nonmethanotrophic methylotrophs. Gene-expression profiles and mutant analyses suggest that methanol is the dominant carbon and energy source the methanotroph provides to support growth of the nonmethanotrophs. However, in the presence of the nonmethanotroph, gene expression of the dominant methanol dehydrogenase (MDH) shifts from the lanthanide-dependent MDH (XoxF)-type, to the calcium-dependent MDH (MxaF)-type. Correspondingly, methanol is released into the medium only when the methanotroph expresses the MxaF-type MDH. These results suggest a cross-feeding mechanism in which the nonmethanotrophic partner induces a change in expression of methanotroph MDHs, resulting in release of methanol for its growth. This partner-induced change in gene expression that benefits the partner is a paradigm for microbial interactions that cannot be observed in studies of pure cultures, underscoring the importance of synthetic microbial community approaches to understand environmental microbiomes.","container-title":"Proceedings of the National Academy of Sciences","DOI":"10.1073/pnas.1619871114","ISSN":"0027-8424, 1091-6490","issue":"2","journalAbbreviation":"Proc Natl Acad Sci USA","language":"en","page":"358-363","source":"DOI.org (Crossref)","title":"Lanthanide-dependent cross-feeding of methane-derived carbon is linked by microbial community interactions","volume":"114","author":[{"family":"Krause","given":"Sascha M. B."},{"family":"Johnson","given":"Timothy"},{"family":"Samadhi Karunaratne","given":"Yasodara"},{"family":"Fu","given":"Yanfen"},{"family":"Beck","given":"David A. C."},{"family":"Chistoserdova","given":"Ludmila"},{"family":"Lidstrom","given":"Mary E."}],"issued":{"date-parts":[["2017",1,10]]}}}],"schema":"https://github.com/citation-style-language/schema/raw/master/csl-citation.json"} </w:instrText>
      </w:r>
      <w:r w:rsidRPr="347D99D0">
        <w:rPr>
          <w:sz w:val="24"/>
          <w:szCs w:val="24"/>
        </w:rPr>
        <w:fldChar w:fldCharType="separate"/>
      </w:r>
      <w:r w:rsidRPr="347D99D0">
        <w:rPr>
          <w:sz w:val="24"/>
          <w:szCs w:val="24"/>
        </w:rPr>
        <w:t>(6,7)</w:t>
      </w:r>
      <w:r w:rsidRPr="347D99D0">
        <w:rPr>
          <w:sz w:val="24"/>
          <w:szCs w:val="24"/>
        </w:rPr>
        <w:fldChar w:fldCharType="end"/>
      </w:r>
      <w:r w:rsidRPr="347D99D0">
        <w:rPr>
          <w:sz w:val="24"/>
          <w:szCs w:val="24"/>
        </w:rPr>
        <w:t>.</w:t>
      </w:r>
    </w:p>
    <w:p w14:paraId="5285A4A1" w14:textId="574CE2E7" w:rsidR="00F33B92" w:rsidRPr="00F33B92" w:rsidRDefault="00DF0BFE" w:rsidP="00F33B92">
      <w:pPr>
        <w:spacing w:line="480" w:lineRule="auto"/>
        <w:rPr>
          <w:sz w:val="24"/>
          <w:szCs w:val="24"/>
        </w:rPr>
      </w:pPr>
      <w:r w:rsidRPr="347D99D0">
        <w:rPr>
          <w:sz w:val="24"/>
          <w:szCs w:val="24"/>
        </w:rPr>
        <w:t>M</w:t>
      </w:r>
      <w:r w:rsidR="00F33B92" w:rsidRPr="347D99D0">
        <w:rPr>
          <w:sz w:val="24"/>
          <w:szCs w:val="24"/>
        </w:rPr>
        <w:t>ethanotrophs exist within microbial communities. There are several environments where CH</w:t>
      </w:r>
      <w:r w:rsidR="00F33B92" w:rsidRPr="347D99D0">
        <w:rPr>
          <w:sz w:val="24"/>
          <w:szCs w:val="24"/>
          <w:vertAlign w:val="subscript"/>
        </w:rPr>
        <w:t>4</w:t>
      </w:r>
      <w:r w:rsidR="00F33B92" w:rsidRPr="347D99D0">
        <w:rPr>
          <w:sz w:val="24"/>
          <w:szCs w:val="24"/>
        </w:rPr>
        <w:t xml:space="preserve"> oxidizing bacteria have been described to cohabitate and be highly interactive with other members of the microbial community. Movile Cave in Romania is an underground cave system with CH</w:t>
      </w:r>
      <w:r w:rsidR="00F33B92" w:rsidRPr="347D99D0">
        <w:rPr>
          <w:sz w:val="24"/>
          <w:szCs w:val="24"/>
          <w:vertAlign w:val="subscript"/>
        </w:rPr>
        <w:t>4</w:t>
      </w:r>
      <w:r w:rsidR="00F33B92" w:rsidRPr="347D99D0">
        <w:rPr>
          <w:sz w:val="24"/>
          <w:szCs w:val="24"/>
        </w:rPr>
        <w:t xml:space="preserve"> present in the atmosphere as well as in groundwater </w:t>
      </w:r>
      <w:r w:rsidRPr="347D99D0">
        <w:rPr>
          <w:sz w:val="24"/>
          <w:szCs w:val="24"/>
        </w:rPr>
        <w:fldChar w:fldCharType="begin"/>
      </w:r>
      <w:r w:rsidRPr="347D99D0">
        <w:rPr>
          <w:sz w:val="24"/>
          <w:szCs w:val="24"/>
        </w:rPr>
        <w:instrText xml:space="preserve"> ADDIN ZOTERO_ITEM CSL_CITATION {"citationID":"4XF9QmMh","properties":{"formattedCitation":"(8)","plainCitation":"(8)","noteIndex":0},"citationItems":[{"id":18,"uris":["http://zotero.org/users/local/ptYqL6dd/items/4I8T85LV",["http://zotero.org/users/local/ptYqL6dd/items/4I8T85LV"],"http://zotero.org/users/11931443/items/4I8T85LV"],"itemData":{"id":18,"type":"article-journal","abstract":"Movile Cave is an unusual groundwater ecosystem that is supported by in situ chemoautotrophic production. The cave atmosphere contains 1–2% methane (CH4), although much higher concentrations are found in gas bubbles that keep microbial mats afloat on the water surface. As previous analyses of stable carbon isotope ratios have suggested that methane oxidation occurs in this environment, we hypothesized that aerobic methane-oxidizing bacteria (methanotrophs) are active in Movile Cave. To identify the active methanotrophs in the water and mat material from Movile Cave, a microcosm was incubated with a 10%13CH4 headspace in a DNA-based stable isotope probing (DNA-SIP) experiment. Using improved centrifugation conditions, a 13C-labelled DNA fraction was collected and used as a template for polymerase chain reaction amplification. Analysis of genes encoding the small-subunit rRNA and key enzymes in the methane oxidation pathway of methanotrophs identified that strains of Methylomonas, Methylococcus and Methylocystis/Methylosinus had assimilated the 13CH4, and that these methanotrophs contain genes encoding both known types of methane monooxygenase (MMO). Sequences of non-methanotrophic bacteria and an alga provided evidence for turnover of CH4 due to possible cross-feeding on 13C-labelled metabolites or biomass. Our results suggest that aerobic methanotrophs actively convert CH4 into complex organic compounds in Movile Cave and thus help to sustain a diverse community of microorganisms in this closed ecosystem.","container-title":"Environmental Microbiology","DOI":"10.1046/j.1462-2920.2003.00543.x","ISSN":"1462-2920","issue":"2","language":"en","note":"_eprint: https://sfamjournals.onlinelibrary.wiley.com/doi/pdf/10.1046/j.1462-2920.2003.00543.x","page":"111-120","source":"Wiley Online Library","title":"Analysis of methanotrophic bacteria in Movile Cave by stable isotope probing","volume":"6","author":[{"family":"Hutchens","given":"Elena"},{"family":"Radajewski","given":"Stefan"},{"family":"Dumont","given":"Marc G."},{"family":"McDonald","given":"Ian R."},{"family":"Murrell","given":"J. Colin"}],"issued":{"date-parts":[["2004"]]}}}],"schema":"https://github.com/citation-style-language/schema/raw/master/csl-citation.json"} </w:instrText>
      </w:r>
      <w:r w:rsidRPr="347D99D0">
        <w:rPr>
          <w:sz w:val="24"/>
          <w:szCs w:val="24"/>
        </w:rPr>
        <w:fldChar w:fldCharType="separate"/>
      </w:r>
      <w:r w:rsidR="00F33B92" w:rsidRPr="347D99D0">
        <w:rPr>
          <w:sz w:val="24"/>
          <w:szCs w:val="24"/>
        </w:rPr>
        <w:t>(8)</w:t>
      </w:r>
      <w:r w:rsidRPr="347D99D0">
        <w:rPr>
          <w:sz w:val="24"/>
          <w:szCs w:val="24"/>
        </w:rPr>
        <w:fldChar w:fldCharType="end"/>
      </w:r>
      <w:r w:rsidR="00F33B92" w:rsidRPr="347D99D0">
        <w:rPr>
          <w:sz w:val="24"/>
          <w:szCs w:val="24"/>
        </w:rPr>
        <w:t xml:space="preserve">. In 2004, Hutchens et al. used a stable isotope probing method to track </w:t>
      </w:r>
      <w:r w:rsidR="00F33B92" w:rsidRPr="347D99D0">
        <w:rPr>
          <w:sz w:val="24"/>
          <w:szCs w:val="24"/>
          <w:vertAlign w:val="superscript"/>
        </w:rPr>
        <w:t>13</w:t>
      </w:r>
      <w:r w:rsidR="00F33B92" w:rsidRPr="347D99D0">
        <w:rPr>
          <w:sz w:val="24"/>
          <w:szCs w:val="24"/>
        </w:rPr>
        <w:t>C labeled CH</w:t>
      </w:r>
      <w:r w:rsidR="00F33B92" w:rsidRPr="347D99D0">
        <w:rPr>
          <w:sz w:val="24"/>
          <w:szCs w:val="24"/>
          <w:vertAlign w:val="subscript"/>
        </w:rPr>
        <w:t>4</w:t>
      </w:r>
      <w:r w:rsidR="00F33B92" w:rsidRPr="347D99D0">
        <w:rPr>
          <w:sz w:val="24"/>
          <w:szCs w:val="24"/>
        </w:rPr>
        <w:t xml:space="preserve"> in the microbial community and discovered evidence of an active methanotrophic community, as well as cross-feeding of CH</w:t>
      </w:r>
      <w:r w:rsidR="00F33B92" w:rsidRPr="347D99D0">
        <w:rPr>
          <w:sz w:val="24"/>
          <w:szCs w:val="24"/>
          <w:vertAlign w:val="subscript"/>
        </w:rPr>
        <w:t>4</w:t>
      </w:r>
      <w:r w:rsidR="00F33B92" w:rsidRPr="347D99D0">
        <w:rPr>
          <w:sz w:val="24"/>
          <w:szCs w:val="24"/>
        </w:rPr>
        <w:t xml:space="preserve"> derived carbon </w:t>
      </w:r>
      <w:r w:rsidRPr="347D99D0">
        <w:rPr>
          <w:sz w:val="24"/>
          <w:szCs w:val="24"/>
        </w:rPr>
        <w:fldChar w:fldCharType="begin"/>
      </w:r>
      <w:r w:rsidRPr="347D99D0">
        <w:rPr>
          <w:sz w:val="24"/>
          <w:szCs w:val="24"/>
        </w:rPr>
        <w:instrText xml:space="preserve"> ADDIN ZOTERO_ITEM CSL_CITATION {"citationID":"Qm6IKxAn","properties":{"formattedCitation":"(8)","plainCitation":"(8)","noteIndex":0},"citationItems":[{"id":18,"uris":["http://zotero.org/users/local/ptYqL6dd/items/4I8T85LV",["http://zotero.org/users/local/ptYqL6dd/items/4I8T85LV"],"http://zotero.org/users/11931443/items/4I8T85LV"],"itemData":{"id":18,"type":"article-journal","abstract":"Movile Cave is an unusual groundwater ecosystem that is supported by in situ chemoautotrophic production. The cave atmosphere contains 1–2% methane (CH4), although much higher concentrations are found in gas bubbles that keep microbial mats afloat on the water surface. As previous analyses of stable carbon isotope ratios have suggested that methane oxidation occurs in this environment, we hypothesized that aerobic methane-oxidizing bacteria (methanotrophs) are active in Movile Cave. To identify the active methanotrophs in the water and mat material from Movile Cave, a microcosm was incubated with a 10%13CH4 headspace in a DNA-based stable isotope probing (DNA-SIP) experiment. Using improved centrifugation conditions, a 13C-labelled DNA fraction was collected and used as a template for polymerase chain reaction amplification. Analysis of genes encoding the small-subunit rRNA and key enzymes in the methane oxidation pathway of methanotrophs identified that strains of Methylomonas, Methylococcus and Methylocystis/Methylosinus had assimilated the 13CH4, and that these methanotrophs contain genes encoding both known types of methane monooxygenase (MMO). Sequences of non-methanotrophic bacteria and an alga provided evidence for turnover of CH4 due to possible cross-feeding on 13C-labelled metabolites or biomass. Our results suggest that aerobic methanotrophs actively convert CH4 into complex organic compounds in Movile Cave and thus help to sustain a diverse community of microorganisms in this closed ecosystem.","container-title":"Environmental Microbiology","DOI":"10.1046/j.1462-2920.2003.00543.x","ISSN":"1462-2920","issue":"2","language":"en","note":"_eprint: https://sfamjournals.onlinelibrary.wiley.com/doi/pdf/10.1046/j.1462-2920.2003.00543.x","page":"111-120","source":"Wiley Online Library","title":"Analysis of methanotrophic bacteria in Movile Cave by stable isotope probing","volume":"6","author":[{"family":"Hutchens","given":"Elena"},{"family":"Radajewski","given":"Stefan"},{"family":"Dumont","given":"Marc G."},{"family":"McDonald","given":"Ian R."},{"family":"Murrell","given":"J. Colin"}],"issued":{"date-parts":[["2004"]]}}}],"schema":"https://github.com/citation-style-language/schema/raw/master/csl-citation.json"} </w:instrText>
      </w:r>
      <w:r w:rsidRPr="347D99D0">
        <w:rPr>
          <w:sz w:val="24"/>
          <w:szCs w:val="24"/>
        </w:rPr>
        <w:fldChar w:fldCharType="separate"/>
      </w:r>
      <w:r w:rsidR="00F33B92" w:rsidRPr="347D99D0">
        <w:rPr>
          <w:sz w:val="24"/>
          <w:szCs w:val="24"/>
        </w:rPr>
        <w:t>(8)</w:t>
      </w:r>
      <w:r w:rsidRPr="347D99D0">
        <w:rPr>
          <w:sz w:val="24"/>
          <w:szCs w:val="24"/>
        </w:rPr>
        <w:fldChar w:fldCharType="end"/>
      </w:r>
      <w:r w:rsidR="00F33B92" w:rsidRPr="347D99D0">
        <w:rPr>
          <w:sz w:val="24"/>
          <w:szCs w:val="24"/>
        </w:rPr>
        <w:t>. These results suggest that aerobic methanotrophs actively convert CH</w:t>
      </w:r>
      <w:r w:rsidR="00F33B92" w:rsidRPr="347D99D0">
        <w:rPr>
          <w:sz w:val="24"/>
          <w:szCs w:val="24"/>
          <w:vertAlign w:val="subscript"/>
        </w:rPr>
        <w:t>4</w:t>
      </w:r>
      <w:r w:rsidR="00F33B92" w:rsidRPr="347D99D0">
        <w:rPr>
          <w:sz w:val="24"/>
          <w:szCs w:val="24"/>
        </w:rPr>
        <w:t xml:space="preserve"> into complex organic compounds and help to sustain a diverse community of microorganisms. Similarly, in 2007, a </w:t>
      </w:r>
      <w:r w:rsidR="00F33B92" w:rsidRPr="347D99D0">
        <w:rPr>
          <w:sz w:val="24"/>
          <w:szCs w:val="24"/>
          <w:vertAlign w:val="superscript"/>
        </w:rPr>
        <w:t>13</w:t>
      </w:r>
      <w:r w:rsidR="00F33B92" w:rsidRPr="347D99D0">
        <w:rPr>
          <w:sz w:val="24"/>
          <w:szCs w:val="24"/>
        </w:rPr>
        <w:t>C labeled CH</w:t>
      </w:r>
      <w:r w:rsidR="00F33B92" w:rsidRPr="347D99D0">
        <w:rPr>
          <w:sz w:val="24"/>
          <w:szCs w:val="24"/>
          <w:vertAlign w:val="subscript"/>
        </w:rPr>
        <w:t>4</w:t>
      </w:r>
      <w:r w:rsidR="00F33B92" w:rsidRPr="347D99D0">
        <w:rPr>
          <w:sz w:val="24"/>
          <w:szCs w:val="24"/>
        </w:rPr>
        <w:t xml:space="preserve"> experiment was carried out in rice paddy soil. It was shown that carbon derived from labeled CH</w:t>
      </w:r>
      <w:r w:rsidR="00F33B92" w:rsidRPr="347D99D0">
        <w:rPr>
          <w:sz w:val="24"/>
          <w:szCs w:val="24"/>
          <w:vertAlign w:val="subscript"/>
        </w:rPr>
        <w:t xml:space="preserve">4 </w:t>
      </w:r>
      <w:r w:rsidR="00F33B92" w:rsidRPr="347D99D0">
        <w:rPr>
          <w:sz w:val="24"/>
          <w:szCs w:val="24"/>
        </w:rPr>
        <w:t>accumulated in a community of methanotrophs and non-methane-oxidizing heterotrophic bacteria (NMOHB) as well as amoebae, ciliates, and flagellates. This suggests that the CH</w:t>
      </w:r>
      <w:r w:rsidR="00F33B92" w:rsidRPr="347D99D0">
        <w:rPr>
          <w:sz w:val="24"/>
          <w:szCs w:val="24"/>
          <w:vertAlign w:val="subscript"/>
        </w:rPr>
        <w:t xml:space="preserve">4 </w:t>
      </w:r>
      <w:r w:rsidR="00F33B92" w:rsidRPr="347D99D0">
        <w:rPr>
          <w:sz w:val="24"/>
          <w:szCs w:val="24"/>
        </w:rPr>
        <w:t xml:space="preserve">derived carbon can be integrated not only into the prokaryotic community but even into microeukaryotes that act as predators on the bacteria </w:t>
      </w:r>
      <w:r w:rsidRPr="347D99D0">
        <w:rPr>
          <w:sz w:val="24"/>
          <w:szCs w:val="24"/>
        </w:rPr>
        <w:fldChar w:fldCharType="begin"/>
      </w:r>
      <w:r w:rsidRPr="347D99D0">
        <w:rPr>
          <w:sz w:val="24"/>
          <w:szCs w:val="24"/>
        </w:rPr>
        <w:instrText xml:space="preserve"> ADDIN ZOTERO_ITEM CSL_CITATION {"citationID":"DRly6s3i","properties":{"formattedCitation":"(9)","plainCitation":"(9)","noteIndex":0},"citationItems":[{"id":17,"uris":["http://zotero.org/users/local/ptYqL6dd/items/XK4Y7VWX",["http://zotero.org/users/local/ptYqL6dd/items/XK4Y7VWX"],"http://zotero.org/users/11931443/items/XK4Y7VWX"],"itemData":{"id":17,"type":"article-journal","abstract":"Methane oxidation is a key process controlling methane emission from anoxic habitats into the atmosphere. Methanotrophs, responsible for aerobic methane oxidation, do not only oxidize but also assimilate methane. Once assimilated, methane carbon may be utilized by other organisms. Here we report on a microbial food web in a rice field soil driven by methane. A thin layer of water-saturated rice field soil was incubated under opposing gradients of oxygen and 13C-labelled methane. Bacterial and eukaryotic communities incorporating methane carbon were analysed by RNA-stable isotope probing (SIP). Terminal restriction fragment length polymorphism (T-RFLP) and cloning showed that methanotrophs were the most prominent group of bacteria incorporating methane carbon. In addition, a few Myxobacteria-related sequences were obtained from the ‘heavy’ rRNA fraction. Denaturing gradient gel electrophoresis (DGGE) targeting 18S rRNA detected various groups of protists in the ‘heavy’ rRNA fraction including naked amoeba (Lobosea and Heterolobosea), ciliates (Colpodea) and flagellates (Cercozoa). Incubation of soil under different methane concentrations in air resulted in the development of distinct protozoan communities. These results suggest that methane carbon is incorporated into non-methanotrophic pro- and microeukaryotes probably via grazing, and that methane oxidation is a shaping force of the microeukaryotic community depending on methane availability.","container-title":"Environmental Microbiology","DOI":"10.1111/j.1462-2920.2007.01414.x","ISSN":"1462-2920","issue":"12","language":"en","note":"_eprint: https://sfamjournals.onlinelibrary.wiley.com/doi/pdf/10.1111/j.1462-2920.2007.01414.x","page":"3025-3034","source":"Wiley Online Library","title":"A methane-driven microbial food web in a wetland rice soil","volume":"9","author":[{"family":"Murase","given":"Jun"},{"family":"Frenzel","given":"Peter"}],"issued":{"date-parts":[["2007"]]}}}],"schema":"https://github.com/citation-style-language/schema/raw/master/csl-citation.json"} </w:instrText>
      </w:r>
      <w:r w:rsidRPr="347D99D0">
        <w:rPr>
          <w:sz w:val="24"/>
          <w:szCs w:val="24"/>
        </w:rPr>
        <w:fldChar w:fldCharType="separate"/>
      </w:r>
      <w:r w:rsidR="00F33B92" w:rsidRPr="347D99D0">
        <w:rPr>
          <w:sz w:val="24"/>
          <w:szCs w:val="24"/>
        </w:rPr>
        <w:t>(9)</w:t>
      </w:r>
      <w:r w:rsidRPr="347D99D0">
        <w:rPr>
          <w:sz w:val="24"/>
          <w:szCs w:val="24"/>
        </w:rPr>
        <w:fldChar w:fldCharType="end"/>
      </w:r>
      <w:r w:rsidR="00F33B92" w:rsidRPr="347D99D0">
        <w:rPr>
          <w:sz w:val="24"/>
          <w:szCs w:val="24"/>
        </w:rPr>
        <w:t>. CO</w:t>
      </w:r>
      <w:r w:rsidR="00F33B92" w:rsidRPr="347D99D0">
        <w:rPr>
          <w:sz w:val="24"/>
          <w:szCs w:val="24"/>
          <w:vertAlign w:val="subscript"/>
        </w:rPr>
        <w:t>2</w:t>
      </w:r>
      <w:r w:rsidR="00F33B92" w:rsidRPr="347D99D0">
        <w:rPr>
          <w:sz w:val="24"/>
          <w:szCs w:val="24"/>
        </w:rPr>
        <w:t xml:space="preserve"> derived from microbial CH</w:t>
      </w:r>
      <w:r w:rsidR="00F33B92" w:rsidRPr="347D99D0">
        <w:rPr>
          <w:sz w:val="24"/>
          <w:szCs w:val="24"/>
          <w:vertAlign w:val="subscript"/>
        </w:rPr>
        <w:t>4</w:t>
      </w:r>
      <w:r w:rsidR="00F33B92" w:rsidRPr="347D99D0">
        <w:rPr>
          <w:sz w:val="24"/>
          <w:szCs w:val="24"/>
        </w:rPr>
        <w:t xml:space="preserve"> oxidation has also been shown to </w:t>
      </w:r>
      <w:r w:rsidR="001A077E">
        <w:rPr>
          <w:sz w:val="24"/>
          <w:szCs w:val="24"/>
        </w:rPr>
        <w:t>be incorporated into</w:t>
      </w:r>
      <w:r w:rsidR="001A077E" w:rsidRPr="347D99D0">
        <w:rPr>
          <w:sz w:val="24"/>
          <w:szCs w:val="24"/>
        </w:rPr>
        <w:t xml:space="preserve"> </w:t>
      </w:r>
      <w:r w:rsidR="00F33B92" w:rsidRPr="347D99D0">
        <w:rPr>
          <w:sz w:val="24"/>
          <w:szCs w:val="24"/>
        </w:rPr>
        <w:t xml:space="preserve">in algae in peat bogs </w:t>
      </w:r>
      <w:r w:rsidRPr="347D99D0">
        <w:rPr>
          <w:sz w:val="24"/>
          <w:szCs w:val="24"/>
        </w:rPr>
        <w:fldChar w:fldCharType="begin"/>
      </w:r>
      <w:r w:rsidRPr="347D99D0">
        <w:rPr>
          <w:sz w:val="24"/>
          <w:szCs w:val="24"/>
        </w:rPr>
        <w:instrText xml:space="preserve"> ADDIN ZOTERO_ITEM CSL_CITATION {"citationID":"wned8iDK","properties":{"formattedCitation":"(10,11)","plainCitation":"(10,11)","noteIndex":0},"citationItems":[{"id":15,"uris":["http://zotero.org/users/local/ptYqL6dd/items/QP6SABUK",["http://zotero.org/users/local/ptYqL6dd/items/QP6SABUK"],"http://zotero.org/users/11931443/items/QP6SABUK"],"itemData":{"id":15,"type":"article-journal","abstract":"Peat burning fuelled Europe's economy for centuries before the rise of fossil fuels. It seems odd that so much energy was accumulated by an ecosystem with low primary productivity. This paradox is now resolved with the discovery that Sphagnum mosses act with symbiotic bacteria to recycle methane so efficiently that high organic carbon burial is achieved in these wetland ecosystems.","container-title":"Nature","DOI":"10.1038/nature03802","ISSN":"1476-4687","issue":"7054","language":"en","license":"2005 Nature Publishing Group","note":"Bandiera_abtest: a\nCg_type: Nature Research Journals\nnumber: 7054\nPrimary_atype: Research\npublisher: Nature Publishing Group","page":"1153-1156","source":"www.nature.com","title":"Methanotrophic symbionts provide carbon for photosynthesis in peat bogs","volume":"436","author":[{"family":"Raghoebarsing","given":"Ashna A."},{"family":"Smolders","given":"Alfons J. P."},{"family":"Schmid","given":"Markus C."},{"family":"Rijpstra","given":"W. Irene C."},{"family":"Wolters-Arts","given":"Mieke"},{"family":"Derksen","given":"Jan"},{"family":"Jetten","given":"Mike S. M."},{"family":"Schouten","given":"Stefan"},{"family":"Sinninghe Damsté","given":"Jaap S."},{"family":"Lamers","given":"Leon P. M."},{"family":"Roelofs","given":"Jan G. M."},{"family":"Op den Camp","given":"Huub J. M."},{"family":"Strous","given":"Marc"}],"issued":{"date-parts":[["2005",8]]}}},{"id":116,"uris":["http://zotero.org/users/local/ptYqL6dd/items/S9SYJ56I",["http://zotero.org/users/local/ptYqL6dd/items/S9SYJ56I"],"http://zotero.org/users/11931443/items/S9SYJ56I"],"itemData":{"id":116,"type":"article-journal","abstract":"Raised bog pools are extremely nutrient poor and rich in humic substances, and these features limit primary production. To assess the base of the invertebrate food web in bog pools we measured the stable-isotopic signatures of primary producers, dead organic matter, and invertebrates, and the composition and stable-C-isotope ratio of their phospholipid-derived fatty acids (PLFAs). The stableisotopic signatures showed the presence of multiple trophic levels and differential use of basal food sources by the invertebrates among and within species, individuals, and size classes. Carnivorous and omnivorous invertebrates assimilated polyunsaturated fatty acids (PUFAs) derived from algae, and possibly macrophytes, and fatty acids that are specific for methane-oxidizing bacteria (MOB). Part of the bacterial biomass conveyed to higher trophic levels in the bog pools originated from MOB. Pelagic zooplankton appeared to rely more on bacteria, whereas insects relied more on algae. Periphyton, a primary algal food source, was the basal food source most depleted in 13C and was inferred to sustain §½ the invertebrate food web. The relatively depleted d13C values of PUFAs in invertebrates suggest a role for methane-derived C. We argue that the CO2 assimilated by the algae could be derived from MOB. Therefore, depleted d13C values of invertebrates do not necessarily indicate a direct pathway between MOB and these invertebrates because algae may form an intermediate level.","container-title":"Freshwater Science","DOI":"10.1899/12-121.1","ISSN":"2161-9549, 2161-9565","issue":"4","journalAbbreviation":"Freshwater Science","language":"en","page":"1260-1272","source":"DOI.org (Crossref)","title":"Methane as a carbon source for the food web in raised bog pools","volume":"32","author":[{"family":"Duinen","given":"G. A.","non-dropping-particle":"van"},{"family":"Vermonden","given":"K."},{"family":"Bodelier","given":"P. L. E."},{"family":"Hendriks","given":"A. J."},{"family":"Leuven","given":"R. S. E. W."},{"family":"Middelburg","given":"J. J."},{"family":"Velde","given":"G.","non-dropping-particle":"van der"},{"family":"Verberk","given":"W. C. E. P."}],"issued":{"date-parts":[["2013",12]]}}}],"schema":"https://github.com/citation-style-language/schema/raw/master/csl-citation.json"} </w:instrText>
      </w:r>
      <w:r w:rsidRPr="347D99D0">
        <w:rPr>
          <w:sz w:val="24"/>
          <w:szCs w:val="24"/>
        </w:rPr>
        <w:fldChar w:fldCharType="separate"/>
      </w:r>
      <w:r w:rsidR="00F33B92" w:rsidRPr="347D99D0">
        <w:rPr>
          <w:sz w:val="24"/>
          <w:szCs w:val="24"/>
        </w:rPr>
        <w:t>(10,11)</w:t>
      </w:r>
      <w:r w:rsidRPr="347D99D0">
        <w:rPr>
          <w:sz w:val="24"/>
          <w:szCs w:val="24"/>
        </w:rPr>
        <w:fldChar w:fldCharType="end"/>
      </w:r>
      <w:r w:rsidR="00F33B92" w:rsidRPr="347D99D0">
        <w:rPr>
          <w:sz w:val="24"/>
          <w:szCs w:val="24"/>
        </w:rPr>
        <w:t xml:space="preserve">. Experiments utilizing stable isotope probing coupled with phylogenetic analyses such as these have been shown to be effective at critically analyzing carbon tracking through microbial communities </w:t>
      </w:r>
      <w:r w:rsidRPr="347D99D0">
        <w:rPr>
          <w:sz w:val="24"/>
          <w:szCs w:val="24"/>
        </w:rPr>
        <w:fldChar w:fldCharType="begin"/>
      </w:r>
      <w:r w:rsidRPr="347D99D0">
        <w:rPr>
          <w:sz w:val="24"/>
          <w:szCs w:val="24"/>
        </w:rPr>
        <w:instrText xml:space="preserve"> ADDIN ZOTERO_ITEM CSL_CITATION {"citationID":"DTohw9aZ","properties":{"formattedCitation":"(12)","plainCitation":"(12)","noteIndex":0},"citationItems":[{"id":121,"uris":["http://zotero.org/users/local/ptYqL6dd/items/D65TTB57",["http://zotero.org/users/local/ptYqL6dd/items/D65TTB57"],"http://zotero.org/users/11931443/items/D65TTB57"],"itemData":{"id":121,"type":"article-journal","abstract":"Stable isotope probing (SIP) is a method which attempts to link an organismÕs identity with its biological function under conditions approaching those in situ. Addition of 13C labelled substrate to an environmental sample results in 13C labelling of actively dividing bacteria when the 13C labelled substrate is used as a carbon source. The microorganismÕs DNA therefore becomes heavier and can be separated by CsCl density gradient centrifugation from 12C DNA of bacteria which have not assimilated labelled substrate. SIP has been applied to study the functionally active methanotroph population in peat soil, acidic forest soil, cave water and soda lake sediments. Studies have analysed both phylogenetic (16S rRNA) and functional (pmoA, mmoX and mxaF) genes to determine methanotroph diversity. These studies are reviewed here and the advantages and limitations of the SIP technique are discussed.","container-title":"Organic Geochemistry","DOI":"10.1016/j.orggeochem.2005.01.005","ISSN":"01466380","issue":"5","journalAbbreviation":"Organic Geochemistry","language":"en","page":"779-787","source":"DOI.org (Crossref)","title":"Stable isotope probing of nucleic acids in methanotrophs and methylotrophs: A review","title-short":"Stable isotope probing of nucleic acids in methanotrophs and methylotrophs","volume":"36","author":[{"family":"McDonald","given":"Ian R."},{"family":"Radajewski","given":"Stefan"},{"family":"Murrell","given":"J. Colin"}],"issued":{"date-parts":[["2005",5]]}}}],"schema":"https://github.com/citation-style-language/schema/raw/master/csl-citation.json"} </w:instrText>
      </w:r>
      <w:r w:rsidRPr="347D99D0">
        <w:rPr>
          <w:sz w:val="24"/>
          <w:szCs w:val="24"/>
        </w:rPr>
        <w:fldChar w:fldCharType="separate"/>
      </w:r>
      <w:r w:rsidR="00F33B92" w:rsidRPr="347D99D0">
        <w:rPr>
          <w:sz w:val="24"/>
          <w:szCs w:val="24"/>
        </w:rPr>
        <w:t>(12)</w:t>
      </w:r>
      <w:r w:rsidRPr="347D99D0">
        <w:rPr>
          <w:sz w:val="24"/>
          <w:szCs w:val="24"/>
        </w:rPr>
        <w:fldChar w:fldCharType="end"/>
      </w:r>
      <w:r w:rsidR="00F33B92" w:rsidRPr="347D99D0">
        <w:rPr>
          <w:sz w:val="24"/>
          <w:szCs w:val="24"/>
        </w:rPr>
        <w:t>. So, methanotrophs are critical to sustaining a variety of different ecosystems at many levels.</w:t>
      </w:r>
    </w:p>
    <w:p w14:paraId="48971C4E" w14:textId="19D488DA" w:rsidR="00F33B92" w:rsidRPr="00F33B92" w:rsidRDefault="00F33B92" w:rsidP="00F33B92">
      <w:pPr>
        <w:spacing w:line="480" w:lineRule="auto"/>
        <w:rPr>
          <w:sz w:val="24"/>
          <w:szCs w:val="24"/>
        </w:rPr>
      </w:pPr>
      <w:r w:rsidRPr="00F33B92">
        <w:rPr>
          <w:sz w:val="24"/>
          <w:szCs w:val="24"/>
        </w:rPr>
        <w:lastRenderedPageBreak/>
        <w:t xml:space="preserve">Some studies have been conducted to further characterize the relationships between MOB and NMOHB by analyzing which </w:t>
      </w:r>
      <w:r w:rsidR="009B0281">
        <w:rPr>
          <w:sz w:val="24"/>
          <w:szCs w:val="24"/>
        </w:rPr>
        <w:t>co-culture</w:t>
      </w:r>
      <w:r w:rsidRPr="00F33B92">
        <w:rPr>
          <w:sz w:val="24"/>
          <w:szCs w:val="24"/>
        </w:rPr>
        <w:t xml:space="preserve"> community members provide stimulatory or inhibitory growth effects for the CH</w:t>
      </w:r>
      <w:r w:rsidRPr="00F33B92">
        <w:rPr>
          <w:sz w:val="24"/>
          <w:szCs w:val="24"/>
          <w:vertAlign w:val="subscript"/>
        </w:rPr>
        <w:t>4</w:t>
      </w:r>
      <w:r w:rsidRPr="00F33B92">
        <w:rPr>
          <w:sz w:val="24"/>
          <w:szCs w:val="24"/>
        </w:rPr>
        <w:t xml:space="preserve"> oxidizers in the consortia. Iguchi et al. in 2011 demonstrated that when </w:t>
      </w:r>
      <w:r w:rsidRPr="00F33B92">
        <w:rPr>
          <w:i/>
          <w:iCs/>
          <w:sz w:val="24"/>
          <w:szCs w:val="24"/>
        </w:rPr>
        <w:t>Methylovulum miyakonense</w:t>
      </w:r>
      <w:r w:rsidRPr="00F33B92">
        <w:rPr>
          <w:sz w:val="24"/>
          <w:szCs w:val="24"/>
        </w:rPr>
        <w:t xml:space="preserve"> HT12 was grown in </w:t>
      </w:r>
      <w:r w:rsidR="009B0281">
        <w:rPr>
          <w:sz w:val="24"/>
          <w:szCs w:val="24"/>
        </w:rPr>
        <w:t>co-culture</w:t>
      </w:r>
      <w:r w:rsidRPr="00F33B92">
        <w:rPr>
          <w:sz w:val="24"/>
          <w:szCs w:val="24"/>
        </w:rPr>
        <w:t xml:space="preserve"> with one of five bacterial strains related to the genera </w:t>
      </w:r>
      <w:r w:rsidRPr="00F33B92">
        <w:rPr>
          <w:i/>
          <w:iCs/>
          <w:sz w:val="24"/>
          <w:szCs w:val="24"/>
        </w:rPr>
        <w:t>Rhizobium</w:t>
      </w:r>
      <w:r w:rsidRPr="00F33B92">
        <w:rPr>
          <w:sz w:val="24"/>
          <w:szCs w:val="24"/>
        </w:rPr>
        <w:t xml:space="preserve">, </w:t>
      </w:r>
      <w:r w:rsidRPr="00F33B92">
        <w:rPr>
          <w:i/>
          <w:iCs/>
          <w:sz w:val="24"/>
          <w:szCs w:val="24"/>
        </w:rPr>
        <w:t>Sinorhizobium</w:t>
      </w:r>
      <w:r w:rsidRPr="00F33B92">
        <w:rPr>
          <w:sz w:val="24"/>
          <w:szCs w:val="24"/>
        </w:rPr>
        <w:t xml:space="preserve">, </w:t>
      </w:r>
      <w:r w:rsidRPr="00F33B92">
        <w:rPr>
          <w:i/>
          <w:iCs/>
          <w:sz w:val="24"/>
          <w:szCs w:val="24"/>
        </w:rPr>
        <w:t>Mesorhizobium</w:t>
      </w:r>
      <w:r w:rsidRPr="00F33B92">
        <w:rPr>
          <w:sz w:val="24"/>
          <w:szCs w:val="24"/>
        </w:rPr>
        <w:t xml:space="preserve">, </w:t>
      </w:r>
      <w:r w:rsidRPr="00F33B92">
        <w:rPr>
          <w:i/>
          <w:iCs/>
          <w:sz w:val="24"/>
          <w:szCs w:val="24"/>
        </w:rPr>
        <w:t>Xanthobacter</w:t>
      </w:r>
      <w:r w:rsidRPr="00F33B92">
        <w:rPr>
          <w:sz w:val="24"/>
          <w:szCs w:val="24"/>
        </w:rPr>
        <w:t>, and</w:t>
      </w:r>
      <w:r w:rsidRPr="00F33B92">
        <w:rPr>
          <w:i/>
          <w:iCs/>
          <w:sz w:val="24"/>
          <w:szCs w:val="24"/>
        </w:rPr>
        <w:t xml:space="preserve"> Flavobacterium, </w:t>
      </w:r>
      <w:r w:rsidRPr="00F33B92">
        <w:rPr>
          <w:iCs/>
          <w:sz w:val="24"/>
          <w:szCs w:val="24"/>
        </w:rPr>
        <w:t>there was</w:t>
      </w:r>
      <w:r w:rsidRPr="00F33B92">
        <w:rPr>
          <w:i/>
          <w:iCs/>
          <w:sz w:val="24"/>
          <w:szCs w:val="24"/>
        </w:rPr>
        <w:t xml:space="preserve"> </w:t>
      </w:r>
      <w:r w:rsidRPr="00F33B92">
        <w:rPr>
          <w:sz w:val="24"/>
          <w:szCs w:val="24"/>
        </w:rPr>
        <w:t xml:space="preserve">a positive effect on methanotrophic growth and methane oxidation rate. Through further analysis of the stimulatory mechanism exerted by </w:t>
      </w:r>
      <w:r w:rsidRPr="00F33B92">
        <w:rPr>
          <w:i/>
          <w:iCs/>
          <w:sz w:val="24"/>
          <w:szCs w:val="24"/>
        </w:rPr>
        <w:t xml:space="preserve">Rhizobium </w:t>
      </w:r>
      <w:r w:rsidRPr="00F33B92">
        <w:rPr>
          <w:sz w:val="24"/>
          <w:szCs w:val="24"/>
        </w:rPr>
        <w:t xml:space="preserve">sp. Rb122, they identified cobalamin as the growth-stimulating factor. They observed this stimulatory effect for several other Gammaproteobacterial methanotrophs belonging to the genera </w:t>
      </w:r>
      <w:r w:rsidRPr="00F33B92">
        <w:rPr>
          <w:i/>
          <w:iCs/>
          <w:sz w:val="24"/>
          <w:szCs w:val="24"/>
        </w:rPr>
        <w:t xml:space="preserve">Methylobacter </w:t>
      </w:r>
      <w:r w:rsidRPr="00F33B92">
        <w:rPr>
          <w:sz w:val="24"/>
          <w:szCs w:val="24"/>
        </w:rPr>
        <w:t xml:space="preserve">and </w:t>
      </w:r>
      <w:r w:rsidRPr="00F33B92">
        <w:rPr>
          <w:i/>
          <w:iCs/>
          <w:sz w:val="24"/>
          <w:szCs w:val="24"/>
        </w:rPr>
        <w:t>Methylomonas</w:t>
      </w:r>
      <w:r w:rsidRPr="00F33B92">
        <w:rPr>
          <w:sz w:val="24"/>
          <w:szCs w:val="24"/>
        </w:rPr>
        <w:t xml:space="preserve">, but the same effect could not be observed in members of the Alphaproteobacterial methanotrophic genera </w:t>
      </w:r>
      <w:r w:rsidRPr="00F33B92">
        <w:rPr>
          <w:i/>
          <w:iCs/>
          <w:sz w:val="24"/>
          <w:szCs w:val="24"/>
        </w:rPr>
        <w:t xml:space="preserve">Methylocystis </w:t>
      </w:r>
      <w:r w:rsidRPr="00F33B92">
        <w:rPr>
          <w:sz w:val="24"/>
          <w:szCs w:val="24"/>
        </w:rPr>
        <w:t xml:space="preserve">and </w:t>
      </w:r>
      <w:r w:rsidRPr="00F33B92">
        <w:rPr>
          <w:i/>
          <w:iCs/>
          <w:sz w:val="24"/>
          <w:szCs w:val="24"/>
        </w:rPr>
        <w:t xml:space="preserve">Methylosinus </w:t>
      </w:r>
      <w:r w:rsidRPr="00F33B92">
        <w:rPr>
          <w:i/>
          <w:iCs/>
          <w:sz w:val="24"/>
          <w:szCs w:val="24"/>
        </w:rPr>
        <w:fldChar w:fldCharType="begin"/>
      </w:r>
      <w:r w:rsidRPr="00F33B92">
        <w:rPr>
          <w:i/>
          <w:iCs/>
          <w:sz w:val="24"/>
          <w:szCs w:val="24"/>
        </w:rPr>
        <w:instrText xml:space="preserve"> ADDIN ZOTERO_ITEM CSL_CITATION {"citationID":"IvOnNU8Y","properties":{"formattedCitation":"(13)","plainCitation":"(13)","noteIndex":0},"citationItems":[{"id":14,"uris":["http://zotero.org/users/local/ptYqL6dd/items/C6WEQG63",["http://zotero.org/users/local/ptYqL6dd/items/C6WEQG63"],"http://zotero.org/users/11931443/items/C6WEQG63"],"itemData":{"id":14,"type":"article-journal","container-title":"Applied and Environmental Microbiology","DOI":"10.1128/AEM.05834-11","issue":"24","note":"publisher: American Society for Microbiology","page":"8509-8515","source":"journals.asm.org (Atypon)","title":"Stimulation of Methanotrophic Growth in Cocultures by Cobalamin Excreted by Rhizobia","volume":"77","author":[{"family":"Iguchi","given":"Hiroyuki"},{"family":"Yurimoto","given":"Hiroya"},{"family":"Sakai","given":"Yasuyoshi"}],"issued":{"date-parts":[["2011",12,15]]}}}],"schema":"https://github.com/citation-style-language/schema/raw/master/csl-citation.json"} </w:instrText>
      </w:r>
      <w:r w:rsidRPr="00F33B92">
        <w:rPr>
          <w:i/>
          <w:iCs/>
          <w:sz w:val="24"/>
          <w:szCs w:val="24"/>
        </w:rPr>
        <w:fldChar w:fldCharType="separate"/>
      </w:r>
      <w:r w:rsidRPr="00F33B92">
        <w:rPr>
          <w:sz w:val="24"/>
          <w:szCs w:val="24"/>
        </w:rPr>
        <w:t>(13)</w:t>
      </w:r>
      <w:r w:rsidRPr="00F33B92">
        <w:rPr>
          <w:i/>
          <w:iCs/>
          <w:sz w:val="24"/>
          <w:szCs w:val="24"/>
        </w:rPr>
        <w:fldChar w:fldCharType="end"/>
      </w:r>
      <w:r w:rsidRPr="00F33B92">
        <w:rPr>
          <w:sz w:val="24"/>
          <w:szCs w:val="24"/>
        </w:rPr>
        <w:t xml:space="preserve">. </w:t>
      </w:r>
    </w:p>
    <w:p w14:paraId="08E4B85F" w14:textId="2993EB33" w:rsidR="00F33B92" w:rsidRPr="00F33B92" w:rsidRDefault="00F33B92" w:rsidP="00F33B92">
      <w:pPr>
        <w:spacing w:line="480" w:lineRule="auto"/>
        <w:rPr>
          <w:sz w:val="24"/>
          <w:szCs w:val="24"/>
        </w:rPr>
      </w:pPr>
      <w:r w:rsidRPr="347D99D0">
        <w:rPr>
          <w:sz w:val="24"/>
          <w:szCs w:val="24"/>
        </w:rPr>
        <w:t xml:space="preserve">All this work established that the </w:t>
      </w:r>
      <w:r w:rsidR="00224D46">
        <w:rPr>
          <w:sz w:val="24"/>
          <w:szCs w:val="24"/>
        </w:rPr>
        <w:t>m</w:t>
      </w:r>
      <w:r w:rsidR="007D3DBA">
        <w:rPr>
          <w:sz w:val="24"/>
          <w:szCs w:val="24"/>
        </w:rPr>
        <w:t>ethane-oxidizing</w:t>
      </w:r>
      <w:r w:rsidRPr="347D99D0">
        <w:rPr>
          <w:sz w:val="24"/>
          <w:szCs w:val="24"/>
        </w:rPr>
        <w:t xml:space="preserve"> bacteria community is crucial to carbon cycling in a variety of environments and, at times, essential for ecosystem function and sustainability. However, there exist many questions regarding the physiological mechanisms that the microbes in CH</w:t>
      </w:r>
      <w:r w:rsidRPr="347D99D0">
        <w:rPr>
          <w:sz w:val="24"/>
          <w:szCs w:val="24"/>
          <w:vertAlign w:val="subscript"/>
        </w:rPr>
        <w:t>4</w:t>
      </w:r>
      <w:r w:rsidRPr="347D99D0">
        <w:rPr>
          <w:sz w:val="24"/>
          <w:szCs w:val="24"/>
        </w:rPr>
        <w:t xml:space="preserve"> oxidizing communities use. Some work has been done detailing the specifics of the physiological, biochemical, and genetic mechanisms at work in these microbial interactions. Previous studies on the physiology of the interactions between methanotrophs and NMOHB focused on cross-feeding of CH</w:t>
      </w:r>
      <w:r w:rsidRPr="347D99D0">
        <w:rPr>
          <w:sz w:val="24"/>
          <w:szCs w:val="24"/>
          <w:vertAlign w:val="subscript"/>
        </w:rPr>
        <w:t>3</w:t>
      </w:r>
      <w:r w:rsidRPr="347D99D0">
        <w:rPr>
          <w:sz w:val="24"/>
          <w:szCs w:val="24"/>
        </w:rPr>
        <w:t>OH derived from the oxidation of CH</w:t>
      </w:r>
      <w:r w:rsidRPr="347D99D0">
        <w:rPr>
          <w:sz w:val="24"/>
          <w:szCs w:val="24"/>
          <w:vertAlign w:val="subscript"/>
        </w:rPr>
        <w:t>4.</w:t>
      </w:r>
      <w:r w:rsidRPr="347D99D0">
        <w:rPr>
          <w:sz w:val="24"/>
          <w:szCs w:val="24"/>
        </w:rPr>
        <w:t xml:space="preserve"> In 2017, Krause et al. used a combination of transcriptomics and </w:t>
      </w:r>
      <w:r w:rsidR="00D23012">
        <w:rPr>
          <w:sz w:val="24"/>
          <w:szCs w:val="24"/>
        </w:rPr>
        <w:t>RT</w:t>
      </w:r>
      <w:r w:rsidRPr="347D99D0">
        <w:rPr>
          <w:sz w:val="24"/>
          <w:szCs w:val="24"/>
        </w:rPr>
        <w:t>-PCR to show that CH</w:t>
      </w:r>
      <w:r w:rsidRPr="347D99D0">
        <w:rPr>
          <w:sz w:val="24"/>
          <w:szCs w:val="24"/>
          <w:vertAlign w:val="subscript"/>
        </w:rPr>
        <w:t>3</w:t>
      </w:r>
      <w:r w:rsidRPr="347D99D0">
        <w:rPr>
          <w:sz w:val="24"/>
          <w:szCs w:val="24"/>
        </w:rPr>
        <w:t xml:space="preserve">OH is the dominant carbon and energy source the methanotroph </w:t>
      </w:r>
      <w:r w:rsidRPr="347D99D0">
        <w:rPr>
          <w:i/>
          <w:iCs/>
          <w:sz w:val="24"/>
          <w:szCs w:val="24"/>
        </w:rPr>
        <w:t>Methylobacter tundripaludum</w:t>
      </w:r>
      <w:r w:rsidRPr="347D99D0">
        <w:rPr>
          <w:sz w:val="24"/>
          <w:szCs w:val="24"/>
        </w:rPr>
        <w:t xml:space="preserve"> provides to support growth of the </w:t>
      </w:r>
      <w:r w:rsidR="00DF0BFE" w:rsidRPr="347D99D0">
        <w:rPr>
          <w:sz w:val="24"/>
          <w:szCs w:val="24"/>
        </w:rPr>
        <w:t xml:space="preserve">methanol using </w:t>
      </w:r>
      <w:r w:rsidRPr="347D99D0">
        <w:rPr>
          <w:sz w:val="24"/>
          <w:szCs w:val="24"/>
        </w:rPr>
        <w:t xml:space="preserve">NMOHB </w:t>
      </w:r>
      <w:r w:rsidRPr="347D99D0">
        <w:rPr>
          <w:i/>
          <w:iCs/>
          <w:sz w:val="24"/>
          <w:szCs w:val="24"/>
        </w:rPr>
        <w:t>Methylotenera mobilis</w:t>
      </w:r>
      <w:r w:rsidRPr="347D99D0">
        <w:rPr>
          <w:sz w:val="24"/>
          <w:szCs w:val="24"/>
        </w:rPr>
        <w:t xml:space="preserve">. They showed that in the presence of </w:t>
      </w:r>
      <w:r w:rsidRPr="347D99D0">
        <w:rPr>
          <w:i/>
          <w:iCs/>
          <w:sz w:val="24"/>
          <w:szCs w:val="24"/>
        </w:rPr>
        <w:t>Methylotenera mobilis</w:t>
      </w:r>
      <w:r w:rsidRPr="347D99D0">
        <w:rPr>
          <w:sz w:val="24"/>
          <w:szCs w:val="24"/>
        </w:rPr>
        <w:t xml:space="preserve">, gene expression of the MOB’s dominant methanol </w:t>
      </w:r>
      <w:r w:rsidRPr="347D99D0">
        <w:rPr>
          <w:sz w:val="24"/>
          <w:szCs w:val="24"/>
        </w:rPr>
        <w:lastRenderedPageBreak/>
        <w:t>dehydrogenase (MDH) shifts from the lanthanide-dependent MDH (</w:t>
      </w:r>
      <w:r w:rsidR="00005DB0">
        <w:rPr>
          <w:i/>
          <w:iCs/>
          <w:sz w:val="24"/>
          <w:szCs w:val="24"/>
        </w:rPr>
        <w:t>x</w:t>
      </w:r>
      <w:r w:rsidRPr="347D99D0">
        <w:rPr>
          <w:i/>
          <w:iCs/>
          <w:sz w:val="24"/>
          <w:szCs w:val="24"/>
        </w:rPr>
        <w:t>oxF</w:t>
      </w:r>
      <w:r w:rsidRPr="347D99D0">
        <w:rPr>
          <w:sz w:val="24"/>
          <w:szCs w:val="24"/>
        </w:rPr>
        <w:t>) to the calcium-dependent MDH (</w:t>
      </w:r>
      <w:r w:rsidR="00005DB0">
        <w:rPr>
          <w:i/>
          <w:iCs/>
          <w:sz w:val="24"/>
          <w:szCs w:val="24"/>
        </w:rPr>
        <w:t>m</w:t>
      </w:r>
      <w:r w:rsidRPr="347D99D0">
        <w:rPr>
          <w:i/>
          <w:iCs/>
          <w:sz w:val="24"/>
          <w:szCs w:val="24"/>
        </w:rPr>
        <w:t>xaF</w:t>
      </w:r>
      <w:r w:rsidRPr="347D99D0">
        <w:rPr>
          <w:sz w:val="24"/>
          <w:szCs w:val="24"/>
        </w:rPr>
        <w:t xml:space="preserve">). </w:t>
      </w:r>
    </w:p>
    <w:p w14:paraId="107AE243" w14:textId="49902460" w:rsidR="00F33B92" w:rsidRPr="00F33B92" w:rsidRDefault="00F33B92" w:rsidP="00F33B92">
      <w:pPr>
        <w:spacing w:line="480" w:lineRule="auto"/>
        <w:rPr>
          <w:sz w:val="24"/>
          <w:szCs w:val="24"/>
        </w:rPr>
      </w:pPr>
      <w:r w:rsidRPr="347D99D0">
        <w:rPr>
          <w:sz w:val="24"/>
          <w:szCs w:val="24"/>
        </w:rPr>
        <w:t>Correspondingly, CH</w:t>
      </w:r>
      <w:r w:rsidRPr="347D99D0">
        <w:rPr>
          <w:sz w:val="24"/>
          <w:szCs w:val="24"/>
          <w:vertAlign w:val="subscript"/>
        </w:rPr>
        <w:t>3</w:t>
      </w:r>
      <w:r w:rsidRPr="347D99D0">
        <w:rPr>
          <w:sz w:val="24"/>
          <w:szCs w:val="24"/>
        </w:rPr>
        <w:t xml:space="preserve">OH is released into the medium only when the methanotroph expresses the MxaF-type MDH. These results suggest a cross-feeding mechanism in which the NMOHB partner induces a change in expression of methanotroph MDHs, resulting in release of methanol for its growth. This work was crucial to our understanding of the carbon transfer mechanisms at work during growth in simple MOB-NMOHB </w:t>
      </w:r>
      <w:r w:rsidR="009B0281">
        <w:rPr>
          <w:sz w:val="24"/>
          <w:szCs w:val="24"/>
        </w:rPr>
        <w:t>co-culture</w:t>
      </w:r>
      <w:r w:rsidRPr="347D99D0">
        <w:rPr>
          <w:sz w:val="24"/>
          <w:szCs w:val="24"/>
        </w:rPr>
        <w:t xml:space="preserve">s </w:t>
      </w:r>
      <w:r w:rsidRPr="347D99D0">
        <w:rPr>
          <w:sz w:val="24"/>
          <w:szCs w:val="24"/>
        </w:rPr>
        <w:fldChar w:fldCharType="begin"/>
      </w:r>
      <w:r w:rsidRPr="347D99D0">
        <w:rPr>
          <w:sz w:val="24"/>
          <w:szCs w:val="24"/>
        </w:rPr>
        <w:instrText xml:space="preserve"> ADDIN ZOTERO_ITEM CSL_CITATION {"citationID":"5MwThXWR","properties":{"formattedCitation":"(7)","plainCitation":"(7)","noteIndex":0},"citationItems":[{"id":127,"uris":["http://zotero.org/users/11931443/items/C9FEY7AZ"],"itemData":{"id":127,"type":"article-journal","abstract":"The utilization of methane, a potent greenhouse gas, is an important component of local and global carbon cycles that is characterized by tight linkages between methane-utilizing (methanotrophic) and nonmethanotrophic bacteria. It has been suggested that the methanotroph sustains these nonmethanotrophs by cross-feeding, because subsequent products of the methane oxidation pathway, such as methanol, represent alternative carbon sources. We established cocultures in a microcosm model system to determine the mechanism and substrate that underlay the observed cross-feeding in the environment. Lanthanum, a rare earth element, was applied because of its increasing importance in methylotrophy. We used co-occurring strains isolated from Lake Washington sediment that are involved in methane utilization: a methanotroph and two nonmethanotrophic methylotrophs. Gene-expression profiles and mutant analyses suggest that methanol is the dominant carbon and energy source the methanotroph provides to support growth of the nonmethanotrophs. However, in the presence of the nonmethanotroph, gene expression of the dominant methanol dehydrogenase (MDH) shifts from the lanthanide-dependent MDH (XoxF)-type, to the calcium-dependent MDH (MxaF)-type. Correspondingly, methanol is released into the medium only when the methanotroph expresses the MxaF-type MDH. These results suggest a cross-feeding mechanism in which the nonmethanotrophic partner induces a change in expression of methanotroph MDHs, resulting in release of methanol for its growth. This partner-induced change in gene expression that benefits the partner is a paradigm for microbial interactions that cannot be observed in studies of pure cultures, underscoring the importance of synthetic microbial community approaches to understand environmental microbiomes.","container-title":"Proceedings of the National Academy of Sciences","DOI":"10.1073/pnas.1619871114","ISSN":"0027-8424, 1091-6490","issue":"2","journalAbbreviation":"Proc Natl Acad Sci USA","language":"en","page":"358-363","source":"DOI.org (Crossref)","title":"Lanthanide-dependent cross-feeding of methane-derived carbon is linked by microbial community interactions","volume":"114","author":[{"family":"Krause","given":"Sascha M. B."},{"family":"Johnson","given":"Timothy"},{"family":"Samadhi Karunaratne","given":"Yasodara"},{"family":"Fu","given":"Yanfen"},{"family":"Beck","given":"David A. C."},{"family":"Chistoserdova","given":"Ludmila"},{"family":"Lidstrom","given":"Mary E."}],"issued":{"date-parts":[["2017",1,10]]}}}],"schema":"https://github.com/citation-style-language/schema/raw/master/csl-citation.json"} </w:instrText>
      </w:r>
      <w:r w:rsidRPr="347D99D0">
        <w:rPr>
          <w:sz w:val="24"/>
          <w:szCs w:val="24"/>
        </w:rPr>
        <w:fldChar w:fldCharType="separate"/>
      </w:r>
      <w:r w:rsidRPr="347D99D0">
        <w:rPr>
          <w:sz w:val="24"/>
          <w:szCs w:val="24"/>
        </w:rPr>
        <w:t>(7)</w:t>
      </w:r>
      <w:r w:rsidRPr="347D99D0">
        <w:rPr>
          <w:sz w:val="24"/>
          <w:szCs w:val="24"/>
        </w:rPr>
        <w:fldChar w:fldCharType="end"/>
      </w:r>
      <w:r w:rsidRPr="347D99D0">
        <w:rPr>
          <w:sz w:val="24"/>
          <w:szCs w:val="24"/>
        </w:rPr>
        <w:t xml:space="preserve">. In 2019, Takeuchi et al. expanded our understanding of how MOB are affected by coculturing with NMOHB. They used RNA-seq and differential gene expression analysis of the transcriptomes of the MOB </w:t>
      </w:r>
      <w:r w:rsidRPr="347D99D0">
        <w:rPr>
          <w:i/>
          <w:iCs/>
          <w:sz w:val="24"/>
          <w:szCs w:val="24"/>
        </w:rPr>
        <w:t>Methylocaldum marinum</w:t>
      </w:r>
      <w:r w:rsidRPr="347D99D0">
        <w:rPr>
          <w:sz w:val="24"/>
          <w:szCs w:val="24"/>
        </w:rPr>
        <w:t xml:space="preserve"> S8 and the </w:t>
      </w:r>
      <w:r w:rsidR="00DF0BFE" w:rsidRPr="347D99D0">
        <w:rPr>
          <w:sz w:val="24"/>
          <w:szCs w:val="24"/>
        </w:rPr>
        <w:t xml:space="preserve">methanol using </w:t>
      </w:r>
      <w:r w:rsidRPr="347D99D0">
        <w:rPr>
          <w:sz w:val="24"/>
          <w:szCs w:val="24"/>
        </w:rPr>
        <w:t xml:space="preserve">NMOHB </w:t>
      </w:r>
      <w:r w:rsidRPr="347D99D0">
        <w:rPr>
          <w:i/>
          <w:iCs/>
          <w:sz w:val="24"/>
          <w:szCs w:val="24"/>
        </w:rPr>
        <w:t>Methyloceanibacter caenitepidi</w:t>
      </w:r>
      <w:r w:rsidRPr="347D99D0">
        <w:rPr>
          <w:sz w:val="24"/>
          <w:szCs w:val="24"/>
        </w:rPr>
        <w:t xml:space="preserve"> Gela4 and showed that cross-feeding between the MOB and NMOHB can occur. They also showed that the NMOHB can assimilate a wide range of substrates in addition to methanol, such as acetate, ethanol, formate, and succinate when grown in </w:t>
      </w:r>
      <w:r w:rsidR="009B0281">
        <w:rPr>
          <w:sz w:val="24"/>
          <w:szCs w:val="24"/>
        </w:rPr>
        <w:t>co-culture</w:t>
      </w:r>
      <w:r w:rsidRPr="347D99D0">
        <w:rPr>
          <w:sz w:val="24"/>
          <w:szCs w:val="24"/>
        </w:rPr>
        <w:t xml:space="preserve"> with a methanotroph when CH</w:t>
      </w:r>
      <w:r w:rsidRPr="347D99D0">
        <w:rPr>
          <w:sz w:val="24"/>
          <w:szCs w:val="24"/>
          <w:vertAlign w:val="subscript"/>
        </w:rPr>
        <w:t>4</w:t>
      </w:r>
      <w:r w:rsidRPr="347D99D0">
        <w:rPr>
          <w:sz w:val="24"/>
          <w:szCs w:val="24"/>
        </w:rPr>
        <w:t xml:space="preserve"> is the only available carbon source. They discovered that the expression levels of nearly half of the genes of the NMOHB were altered during </w:t>
      </w:r>
      <w:r w:rsidR="009B0281">
        <w:rPr>
          <w:sz w:val="24"/>
          <w:szCs w:val="24"/>
        </w:rPr>
        <w:t>co-culture</w:t>
      </w:r>
      <w:r w:rsidRPr="347D99D0">
        <w:rPr>
          <w:sz w:val="24"/>
          <w:szCs w:val="24"/>
        </w:rPr>
        <w:t xml:space="preserve"> growth including genes for acetyl-CoA synthesis, the ethylmalonyl-CoA (EMC) pathway, and TCA cycle that were upregulated in </w:t>
      </w:r>
      <w:r w:rsidR="009B0281">
        <w:rPr>
          <w:sz w:val="24"/>
          <w:szCs w:val="24"/>
        </w:rPr>
        <w:t>co-culture</w:t>
      </w:r>
      <w:r w:rsidRPr="347D99D0">
        <w:rPr>
          <w:sz w:val="24"/>
          <w:szCs w:val="24"/>
        </w:rPr>
        <w:t xml:space="preserve">. Since acetyl-CoA is a starting compound of the EMC pathway and TCA cycle, compounds that can be used for the acetyl-CoA synthesis are cross-fed from the MOB to the NMOHB. They speculate that a possible source of acetyl-CoA in </w:t>
      </w:r>
      <w:r w:rsidR="009B0281">
        <w:rPr>
          <w:sz w:val="24"/>
          <w:szCs w:val="24"/>
        </w:rPr>
        <w:t>co-culture</w:t>
      </w:r>
      <w:r w:rsidRPr="347D99D0">
        <w:rPr>
          <w:sz w:val="24"/>
          <w:szCs w:val="24"/>
        </w:rPr>
        <w:t xml:space="preserve"> is acetate since expression of acetyl coenzyme A synthetase increased. Also, they showed that the MOB produced acetate </w:t>
      </w:r>
      <w:r w:rsidRPr="347D99D0">
        <w:rPr>
          <w:sz w:val="24"/>
          <w:szCs w:val="24"/>
        </w:rPr>
        <w:fldChar w:fldCharType="begin"/>
      </w:r>
      <w:r w:rsidRPr="347D99D0">
        <w:rPr>
          <w:sz w:val="24"/>
          <w:szCs w:val="24"/>
        </w:rPr>
        <w:instrText xml:space="preserve"> ADDIN ZOTERO_ITEM CSL_CITATION {"citationID":"CbEGDo7s","properties":{"formattedCitation":"(6)","plainCitation":"(6)","noteIndex":0},"citationItems":[{"id":128,"uris":["http://zotero.org/users/11931443/items/UL633UH8"],"itemData":{"id":128,"type":"article-journal","abstract":"Non-methanotrophic bacteria such as methylotrophs often coexist with methane-oxidizing bacteria (methanotrophs) by cross-feeding on methane-derived carbon. Methanol has long been considered a major compound that mediates cross-feeding of methane-derived carbon. Despite the potential importance of cross-feeding in the global carbon cycle, only a few studies have actually explored metabolic responses of a bacteria when cross-feeding on a methanotroph. Recently, we isolated a novel facultative methylotroph, Methyloceanibacter caenitepidi Gela4, which grows syntrophically with the methanotroph, Methylocaldum marinum S8. To assess the potential metabolic pathways in M. caenitepidi Gela4 co-cultured with M. marinum S8, we conducted genomic analyses of the two strains, as well as RNA-Seq and chemical analyses of M. caenitepidi Gela4, both in pure culture with methanol and in co-culture with methanotrophs. Genes involved in the serine pathway were downregulated in M. caenitepidi Gela4 under co-culture conditions, and methanol was below the detection limit (&lt; 310 nM) in both pure culture of M. marinum S8 and co-culture. In contrast, genes involved in the tricarboxylic acid cycle, as well as acetyl-CoA synthetase, were upregulated in M. caenitepidi Gela4 under co-culture conditions. Notably, a pure culture of M. marinum S8 produced acetate (&lt; 16 μM) during growth. These results suggested that an organic compound other than methanol, possibly acetate, might be the major carbon source for M. caenitepidi Gela4 cross-fed by M. marinum S8. Co-culture of M. caenitepidi Gela4 and M. marinum S8 may represent a model system to further study methanol-independent cross-feeding from methanotrophs to non-methanotrophic bacteria.","container-title":"PLOS ONE","DOI":"10.1371/journal.pone.0213535","ISSN":"1932-6203","issue":"3","journalAbbreviation":"PLOS ONE","language":"en","note":"publisher: Public Library of Science","page":"e0213535","source":"PLoS Journals","title":"Possible cross-feeding pathway of facultative methylotroph Methyloceanibacter caenitepidi Gela4 on methanotroph Methylocaldum marinum S8","volume":"14","author":[{"family":"Takeuchi","given":"Mio"},{"family":"Ozaki","given":"Haruka"},{"family":"Hiraoka","given":"Satoshi"},{"family":"Kamagata","given":"Yoichi"},{"family":"Sakata","given":"Susumu"},{"family":"Yoshioka","given":"Hideyoshi"},{"family":"Iwasaki","given":"Wataru"}],"issued":{"date-parts":[["2019",3,14]]}}}],"schema":"https://github.com/citation-style-language/schema/raw/master/csl-citation.json"} </w:instrText>
      </w:r>
      <w:r w:rsidRPr="347D99D0">
        <w:rPr>
          <w:sz w:val="24"/>
          <w:szCs w:val="24"/>
        </w:rPr>
        <w:fldChar w:fldCharType="separate"/>
      </w:r>
      <w:r w:rsidRPr="347D99D0">
        <w:rPr>
          <w:sz w:val="24"/>
          <w:szCs w:val="24"/>
        </w:rPr>
        <w:t>(6)</w:t>
      </w:r>
      <w:r w:rsidRPr="347D99D0">
        <w:rPr>
          <w:sz w:val="24"/>
          <w:szCs w:val="24"/>
        </w:rPr>
        <w:fldChar w:fldCharType="end"/>
      </w:r>
      <w:r w:rsidRPr="347D99D0">
        <w:rPr>
          <w:sz w:val="24"/>
          <w:szCs w:val="24"/>
        </w:rPr>
        <w:t xml:space="preserve">. </w:t>
      </w:r>
      <w:r w:rsidR="00D83743">
        <w:rPr>
          <w:sz w:val="24"/>
          <w:szCs w:val="24"/>
        </w:rPr>
        <w:t>These studies show that CH</w:t>
      </w:r>
      <w:r w:rsidR="00D83743" w:rsidRPr="00D83743">
        <w:rPr>
          <w:sz w:val="24"/>
          <w:szCs w:val="24"/>
          <w:vertAlign w:val="subscript"/>
        </w:rPr>
        <w:t>3</w:t>
      </w:r>
      <w:r w:rsidR="00D83743">
        <w:rPr>
          <w:sz w:val="24"/>
          <w:szCs w:val="24"/>
        </w:rPr>
        <w:t>OH is a possible source of carbon cross-fed in methane-oxidizing systems but</w:t>
      </w:r>
      <w:r w:rsidRPr="347D99D0">
        <w:rPr>
          <w:sz w:val="24"/>
          <w:szCs w:val="24"/>
        </w:rPr>
        <w:t xml:space="preserve"> not the only possible </w:t>
      </w:r>
      <w:r w:rsidR="00D83743">
        <w:rPr>
          <w:sz w:val="24"/>
          <w:szCs w:val="24"/>
        </w:rPr>
        <w:t xml:space="preserve">metabolite </w:t>
      </w:r>
      <w:r w:rsidRPr="347D99D0">
        <w:rPr>
          <w:sz w:val="24"/>
          <w:szCs w:val="24"/>
        </w:rPr>
        <w:t xml:space="preserve">since acetate can cross-feed into NMOHB as a precursor of the EMC pathway and the TCA cycle. </w:t>
      </w:r>
    </w:p>
    <w:p w14:paraId="09410CA9" w14:textId="4FE815A7" w:rsidR="00F33B92" w:rsidRPr="006E624A" w:rsidRDefault="00F33B92" w:rsidP="00F33B92">
      <w:pPr>
        <w:spacing w:line="480" w:lineRule="auto"/>
        <w:rPr>
          <w:sz w:val="24"/>
          <w:szCs w:val="24"/>
        </w:rPr>
      </w:pPr>
      <w:r w:rsidRPr="00F33B92">
        <w:rPr>
          <w:sz w:val="24"/>
          <w:szCs w:val="24"/>
        </w:rPr>
        <w:lastRenderedPageBreak/>
        <w:t xml:space="preserve">These prior studies on carbon cross-feeding to NMOHB have been limited to MOB growing with other methylotrophs. This study aims to further our knowledge of carbon transfer physiology in </w:t>
      </w:r>
      <w:r w:rsidR="00224D46">
        <w:rPr>
          <w:sz w:val="24"/>
          <w:szCs w:val="24"/>
        </w:rPr>
        <w:t>m</w:t>
      </w:r>
      <w:r w:rsidR="007D3DBA">
        <w:rPr>
          <w:sz w:val="24"/>
          <w:szCs w:val="24"/>
        </w:rPr>
        <w:t>ethane-oxidizing</w:t>
      </w:r>
      <w:r w:rsidRPr="00F33B92">
        <w:rPr>
          <w:sz w:val="24"/>
          <w:szCs w:val="24"/>
        </w:rPr>
        <w:t xml:space="preserve"> systems by investigating how the MOB </w:t>
      </w:r>
      <w:r w:rsidRPr="00F33B92">
        <w:rPr>
          <w:i/>
          <w:iCs/>
          <w:sz w:val="24"/>
          <w:szCs w:val="24"/>
        </w:rPr>
        <w:t xml:space="preserve">Methylosinus trichosporium </w:t>
      </w:r>
      <w:r w:rsidRPr="00F33B92">
        <w:rPr>
          <w:sz w:val="24"/>
          <w:szCs w:val="24"/>
        </w:rPr>
        <w:t xml:space="preserve">OB3b functions in </w:t>
      </w:r>
      <w:r w:rsidR="009B0281">
        <w:rPr>
          <w:sz w:val="24"/>
          <w:szCs w:val="24"/>
        </w:rPr>
        <w:t>co-culture</w:t>
      </w:r>
      <w:r w:rsidRPr="00F33B92">
        <w:rPr>
          <w:sz w:val="24"/>
          <w:szCs w:val="24"/>
        </w:rPr>
        <w:t xml:space="preserve"> with three different NMOHB that were isolated from CH</w:t>
      </w:r>
      <w:r w:rsidRPr="00F33B92">
        <w:rPr>
          <w:sz w:val="24"/>
          <w:szCs w:val="24"/>
          <w:vertAlign w:val="subscript"/>
        </w:rPr>
        <w:t xml:space="preserve">4 </w:t>
      </w:r>
      <w:r w:rsidRPr="00F33B92">
        <w:rPr>
          <w:sz w:val="24"/>
          <w:szCs w:val="24"/>
        </w:rPr>
        <w:t>oxidizing enrichment cultures</w:t>
      </w:r>
      <w:r w:rsidR="00D83743">
        <w:rPr>
          <w:sz w:val="24"/>
          <w:szCs w:val="24"/>
        </w:rPr>
        <w:t xml:space="preserve">, </w:t>
      </w:r>
      <w:r w:rsidRPr="00F33B92">
        <w:rPr>
          <w:sz w:val="24"/>
          <w:szCs w:val="24"/>
        </w:rPr>
        <w:t xml:space="preserve">not commonly considered to be methylotrophs and are able to grow on complex growth media. These are </w:t>
      </w:r>
      <w:r w:rsidRPr="00F33B92">
        <w:rPr>
          <w:i/>
          <w:iCs/>
          <w:sz w:val="24"/>
          <w:szCs w:val="24"/>
        </w:rPr>
        <w:t xml:space="preserve">Flavobacterium </w:t>
      </w:r>
      <w:r w:rsidRPr="00F33B92">
        <w:rPr>
          <w:sz w:val="24"/>
          <w:szCs w:val="24"/>
        </w:rPr>
        <w:t xml:space="preserve">sp. HC, a strain of </w:t>
      </w:r>
      <w:r w:rsidRPr="00F33B92">
        <w:rPr>
          <w:i/>
          <w:iCs/>
          <w:sz w:val="24"/>
          <w:szCs w:val="24"/>
        </w:rPr>
        <w:t xml:space="preserve">Pseudomonas chlororaphis </w:t>
      </w:r>
      <w:r w:rsidRPr="00F33B92">
        <w:rPr>
          <w:sz w:val="24"/>
          <w:szCs w:val="24"/>
        </w:rPr>
        <w:t xml:space="preserve">HC, and a strain of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 xml:space="preserve">HC. </w:t>
      </w:r>
      <w:r w:rsidR="003419FB">
        <w:rPr>
          <w:sz w:val="24"/>
          <w:szCs w:val="24"/>
        </w:rPr>
        <w:t>Each</w:t>
      </w:r>
      <w:r w:rsidRPr="00F33B92">
        <w:rPr>
          <w:sz w:val="24"/>
          <w:szCs w:val="24"/>
        </w:rPr>
        <w:t xml:space="preserve"> of these three bacteria are able to grow on carbon derived from CH</w:t>
      </w:r>
      <w:r w:rsidRPr="00F33B92">
        <w:rPr>
          <w:sz w:val="24"/>
          <w:szCs w:val="24"/>
          <w:vertAlign w:val="subscript"/>
        </w:rPr>
        <w:t>4</w:t>
      </w:r>
      <w:r w:rsidRPr="00F33B92">
        <w:rPr>
          <w:sz w:val="24"/>
          <w:szCs w:val="24"/>
        </w:rPr>
        <w:t xml:space="preserve"> oxidation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 xml:space="preserve">OB3b, with </w:t>
      </w:r>
      <w:r w:rsidRPr="00F33B92">
        <w:rPr>
          <w:i/>
          <w:iCs/>
          <w:sz w:val="24"/>
          <w:szCs w:val="24"/>
        </w:rPr>
        <w:t xml:space="preserve">P. chlororaphis </w:t>
      </w:r>
      <w:r w:rsidRPr="00F33B92">
        <w:rPr>
          <w:sz w:val="24"/>
          <w:szCs w:val="24"/>
        </w:rPr>
        <w:t>HC providing a stimulatory grow</w:t>
      </w:r>
      <w:r w:rsidR="004D3930">
        <w:rPr>
          <w:sz w:val="24"/>
          <w:szCs w:val="24"/>
        </w:rPr>
        <w:t>th</w:t>
      </w:r>
      <w:r w:rsidRPr="00F33B92">
        <w:rPr>
          <w:sz w:val="24"/>
          <w:szCs w:val="24"/>
        </w:rPr>
        <w:t xml:space="preserve"> effect in the system. Further transcriptomic analysis of the culture of OB3b and NMOHB indicate</w:t>
      </w:r>
      <w:r w:rsidR="004D3930">
        <w:rPr>
          <w:sz w:val="24"/>
          <w:szCs w:val="24"/>
        </w:rPr>
        <w:t>s</w:t>
      </w:r>
      <w:r w:rsidRPr="00F33B92">
        <w:rPr>
          <w:sz w:val="24"/>
          <w:szCs w:val="24"/>
        </w:rPr>
        <w:t xml:space="preserve"> that some genes of the NMOHB TCA cycle as well as alcohol dehydrogenases are upregulated and that the most likely candidates for carbon utilized by NMOHB in the system are C4 dicarboxylates and CH</w:t>
      </w:r>
      <w:r w:rsidRPr="00F33B92">
        <w:rPr>
          <w:sz w:val="24"/>
          <w:szCs w:val="24"/>
          <w:vertAlign w:val="subscript"/>
        </w:rPr>
        <w:t>3</w:t>
      </w:r>
      <w:r w:rsidRPr="00F33B92">
        <w:rPr>
          <w:sz w:val="24"/>
          <w:szCs w:val="24"/>
        </w:rPr>
        <w:t xml:space="preserve">OH. Also, NMOHB play a role in nitrogen cycling in the system and upregulate ROS defense genes in response to growing in </w:t>
      </w:r>
      <w:r w:rsidR="009B0281">
        <w:rPr>
          <w:sz w:val="24"/>
          <w:szCs w:val="24"/>
        </w:rPr>
        <w:t>co-culture</w:t>
      </w:r>
      <w:r w:rsidRPr="00F33B92">
        <w:rPr>
          <w:sz w:val="24"/>
          <w:szCs w:val="24"/>
        </w:rPr>
        <w:t xml:space="preserve"> with OB3b.</w:t>
      </w:r>
    </w:p>
    <w:p w14:paraId="066B564A" w14:textId="51140CEF" w:rsidR="00F33B92" w:rsidRPr="00F33B92" w:rsidRDefault="00F33B92" w:rsidP="006E624A">
      <w:pPr>
        <w:pStyle w:val="Heading3"/>
      </w:pPr>
      <w:bookmarkStart w:id="80" w:name="_Toc167115841"/>
      <w:r w:rsidRPr="00F33B92">
        <w:t>Methods</w:t>
      </w:r>
      <w:bookmarkEnd w:id="80"/>
      <w:r w:rsidRPr="00F33B92">
        <w:t xml:space="preserve"> </w:t>
      </w:r>
    </w:p>
    <w:p w14:paraId="6B157EE5" w14:textId="5D38A1C0" w:rsidR="00F33B92" w:rsidRPr="00F33B92" w:rsidRDefault="00F33B92" w:rsidP="006E624A">
      <w:pPr>
        <w:pStyle w:val="Heading4"/>
      </w:pPr>
      <w:r w:rsidRPr="00F33B92">
        <w:t xml:space="preserve">Growth Condition and Community Composition of </w:t>
      </w:r>
      <w:r w:rsidR="007D3DBA">
        <w:t>Methane-</w:t>
      </w:r>
      <w:r w:rsidR="00224D46">
        <w:t>O</w:t>
      </w:r>
      <w:r w:rsidR="007D3DBA">
        <w:t>xidizing</w:t>
      </w:r>
      <w:r w:rsidRPr="00F33B92">
        <w:t xml:space="preserve"> Cocultures</w:t>
      </w:r>
    </w:p>
    <w:p w14:paraId="75B3E9F3" w14:textId="4430FABA" w:rsidR="00F33B92" w:rsidRPr="00F33B92" w:rsidRDefault="00F33B92" w:rsidP="00F33B92">
      <w:pPr>
        <w:spacing w:line="480" w:lineRule="auto"/>
        <w:rPr>
          <w:sz w:val="24"/>
          <w:szCs w:val="24"/>
        </w:rPr>
      </w:pPr>
      <w:r w:rsidRPr="00F33B92">
        <w:rPr>
          <w:sz w:val="24"/>
          <w:szCs w:val="24"/>
        </w:rPr>
        <w:t>Starter cultures of the NMOHB were grown</w:t>
      </w:r>
      <w:r w:rsidR="00386772">
        <w:rPr>
          <w:sz w:val="24"/>
          <w:szCs w:val="24"/>
        </w:rPr>
        <w:t xml:space="preserve"> statically</w:t>
      </w:r>
      <w:r w:rsidRPr="00F33B92">
        <w:rPr>
          <w:sz w:val="24"/>
          <w:szCs w:val="24"/>
        </w:rPr>
        <w:t xml:space="preserve"> in 100 mL of modified nitrate mineral salts (NMS) media with 0.1% peptones. The starter culture of </w:t>
      </w:r>
      <w:r w:rsidRPr="00F33B92">
        <w:rPr>
          <w:i/>
          <w:iCs/>
          <w:sz w:val="24"/>
          <w:szCs w:val="24"/>
        </w:rPr>
        <w:t xml:space="preserve">M. trichosporium </w:t>
      </w:r>
      <w:r w:rsidRPr="00F33B92">
        <w:rPr>
          <w:sz w:val="24"/>
          <w:szCs w:val="24"/>
        </w:rPr>
        <w:t>OB3b was grown in 100 mL of modified NMS media with 10% CH</w:t>
      </w:r>
      <w:r w:rsidRPr="00F33B92">
        <w:rPr>
          <w:sz w:val="24"/>
          <w:szCs w:val="24"/>
          <w:vertAlign w:val="subscript"/>
        </w:rPr>
        <w:t>4</w:t>
      </w:r>
      <w:r w:rsidRPr="00F33B92">
        <w:rPr>
          <w:sz w:val="24"/>
          <w:szCs w:val="24"/>
        </w:rPr>
        <w:t xml:space="preserve"> in air in a 160 mL serum bottle sealed with a butyl rubber stopper. </w:t>
      </w:r>
    </w:p>
    <w:p w14:paraId="648BE539" w14:textId="4F9E3D24" w:rsidR="00F33B92" w:rsidRPr="00F33B92" w:rsidRDefault="00F33B92" w:rsidP="00F33B92">
      <w:pPr>
        <w:spacing w:line="480" w:lineRule="auto"/>
        <w:rPr>
          <w:sz w:val="24"/>
          <w:szCs w:val="24"/>
        </w:rPr>
      </w:pPr>
      <w:r w:rsidRPr="00F33B92">
        <w:rPr>
          <w:sz w:val="24"/>
          <w:szCs w:val="24"/>
        </w:rPr>
        <w:t>The modified NMS medium contains (per liter of distilled water) 1 g KNO</w:t>
      </w:r>
      <w:r w:rsidRPr="00F33B92">
        <w:rPr>
          <w:sz w:val="24"/>
          <w:szCs w:val="24"/>
          <w:vertAlign w:val="subscript"/>
        </w:rPr>
        <w:t>3</w:t>
      </w:r>
      <w:r w:rsidRPr="00F33B92">
        <w:rPr>
          <w:sz w:val="24"/>
          <w:szCs w:val="24"/>
        </w:rPr>
        <w:t>, 0.27 g KH</w:t>
      </w:r>
      <w:r w:rsidRPr="00F33B92">
        <w:rPr>
          <w:sz w:val="24"/>
          <w:szCs w:val="24"/>
          <w:vertAlign w:val="subscript"/>
        </w:rPr>
        <w:t>2</w:t>
      </w:r>
      <w:r w:rsidRPr="00F33B92">
        <w:rPr>
          <w:sz w:val="24"/>
          <w:szCs w:val="24"/>
        </w:rPr>
        <w:t>PO</w:t>
      </w:r>
      <w:r w:rsidRPr="00F33B92">
        <w:rPr>
          <w:sz w:val="24"/>
          <w:szCs w:val="24"/>
          <w:vertAlign w:val="subscript"/>
        </w:rPr>
        <w:t>4</w:t>
      </w:r>
      <w:r w:rsidRPr="00F33B92">
        <w:rPr>
          <w:sz w:val="24"/>
          <w:szCs w:val="24"/>
        </w:rPr>
        <w:t>, 1 g MgSO</w:t>
      </w:r>
      <w:r w:rsidRPr="00F33B92">
        <w:rPr>
          <w:sz w:val="24"/>
          <w:szCs w:val="24"/>
          <w:vertAlign w:val="subscript"/>
        </w:rPr>
        <w:t>4</w:t>
      </w:r>
      <w:r w:rsidRPr="00F33B92">
        <w:rPr>
          <w:sz w:val="24"/>
          <w:szCs w:val="24"/>
        </w:rPr>
        <w:t xml:space="preserve"> · 7H</w:t>
      </w:r>
      <w:r w:rsidRPr="00F33B92">
        <w:rPr>
          <w:sz w:val="24"/>
          <w:szCs w:val="24"/>
          <w:vertAlign w:val="subscript"/>
        </w:rPr>
        <w:t>2</w:t>
      </w:r>
      <w:r w:rsidRPr="00F33B92">
        <w:rPr>
          <w:sz w:val="24"/>
          <w:szCs w:val="24"/>
        </w:rPr>
        <w:t>O, 0.14 g CaCl</w:t>
      </w:r>
      <w:r w:rsidRPr="00F33B92">
        <w:rPr>
          <w:sz w:val="24"/>
          <w:szCs w:val="24"/>
          <w:vertAlign w:val="subscript"/>
        </w:rPr>
        <w:t>2</w:t>
      </w:r>
      <w:r w:rsidRPr="00F33B92">
        <w:rPr>
          <w:sz w:val="24"/>
          <w:szCs w:val="24"/>
        </w:rPr>
        <w:t xml:space="preserve"> · 2H</w:t>
      </w:r>
      <w:r w:rsidRPr="00F33B92">
        <w:rPr>
          <w:sz w:val="24"/>
          <w:szCs w:val="24"/>
          <w:vertAlign w:val="subscript"/>
        </w:rPr>
        <w:t>2</w:t>
      </w:r>
      <w:r w:rsidRPr="00F33B92">
        <w:rPr>
          <w:sz w:val="24"/>
          <w:szCs w:val="24"/>
        </w:rPr>
        <w:t>O, and 0.23 g Na</w:t>
      </w:r>
      <w:r w:rsidRPr="00F33B92">
        <w:rPr>
          <w:sz w:val="24"/>
          <w:szCs w:val="24"/>
          <w:vertAlign w:val="subscript"/>
        </w:rPr>
        <w:t>2</w:t>
      </w:r>
      <w:r w:rsidRPr="00F33B92">
        <w:rPr>
          <w:sz w:val="24"/>
          <w:szCs w:val="24"/>
        </w:rPr>
        <w:t>HPO</w:t>
      </w:r>
      <w:r w:rsidRPr="00F33B92">
        <w:rPr>
          <w:sz w:val="24"/>
          <w:szCs w:val="24"/>
          <w:vertAlign w:val="subscript"/>
        </w:rPr>
        <w:t>4</w:t>
      </w:r>
      <w:r w:rsidRPr="00F33B92">
        <w:rPr>
          <w:sz w:val="24"/>
          <w:szCs w:val="24"/>
        </w:rPr>
        <w:t xml:space="preserve">, 0.5% (v/v) acidic trace element </w:t>
      </w:r>
      <w:r w:rsidRPr="00F33B92">
        <w:rPr>
          <w:sz w:val="24"/>
          <w:szCs w:val="24"/>
        </w:rPr>
        <w:lastRenderedPageBreak/>
        <w:t>solution (AcTES), and 0.02% alkaline trace element solution (AlTES). AcTES contains (per liter), 2 g FeSO</w:t>
      </w:r>
      <w:r w:rsidRPr="00F33B92">
        <w:rPr>
          <w:sz w:val="24"/>
          <w:szCs w:val="24"/>
          <w:vertAlign w:val="subscript"/>
        </w:rPr>
        <w:t>4</w:t>
      </w:r>
      <w:r w:rsidRPr="00F33B92">
        <w:rPr>
          <w:sz w:val="24"/>
          <w:szCs w:val="24"/>
        </w:rPr>
        <w:t xml:space="preserve"> · 7H</w:t>
      </w:r>
      <w:r w:rsidRPr="00F33B92">
        <w:rPr>
          <w:sz w:val="24"/>
          <w:szCs w:val="24"/>
          <w:vertAlign w:val="subscript"/>
        </w:rPr>
        <w:t>2</w:t>
      </w:r>
      <w:r w:rsidRPr="00F33B92">
        <w:rPr>
          <w:sz w:val="24"/>
          <w:szCs w:val="24"/>
        </w:rPr>
        <w:t>O, 0.07 g ZnSO</w:t>
      </w:r>
      <w:r w:rsidRPr="00F33B92">
        <w:rPr>
          <w:sz w:val="24"/>
          <w:szCs w:val="24"/>
          <w:vertAlign w:val="subscript"/>
        </w:rPr>
        <w:t>4</w:t>
      </w:r>
      <w:r w:rsidRPr="00F33B92">
        <w:rPr>
          <w:sz w:val="24"/>
          <w:szCs w:val="24"/>
        </w:rPr>
        <w:t xml:space="preserve"> · 7H</w:t>
      </w:r>
      <w:r w:rsidRPr="00F33B92">
        <w:rPr>
          <w:sz w:val="24"/>
          <w:szCs w:val="24"/>
          <w:vertAlign w:val="subscript"/>
        </w:rPr>
        <w:t>2</w:t>
      </w:r>
      <w:r w:rsidRPr="00F33B92">
        <w:rPr>
          <w:sz w:val="24"/>
          <w:szCs w:val="24"/>
        </w:rPr>
        <w:t>O, 0.5 g MnCl</w:t>
      </w:r>
      <w:r w:rsidRPr="00F33B92">
        <w:rPr>
          <w:sz w:val="24"/>
          <w:szCs w:val="24"/>
          <w:vertAlign w:val="subscript"/>
        </w:rPr>
        <w:t>2</w:t>
      </w:r>
      <w:r w:rsidRPr="00F33B92">
        <w:rPr>
          <w:sz w:val="24"/>
          <w:szCs w:val="24"/>
        </w:rPr>
        <w:t xml:space="preserve"> · 4H</w:t>
      </w:r>
      <w:r w:rsidRPr="00F33B92">
        <w:rPr>
          <w:sz w:val="24"/>
          <w:szCs w:val="24"/>
          <w:vertAlign w:val="subscript"/>
        </w:rPr>
        <w:t>2</w:t>
      </w:r>
      <w:r w:rsidRPr="00F33B92">
        <w:rPr>
          <w:sz w:val="24"/>
          <w:szCs w:val="24"/>
        </w:rPr>
        <w:t>O, 0.12 g CoCl</w:t>
      </w:r>
      <w:r w:rsidRPr="00F33B92">
        <w:rPr>
          <w:sz w:val="24"/>
          <w:szCs w:val="24"/>
          <w:vertAlign w:val="subscript"/>
        </w:rPr>
        <w:t>2</w:t>
      </w:r>
      <w:r w:rsidRPr="00F33B92">
        <w:rPr>
          <w:sz w:val="24"/>
          <w:szCs w:val="24"/>
        </w:rPr>
        <w:t xml:space="preserve"> · 6H</w:t>
      </w:r>
      <w:r w:rsidRPr="00F33B92">
        <w:rPr>
          <w:sz w:val="24"/>
          <w:szCs w:val="24"/>
          <w:vertAlign w:val="subscript"/>
        </w:rPr>
        <w:t>2</w:t>
      </w:r>
      <w:r w:rsidRPr="00F33B92">
        <w:rPr>
          <w:sz w:val="24"/>
          <w:szCs w:val="24"/>
        </w:rPr>
        <w:t>O, 0.01 g NiCl</w:t>
      </w:r>
      <w:r w:rsidRPr="00F33B92">
        <w:rPr>
          <w:sz w:val="24"/>
          <w:szCs w:val="24"/>
          <w:vertAlign w:val="subscript"/>
        </w:rPr>
        <w:t>2</w:t>
      </w:r>
      <w:r w:rsidRPr="00F33B92">
        <w:rPr>
          <w:sz w:val="24"/>
          <w:szCs w:val="24"/>
        </w:rPr>
        <w:t xml:space="preserve"> · 6H2O, 0.5 g CuSO</w:t>
      </w:r>
      <w:r w:rsidRPr="00F33B92">
        <w:rPr>
          <w:sz w:val="24"/>
          <w:szCs w:val="24"/>
          <w:vertAlign w:val="subscript"/>
        </w:rPr>
        <w:t>4</w:t>
      </w:r>
      <w:r w:rsidRPr="00F33B92">
        <w:rPr>
          <w:sz w:val="24"/>
          <w:szCs w:val="24"/>
        </w:rPr>
        <w:t>, 0.01 g H</w:t>
      </w:r>
      <w:r w:rsidRPr="00F33B92">
        <w:rPr>
          <w:sz w:val="24"/>
          <w:szCs w:val="24"/>
          <w:vertAlign w:val="subscript"/>
        </w:rPr>
        <w:t>3</w:t>
      </w:r>
      <w:r w:rsidRPr="00F33B92">
        <w:rPr>
          <w:sz w:val="24"/>
          <w:szCs w:val="24"/>
        </w:rPr>
        <w:t>BO</w:t>
      </w:r>
      <w:r w:rsidRPr="00F33B92">
        <w:rPr>
          <w:sz w:val="24"/>
          <w:szCs w:val="24"/>
          <w:vertAlign w:val="subscript"/>
        </w:rPr>
        <w:t>3</w:t>
      </w:r>
      <w:r w:rsidRPr="00F33B92">
        <w:rPr>
          <w:sz w:val="24"/>
          <w:szCs w:val="24"/>
        </w:rPr>
        <w:t>, 0.06 g LaNO</w:t>
      </w:r>
      <w:r w:rsidRPr="00F33B92">
        <w:rPr>
          <w:sz w:val="24"/>
          <w:szCs w:val="24"/>
          <w:vertAlign w:val="subscript"/>
        </w:rPr>
        <w:t>3</w:t>
      </w:r>
      <w:r w:rsidRPr="00F33B92">
        <w:rPr>
          <w:sz w:val="24"/>
          <w:szCs w:val="24"/>
        </w:rPr>
        <w:t>, 0.06 g CeNO</w:t>
      </w:r>
      <w:r w:rsidRPr="00F33B92">
        <w:rPr>
          <w:sz w:val="24"/>
          <w:szCs w:val="24"/>
          <w:vertAlign w:val="subscript"/>
        </w:rPr>
        <w:t>3</w:t>
      </w:r>
      <w:r w:rsidRPr="00F33B92">
        <w:rPr>
          <w:sz w:val="24"/>
          <w:szCs w:val="24"/>
        </w:rPr>
        <w:t>, and 100 mM HCl. The AlTES contains (per liter) 0.11 g Na</w:t>
      </w:r>
      <w:r w:rsidRPr="00F33B92">
        <w:rPr>
          <w:sz w:val="24"/>
          <w:szCs w:val="24"/>
          <w:vertAlign w:val="subscript"/>
        </w:rPr>
        <w:t>2</w:t>
      </w:r>
      <w:r w:rsidRPr="00F33B92">
        <w:rPr>
          <w:sz w:val="24"/>
          <w:szCs w:val="24"/>
        </w:rPr>
        <w:t>SeO</w:t>
      </w:r>
      <w:r w:rsidRPr="00F33B92">
        <w:rPr>
          <w:sz w:val="24"/>
          <w:szCs w:val="24"/>
          <w:vertAlign w:val="subscript"/>
        </w:rPr>
        <w:t>4</w:t>
      </w:r>
      <w:r w:rsidRPr="00F33B92">
        <w:rPr>
          <w:sz w:val="24"/>
          <w:szCs w:val="24"/>
        </w:rPr>
        <w:t>, 0.05 g Na</w:t>
      </w:r>
      <w:r w:rsidRPr="00F33B92">
        <w:rPr>
          <w:sz w:val="24"/>
          <w:szCs w:val="24"/>
          <w:vertAlign w:val="subscript"/>
        </w:rPr>
        <w:t>2</w:t>
      </w:r>
      <w:r w:rsidRPr="00F33B92">
        <w:rPr>
          <w:sz w:val="24"/>
          <w:szCs w:val="24"/>
        </w:rPr>
        <w:t>WO</w:t>
      </w:r>
      <w:r w:rsidRPr="00F33B92">
        <w:rPr>
          <w:sz w:val="24"/>
          <w:szCs w:val="24"/>
          <w:vertAlign w:val="subscript"/>
        </w:rPr>
        <w:t>4</w:t>
      </w:r>
      <w:r w:rsidRPr="00F33B92">
        <w:rPr>
          <w:sz w:val="24"/>
          <w:szCs w:val="24"/>
        </w:rPr>
        <w:t>, 0.29 g Na</w:t>
      </w:r>
      <w:r w:rsidRPr="00F33B92">
        <w:rPr>
          <w:sz w:val="24"/>
          <w:szCs w:val="24"/>
          <w:vertAlign w:val="subscript"/>
        </w:rPr>
        <w:t>2</w:t>
      </w:r>
      <w:r w:rsidRPr="00F33B92">
        <w:rPr>
          <w:sz w:val="24"/>
          <w:szCs w:val="24"/>
        </w:rPr>
        <w:t>MoO</w:t>
      </w:r>
      <w:r w:rsidRPr="00F33B92">
        <w:rPr>
          <w:sz w:val="24"/>
          <w:szCs w:val="24"/>
          <w:vertAlign w:val="subscript"/>
        </w:rPr>
        <w:t>4</w:t>
      </w:r>
      <w:r w:rsidRPr="00F33B92">
        <w:rPr>
          <w:sz w:val="24"/>
          <w:szCs w:val="24"/>
        </w:rPr>
        <w:t xml:space="preserve">, and 0.04 g NaOH. </w:t>
      </w:r>
    </w:p>
    <w:p w14:paraId="340B8902" w14:textId="311D4FF5" w:rsidR="00F33B92" w:rsidRPr="00F33B92" w:rsidRDefault="00F33B92" w:rsidP="00F33B92">
      <w:pPr>
        <w:spacing w:line="480" w:lineRule="auto"/>
        <w:rPr>
          <w:sz w:val="24"/>
          <w:szCs w:val="24"/>
        </w:rPr>
      </w:pPr>
      <w:r w:rsidRPr="347D99D0">
        <w:rPr>
          <w:sz w:val="24"/>
          <w:szCs w:val="24"/>
        </w:rPr>
        <w:t xml:space="preserve">Starter cultures of the </w:t>
      </w:r>
      <w:r w:rsidR="009B0281">
        <w:rPr>
          <w:sz w:val="24"/>
          <w:szCs w:val="24"/>
        </w:rPr>
        <w:t>co-culture</w:t>
      </w:r>
      <w:r w:rsidRPr="347D99D0">
        <w:rPr>
          <w:sz w:val="24"/>
          <w:szCs w:val="24"/>
        </w:rPr>
        <w:t xml:space="preserve">s were established by adding together </w:t>
      </w:r>
      <w:r w:rsidR="00C21D69" w:rsidRPr="347D99D0">
        <w:rPr>
          <w:sz w:val="24"/>
          <w:szCs w:val="24"/>
        </w:rPr>
        <w:t xml:space="preserve">a stationary phase culture </w:t>
      </w:r>
      <w:r w:rsidRPr="347D99D0">
        <w:rPr>
          <w:sz w:val="24"/>
          <w:szCs w:val="24"/>
        </w:rPr>
        <w:t xml:space="preserve">of one of the NMOHB, either the </w:t>
      </w:r>
      <w:r w:rsidRPr="347D99D0">
        <w:rPr>
          <w:i/>
          <w:iCs/>
          <w:sz w:val="24"/>
          <w:szCs w:val="24"/>
        </w:rPr>
        <w:t xml:space="preserve">Flavobacterium </w:t>
      </w:r>
      <w:r w:rsidRPr="347D99D0">
        <w:rPr>
          <w:sz w:val="24"/>
          <w:szCs w:val="24"/>
        </w:rPr>
        <w:t xml:space="preserve">sp. HC, </w:t>
      </w:r>
      <w:r w:rsidRPr="347D99D0">
        <w:rPr>
          <w:i/>
          <w:iCs/>
          <w:sz w:val="24"/>
          <w:szCs w:val="24"/>
        </w:rPr>
        <w:t xml:space="preserve">Pseudomonas chlororaphis </w:t>
      </w:r>
      <w:r w:rsidRPr="347D99D0">
        <w:rPr>
          <w:sz w:val="24"/>
          <w:szCs w:val="24"/>
        </w:rPr>
        <w:t xml:space="preserve">HC, or </w:t>
      </w:r>
      <w:r w:rsidRPr="347D99D0">
        <w:rPr>
          <w:i/>
          <w:iCs/>
          <w:sz w:val="24"/>
          <w:szCs w:val="24"/>
        </w:rPr>
        <w:t xml:space="preserve">Cupriavidus </w:t>
      </w:r>
      <w:r w:rsidRPr="347D99D0">
        <w:rPr>
          <w:sz w:val="24"/>
          <w:szCs w:val="24"/>
        </w:rPr>
        <w:t>sp.</w:t>
      </w:r>
      <w:r w:rsidRPr="347D99D0">
        <w:rPr>
          <w:i/>
          <w:iCs/>
          <w:sz w:val="24"/>
          <w:szCs w:val="24"/>
        </w:rPr>
        <w:t xml:space="preserve"> </w:t>
      </w:r>
      <w:r w:rsidRPr="347D99D0">
        <w:rPr>
          <w:sz w:val="24"/>
          <w:szCs w:val="24"/>
        </w:rPr>
        <w:t>HC with</w:t>
      </w:r>
      <w:r w:rsidRPr="347D99D0">
        <w:rPr>
          <w:i/>
          <w:iCs/>
          <w:sz w:val="24"/>
          <w:szCs w:val="24"/>
        </w:rPr>
        <w:t xml:space="preserve"> </w:t>
      </w:r>
      <w:r w:rsidR="00C21D69" w:rsidRPr="007D3DBA">
        <w:rPr>
          <w:sz w:val="24"/>
          <w:szCs w:val="24"/>
        </w:rPr>
        <w:t>a stationary phase culture of</w:t>
      </w:r>
      <w:r w:rsidR="00C21D69" w:rsidRPr="347D99D0">
        <w:rPr>
          <w:i/>
          <w:iCs/>
          <w:sz w:val="24"/>
          <w:szCs w:val="24"/>
        </w:rPr>
        <w:t xml:space="preserve"> </w:t>
      </w:r>
      <w:r w:rsidRPr="347D99D0">
        <w:rPr>
          <w:i/>
          <w:iCs/>
          <w:sz w:val="24"/>
          <w:szCs w:val="24"/>
        </w:rPr>
        <w:t>M. trichosporium</w:t>
      </w:r>
      <w:r w:rsidRPr="347D99D0">
        <w:rPr>
          <w:sz w:val="24"/>
          <w:szCs w:val="24"/>
        </w:rPr>
        <w:t xml:space="preserve"> OB3b cells in a 1:1 (v:v) ratio in modified NMS at a 1% inoculum.  Cells were grown together </w:t>
      </w:r>
      <w:r w:rsidR="00386772">
        <w:rPr>
          <w:sz w:val="24"/>
          <w:szCs w:val="24"/>
        </w:rPr>
        <w:t xml:space="preserve">statically </w:t>
      </w:r>
      <w:r w:rsidRPr="347D99D0">
        <w:rPr>
          <w:sz w:val="24"/>
          <w:szCs w:val="24"/>
        </w:rPr>
        <w:t>in 100 mL of modified NMS media in 160 mL serum bottles with butyl rubber stoppers and a headspace gas mixture of 10% CH</w:t>
      </w:r>
      <w:r w:rsidRPr="347D99D0">
        <w:rPr>
          <w:sz w:val="24"/>
          <w:szCs w:val="24"/>
          <w:vertAlign w:val="subscript"/>
        </w:rPr>
        <w:t>4</w:t>
      </w:r>
      <w:r w:rsidRPr="347D99D0">
        <w:rPr>
          <w:sz w:val="24"/>
          <w:szCs w:val="24"/>
        </w:rPr>
        <w:t xml:space="preserve"> in air. Prior to inoculation into the </w:t>
      </w:r>
      <w:r w:rsidR="009B0281">
        <w:rPr>
          <w:sz w:val="24"/>
          <w:szCs w:val="24"/>
        </w:rPr>
        <w:t>co-culture</w:t>
      </w:r>
      <w:r w:rsidRPr="347D99D0">
        <w:rPr>
          <w:sz w:val="24"/>
          <w:szCs w:val="24"/>
        </w:rPr>
        <w:t xml:space="preserve"> system, the NMOHB cells were washed 2X with modified NMS media by pelleting cells via centrifugation at 10,000 rpm for 10 minutes, discarding old media, and resuspending the cell pellet in fresh modified NMS media.  Starter cultures of the </w:t>
      </w:r>
      <w:r w:rsidR="009B0281">
        <w:rPr>
          <w:sz w:val="24"/>
          <w:szCs w:val="24"/>
        </w:rPr>
        <w:t>co-culture</w:t>
      </w:r>
      <w:r w:rsidRPr="347D99D0">
        <w:rPr>
          <w:sz w:val="24"/>
          <w:szCs w:val="24"/>
        </w:rPr>
        <w:t>s were monitored for methane depletion by gas chromatography on a Shimadzu GC-14A gas chromatograph (Shimadzu, Japan) and after 70-80% of the CH</w:t>
      </w:r>
      <w:r w:rsidRPr="347D99D0">
        <w:rPr>
          <w:sz w:val="24"/>
          <w:szCs w:val="24"/>
          <w:vertAlign w:val="subscript"/>
        </w:rPr>
        <w:t>4</w:t>
      </w:r>
      <w:r w:rsidRPr="347D99D0">
        <w:rPr>
          <w:sz w:val="24"/>
          <w:szCs w:val="24"/>
        </w:rPr>
        <w:t xml:space="preserve"> was used, a 5% inoculum was transferred to 500 mL of modified NMS media in 1 L stoppered bottles in triplicate, leaving 500 mL of available gas headspace with the same headspace gas composition as the starter cultures. Newly established experimental </w:t>
      </w:r>
      <w:r w:rsidR="009B0281">
        <w:rPr>
          <w:sz w:val="24"/>
          <w:szCs w:val="24"/>
        </w:rPr>
        <w:t>co-culture</w:t>
      </w:r>
      <w:r w:rsidRPr="347D99D0">
        <w:rPr>
          <w:sz w:val="24"/>
          <w:szCs w:val="24"/>
        </w:rPr>
        <w:t xml:space="preserve">s were incubated at 28 </w:t>
      </w:r>
      <w:r w:rsidRPr="347D99D0">
        <w:rPr>
          <w:rFonts w:eastAsia="Symbol"/>
          <w:sz w:val="24"/>
          <w:szCs w:val="24"/>
        </w:rPr>
        <w:t>°</w:t>
      </w:r>
      <w:r w:rsidRPr="347D99D0">
        <w:rPr>
          <w:sz w:val="24"/>
          <w:szCs w:val="24"/>
        </w:rPr>
        <w:t>C without shaking and methane depletion was measured.  Methane oxidation rates (MOR) were calculated as MOR=ln(∆[CH</w:t>
      </w:r>
      <w:r w:rsidRPr="347D99D0">
        <w:rPr>
          <w:sz w:val="24"/>
          <w:szCs w:val="24"/>
          <w:vertAlign w:val="subscript"/>
        </w:rPr>
        <w:t>4</w:t>
      </w:r>
      <w:r w:rsidRPr="347D99D0">
        <w:rPr>
          <w:sz w:val="24"/>
          <w:szCs w:val="24"/>
        </w:rPr>
        <w:t>])/ln(∆</w:t>
      </w:r>
      <w:r w:rsidRPr="347D99D0">
        <w:rPr>
          <w:i/>
          <w:iCs/>
          <w:sz w:val="24"/>
          <w:szCs w:val="24"/>
        </w:rPr>
        <w:t>t</w:t>
      </w:r>
      <w:r w:rsidRPr="347D99D0">
        <w:rPr>
          <w:sz w:val="24"/>
          <w:szCs w:val="24"/>
        </w:rPr>
        <w:t>). This is the slope of the natural log of the methane depletion curve where [CH</w:t>
      </w:r>
      <w:r w:rsidRPr="347D99D0">
        <w:rPr>
          <w:sz w:val="24"/>
          <w:szCs w:val="24"/>
          <w:vertAlign w:val="subscript"/>
        </w:rPr>
        <w:t>4</w:t>
      </w:r>
      <w:r w:rsidRPr="347D99D0">
        <w:rPr>
          <w:sz w:val="24"/>
          <w:szCs w:val="24"/>
        </w:rPr>
        <w:t>] is the molar concentration of CH</w:t>
      </w:r>
      <w:r w:rsidRPr="347D99D0">
        <w:rPr>
          <w:sz w:val="24"/>
          <w:szCs w:val="24"/>
          <w:vertAlign w:val="subscript"/>
        </w:rPr>
        <w:t>4</w:t>
      </w:r>
      <w:r w:rsidRPr="347D99D0">
        <w:rPr>
          <w:sz w:val="24"/>
          <w:szCs w:val="24"/>
        </w:rPr>
        <w:t xml:space="preserve"> and </w:t>
      </w:r>
      <w:r w:rsidRPr="347D99D0">
        <w:rPr>
          <w:i/>
          <w:iCs/>
          <w:sz w:val="24"/>
          <w:szCs w:val="24"/>
        </w:rPr>
        <w:t>t</w:t>
      </w:r>
      <w:r w:rsidRPr="347D99D0">
        <w:rPr>
          <w:sz w:val="24"/>
          <w:szCs w:val="24"/>
        </w:rPr>
        <w:t xml:space="preserve"> is time elapsed in hours. Cells in each condition were harvested in late log phase by centrifugation for 20 minutes at 4 </w:t>
      </w:r>
      <w:r w:rsidRPr="347D99D0">
        <w:rPr>
          <w:rFonts w:eastAsia="Symbol"/>
          <w:sz w:val="24"/>
          <w:szCs w:val="24"/>
        </w:rPr>
        <w:t>°</w:t>
      </w:r>
      <w:r w:rsidRPr="347D99D0">
        <w:rPr>
          <w:sz w:val="24"/>
          <w:szCs w:val="24"/>
        </w:rPr>
        <w:t xml:space="preserve">C and 4000 </w:t>
      </w:r>
      <w:r w:rsidR="00386772">
        <w:rPr>
          <w:sz w:val="24"/>
          <w:szCs w:val="24"/>
        </w:rPr>
        <w:t>X g</w:t>
      </w:r>
      <w:r w:rsidRPr="347D99D0">
        <w:rPr>
          <w:sz w:val="24"/>
          <w:szCs w:val="24"/>
        </w:rPr>
        <w:t xml:space="preserve"> using an Eppendorf 5910 centrifuge. The </w:t>
      </w:r>
      <w:r w:rsidRPr="347D99D0">
        <w:rPr>
          <w:sz w:val="24"/>
          <w:szCs w:val="24"/>
        </w:rPr>
        <w:lastRenderedPageBreak/>
        <w:t xml:space="preserve">MOR was measured and compared to </w:t>
      </w:r>
      <w:r w:rsidRPr="347D99D0">
        <w:rPr>
          <w:i/>
          <w:iCs/>
          <w:sz w:val="24"/>
          <w:szCs w:val="24"/>
        </w:rPr>
        <w:t xml:space="preserve">M. trichosporium </w:t>
      </w:r>
      <w:r w:rsidRPr="347D99D0">
        <w:rPr>
          <w:sz w:val="24"/>
          <w:szCs w:val="24"/>
        </w:rPr>
        <w:t xml:space="preserve">OB3b growing in monoculture under the same conditions. The </w:t>
      </w:r>
      <w:r w:rsidR="009B0281">
        <w:rPr>
          <w:sz w:val="24"/>
          <w:szCs w:val="24"/>
        </w:rPr>
        <w:t>co-culture</w:t>
      </w:r>
      <w:r w:rsidRPr="347D99D0">
        <w:rPr>
          <w:sz w:val="24"/>
          <w:szCs w:val="24"/>
        </w:rPr>
        <w:t>s of OB3b and NMOHB, the OB3b monoculture, and each of the NMOHB grown in modified NMS media with 0.1% peptones were further subjected to transcriptomic analysis as described below. The NMOHB grown in peptones was used as a reference for how that strain may alter its growth when growing in a CH</w:t>
      </w:r>
      <w:r w:rsidRPr="347D99D0">
        <w:rPr>
          <w:sz w:val="24"/>
          <w:szCs w:val="24"/>
          <w:vertAlign w:val="subscript"/>
        </w:rPr>
        <w:t>4</w:t>
      </w:r>
      <w:r w:rsidRPr="347D99D0">
        <w:rPr>
          <w:sz w:val="24"/>
          <w:szCs w:val="24"/>
        </w:rPr>
        <w:t xml:space="preserve"> oxidizing system versus with peptones.</w:t>
      </w:r>
    </w:p>
    <w:p w14:paraId="3993CDF8" w14:textId="36CCBBF2" w:rsidR="00F33B92" w:rsidRPr="00F33B92" w:rsidRDefault="00F33B92" w:rsidP="006E624A">
      <w:pPr>
        <w:pStyle w:val="Heading4"/>
      </w:pPr>
      <w:r w:rsidRPr="00F33B92">
        <w:t xml:space="preserve">Heterotrophic Plate Counts to Determine Growth of NMOHB in </w:t>
      </w:r>
      <w:r w:rsidR="007D3DBA">
        <w:t>Methane-</w:t>
      </w:r>
      <w:r w:rsidR="00224D46">
        <w:t>O</w:t>
      </w:r>
      <w:r w:rsidR="007D3DBA">
        <w:t>xidizing</w:t>
      </w:r>
      <w:r w:rsidRPr="00F33B92">
        <w:t xml:space="preserve"> Cultures</w:t>
      </w:r>
    </w:p>
    <w:p w14:paraId="2F6C2BE9" w14:textId="0FD246B5" w:rsidR="00F33B92" w:rsidRDefault="003419FB" w:rsidP="00F33B92">
      <w:pPr>
        <w:spacing w:line="480" w:lineRule="auto"/>
        <w:rPr>
          <w:sz w:val="24"/>
          <w:szCs w:val="24"/>
        </w:rPr>
      </w:pPr>
      <w:r>
        <w:rPr>
          <w:sz w:val="24"/>
          <w:szCs w:val="24"/>
        </w:rPr>
        <w:t>Heterotrophic plate counts were used to</w:t>
      </w:r>
      <w:r w:rsidR="00F33B92" w:rsidRPr="00F33B92">
        <w:rPr>
          <w:sz w:val="24"/>
          <w:szCs w:val="24"/>
        </w:rPr>
        <w:t xml:space="preserve"> determine if the NMOHB were growing in </w:t>
      </w:r>
      <w:r w:rsidR="009B0281">
        <w:rPr>
          <w:sz w:val="24"/>
          <w:szCs w:val="24"/>
        </w:rPr>
        <w:t>co-culture</w:t>
      </w:r>
      <w:r w:rsidR="00F33B92" w:rsidRPr="00F33B92">
        <w:rPr>
          <w:sz w:val="24"/>
          <w:szCs w:val="24"/>
        </w:rPr>
        <w:t xml:space="preserve"> where only CH</w:t>
      </w:r>
      <w:r w:rsidR="00F33B92" w:rsidRPr="00F33B92">
        <w:rPr>
          <w:sz w:val="24"/>
          <w:szCs w:val="24"/>
          <w:vertAlign w:val="subscript"/>
        </w:rPr>
        <w:t xml:space="preserve">4 </w:t>
      </w:r>
      <w:r w:rsidR="00F33B92" w:rsidRPr="00F33B92">
        <w:rPr>
          <w:sz w:val="24"/>
          <w:szCs w:val="24"/>
        </w:rPr>
        <w:t xml:space="preserve">was present as a carbon source, </w:t>
      </w:r>
      <w:r>
        <w:rPr>
          <w:sz w:val="24"/>
          <w:szCs w:val="24"/>
        </w:rPr>
        <w:t>Cells were grown on</w:t>
      </w:r>
      <w:r w:rsidR="00F33B92" w:rsidRPr="00F33B92">
        <w:rPr>
          <w:sz w:val="24"/>
          <w:szCs w:val="24"/>
        </w:rPr>
        <w:t xml:space="preserve"> nutrient agar (for </w:t>
      </w:r>
      <w:r w:rsidR="00F33B92" w:rsidRPr="00F33B92">
        <w:rPr>
          <w:i/>
          <w:sz w:val="24"/>
          <w:szCs w:val="24"/>
        </w:rPr>
        <w:t xml:space="preserve">Pseudomonas </w:t>
      </w:r>
      <w:r w:rsidR="00F33B92" w:rsidRPr="00F33B92">
        <w:rPr>
          <w:iCs/>
          <w:sz w:val="24"/>
          <w:szCs w:val="24"/>
        </w:rPr>
        <w:t xml:space="preserve">and </w:t>
      </w:r>
      <w:r w:rsidR="00F33B92" w:rsidRPr="00F33B92">
        <w:rPr>
          <w:i/>
          <w:sz w:val="24"/>
          <w:szCs w:val="24"/>
        </w:rPr>
        <w:t>Cupriavidus</w:t>
      </w:r>
      <w:r w:rsidR="00F33B92" w:rsidRPr="00F33B92">
        <w:rPr>
          <w:sz w:val="24"/>
          <w:szCs w:val="24"/>
        </w:rPr>
        <w:t xml:space="preserve">) or TSA (for </w:t>
      </w:r>
      <w:r w:rsidR="00F33B92" w:rsidRPr="00F33B92">
        <w:rPr>
          <w:i/>
          <w:iCs/>
          <w:sz w:val="24"/>
          <w:szCs w:val="24"/>
        </w:rPr>
        <w:t>Flavobacterium</w:t>
      </w:r>
      <w:r w:rsidR="00F33B92" w:rsidRPr="00F33B92">
        <w:rPr>
          <w:sz w:val="24"/>
          <w:szCs w:val="24"/>
        </w:rPr>
        <w:t>). Since these media were not incubated in the presence of CH</w:t>
      </w:r>
      <w:r w:rsidR="00F33B92" w:rsidRPr="00F33B92">
        <w:rPr>
          <w:sz w:val="24"/>
          <w:szCs w:val="24"/>
          <w:vertAlign w:val="subscript"/>
        </w:rPr>
        <w:t>4</w:t>
      </w:r>
      <w:r w:rsidR="00F33B92" w:rsidRPr="00F33B92">
        <w:rPr>
          <w:sz w:val="24"/>
          <w:szCs w:val="24"/>
        </w:rPr>
        <w:t xml:space="preserve">, only the NMOHB were able to grow. At the point of inoculation and after 10 days of </w:t>
      </w:r>
      <w:r w:rsidR="009B0281">
        <w:rPr>
          <w:sz w:val="24"/>
          <w:szCs w:val="24"/>
        </w:rPr>
        <w:t>co-culture</w:t>
      </w:r>
      <w:r w:rsidR="00F33B92" w:rsidRPr="00F33B92">
        <w:rPr>
          <w:sz w:val="24"/>
          <w:szCs w:val="24"/>
        </w:rPr>
        <w:t xml:space="preserve"> growth, 1 mL of </w:t>
      </w:r>
      <w:r w:rsidR="009B0281">
        <w:rPr>
          <w:sz w:val="24"/>
          <w:szCs w:val="24"/>
        </w:rPr>
        <w:t>co-culture</w:t>
      </w:r>
      <w:r w:rsidR="00F33B92" w:rsidRPr="00F33B92">
        <w:rPr>
          <w:sz w:val="24"/>
          <w:szCs w:val="24"/>
        </w:rPr>
        <w:t xml:space="preserve"> was diluted in a tenfold dilution series, plated onto the respective solid media in triplicate and incubated at 28 </w:t>
      </w:r>
      <w:r w:rsidR="00F33B92" w:rsidRPr="00F33B92">
        <w:rPr>
          <w:rFonts w:ascii="Symbol" w:eastAsia="Symbol" w:hAnsi="Symbol" w:cs="Symbol"/>
          <w:sz w:val="24"/>
          <w:szCs w:val="24"/>
        </w:rPr>
        <w:t>°</w:t>
      </w:r>
      <w:r w:rsidR="00F33B92" w:rsidRPr="00F33B92">
        <w:rPr>
          <w:sz w:val="24"/>
          <w:szCs w:val="24"/>
        </w:rPr>
        <w:t xml:space="preserve">C. Colonies appearing on the media were counted after 4 days of growth. This method is visualized in </w:t>
      </w:r>
      <w:r w:rsidR="00F33B92" w:rsidRPr="00460B5E">
        <w:rPr>
          <w:b/>
          <w:bCs/>
          <w:sz w:val="24"/>
          <w:szCs w:val="24"/>
        </w:rPr>
        <w:t>Figure 1</w:t>
      </w:r>
      <w:r w:rsidR="00F33B92" w:rsidRPr="00F33B92">
        <w:rPr>
          <w:sz w:val="24"/>
          <w:szCs w:val="24"/>
        </w:rPr>
        <w:t xml:space="preserve">. These plate count data were compared to plate count data from a control where the </w:t>
      </w:r>
      <w:r w:rsidR="009B0281">
        <w:rPr>
          <w:sz w:val="24"/>
          <w:szCs w:val="24"/>
        </w:rPr>
        <w:t>co-culture</w:t>
      </w:r>
      <w:r w:rsidR="00F33B92" w:rsidRPr="00F33B92">
        <w:rPr>
          <w:sz w:val="24"/>
          <w:szCs w:val="24"/>
        </w:rPr>
        <w:t xml:space="preserve"> was established as described above, but no CH</w:t>
      </w:r>
      <w:r w:rsidR="00F33B92" w:rsidRPr="00F33B92">
        <w:rPr>
          <w:sz w:val="24"/>
          <w:szCs w:val="24"/>
          <w:vertAlign w:val="subscript"/>
        </w:rPr>
        <w:t xml:space="preserve">4 </w:t>
      </w:r>
      <w:r w:rsidR="00F33B92" w:rsidRPr="00F33B92">
        <w:rPr>
          <w:sz w:val="24"/>
          <w:szCs w:val="24"/>
        </w:rPr>
        <w:t xml:space="preserve">was added. </w:t>
      </w:r>
    </w:p>
    <w:p w14:paraId="48EDE576" w14:textId="77777777" w:rsidR="00460B5E" w:rsidRDefault="00460B5E" w:rsidP="00F33B92">
      <w:pPr>
        <w:spacing w:line="480" w:lineRule="auto"/>
        <w:rPr>
          <w:sz w:val="24"/>
          <w:szCs w:val="24"/>
        </w:rPr>
      </w:pPr>
    </w:p>
    <w:p w14:paraId="3D8B4374" w14:textId="6AB879E9" w:rsidR="00460B5E" w:rsidRDefault="00E079B6" w:rsidP="00F33B92">
      <w:pPr>
        <w:spacing w:line="480" w:lineRule="auto"/>
        <w:rPr>
          <w:sz w:val="24"/>
          <w:szCs w:val="24"/>
        </w:rPr>
      </w:pPr>
      <w:r>
        <w:rPr>
          <w:noProof/>
          <w:sz w:val="24"/>
          <w:szCs w:val="24"/>
          <w14:ligatures w14:val="standardContextual"/>
        </w:rPr>
        <w:lastRenderedPageBreak/>
        <w:drawing>
          <wp:inline distT="0" distB="0" distL="0" distR="0" wp14:anchorId="4229C77F" wp14:editId="53D950F0">
            <wp:extent cx="5943600" cy="4029710"/>
            <wp:effectExtent l="0" t="0" r="0" b="0"/>
            <wp:docPr id="1450149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49493" name="Picture 1450149493"/>
                    <pic:cNvPicPr/>
                  </pic:nvPicPr>
                  <pic:blipFill>
                    <a:blip r:embed="rId24">
                      <a:extLst>
                        <a:ext uri="{28A0092B-C50C-407E-A947-70E740481C1C}">
                          <a14:useLocalDpi xmlns:a14="http://schemas.microsoft.com/office/drawing/2010/main" val="0"/>
                        </a:ext>
                      </a:extLst>
                    </a:blip>
                    <a:stretch>
                      <a:fillRect/>
                    </a:stretch>
                  </pic:blipFill>
                  <pic:spPr>
                    <a:xfrm>
                      <a:off x="0" y="0"/>
                      <a:ext cx="5943600" cy="4029710"/>
                    </a:xfrm>
                    <a:prstGeom prst="rect">
                      <a:avLst/>
                    </a:prstGeom>
                  </pic:spPr>
                </pic:pic>
              </a:graphicData>
            </a:graphic>
          </wp:inline>
        </w:drawing>
      </w:r>
    </w:p>
    <w:p w14:paraId="5E3A7A2F" w14:textId="60D34F21" w:rsidR="00460B5E" w:rsidRPr="00F33B92" w:rsidRDefault="00044CFD" w:rsidP="006A2F31">
      <w:pPr>
        <w:pStyle w:val="Heading5"/>
      </w:pPr>
      <w:bookmarkStart w:id="81" w:name="_Toc161933735"/>
      <w:bookmarkStart w:id="82" w:name="_Toc161935372"/>
      <w:r>
        <w:t>Figure 1: Visualization of the HPC Method</w:t>
      </w:r>
      <w:bookmarkEnd w:id="81"/>
      <w:bookmarkEnd w:id="82"/>
    </w:p>
    <w:p w14:paraId="63DD5D7D" w14:textId="77777777" w:rsidR="00F33B92" w:rsidRPr="00F33B92" w:rsidRDefault="00F33B92" w:rsidP="006E624A">
      <w:pPr>
        <w:pStyle w:val="Heading4"/>
      </w:pPr>
      <w:r w:rsidRPr="00F33B92">
        <w:t xml:space="preserve">RNA Extraction, Illumina Library Preparation, and Sequencing </w:t>
      </w:r>
    </w:p>
    <w:p w14:paraId="3E586811" w14:textId="77777777" w:rsidR="00F33B92" w:rsidRPr="00F33B92" w:rsidRDefault="00F33B92" w:rsidP="00F33B92">
      <w:pPr>
        <w:spacing w:line="480" w:lineRule="auto"/>
        <w:rPr>
          <w:sz w:val="24"/>
          <w:szCs w:val="24"/>
        </w:rPr>
      </w:pPr>
      <w:r w:rsidRPr="00F33B92">
        <w:rPr>
          <w:sz w:val="24"/>
          <w:szCs w:val="24"/>
        </w:rPr>
        <w:t xml:space="preserve">Cells for RNA extraction were grown and harvested as described above with cell pellets stored at -80 </w:t>
      </w:r>
      <w:r w:rsidRPr="00F33B92">
        <w:rPr>
          <w:rFonts w:eastAsia="Symbol"/>
          <w:sz w:val="24"/>
          <w:szCs w:val="24"/>
        </w:rPr>
        <w:t>°</w:t>
      </w:r>
      <w:r w:rsidRPr="00F33B92">
        <w:rPr>
          <w:sz w:val="24"/>
          <w:szCs w:val="24"/>
        </w:rPr>
        <w:t xml:space="preserve">C.  The Zymo Research Quick-RNA Fungal/Bacterial Miniprep kit was used for RNA extraction. Additional DNase treatments were carried out using the </w:t>
      </w:r>
      <w:r w:rsidRPr="00F33B92">
        <w:rPr>
          <w:color w:val="000000" w:themeColor="text1"/>
          <w:sz w:val="24"/>
          <w:szCs w:val="24"/>
        </w:rPr>
        <w:t>Invitrogen DNase I Amplification Grade</w:t>
      </w:r>
      <w:r w:rsidRPr="00F33B92">
        <w:rPr>
          <w:color w:val="FF0000"/>
          <w:sz w:val="24"/>
          <w:szCs w:val="24"/>
        </w:rPr>
        <w:t xml:space="preserve"> </w:t>
      </w:r>
      <w:r w:rsidRPr="00F33B92">
        <w:rPr>
          <w:sz w:val="24"/>
          <w:szCs w:val="24"/>
        </w:rPr>
        <w:t>treatment kit. Nucleic acid extracts were quantified using a Qubit Fluorometer 2.0 with RNA high specificity and DNA broad range specificity reagent kits.</w:t>
      </w:r>
    </w:p>
    <w:p w14:paraId="0693FCCE" w14:textId="4D64DB34" w:rsidR="00F33B92" w:rsidRPr="00F33B92" w:rsidRDefault="00F33B92" w:rsidP="00F33B92">
      <w:pPr>
        <w:spacing w:line="480" w:lineRule="auto"/>
        <w:rPr>
          <w:sz w:val="24"/>
          <w:szCs w:val="24"/>
        </w:rPr>
      </w:pPr>
      <w:r w:rsidRPr="00F33B92">
        <w:rPr>
          <w:sz w:val="24"/>
          <w:szCs w:val="24"/>
        </w:rPr>
        <w:t xml:space="preserve">Illumina compatible sequencing libraries were prepared for sequencing with the Zymo-Seq RiboFree Total RNA Library Kit (Zymo Research, USA) according to the manufacturer’s specifications. Prior to sequencing, the cDNA library was concentrated using a </w:t>
      </w:r>
      <w:r w:rsidRPr="00F33B92">
        <w:rPr>
          <w:color w:val="000000" w:themeColor="text1"/>
          <w:sz w:val="24"/>
          <w:szCs w:val="24"/>
        </w:rPr>
        <w:t xml:space="preserve">Thermo </w:t>
      </w:r>
      <w:r w:rsidRPr="00F33B92">
        <w:rPr>
          <w:color w:val="000000" w:themeColor="text1"/>
          <w:sz w:val="24"/>
          <w:szCs w:val="24"/>
        </w:rPr>
        <w:lastRenderedPageBreak/>
        <w:t>Scientific Savant DNA120 SpeedVac Concentrator</w:t>
      </w:r>
      <w:r w:rsidRPr="00F33B92">
        <w:rPr>
          <w:sz w:val="24"/>
          <w:szCs w:val="24"/>
        </w:rPr>
        <w:t>, and size selection was carried out using the Agilent 4150 TapeStation System.</w:t>
      </w:r>
      <w:r w:rsidRPr="00F33B92">
        <w:rPr>
          <w:color w:val="FF0000"/>
          <w:sz w:val="24"/>
          <w:szCs w:val="24"/>
        </w:rPr>
        <w:t xml:space="preserve"> </w:t>
      </w:r>
    </w:p>
    <w:p w14:paraId="60B33649" w14:textId="313A3934" w:rsidR="00F33B92" w:rsidRPr="00F33B92" w:rsidRDefault="00F33B92" w:rsidP="00F33B92">
      <w:pPr>
        <w:spacing w:line="480" w:lineRule="auto"/>
        <w:rPr>
          <w:sz w:val="24"/>
          <w:szCs w:val="24"/>
        </w:rPr>
      </w:pPr>
      <w:r w:rsidRPr="00F33B92">
        <w:rPr>
          <w:sz w:val="24"/>
          <w:szCs w:val="24"/>
        </w:rPr>
        <w:t>Sequencing of the final cDNA library was performed at the Oklahoma Medical Research Foundation Center for Clinical Genomics (Oklahoma City, USA) using Illumina NovaSeq 6000 S4 PE150 chemistry.</w:t>
      </w:r>
    </w:p>
    <w:p w14:paraId="56367326" w14:textId="77777777" w:rsidR="00F33B92" w:rsidRPr="00F33B92" w:rsidRDefault="00F33B92" w:rsidP="006E624A">
      <w:pPr>
        <w:pStyle w:val="Heading4"/>
      </w:pPr>
      <w:r w:rsidRPr="00F33B92">
        <w:t xml:space="preserve">Reference Genome Sequencing </w:t>
      </w:r>
    </w:p>
    <w:p w14:paraId="61D7F95D" w14:textId="21B140A1" w:rsidR="00F33B92" w:rsidRPr="00F33B92" w:rsidRDefault="00F33B92" w:rsidP="00F33B92">
      <w:pPr>
        <w:spacing w:line="480" w:lineRule="auto"/>
        <w:rPr>
          <w:sz w:val="24"/>
          <w:szCs w:val="24"/>
        </w:rPr>
      </w:pPr>
      <w:r w:rsidRPr="00F33B92">
        <w:rPr>
          <w:sz w:val="24"/>
          <w:szCs w:val="24"/>
        </w:rPr>
        <w:t xml:space="preserve">Genomic DNA of </w:t>
      </w:r>
      <w:r w:rsidRPr="00F33B92">
        <w:rPr>
          <w:i/>
          <w:iCs/>
          <w:sz w:val="24"/>
          <w:szCs w:val="24"/>
        </w:rPr>
        <w:t xml:space="preserve">P. chlororaphis </w:t>
      </w:r>
      <w:r w:rsidRPr="00F33B92">
        <w:rPr>
          <w:sz w:val="24"/>
          <w:szCs w:val="24"/>
        </w:rPr>
        <w:t xml:space="preserve">HC from a log-phase grown culture grown in liquid TSB at 28 </w:t>
      </w:r>
      <w:r w:rsidRPr="00F33B92">
        <w:rPr>
          <w:rFonts w:ascii="Symbol" w:eastAsia="Symbol" w:hAnsi="Symbol" w:cs="Symbol"/>
          <w:sz w:val="24"/>
          <w:szCs w:val="24"/>
        </w:rPr>
        <w:t>°</w:t>
      </w:r>
      <w:r w:rsidRPr="00F33B92">
        <w:rPr>
          <w:sz w:val="24"/>
          <w:szCs w:val="24"/>
        </w:rPr>
        <w:t xml:space="preserve">C was extracted using the Qiagen DNeasy Blood and Tissue Kit. DNA was fragmented using a QSonica 800R3 sonicator and built into Illumina-compatible shotgun libraries using the KAPA HyperPrep Kit. Shotgun libraries were sequenced on an Illumina MiSeq instrument. Sequence data was processed using fastp v0.23.2 </w:t>
      </w:r>
      <w:r w:rsidRPr="00F33B92">
        <w:rPr>
          <w:sz w:val="24"/>
          <w:szCs w:val="24"/>
        </w:rPr>
        <w:fldChar w:fldCharType="begin"/>
      </w:r>
      <w:r w:rsidRPr="00F33B92">
        <w:rPr>
          <w:sz w:val="24"/>
          <w:szCs w:val="24"/>
        </w:rPr>
        <w:instrText xml:space="preserve"> ADDIN ZOTERO_ITEM CSL_CITATION {"citationID":"HrkD65kS","properties":{"formattedCitation":"(14)","plainCitation":"(14)","noteIndex":0},"citationItems":[{"id":74,"uris":["http://zotero.org/users/11931443/items/9GCYW83G"],"itemData":{"id":74,"type":"article-journal","abstract":"Quality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tools.The open-source code and corresponding instructions are available at https://github.com/OpenGene/fastp.","container-title":"Bioinformatics","DOI":"10.1093/bioinformatics/bty560","ISSN":"1367-4803","issue":"17","journalAbbreviation":"Bioinformatics","page":"i884-i890","source":"Silverchair","title":"fastp: an ultra-fast all-in-one FASTQ preprocessor","title-short":"fastp","volume":"34","author":[{"family":"Chen","given":"Shifu"},{"family":"Zhou","given":"Yanqing"},{"family":"Chen","given":"Yaru"},{"family":"Gu","given":"Jia"}],"issued":{"date-parts":[["2018",9,1]]}}}],"schema":"https://github.com/citation-style-language/schema/raw/master/csl-citation.json"} </w:instrText>
      </w:r>
      <w:r w:rsidRPr="00F33B92">
        <w:rPr>
          <w:sz w:val="24"/>
          <w:szCs w:val="24"/>
        </w:rPr>
        <w:fldChar w:fldCharType="separate"/>
      </w:r>
      <w:r w:rsidRPr="00F33B92">
        <w:rPr>
          <w:noProof/>
          <w:sz w:val="24"/>
          <w:szCs w:val="24"/>
        </w:rPr>
        <w:t>(14)</w:t>
      </w:r>
      <w:r w:rsidRPr="00F33B92">
        <w:rPr>
          <w:sz w:val="24"/>
          <w:szCs w:val="24"/>
        </w:rPr>
        <w:fldChar w:fldCharType="end"/>
      </w:r>
      <w:r w:rsidRPr="00F33B92">
        <w:rPr>
          <w:sz w:val="24"/>
          <w:szCs w:val="24"/>
        </w:rPr>
        <w:t xml:space="preserve"> to remove reads containing uncalled bases (‘N’), trim low-quality bases (q &lt; 30), and merge overlapping reads. The resulting analysis-ready reads were used as input for de novo assembly with SKESA v2.5.1 </w:t>
      </w:r>
      <w:r w:rsidRPr="00F33B92">
        <w:rPr>
          <w:sz w:val="24"/>
          <w:szCs w:val="24"/>
        </w:rPr>
        <w:fldChar w:fldCharType="begin"/>
      </w:r>
      <w:r w:rsidRPr="00F33B92">
        <w:rPr>
          <w:sz w:val="24"/>
          <w:szCs w:val="24"/>
        </w:rPr>
        <w:instrText xml:space="preserve"> ADDIN ZOTERO_ITEM CSL_CITATION {"citationID":"vSOLs54f","properties":{"formattedCitation":"(15)","plainCitation":"(15)","noteIndex":0},"citationItems":[{"id":45,"uris":["http://zotero.org/users/11931443/items/GIJU87XW"],"itemData":{"id":45,"type":"article-journal","abstract":"SKESA is a DeBruijn graph-based de-novo assembler designed for assembling reads of microbial genomes sequenced using Illumina. Comparison with SPAdes and MegaHit shows that SKESA produces assemblies that have high sequence quality and contiguity, handles low-level contamination in reads, is fast, and produces an identical assembly for the same input when assembled multiple times with the same or different compute resources. SKESA has been used for assembling over 272,000 read sets in the Sequence Read Archive at NCBI and for real-time pathogen detection. Source code for SKESA is freely available at https://github.com/ncbi/SKESA/releases.","container-title":"Genome Biology","DOI":"10.1186/s13059-018-1540-z","ISSN":"1474-760X","issue":"1","journalAbbreviation":"Genome Biol.","page":"153","source":"BioMed Central","title":"SKESA: strategic k-mer extension for scrupulous assemblies","title-short":"SKESA","volume":"19","author":[{"family":"Souvorov","given":"Alexandre"},{"family":"Agarwala","given":"Richa"},{"family":"Lipman","given":"David J."}],"issued":{"date-parts":[["2018",10,4]]}}}],"schema":"https://github.com/citation-style-language/schema/raw/master/csl-citation.json"} </w:instrText>
      </w:r>
      <w:r w:rsidRPr="00F33B92">
        <w:rPr>
          <w:sz w:val="24"/>
          <w:szCs w:val="24"/>
        </w:rPr>
        <w:fldChar w:fldCharType="separate"/>
      </w:r>
      <w:r w:rsidRPr="00F33B92">
        <w:rPr>
          <w:noProof/>
          <w:sz w:val="24"/>
          <w:szCs w:val="24"/>
        </w:rPr>
        <w:t>(15)</w:t>
      </w:r>
      <w:r w:rsidRPr="00F33B92">
        <w:rPr>
          <w:sz w:val="24"/>
          <w:szCs w:val="24"/>
        </w:rPr>
        <w:fldChar w:fldCharType="end"/>
      </w:r>
      <w:r w:rsidRPr="00F33B92">
        <w:rPr>
          <w:sz w:val="24"/>
          <w:szCs w:val="24"/>
        </w:rPr>
        <w:t xml:space="preserve">. The quality of genomes was assessed by CheckM v1.1.3 </w:t>
      </w:r>
      <w:r w:rsidRPr="00F33B92">
        <w:rPr>
          <w:sz w:val="24"/>
          <w:szCs w:val="24"/>
        </w:rPr>
        <w:fldChar w:fldCharType="begin"/>
      </w:r>
      <w:r w:rsidRPr="00F33B92">
        <w:rPr>
          <w:sz w:val="24"/>
          <w:szCs w:val="24"/>
        </w:rPr>
        <w:instrText xml:space="preserve"> ADDIN ZOTERO_ITEM CSL_CITATION {"citationID":"1DJI31AX","properties":{"formattedCitation":"(16)","plainCitation":"(16)","noteIndex":0},"citationItems":[{"id":73,"uris":["http://zotero.org/users/11931443/items/ACV585JD"],"itemData":{"id":73,"type":"article-journal","abstract":"Large-scale recovery of genomes from isolates, single cells, and metagenomic data has been made possible by advances in computational methods and substantial reductions in sequencing costs. Although this increasing breadth of draft genomes is providing key information regarding the evolutionary and functional diversity of microbial life, it has become impractical to finish all available reference genomes. Making robust biological inferences from draft genomes requires accurate estimates of their completeness and contamination. Current methods for assessing genome quality are ad hoc and generally make use of a limited number of “marker” genes conserved across all bacterial or archaeal genomes. Here we introduce CheckM, an automated method for assessing the quality of a genome using a broader set of marker genes specific to the position of a genome within a reference genome tree and information about the collocation of these genes. We demonstrate the effectiveness of CheckM using synthetic data and a wide range of isolate-, single-cell-, and metagenome-derived genomes. CheckM is shown to provide accurate estimates of genome completeness and contamination and to outperform existing approaches. Using CheckM, we identify a diverse range of errors currently impacting publicly available isolate genomes and demonstrate that genomes obtained from single cells and metagenomic data vary substantially in quality. In order to facilitate the use of draft genomes, we propose an objective measure of genome quality that can be used to select genomes suitable for specific gene- and genome-centric analyses of microbial communities.","container-title":"Genome Research","DOI":"10.1101/gr.186072.114","ISSN":"1088-9051","issue":"7","journalAbbreviation":"Genome Res","note":"PMID: 25977477\nPMCID: PMC4484387","page":"1043-1055","source":"PubMed Central","title":"CheckM: assessing the quality of microbial genomes recovered from isolates, single cells, and metagenomes","title-short":"CheckM","volume":"25","author":[{"family":"Parks","given":"Donovan H."},{"family":"Imelfort","given":"Michael"},{"family":"Skennerton","given":"Connor T."},{"family":"Hugenholtz","given":"Philip"},{"family":"Tyson","given":"Gene W."}],"issued":{"date-parts":[["2015",7]]}}}],"schema":"https://github.com/citation-style-language/schema/raw/master/csl-citation.json"} </w:instrText>
      </w:r>
      <w:r w:rsidRPr="00F33B92">
        <w:rPr>
          <w:sz w:val="24"/>
          <w:szCs w:val="24"/>
        </w:rPr>
        <w:fldChar w:fldCharType="separate"/>
      </w:r>
      <w:r w:rsidRPr="00F33B92">
        <w:rPr>
          <w:noProof/>
          <w:sz w:val="24"/>
          <w:szCs w:val="24"/>
        </w:rPr>
        <w:t>(16)</w:t>
      </w:r>
      <w:r w:rsidRPr="00F33B92">
        <w:rPr>
          <w:sz w:val="24"/>
          <w:szCs w:val="24"/>
        </w:rPr>
        <w:fldChar w:fldCharType="end"/>
      </w:r>
      <w:r w:rsidRPr="00F33B92">
        <w:rPr>
          <w:sz w:val="24"/>
          <w:szCs w:val="24"/>
        </w:rPr>
        <w:t xml:space="preserve">. The genome for </w:t>
      </w:r>
      <w:r w:rsidRPr="00F33B92">
        <w:rPr>
          <w:i/>
          <w:iCs/>
          <w:sz w:val="24"/>
          <w:szCs w:val="24"/>
        </w:rPr>
        <w:t xml:space="preserve">M. trichosporium </w:t>
      </w:r>
      <w:r w:rsidRPr="00F33B92">
        <w:rPr>
          <w:sz w:val="24"/>
          <w:szCs w:val="24"/>
        </w:rPr>
        <w:t xml:space="preserve">OB3b (GCF_000178815.2) was downloaded from the NCBI RefSeq database </w:t>
      </w:r>
      <w:r w:rsidRPr="00F33B92">
        <w:rPr>
          <w:sz w:val="24"/>
          <w:szCs w:val="24"/>
        </w:rPr>
        <w:fldChar w:fldCharType="begin"/>
      </w:r>
      <w:r w:rsidRPr="00F33B92">
        <w:rPr>
          <w:sz w:val="24"/>
          <w:szCs w:val="24"/>
        </w:rPr>
        <w:instrText xml:space="preserve"> ADDIN ZOTERO_ITEM CSL_CITATION {"citationID":"XFZHO2DZ","properties":{"formattedCitation":"(17)","plainCitation":"(17)","noteIndex":0},"citationItems":[{"id":72,"uris":["http://zotero.org/users/11931443/items/98QEP4DC"],"itemData":{"id":72,"type":"article-journal","abstract":"The RefSeq project at the National Center for Biotechnology Information (NCBI) maintains and curates a publicly available database of annotated genomic, transcript, and protein sequence records (http://www.ncbi.nlm.nih.gov/refseq/). The RefSeq project leverages the data submitted to the International Nucleotide Sequence Database Collaboration (INSDC) against a combination of computation, manual curation, and collaboration to produce a standard set of stable, non-redundant reference sequences. The RefSeq project augments these reference sequences with current knowledge including publications, functional features and informative nomenclature. The database currently represents sequences from more than 55,000 organisms (&gt;4800 viruses, &gt;40,000 prokaryotes and &gt;10,000 eukaryotes; RefSeq release 71), ranging from a single record to complete genomes. This paper summarizes the current status of the viral, prokaryotic, and eukaryotic branches of the RefSeq project, reports on improvements to data access and details efforts to further expand the taxonomic representation of the collection. We also highlight diverse functional curation initiatives that support multiple uses of RefSeq data including taxonomic validation, genome annotation, comparative genomics, and clinical testing. We summarize our approach to utilizing available RNA-Seq and other data types in our manual curation process for vertebrate, plant, and other species, and describe a new direction for prokaryotic genomes and protein name management.","container-title":"Nucleic Acids Research","DOI":"10.1093/nar/gkv1189","ISSN":"1362-4962","issue":"D1","journalAbbreviation":"Nucleic Acids Res","language":"eng","note":"PMID: 26553804\nPMCID: PMC4702849","page":"D733-745","source":"PubMed","title":"Reference sequence (RefSeq) database at NCBI: current status, taxonomic expansion, and functional annotation","title-short":"Reference sequence (RefSeq) database at NCBI","volume":"44","author":[{"family":"O'Leary","given":"Nuala A."},{"family":"Wright","given":"Mathew W."},{"family":"Brister","given":"J. Rodney"},{"family":"Ciufo","given":"Stacy"},{"family":"Haddad","given":"Diana"},{"family":"McVeigh","given":"Rich"},{"family":"Rajput","given":"Bhanu"},{"family":"Robbertse","given":"Barbara"},{"family":"Smith-White","given":"Brian"},{"family":"Ako-Adjei","given":"Danso"},{"family":"Astashyn","given":"Alexander"},{"family":"Badretdin","given":"Azat"},{"family":"Bao","given":"Yiming"},{"family":"Blinkova","given":"Olga"},{"family":"Brover","given":"Vyacheslav"},{"family":"Chetvernin","given":"Vyacheslav"},{"family":"Choi","given":"Jinna"},{"family":"Cox","given":"Eric"},{"family":"Ermolaeva","given":"Olga"},{"family":"Farrell","given":"Catherine M."},{"family":"Goldfarb","given":"Tamara"},{"family":"Gupta","given":"Tripti"},{"family":"Haft","given":"Daniel"},{"family":"Hatcher","given":"Eneida"},{"family":"Hlavina","given":"Wratko"},{"family":"Joardar","given":"Vinita S."},{"family":"Kodali","given":"Vamsi K."},{"family":"Li","given":"Wenjun"},{"family":"Maglott","given":"Donna"},{"family":"Masterson","given":"Patrick"},{"family":"McGarvey","given":"Kelly M."},{"family":"Murphy","given":"Michael R."},{"family":"O'Neill","given":"Kathleen"},{"family":"Pujar","given":"Shashikant"},{"family":"Rangwala","given":"Sanjida H."},{"family":"Rausch","given":"Daniel"},{"family":"Riddick","given":"Lillian D."},{"family":"Schoch","given":"Conrad"},{"family":"Shkeda","given":"Andrei"},{"family":"Storz","given":"Susan S."},{"family":"Sun","given":"Hanzhen"},{"family":"Thibaud-Nissen","given":"Francoise"},{"family":"Tolstoy","given":"Igor"},{"family":"Tully","given":"Raymond E."},{"family":"Vatsan","given":"Anjana R."},{"family":"Wallin","given":"Craig"},{"family":"Webb","given":"David"},{"family":"Wu","given":"Wendy"},{"family":"Landrum","given":"Melissa J."},{"family":"Kimchi","given":"Avi"},{"family":"Tatusova","given":"Tatiana"},{"family":"DiCuccio","given":"Michael"},{"family":"Kitts","given":"Paul"},{"family":"Murphy","given":"Terence D."},{"family":"Pruitt","given":"Kim D."}],"issued":{"date-parts":[["2016",1,4]]}}}],"schema":"https://github.com/citation-style-language/schema/raw/master/csl-citation.json"} </w:instrText>
      </w:r>
      <w:r w:rsidRPr="00F33B92">
        <w:rPr>
          <w:sz w:val="24"/>
          <w:szCs w:val="24"/>
        </w:rPr>
        <w:fldChar w:fldCharType="separate"/>
      </w:r>
      <w:r w:rsidRPr="00F33B92">
        <w:rPr>
          <w:noProof/>
          <w:sz w:val="24"/>
          <w:szCs w:val="24"/>
        </w:rPr>
        <w:t>(17)</w:t>
      </w:r>
      <w:r w:rsidRPr="00F33B92">
        <w:rPr>
          <w:sz w:val="24"/>
          <w:szCs w:val="24"/>
        </w:rPr>
        <w:fldChar w:fldCharType="end"/>
      </w:r>
      <w:r w:rsidRPr="00F33B92">
        <w:rPr>
          <w:sz w:val="24"/>
          <w:szCs w:val="24"/>
        </w:rPr>
        <w:t xml:space="preserve">. Gene prediction was performed using Prodigal v2.6.3 </w:t>
      </w:r>
      <w:r w:rsidRPr="00F33B92">
        <w:rPr>
          <w:sz w:val="24"/>
          <w:szCs w:val="24"/>
        </w:rPr>
        <w:fldChar w:fldCharType="begin"/>
      </w:r>
      <w:r w:rsidRPr="00F33B92">
        <w:rPr>
          <w:sz w:val="24"/>
          <w:szCs w:val="24"/>
        </w:rPr>
        <w:instrText xml:space="preserve"> ADDIN ZOTERO_ITEM CSL_CITATION {"citationID":"Gkm8uBuF","properties":{"formattedCitation":"(18)","plainCitation":"(18)","noteIndex":0},"citationItems":[{"id":35,"uris":["http://zotero.org/users/11931443/items/XZFI6ZRR"],"itemData":{"id":35,"type":"article-journal","abstract":"The quality of automated gene prediction in microbial organisms has improved steadily over the past decade, but there is still room for improvement. Increasing the number of correct identifications, both of genes and of the translation initiation sites for each gene, and reducing the overall number of false positives, are all desirable goals.","container-title":"BMC Bioinformatics","DOI":"10.1186/1471-2105-11-119","ISSN":"1471-2105","issue":"1","journalAbbreviation":"BMC Bioinformatics","page":"119","source":"BioMed Central","title":"Prodigal: prokaryotic gene recognition and translation initiation site identification","title-short":"Prodigal","volume":"11","author":[{"family":"Hyatt","given":"Doug"},{"family":"Chen","given":"Gwo-Liang"},{"family":"LoCascio","given":"Philip F."},{"family":"Land","given":"Miriam L."},{"family":"Larimer","given":"Frank W."},{"family":"Hauser","given":"Loren J."}],"issued":{"date-parts":[["2010",3,8]]}}}],"schema":"https://github.com/citation-style-language/schema/raw/master/csl-citation.json"} </w:instrText>
      </w:r>
      <w:r w:rsidRPr="00F33B92">
        <w:rPr>
          <w:sz w:val="24"/>
          <w:szCs w:val="24"/>
        </w:rPr>
        <w:fldChar w:fldCharType="separate"/>
      </w:r>
      <w:r w:rsidRPr="00F33B92">
        <w:rPr>
          <w:noProof/>
          <w:sz w:val="24"/>
          <w:szCs w:val="24"/>
        </w:rPr>
        <w:t>(18)</w:t>
      </w:r>
      <w:r w:rsidRPr="00F33B92">
        <w:rPr>
          <w:sz w:val="24"/>
          <w:szCs w:val="24"/>
        </w:rPr>
        <w:fldChar w:fldCharType="end"/>
      </w:r>
      <w:r w:rsidRPr="00F33B92">
        <w:rPr>
          <w:sz w:val="24"/>
          <w:szCs w:val="24"/>
        </w:rPr>
        <w:t xml:space="preserve"> and barrnap v0.9 </w:t>
      </w:r>
      <w:r w:rsidRPr="00F33B92">
        <w:rPr>
          <w:sz w:val="24"/>
          <w:szCs w:val="24"/>
        </w:rPr>
        <w:fldChar w:fldCharType="begin"/>
      </w:r>
      <w:r w:rsidRPr="00F33B92">
        <w:rPr>
          <w:sz w:val="24"/>
          <w:szCs w:val="24"/>
        </w:rPr>
        <w:instrText xml:space="preserve"> ADDIN ZOTERO_ITEM CSL_CITATION {"citationID":"YKE5WC12","properties":{"formattedCitation":"(19)","plainCitation":"(19)","noteIndex":0},"citationItems":[{"id":403,"uris":["http://zotero.org/users/11931443/items/CWYHY2D9"],"itemData":{"id":403,"type":"software","title":"Barrnap: BAsic Rapid Ribosomal RNA Predictor","version":"0.9","author":[{"family":"Seemann","given":"Torsten"}],"issued":{"date-parts":[["2013"]]}}}],"schema":"https://github.com/citation-style-language/schema/raw/master/csl-citation.json"} </w:instrText>
      </w:r>
      <w:r w:rsidRPr="00F33B92">
        <w:rPr>
          <w:sz w:val="24"/>
          <w:szCs w:val="24"/>
        </w:rPr>
        <w:fldChar w:fldCharType="separate"/>
      </w:r>
      <w:r w:rsidRPr="00F33B92">
        <w:rPr>
          <w:noProof/>
          <w:sz w:val="24"/>
          <w:szCs w:val="24"/>
        </w:rPr>
        <w:t>(19)</w:t>
      </w:r>
      <w:r w:rsidRPr="00F33B92">
        <w:rPr>
          <w:sz w:val="24"/>
          <w:szCs w:val="24"/>
        </w:rPr>
        <w:fldChar w:fldCharType="end"/>
      </w:r>
      <w:r w:rsidRPr="00F33B92">
        <w:rPr>
          <w:sz w:val="24"/>
          <w:szCs w:val="24"/>
        </w:rPr>
        <w:t>.</w:t>
      </w:r>
    </w:p>
    <w:p w14:paraId="35864299" w14:textId="77777777" w:rsidR="00F33B92" w:rsidRPr="00F33B92" w:rsidRDefault="00F33B92" w:rsidP="006E624A">
      <w:pPr>
        <w:pStyle w:val="Heading4"/>
      </w:pPr>
      <w:r w:rsidRPr="00F33B92">
        <w:t>Read Mapping and Quantification</w:t>
      </w:r>
    </w:p>
    <w:p w14:paraId="4DD70BFB" w14:textId="67E91204" w:rsidR="00F33B92" w:rsidRPr="00F33B92" w:rsidRDefault="00F33B92" w:rsidP="00F33B92">
      <w:pPr>
        <w:spacing w:line="480" w:lineRule="auto"/>
        <w:rPr>
          <w:sz w:val="24"/>
          <w:szCs w:val="24"/>
        </w:rPr>
      </w:pPr>
      <w:r w:rsidRPr="00F33B92">
        <w:rPr>
          <w:sz w:val="24"/>
          <w:szCs w:val="24"/>
        </w:rPr>
        <w:t xml:space="preserve">Raw fastq reads were filtered for </w:t>
      </w:r>
      <w:r w:rsidR="00B4445B">
        <w:rPr>
          <w:sz w:val="24"/>
          <w:szCs w:val="24"/>
        </w:rPr>
        <w:t>high-quality</w:t>
      </w:r>
      <w:r w:rsidRPr="00F33B92">
        <w:rPr>
          <w:sz w:val="24"/>
          <w:szCs w:val="24"/>
        </w:rPr>
        <w:t xml:space="preserve"> reads (q </w:t>
      </w:r>
      <w:r w:rsidR="00B4445B">
        <w:rPr>
          <w:sz w:val="24"/>
          <w:szCs w:val="24"/>
        </w:rPr>
        <w:t>&gt;</w:t>
      </w:r>
      <w:r w:rsidRPr="00F33B92">
        <w:rPr>
          <w:sz w:val="24"/>
          <w:szCs w:val="24"/>
        </w:rPr>
        <w:t xml:space="preserve"> 30) and the adaptors were trimmed using fastp v0.22.0 </w:t>
      </w:r>
      <w:r w:rsidRPr="00F33B92">
        <w:rPr>
          <w:sz w:val="24"/>
          <w:szCs w:val="24"/>
        </w:rPr>
        <w:fldChar w:fldCharType="begin"/>
      </w:r>
      <w:r w:rsidRPr="00F33B92">
        <w:rPr>
          <w:sz w:val="24"/>
          <w:szCs w:val="24"/>
        </w:rPr>
        <w:instrText xml:space="preserve"> ADDIN ZOTERO_ITEM CSL_CITATION {"citationID":"CWrSOZwc","properties":{"formattedCitation":"(14)","plainCitation":"(14)","noteIndex":0},"citationItems":[{"id":74,"uris":["http://zotero.org/users/11931443/items/9GCYW83G"],"itemData":{"id":74,"type":"article-journal","abstract":"Quality control and preprocessing of FASTQ files are essential to providing clean data for downstream analysis. Traditionally, a different tool is used for each operation, such as quality control, adapter trimming and quality filtering. These tools are often insufficiently fast as most are developed using high-level programming languages (e.g. Python and Java) and provide limited multi-threading support. Reading and loading data multiple times also renders preprocessing slow and I/O inefficient.We developed fastp as an ultra-fast FASTQ preprocessor with useful quality control and data-filtering features. It can perform quality control, adapter trimming, quality filtering, per-read quality pruning and many other operations with a single scan of the FASTQ data. This tool is developed in C++ and has multi-threading support. Based on our evaluation, fastp is 2–5 times faster than other FASTQ preprocessing tools such as Trimmomatic or Cutadapt despite performing far more operations than similar tools.The open-source code and corresponding instructions are available at https://github.com/OpenGene/fastp.","container-title":"Bioinformatics","DOI":"10.1093/bioinformatics/bty560","ISSN":"1367-4803","issue":"17","journalAbbreviation":"Bioinformatics","page":"i884-i890","source":"Silverchair","title":"fastp: an ultra-fast all-in-one FASTQ preprocessor","title-short":"fastp","volume":"34","author":[{"family":"Chen","given":"Shifu"},{"family":"Zhou","given":"Yanqing"},{"family":"Chen","given":"Yaru"},{"family":"Gu","given":"Jia"}],"issued":{"date-parts":[["2018",9,1]]}}}],"schema":"https://github.com/citation-style-language/schema/raw/master/csl-citation.json"} </w:instrText>
      </w:r>
      <w:r w:rsidRPr="00F33B92">
        <w:rPr>
          <w:sz w:val="24"/>
          <w:szCs w:val="24"/>
        </w:rPr>
        <w:fldChar w:fldCharType="separate"/>
      </w:r>
      <w:r w:rsidRPr="00F33B92">
        <w:rPr>
          <w:noProof/>
          <w:sz w:val="24"/>
          <w:szCs w:val="24"/>
        </w:rPr>
        <w:t>(14)</w:t>
      </w:r>
      <w:r w:rsidRPr="00F33B92">
        <w:rPr>
          <w:sz w:val="24"/>
          <w:szCs w:val="24"/>
        </w:rPr>
        <w:fldChar w:fldCharType="end"/>
      </w:r>
      <w:r w:rsidRPr="00F33B92">
        <w:rPr>
          <w:sz w:val="24"/>
          <w:szCs w:val="24"/>
        </w:rPr>
        <w:t>. Quality</w:t>
      </w:r>
      <w:r w:rsidR="00B4445B">
        <w:rPr>
          <w:sz w:val="24"/>
          <w:szCs w:val="24"/>
        </w:rPr>
        <w:t>-</w:t>
      </w:r>
      <w:r w:rsidRPr="00F33B92">
        <w:rPr>
          <w:sz w:val="24"/>
          <w:szCs w:val="24"/>
        </w:rPr>
        <w:t xml:space="preserve">filtered pair-end reads were mapped to respective reference genomes using Bowtie 2 v2.2.5 </w:t>
      </w:r>
      <w:r w:rsidRPr="00F33B92">
        <w:rPr>
          <w:sz w:val="24"/>
          <w:szCs w:val="24"/>
        </w:rPr>
        <w:fldChar w:fldCharType="begin"/>
      </w:r>
      <w:r w:rsidRPr="00F33B92">
        <w:rPr>
          <w:sz w:val="24"/>
          <w:szCs w:val="24"/>
        </w:rPr>
        <w:instrText xml:space="preserve"> ADDIN ZOTERO_ITEM CSL_CITATION {"citationID":"A6dI5gvm","properties":{"formattedCitation":"(20)","plainCitation":"(20)","noteIndex":0},"citationItems":[{"id":388,"uris":["http://zotero.org/users/11931443/items/5XPE4C3I"],"itemData":{"id":388,"type":"article-journal","abstract":"The Bowtie 2 software achieves fast, sensitive, accurate and memory-efficient gapped alignment of sequencing reads using the full-text minute index and hardware-accelerated dynamic programming algorithms.","container-title":"Nature Methods","DOI":"10.1038/nmeth.1923","ISSN":"1548-7105","issue":"4","journalAbbreviation":"Nat Methods","language":"en","license":"2012 Springer Nature America, Inc.","note":"number: 4\npublisher: Nature Publishing Group","page":"357-359","source":"www.nature.com","title":"Fast gapped-read alignment with Bowtie 2","volume":"9","author":[{"family":"Langmead","given":"Ben"},{"family":"Salzberg","given":"Steven L."}],"issued":{"date-parts":[["2012",4]]}}}],"schema":"https://github.com/citation-style-language/schema/raw/master/csl-citation.json"} </w:instrText>
      </w:r>
      <w:r w:rsidRPr="00F33B92">
        <w:rPr>
          <w:sz w:val="24"/>
          <w:szCs w:val="24"/>
        </w:rPr>
        <w:fldChar w:fldCharType="separate"/>
      </w:r>
      <w:r w:rsidRPr="00F33B92">
        <w:rPr>
          <w:noProof/>
          <w:sz w:val="24"/>
          <w:szCs w:val="24"/>
        </w:rPr>
        <w:t>(20)</w:t>
      </w:r>
      <w:r w:rsidRPr="00F33B92">
        <w:rPr>
          <w:sz w:val="24"/>
          <w:szCs w:val="24"/>
        </w:rPr>
        <w:fldChar w:fldCharType="end"/>
      </w:r>
      <w:r w:rsidRPr="00F33B92">
        <w:rPr>
          <w:sz w:val="24"/>
          <w:szCs w:val="24"/>
        </w:rPr>
        <w:t xml:space="preserve">. The .bam files generated were parsed for DNA contamination issues by </w:t>
      </w:r>
      <w:r w:rsidR="007F1934">
        <w:rPr>
          <w:sz w:val="24"/>
          <w:szCs w:val="24"/>
        </w:rPr>
        <w:t>removing</w:t>
      </w:r>
      <w:r w:rsidRPr="00F33B92">
        <w:rPr>
          <w:sz w:val="24"/>
          <w:szCs w:val="24"/>
        </w:rPr>
        <w:t xml:space="preserve"> reads known to directionally be linked to genomic DNA, then removing an equal number of reads from the RNA pool to account for bias. The </w:t>
      </w:r>
      <w:r w:rsidR="00B4445B">
        <w:rPr>
          <w:sz w:val="24"/>
          <w:szCs w:val="24"/>
        </w:rPr>
        <w:t>pre-computed</w:t>
      </w:r>
      <w:r w:rsidRPr="00F33B92">
        <w:rPr>
          <w:sz w:val="24"/>
          <w:szCs w:val="24"/>
        </w:rPr>
        <w:t xml:space="preserve"> </w:t>
      </w:r>
      <w:r w:rsidRPr="00F33B92">
        <w:rPr>
          <w:sz w:val="24"/>
          <w:szCs w:val="24"/>
        </w:rPr>
        <w:lastRenderedPageBreak/>
        <w:t xml:space="preserve">alignments generated by Bowtie 2 were used as input for transcript quantification using Salmon 0.14.2 </w:t>
      </w:r>
      <w:r w:rsidRPr="00F33B92">
        <w:rPr>
          <w:sz w:val="24"/>
          <w:szCs w:val="24"/>
        </w:rPr>
        <w:fldChar w:fldCharType="begin"/>
      </w:r>
      <w:r w:rsidRPr="00F33B92">
        <w:rPr>
          <w:sz w:val="24"/>
          <w:szCs w:val="24"/>
        </w:rPr>
        <w:instrText xml:space="preserve"> ADDIN ZOTERO_ITEM CSL_CITATION {"citationID":"VN8ujpP0","properties":{"formattedCitation":"(21)","plainCitation":"(21)","noteIndex":0},"citationItems":[{"id":396,"uris":["http://zotero.org/users/11931443/items/YQHSECA6"],"itemData":{"id":396,"type":"article-journal","abstract":"Salmon is a computational tool that uses sample-specific models and a dual-phase inference procedure to correct biases in RNA-seq data and rapidly quantify transcript abundances.","container-title":"Nature Methods","DOI":"10.1038/nmeth.4197","ISSN":"1548-7105","issue":"4","journalAbbreviation":"Nat Methods","language":"en","license":"2017 Springer Nature America, Inc.","note":"number: 4\npublisher: Nature Publishing Group","page":"417-419","source":"www.nature.com","title":"Salmon provides fast and bias-aware quantification of transcript expression","volume":"14","author":[{"family":"Patro","given":"Rob"},{"family":"Duggal","given":"Geet"},{"family":"Love","given":"Michael I."},{"family":"Irizarry","given":"Rafael A."},{"family":"Kingsford","given":"Carl"}],"issued":{"date-parts":[["2017",4]]}}}],"schema":"https://github.com/citation-style-language/schema/raw/master/csl-citation.json"} </w:instrText>
      </w:r>
      <w:r w:rsidRPr="00F33B92">
        <w:rPr>
          <w:sz w:val="24"/>
          <w:szCs w:val="24"/>
        </w:rPr>
        <w:fldChar w:fldCharType="separate"/>
      </w:r>
      <w:r w:rsidRPr="00F33B92">
        <w:rPr>
          <w:noProof/>
          <w:sz w:val="24"/>
          <w:szCs w:val="24"/>
        </w:rPr>
        <w:t>(21)</w:t>
      </w:r>
      <w:r w:rsidRPr="00F33B92">
        <w:rPr>
          <w:sz w:val="24"/>
          <w:szCs w:val="24"/>
        </w:rPr>
        <w:fldChar w:fldCharType="end"/>
      </w:r>
      <w:r w:rsidRPr="00F33B92">
        <w:rPr>
          <w:sz w:val="24"/>
          <w:szCs w:val="24"/>
        </w:rPr>
        <w:t>.</w:t>
      </w:r>
    </w:p>
    <w:p w14:paraId="4DF37400" w14:textId="77777777" w:rsidR="00F33B92" w:rsidRPr="00F33B92" w:rsidRDefault="00F33B92" w:rsidP="006E624A">
      <w:pPr>
        <w:pStyle w:val="Heading4"/>
      </w:pPr>
      <w:r w:rsidRPr="00F33B92">
        <w:t>Differential Expression Analysis</w:t>
      </w:r>
    </w:p>
    <w:p w14:paraId="7895723B" w14:textId="0D741E78" w:rsidR="00460B5E" w:rsidRPr="006E624A" w:rsidRDefault="00F33B92" w:rsidP="00F33B92">
      <w:pPr>
        <w:spacing w:line="480" w:lineRule="auto"/>
        <w:rPr>
          <w:sz w:val="24"/>
          <w:szCs w:val="24"/>
        </w:rPr>
      </w:pPr>
      <w:r w:rsidRPr="00F33B92">
        <w:rPr>
          <w:sz w:val="24"/>
          <w:szCs w:val="24"/>
        </w:rPr>
        <w:t xml:space="preserve">The R program DESeq2 was used for differential expression analysis of quantified reads using the likelihood ratio test method </w:t>
      </w:r>
      <w:r w:rsidRPr="00F33B92">
        <w:rPr>
          <w:sz w:val="24"/>
          <w:szCs w:val="24"/>
        </w:rPr>
        <w:fldChar w:fldCharType="begin"/>
      </w:r>
      <w:r w:rsidRPr="00F33B92">
        <w:rPr>
          <w:sz w:val="24"/>
          <w:szCs w:val="24"/>
        </w:rPr>
        <w:instrText xml:space="preserve"> ADDIN ZOTERO_ITEM CSL_CITATION {"citationID":"7LtUvOOw","properties":{"formattedCitation":"(22)","plainCitation":"(22)","noteIndex":0},"citationItems":[{"id":87,"uris":["http://zotero.org/users/11931443/items/JII95T33"],"itemData":{"id":87,"type":"article-journal","abstract":"In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http://www.bioconductor.org/packages/release/bioc/html/DESeq2.html.","container-title":"Genome Biology","DOI":"10.1186/s13059-014-0550-8","ISSN":"1474-760X","issue":"12","journalAbbreviation":"Genome Biology","page":"550","source":"BioMed Central","title":"Moderated estimation of fold change and dispersion for RNA-seq data with DESeq2","volume":"15","author":[{"family":"Love","given":"Michael I."},{"family":"Huber","given":"Wolfgang"},{"family":"Anders","given":"Simon"}],"issued":{"date-parts":[["2014",12,5]]}}}],"schema":"https://github.com/citation-style-language/schema/raw/master/csl-citation.json"} </w:instrText>
      </w:r>
      <w:r w:rsidRPr="00F33B92">
        <w:rPr>
          <w:sz w:val="24"/>
          <w:szCs w:val="24"/>
        </w:rPr>
        <w:fldChar w:fldCharType="separate"/>
      </w:r>
      <w:r w:rsidRPr="00F33B92">
        <w:rPr>
          <w:noProof/>
          <w:sz w:val="24"/>
          <w:szCs w:val="24"/>
        </w:rPr>
        <w:t>(22)</w:t>
      </w:r>
      <w:r w:rsidRPr="00F33B92">
        <w:rPr>
          <w:sz w:val="24"/>
          <w:szCs w:val="24"/>
        </w:rPr>
        <w:fldChar w:fldCharType="end"/>
      </w:r>
      <w:r w:rsidRPr="00F33B92">
        <w:rPr>
          <w:sz w:val="24"/>
          <w:szCs w:val="24"/>
        </w:rPr>
        <w:t xml:space="preserve">. Genes that were differentially expressed (adjusted p-value &lt; 0.05, log2FC &lt; -2 or &gt; 2) were annotated using KEGG BlastKOALA and differentially expressed genes in pathways were reconstructed using the KEGG Mapper Reconstruct tool </w:t>
      </w:r>
      <w:r w:rsidRPr="00F33B92">
        <w:rPr>
          <w:sz w:val="24"/>
          <w:szCs w:val="24"/>
        </w:rPr>
        <w:fldChar w:fldCharType="begin"/>
      </w:r>
      <w:r w:rsidRPr="00F33B92">
        <w:rPr>
          <w:sz w:val="24"/>
          <w:szCs w:val="24"/>
        </w:rPr>
        <w:instrText xml:space="preserve"> ADDIN ZOTERO_ITEM CSL_CITATION {"citationID":"RoTRdwRI","properties":{"formattedCitation":"(23)","plainCitation":"(23)","noteIndex":0},"citationItems":[{"id":335,"uris":["http://zotero.org/users/11931443/items/HCQCYJSP"],"itemData":{"id":335,"type":"article-journal","abstract":"BlastKOALA and GhostKOALA are automatic annotation servers for genome and metagenome sequences, which perform KO (KEGG Orthology) assignments to characterize individual gene functions and reconstruct KEGG pathways, BRITE hierarchies and KEGG modules to infer high-level functions of the organism or the ecosystem. Both servers are made freely available at the KEGG Web site (http://www.kegg.jp/blastkoala/). In BlastKOALA, the KO assignment is performed by a modified version of the internally used KOALA algorithm after the BLAST search against a non-redundant dataset of pangenome sequences at the species, genus or family level, which is generated from the KEGG GENES database by retaining the KO content of each taxonomic category. In GhostKOALA, which utilizes more rapid GHOSTX for database search and is suitable for metagenome annotation, the pangenome dataset is supplemented with Cd-hit clusters including those for viral genes. The result files may be downloaded and manipulated for further KEGG Mapper analysis, such as comparative pathway analysis using multiple BlastKOALA results.","collection-title":"Computation Resources for Molecular Biology","container-title":"Journal of Molecular Biology","DOI":"10.1016/j.jmb.2015.11.006","ISSN":"0022-2836","issue":"4","journalAbbreviation":"Journal of Molecular Biology","page":"726-731","source":"ScienceDirect","title":"BlastKOALA and GhostKOALA: KEGG Tools for Functional Characterization of Genome and Metagenome Sequences","title-short":"BlastKOALA and GhostKOALA","volume":"428","author":[{"family":"Kanehisa","given":"Minoru"},{"family":"Sato","given":"Yoko"},{"family":"Morishima","given":"Kanae"}],"issued":{"date-parts":[["2016",2,22]]}}}],"schema":"https://github.com/citation-style-language/schema/raw/master/csl-citation.json"} </w:instrText>
      </w:r>
      <w:r w:rsidRPr="00F33B92">
        <w:rPr>
          <w:sz w:val="24"/>
          <w:szCs w:val="24"/>
        </w:rPr>
        <w:fldChar w:fldCharType="separate"/>
      </w:r>
      <w:r w:rsidRPr="00F33B92">
        <w:rPr>
          <w:noProof/>
          <w:sz w:val="24"/>
          <w:szCs w:val="24"/>
        </w:rPr>
        <w:t>(23)</w:t>
      </w:r>
      <w:r w:rsidRPr="00F33B92">
        <w:rPr>
          <w:sz w:val="24"/>
          <w:szCs w:val="24"/>
        </w:rPr>
        <w:fldChar w:fldCharType="end"/>
      </w:r>
      <w:r w:rsidRPr="00F33B92">
        <w:rPr>
          <w:sz w:val="24"/>
          <w:szCs w:val="24"/>
        </w:rPr>
        <w:t>.</w:t>
      </w:r>
    </w:p>
    <w:p w14:paraId="595D5CA2" w14:textId="01677238" w:rsidR="00F33B92" w:rsidRPr="00F33B92" w:rsidRDefault="00F33B92" w:rsidP="006E624A">
      <w:pPr>
        <w:pStyle w:val="Heading3"/>
      </w:pPr>
      <w:bookmarkStart w:id="83" w:name="_Toc167115842"/>
      <w:r w:rsidRPr="00F33B92">
        <w:t>Results</w:t>
      </w:r>
      <w:bookmarkEnd w:id="83"/>
    </w:p>
    <w:p w14:paraId="366C2AA9" w14:textId="3507D7B8" w:rsidR="00F33B92" w:rsidRPr="00F33B92" w:rsidRDefault="00F33B92" w:rsidP="006E624A">
      <w:pPr>
        <w:pStyle w:val="Heading4"/>
      </w:pPr>
      <w:r w:rsidRPr="00F33B92">
        <w:t>NMOHB Grow on Carbon Substrates Derived from Methane Oxidation by MOB</w:t>
      </w:r>
    </w:p>
    <w:p w14:paraId="100C9167" w14:textId="1CA5292F" w:rsidR="00F33B92" w:rsidRDefault="00F33B92" w:rsidP="00F33B92">
      <w:pPr>
        <w:spacing w:line="480" w:lineRule="auto"/>
        <w:rPr>
          <w:sz w:val="24"/>
          <w:szCs w:val="24"/>
        </w:rPr>
      </w:pPr>
      <w:r w:rsidRPr="00F33B92">
        <w:rPr>
          <w:sz w:val="24"/>
          <w:szCs w:val="24"/>
        </w:rPr>
        <w:t xml:space="preserve">Heterotrophic plate counts on nutrient agar were used to quantify the growth of </w:t>
      </w:r>
      <w:r w:rsidRPr="00F33B92">
        <w:rPr>
          <w:i/>
          <w:iCs/>
          <w:sz w:val="24"/>
          <w:szCs w:val="24"/>
        </w:rPr>
        <w:t xml:space="preserve">P. chlororaphis </w:t>
      </w:r>
      <w:r w:rsidRPr="00F33B92">
        <w:rPr>
          <w:sz w:val="24"/>
          <w:szCs w:val="24"/>
        </w:rPr>
        <w:t xml:space="preserve">HC,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 xml:space="preserve">HC, and the </w:t>
      </w:r>
      <w:r w:rsidRPr="00F33B92">
        <w:rPr>
          <w:i/>
          <w:iCs/>
          <w:sz w:val="24"/>
          <w:szCs w:val="24"/>
        </w:rPr>
        <w:t xml:space="preserve">Flavobacterium </w:t>
      </w:r>
      <w:r w:rsidRPr="00F33B92">
        <w:rPr>
          <w:sz w:val="24"/>
          <w:szCs w:val="24"/>
        </w:rPr>
        <w:t xml:space="preserve">sp. HC in </w:t>
      </w:r>
      <w:r w:rsidR="00224D46">
        <w:rPr>
          <w:sz w:val="24"/>
          <w:szCs w:val="24"/>
        </w:rPr>
        <w:t>m</w:t>
      </w:r>
      <w:r w:rsidR="007D3DBA">
        <w:rPr>
          <w:sz w:val="24"/>
          <w:szCs w:val="24"/>
        </w:rPr>
        <w:t>ethane-oxidizing</w:t>
      </w:r>
      <w:r w:rsidRPr="00F33B92">
        <w:rPr>
          <w:sz w:val="24"/>
          <w:szCs w:val="24"/>
        </w:rPr>
        <w:t xml:space="preserve"> conditions. Each of the strains were able to grow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OB3b on NMS medium with CH</w:t>
      </w:r>
      <w:r w:rsidRPr="00F33B92">
        <w:rPr>
          <w:sz w:val="24"/>
          <w:szCs w:val="24"/>
          <w:vertAlign w:val="subscript"/>
        </w:rPr>
        <w:t>4</w:t>
      </w:r>
      <w:r w:rsidRPr="00F33B92">
        <w:rPr>
          <w:sz w:val="24"/>
          <w:szCs w:val="24"/>
        </w:rPr>
        <w:t xml:space="preserve"> as the only carbon source (</w:t>
      </w:r>
      <w:r w:rsidRPr="00460B5E">
        <w:rPr>
          <w:b/>
          <w:bCs/>
          <w:sz w:val="24"/>
          <w:szCs w:val="24"/>
        </w:rPr>
        <w:t>Fig. 2</w:t>
      </w:r>
      <w:r w:rsidRPr="00F33B92">
        <w:rPr>
          <w:sz w:val="24"/>
          <w:szCs w:val="24"/>
        </w:rPr>
        <w:t xml:space="preserve">). The growth of each of the NMOHB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OB3b was compared to a control with no added CH</w:t>
      </w:r>
      <w:r w:rsidRPr="00F33B92">
        <w:rPr>
          <w:sz w:val="24"/>
          <w:szCs w:val="24"/>
          <w:vertAlign w:val="subscript"/>
        </w:rPr>
        <w:t>4</w:t>
      </w:r>
      <w:r w:rsidRPr="00F33B92">
        <w:rPr>
          <w:sz w:val="24"/>
          <w:szCs w:val="24"/>
        </w:rPr>
        <w:t xml:space="preserve">, and in this control there was no significant increase in growth, with the </w:t>
      </w:r>
      <w:r w:rsidRPr="00F33B92">
        <w:rPr>
          <w:i/>
          <w:iCs/>
          <w:sz w:val="24"/>
          <w:szCs w:val="24"/>
        </w:rPr>
        <w:t xml:space="preserve">Flavobacterium </w:t>
      </w:r>
      <w:r w:rsidRPr="00F33B92">
        <w:rPr>
          <w:sz w:val="24"/>
          <w:szCs w:val="24"/>
        </w:rPr>
        <w:t>species even having a slight decrease in cells over time. Each NMOHB strain was also grown in NMS and 10% CH</w:t>
      </w:r>
      <w:r w:rsidRPr="00F33B92">
        <w:rPr>
          <w:sz w:val="24"/>
          <w:szCs w:val="24"/>
          <w:vertAlign w:val="subscript"/>
        </w:rPr>
        <w:t>4</w:t>
      </w:r>
      <w:r w:rsidRPr="00F33B92">
        <w:rPr>
          <w:sz w:val="24"/>
          <w:szCs w:val="24"/>
        </w:rPr>
        <w:t xml:space="preserve"> and none of the strains are able to grow on CH</w:t>
      </w:r>
      <w:r w:rsidRPr="00F33B92">
        <w:rPr>
          <w:sz w:val="24"/>
          <w:szCs w:val="24"/>
          <w:vertAlign w:val="subscript"/>
        </w:rPr>
        <w:t>4</w:t>
      </w:r>
      <w:r w:rsidRPr="00F33B92">
        <w:rPr>
          <w:sz w:val="24"/>
          <w:szCs w:val="24"/>
        </w:rPr>
        <w:t xml:space="preserve"> in monoculture. This indicates that </w:t>
      </w:r>
      <w:r w:rsidRPr="00F33B92">
        <w:rPr>
          <w:i/>
          <w:iCs/>
          <w:sz w:val="24"/>
          <w:szCs w:val="24"/>
        </w:rPr>
        <w:t xml:space="preserve">P. chlororaphis </w:t>
      </w:r>
      <w:r w:rsidRPr="00F33B92">
        <w:rPr>
          <w:sz w:val="24"/>
          <w:szCs w:val="24"/>
        </w:rPr>
        <w:t xml:space="preserve">HC,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 xml:space="preserve">HC, and </w:t>
      </w:r>
      <w:r w:rsidRPr="00F33B92">
        <w:rPr>
          <w:i/>
          <w:iCs/>
          <w:sz w:val="24"/>
          <w:szCs w:val="24"/>
        </w:rPr>
        <w:t xml:space="preserve">Flavobacterium </w:t>
      </w:r>
      <w:r w:rsidRPr="00F33B92">
        <w:rPr>
          <w:sz w:val="24"/>
          <w:szCs w:val="24"/>
        </w:rPr>
        <w:t>sp. HC are all able to grow on products produced from the oxidation of CH</w:t>
      </w:r>
      <w:r w:rsidRPr="00F33B92">
        <w:rPr>
          <w:sz w:val="24"/>
          <w:szCs w:val="24"/>
          <w:vertAlign w:val="subscript"/>
        </w:rPr>
        <w:t xml:space="preserve">4 </w:t>
      </w:r>
      <w:r w:rsidRPr="00F33B92">
        <w:rPr>
          <w:sz w:val="24"/>
          <w:szCs w:val="24"/>
        </w:rPr>
        <w:t xml:space="preserve">by </w:t>
      </w:r>
      <w:r w:rsidRPr="00F33B92">
        <w:rPr>
          <w:i/>
          <w:iCs/>
          <w:sz w:val="24"/>
          <w:szCs w:val="24"/>
        </w:rPr>
        <w:t xml:space="preserve">M. trichosporium </w:t>
      </w:r>
      <w:r w:rsidRPr="00F33B92">
        <w:rPr>
          <w:sz w:val="24"/>
          <w:szCs w:val="24"/>
        </w:rPr>
        <w:t>OB3b.</w:t>
      </w:r>
    </w:p>
    <w:p w14:paraId="4087870A" w14:textId="77777777" w:rsidR="00460B5E" w:rsidRDefault="00460B5E" w:rsidP="00F33B92">
      <w:pPr>
        <w:spacing w:line="480" w:lineRule="auto"/>
        <w:rPr>
          <w:sz w:val="24"/>
          <w:szCs w:val="24"/>
        </w:rPr>
      </w:pPr>
    </w:p>
    <w:p w14:paraId="008B7F8F" w14:textId="05C997AA" w:rsidR="00460B5E" w:rsidRDefault="00C94D9F" w:rsidP="00F33B92">
      <w:pPr>
        <w:spacing w:line="480" w:lineRule="auto"/>
        <w:rPr>
          <w:sz w:val="24"/>
          <w:szCs w:val="24"/>
        </w:rPr>
      </w:pPr>
      <w:r>
        <w:rPr>
          <w:noProof/>
          <w:sz w:val="24"/>
          <w:szCs w:val="24"/>
          <w14:ligatures w14:val="standardContextual"/>
        </w:rPr>
        <w:lastRenderedPageBreak/>
        <w:drawing>
          <wp:inline distT="0" distB="0" distL="0" distR="0" wp14:anchorId="21CC10DA" wp14:editId="7A544C16">
            <wp:extent cx="5943600" cy="4686300"/>
            <wp:effectExtent l="0" t="0" r="0" b="0"/>
            <wp:docPr id="167928595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285952" name="Picture 167928595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686300"/>
                    </a:xfrm>
                    <a:prstGeom prst="rect">
                      <a:avLst/>
                    </a:prstGeom>
                  </pic:spPr>
                </pic:pic>
              </a:graphicData>
            </a:graphic>
          </wp:inline>
        </w:drawing>
      </w:r>
    </w:p>
    <w:p w14:paraId="31E6C474" w14:textId="65C72F1F" w:rsidR="00460B5E" w:rsidRDefault="00044CFD" w:rsidP="006A2F31">
      <w:pPr>
        <w:pStyle w:val="Heading5"/>
      </w:pPr>
      <w:bookmarkStart w:id="84" w:name="_Toc161933736"/>
      <w:bookmarkStart w:id="85" w:name="_Toc161935373"/>
      <w:r>
        <w:t xml:space="preserve">Figure 2: Growth of NMOHB </w:t>
      </w:r>
      <w:r w:rsidRPr="00224D46">
        <w:rPr>
          <w:b w:val="0"/>
          <w:bCs w:val="0"/>
        </w:rPr>
        <w:t xml:space="preserve">in </w:t>
      </w:r>
      <w:r w:rsidR="007D3DBA" w:rsidRPr="00224D46">
        <w:rPr>
          <w:b w:val="0"/>
          <w:bCs w:val="0"/>
        </w:rPr>
        <w:t>Methane-oxidizing</w:t>
      </w:r>
      <w:r w:rsidRPr="00224D46">
        <w:t xml:space="preserve"> </w:t>
      </w:r>
      <w:r w:rsidR="009B0281">
        <w:t>co-culture</w:t>
      </w:r>
      <w:bookmarkEnd w:id="84"/>
      <w:bookmarkEnd w:id="85"/>
      <w:r w:rsidRPr="00224D46">
        <w:t xml:space="preserve"> </w:t>
      </w:r>
    </w:p>
    <w:p w14:paraId="3A56A07B" w14:textId="77777777" w:rsidR="00460B5E" w:rsidRDefault="00460B5E" w:rsidP="00F33B92">
      <w:pPr>
        <w:spacing w:line="480" w:lineRule="auto"/>
        <w:rPr>
          <w:sz w:val="24"/>
          <w:szCs w:val="24"/>
        </w:rPr>
      </w:pPr>
    </w:p>
    <w:p w14:paraId="38DC562F" w14:textId="77777777" w:rsidR="00460B5E" w:rsidRDefault="00460B5E" w:rsidP="00F33B92">
      <w:pPr>
        <w:spacing w:line="480" w:lineRule="auto"/>
        <w:rPr>
          <w:sz w:val="24"/>
          <w:szCs w:val="24"/>
        </w:rPr>
      </w:pPr>
    </w:p>
    <w:p w14:paraId="602C77C3" w14:textId="77777777" w:rsidR="00460B5E" w:rsidRDefault="00460B5E" w:rsidP="00F33B92">
      <w:pPr>
        <w:spacing w:line="480" w:lineRule="auto"/>
        <w:rPr>
          <w:sz w:val="24"/>
          <w:szCs w:val="24"/>
        </w:rPr>
      </w:pPr>
    </w:p>
    <w:p w14:paraId="5D15A1E0" w14:textId="77777777" w:rsidR="00460B5E" w:rsidRDefault="00460B5E" w:rsidP="00F33B92">
      <w:pPr>
        <w:spacing w:line="480" w:lineRule="auto"/>
        <w:rPr>
          <w:sz w:val="24"/>
          <w:szCs w:val="24"/>
        </w:rPr>
      </w:pPr>
    </w:p>
    <w:p w14:paraId="0C810E16" w14:textId="77777777" w:rsidR="00460B5E" w:rsidRDefault="00460B5E" w:rsidP="00F33B92">
      <w:pPr>
        <w:spacing w:line="480" w:lineRule="auto"/>
        <w:rPr>
          <w:sz w:val="24"/>
          <w:szCs w:val="24"/>
        </w:rPr>
      </w:pPr>
    </w:p>
    <w:p w14:paraId="75C2AA41" w14:textId="77777777" w:rsidR="00460B5E" w:rsidRPr="00F33B92" w:rsidRDefault="00460B5E" w:rsidP="00F33B92">
      <w:pPr>
        <w:spacing w:line="480" w:lineRule="auto"/>
        <w:rPr>
          <w:sz w:val="24"/>
          <w:szCs w:val="24"/>
        </w:rPr>
      </w:pPr>
    </w:p>
    <w:p w14:paraId="304A6248" w14:textId="4D9623B2" w:rsidR="00F33B92" w:rsidRPr="00F33B92" w:rsidRDefault="00F33B92" w:rsidP="006E624A">
      <w:pPr>
        <w:pStyle w:val="Heading4"/>
      </w:pPr>
      <w:r w:rsidRPr="00F33B92">
        <w:lastRenderedPageBreak/>
        <w:t xml:space="preserve">The Presence of </w:t>
      </w:r>
      <w:r w:rsidRPr="00F33B92">
        <w:rPr>
          <w:i/>
          <w:iCs/>
        </w:rPr>
        <w:t xml:space="preserve">P. chlororaphis </w:t>
      </w:r>
      <w:r w:rsidRPr="00F33B92">
        <w:t xml:space="preserve">in Coculture with </w:t>
      </w:r>
      <w:r w:rsidRPr="00F33B92">
        <w:rPr>
          <w:i/>
          <w:iCs/>
        </w:rPr>
        <w:t xml:space="preserve">Methylosinus trichosporium </w:t>
      </w:r>
      <w:r w:rsidRPr="00F33B92">
        <w:t>OB3b Stimulates the Rate of Methane Oxidation</w:t>
      </w:r>
    </w:p>
    <w:p w14:paraId="30A9232C" w14:textId="56FFEE0E" w:rsidR="00F33B92" w:rsidRDefault="00F33B92" w:rsidP="00F33B92">
      <w:pPr>
        <w:spacing w:line="480" w:lineRule="auto"/>
        <w:rPr>
          <w:sz w:val="24"/>
          <w:szCs w:val="24"/>
        </w:rPr>
      </w:pPr>
      <w:r w:rsidRPr="00F33B92">
        <w:rPr>
          <w:sz w:val="24"/>
          <w:szCs w:val="24"/>
        </w:rPr>
        <w:t xml:space="preserve">The MOR of </w:t>
      </w:r>
      <w:r w:rsidR="009B0281">
        <w:rPr>
          <w:sz w:val="24"/>
          <w:szCs w:val="24"/>
        </w:rPr>
        <w:t>co-culture</w:t>
      </w:r>
      <w:r w:rsidRPr="00F33B92">
        <w:rPr>
          <w:sz w:val="24"/>
          <w:szCs w:val="24"/>
        </w:rPr>
        <w:t xml:space="preserve">s of either </w:t>
      </w:r>
      <w:r w:rsidRPr="00F33B92">
        <w:rPr>
          <w:i/>
          <w:iCs/>
          <w:sz w:val="24"/>
          <w:szCs w:val="24"/>
        </w:rPr>
        <w:t xml:space="preserve">P. chlororaphis </w:t>
      </w:r>
      <w:r w:rsidRPr="00F33B92">
        <w:rPr>
          <w:sz w:val="24"/>
          <w:szCs w:val="24"/>
        </w:rPr>
        <w:t xml:space="preserve">HC, </w:t>
      </w:r>
      <w:r w:rsidRPr="00F33B92">
        <w:rPr>
          <w:i/>
          <w:iCs/>
          <w:sz w:val="24"/>
          <w:szCs w:val="24"/>
        </w:rPr>
        <w:t>Cupriavidus</w:t>
      </w:r>
      <w:r w:rsidRPr="00F33B92">
        <w:rPr>
          <w:sz w:val="24"/>
          <w:szCs w:val="24"/>
        </w:rPr>
        <w:t xml:space="preserve"> sp</w:t>
      </w:r>
      <w:r w:rsidRPr="00F33B92">
        <w:rPr>
          <w:i/>
          <w:iCs/>
          <w:sz w:val="24"/>
          <w:szCs w:val="24"/>
        </w:rPr>
        <w:t xml:space="preserve">. </w:t>
      </w:r>
      <w:r w:rsidRPr="00F33B92">
        <w:rPr>
          <w:sz w:val="24"/>
          <w:szCs w:val="24"/>
        </w:rPr>
        <w:t xml:space="preserve">HC, or the </w:t>
      </w:r>
      <w:r w:rsidRPr="00F33B92">
        <w:rPr>
          <w:i/>
          <w:iCs/>
          <w:sz w:val="24"/>
          <w:szCs w:val="24"/>
        </w:rPr>
        <w:t xml:space="preserve">Flavobacterium </w:t>
      </w:r>
      <w:r w:rsidRPr="00F33B92">
        <w:rPr>
          <w:sz w:val="24"/>
          <w:szCs w:val="24"/>
        </w:rPr>
        <w:t xml:space="preserve">sp. HC with </w:t>
      </w:r>
      <w:r w:rsidRPr="00F33B92">
        <w:rPr>
          <w:i/>
          <w:iCs/>
          <w:sz w:val="24"/>
          <w:szCs w:val="24"/>
        </w:rPr>
        <w:t xml:space="preserve">M. trichosporium </w:t>
      </w:r>
      <w:r w:rsidRPr="00F33B92">
        <w:rPr>
          <w:sz w:val="24"/>
          <w:szCs w:val="24"/>
        </w:rPr>
        <w:t xml:space="preserve">OB3b was measured and compared to </w:t>
      </w:r>
      <w:r w:rsidRPr="00F33B92">
        <w:rPr>
          <w:i/>
          <w:iCs/>
          <w:sz w:val="24"/>
          <w:szCs w:val="24"/>
        </w:rPr>
        <w:t xml:space="preserve">M. trichosporium </w:t>
      </w:r>
      <w:r w:rsidRPr="00F33B92">
        <w:rPr>
          <w:sz w:val="24"/>
          <w:szCs w:val="24"/>
        </w:rPr>
        <w:t>OB3b grown in monoculture to determine if the presence of any of the NMOHB strains stimulated the rate of CH</w:t>
      </w:r>
      <w:r w:rsidRPr="00F33B92">
        <w:rPr>
          <w:sz w:val="24"/>
          <w:szCs w:val="24"/>
          <w:vertAlign w:val="subscript"/>
        </w:rPr>
        <w:t>4</w:t>
      </w:r>
      <w:r w:rsidRPr="00F33B92">
        <w:rPr>
          <w:sz w:val="24"/>
          <w:szCs w:val="24"/>
        </w:rPr>
        <w:t xml:space="preserve"> utilization by the MOB. When </w:t>
      </w:r>
      <w:r w:rsidRPr="00F33B92">
        <w:rPr>
          <w:i/>
          <w:iCs/>
          <w:sz w:val="24"/>
          <w:szCs w:val="24"/>
        </w:rPr>
        <w:t xml:space="preserve">M. trichosporium </w:t>
      </w:r>
      <w:r w:rsidRPr="00F33B92">
        <w:rPr>
          <w:sz w:val="24"/>
          <w:szCs w:val="24"/>
        </w:rPr>
        <w:t xml:space="preserve">OB3b is grown in </w:t>
      </w:r>
      <w:r w:rsidR="009B0281">
        <w:rPr>
          <w:sz w:val="24"/>
          <w:szCs w:val="24"/>
        </w:rPr>
        <w:t>co-culture</w:t>
      </w:r>
      <w:r w:rsidRPr="00F33B92">
        <w:rPr>
          <w:sz w:val="24"/>
          <w:szCs w:val="24"/>
        </w:rPr>
        <w:t xml:space="preserve"> with </w:t>
      </w:r>
      <w:r w:rsidRPr="00F33B92">
        <w:rPr>
          <w:i/>
          <w:iCs/>
          <w:sz w:val="24"/>
          <w:szCs w:val="24"/>
        </w:rPr>
        <w:t>P. chlororaphis</w:t>
      </w:r>
      <w:r w:rsidRPr="00F33B92">
        <w:rPr>
          <w:sz w:val="24"/>
          <w:szCs w:val="24"/>
        </w:rPr>
        <w:t xml:space="preserve"> the MOR is greater than when </w:t>
      </w:r>
      <w:r w:rsidRPr="00F33B92">
        <w:rPr>
          <w:i/>
          <w:iCs/>
          <w:sz w:val="24"/>
          <w:szCs w:val="24"/>
        </w:rPr>
        <w:t xml:space="preserve">M. trichosporium </w:t>
      </w:r>
      <w:r w:rsidRPr="00F33B92">
        <w:rPr>
          <w:sz w:val="24"/>
          <w:szCs w:val="24"/>
        </w:rPr>
        <w:t xml:space="preserve">OB3b is grown in monoculture. When </w:t>
      </w:r>
      <w:r w:rsidRPr="00F33B92">
        <w:rPr>
          <w:i/>
          <w:iCs/>
          <w:sz w:val="24"/>
          <w:szCs w:val="24"/>
        </w:rPr>
        <w:t xml:space="preserve">M. trichosporium </w:t>
      </w:r>
      <w:r w:rsidRPr="00F33B92">
        <w:rPr>
          <w:sz w:val="24"/>
          <w:szCs w:val="24"/>
        </w:rPr>
        <w:t xml:space="preserve">OB3b is grown in </w:t>
      </w:r>
      <w:r w:rsidR="009B0281">
        <w:rPr>
          <w:sz w:val="24"/>
          <w:szCs w:val="24"/>
        </w:rPr>
        <w:t>co-culture</w:t>
      </w:r>
      <w:r w:rsidRPr="00F33B92">
        <w:rPr>
          <w:sz w:val="24"/>
          <w:szCs w:val="24"/>
        </w:rPr>
        <w:t xml:space="preserve"> with either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HC</w:t>
      </w:r>
      <w:r w:rsidRPr="00F33B92">
        <w:rPr>
          <w:i/>
          <w:iCs/>
          <w:sz w:val="24"/>
          <w:szCs w:val="24"/>
        </w:rPr>
        <w:t xml:space="preserve"> </w:t>
      </w:r>
      <w:r w:rsidRPr="00F33B92">
        <w:rPr>
          <w:sz w:val="24"/>
          <w:szCs w:val="24"/>
        </w:rPr>
        <w:t xml:space="preserve">or the </w:t>
      </w:r>
      <w:r w:rsidRPr="00F33B92">
        <w:rPr>
          <w:i/>
          <w:iCs/>
          <w:sz w:val="24"/>
          <w:szCs w:val="24"/>
        </w:rPr>
        <w:t xml:space="preserve">Flavobacterium </w:t>
      </w:r>
      <w:r w:rsidRPr="00F33B92">
        <w:rPr>
          <w:sz w:val="24"/>
          <w:szCs w:val="24"/>
        </w:rPr>
        <w:t>sp. HC, the MOR does not significantly change compared to the monoculture (</w:t>
      </w:r>
      <w:r w:rsidRPr="00460B5E">
        <w:rPr>
          <w:b/>
          <w:bCs/>
          <w:sz w:val="24"/>
          <w:szCs w:val="24"/>
        </w:rPr>
        <w:t>Fig. 3</w:t>
      </w:r>
      <w:r w:rsidRPr="00F33B92">
        <w:rPr>
          <w:sz w:val="24"/>
          <w:szCs w:val="24"/>
        </w:rPr>
        <w:t xml:space="preserve">). This demonstrates that the presence of </w:t>
      </w:r>
      <w:r w:rsidRPr="00F33B92">
        <w:rPr>
          <w:i/>
          <w:iCs/>
          <w:sz w:val="24"/>
          <w:szCs w:val="24"/>
        </w:rPr>
        <w:t xml:space="preserve">P. chlororaphis </w:t>
      </w:r>
      <w:r w:rsidRPr="00F33B92">
        <w:rPr>
          <w:sz w:val="24"/>
          <w:szCs w:val="24"/>
        </w:rPr>
        <w:t>HC, but not the other NMOHB,</w:t>
      </w:r>
      <w:r w:rsidRPr="00F33B92">
        <w:rPr>
          <w:i/>
          <w:iCs/>
          <w:sz w:val="24"/>
          <w:szCs w:val="24"/>
        </w:rPr>
        <w:t xml:space="preserve"> </w:t>
      </w:r>
      <w:r w:rsidRPr="00F33B92">
        <w:rPr>
          <w:sz w:val="24"/>
          <w:szCs w:val="24"/>
        </w:rPr>
        <w:t>in culture with OB3b is stimulating the MOR of OB3b.</w:t>
      </w:r>
    </w:p>
    <w:p w14:paraId="566E9FBE" w14:textId="77777777" w:rsidR="00460B5E" w:rsidRDefault="00460B5E" w:rsidP="00F33B92">
      <w:pPr>
        <w:spacing w:line="480" w:lineRule="auto"/>
        <w:rPr>
          <w:sz w:val="24"/>
          <w:szCs w:val="24"/>
        </w:rPr>
      </w:pPr>
    </w:p>
    <w:p w14:paraId="464C9D6E" w14:textId="1361C537" w:rsidR="00460B5E" w:rsidRDefault="00460B5E" w:rsidP="00F33B92">
      <w:pPr>
        <w:spacing w:line="480" w:lineRule="auto"/>
        <w:rPr>
          <w:sz w:val="24"/>
          <w:szCs w:val="24"/>
        </w:rPr>
      </w:pPr>
      <w:r>
        <w:rPr>
          <w:noProof/>
          <w:sz w:val="24"/>
          <w:szCs w:val="24"/>
          <w14:ligatures w14:val="standardContextual"/>
        </w:rPr>
        <w:lastRenderedPageBreak/>
        <w:drawing>
          <wp:inline distT="0" distB="0" distL="0" distR="0" wp14:anchorId="28D77F76" wp14:editId="7ED0A7D9">
            <wp:extent cx="5943600" cy="4726940"/>
            <wp:effectExtent l="0" t="0" r="0" b="0"/>
            <wp:docPr id="2472153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15339" name="Picture 247215339"/>
                    <pic:cNvPicPr/>
                  </pic:nvPicPr>
                  <pic:blipFill>
                    <a:blip r:embed="rId26">
                      <a:extLst>
                        <a:ext uri="{28A0092B-C50C-407E-A947-70E740481C1C}">
                          <a14:useLocalDpi xmlns:a14="http://schemas.microsoft.com/office/drawing/2010/main" val="0"/>
                        </a:ext>
                      </a:extLst>
                    </a:blip>
                    <a:stretch>
                      <a:fillRect/>
                    </a:stretch>
                  </pic:blipFill>
                  <pic:spPr>
                    <a:xfrm>
                      <a:off x="0" y="0"/>
                      <a:ext cx="5943600" cy="4726940"/>
                    </a:xfrm>
                    <a:prstGeom prst="rect">
                      <a:avLst/>
                    </a:prstGeom>
                  </pic:spPr>
                </pic:pic>
              </a:graphicData>
            </a:graphic>
          </wp:inline>
        </w:drawing>
      </w:r>
    </w:p>
    <w:p w14:paraId="332E7F68" w14:textId="7B183EEE" w:rsidR="00460B5E" w:rsidRPr="00044CFD" w:rsidRDefault="00044CFD" w:rsidP="006A2F31">
      <w:pPr>
        <w:pStyle w:val="Heading5"/>
      </w:pPr>
      <w:bookmarkStart w:id="86" w:name="_Toc161933737"/>
      <w:bookmarkStart w:id="87" w:name="_Toc161935374"/>
      <w:r>
        <w:t xml:space="preserve">Figure 3: MOR of </w:t>
      </w:r>
      <w:r>
        <w:rPr>
          <w:i/>
          <w:iCs/>
        </w:rPr>
        <w:t xml:space="preserve">M. trichosporium </w:t>
      </w:r>
      <w:r>
        <w:t xml:space="preserve">OB3b in </w:t>
      </w:r>
      <w:r w:rsidR="009B0281">
        <w:t>co-culture</w:t>
      </w:r>
      <w:r>
        <w:t xml:space="preserve"> and monoculture conditions</w:t>
      </w:r>
      <w:bookmarkEnd w:id="86"/>
      <w:bookmarkEnd w:id="87"/>
      <w:r>
        <w:t xml:space="preserve"> </w:t>
      </w:r>
    </w:p>
    <w:p w14:paraId="6F4945AD" w14:textId="77777777" w:rsidR="00460B5E" w:rsidRDefault="00460B5E" w:rsidP="00F33B92">
      <w:pPr>
        <w:spacing w:line="480" w:lineRule="auto"/>
        <w:rPr>
          <w:sz w:val="24"/>
          <w:szCs w:val="24"/>
        </w:rPr>
      </w:pPr>
    </w:p>
    <w:p w14:paraId="2FC56DE8" w14:textId="77777777" w:rsidR="00460B5E" w:rsidRDefault="00460B5E" w:rsidP="00F33B92">
      <w:pPr>
        <w:spacing w:line="480" w:lineRule="auto"/>
        <w:rPr>
          <w:sz w:val="24"/>
          <w:szCs w:val="24"/>
        </w:rPr>
      </w:pPr>
    </w:p>
    <w:p w14:paraId="2105EC30" w14:textId="77777777" w:rsidR="00460B5E" w:rsidRDefault="00460B5E" w:rsidP="00F33B92">
      <w:pPr>
        <w:spacing w:line="480" w:lineRule="auto"/>
        <w:rPr>
          <w:sz w:val="24"/>
          <w:szCs w:val="24"/>
        </w:rPr>
      </w:pPr>
    </w:p>
    <w:p w14:paraId="4AB5EE0B" w14:textId="77777777" w:rsidR="00460B5E" w:rsidRDefault="00460B5E" w:rsidP="00F33B92">
      <w:pPr>
        <w:spacing w:line="480" w:lineRule="auto"/>
        <w:rPr>
          <w:sz w:val="24"/>
          <w:szCs w:val="24"/>
        </w:rPr>
      </w:pPr>
    </w:p>
    <w:p w14:paraId="23659292" w14:textId="77777777" w:rsidR="00460B5E" w:rsidRDefault="00460B5E" w:rsidP="00F33B92">
      <w:pPr>
        <w:spacing w:line="480" w:lineRule="auto"/>
        <w:rPr>
          <w:sz w:val="24"/>
          <w:szCs w:val="24"/>
        </w:rPr>
      </w:pPr>
    </w:p>
    <w:p w14:paraId="4F2374C3" w14:textId="77777777" w:rsidR="00460B5E" w:rsidRPr="00F33B92" w:rsidRDefault="00460B5E" w:rsidP="00F33B92">
      <w:pPr>
        <w:spacing w:line="480" w:lineRule="auto"/>
        <w:rPr>
          <w:sz w:val="24"/>
          <w:szCs w:val="24"/>
        </w:rPr>
      </w:pPr>
    </w:p>
    <w:p w14:paraId="63B71F9B" w14:textId="77777777" w:rsidR="00F33B92" w:rsidRPr="00F33B92" w:rsidRDefault="00F33B92" w:rsidP="006E624A">
      <w:pPr>
        <w:pStyle w:val="Heading4"/>
      </w:pPr>
      <w:r w:rsidRPr="00F33B92">
        <w:lastRenderedPageBreak/>
        <w:t xml:space="preserve">Genes Differentially Expressed by </w:t>
      </w:r>
      <w:r w:rsidRPr="00F33B92">
        <w:rPr>
          <w:i/>
          <w:iCs/>
        </w:rPr>
        <w:t xml:space="preserve">Methylosinus trichosporium </w:t>
      </w:r>
      <w:r w:rsidRPr="00F33B92">
        <w:t>OB3b in Coculture with NMOHB</w:t>
      </w:r>
    </w:p>
    <w:p w14:paraId="0344683C" w14:textId="6397A00A" w:rsidR="00F33B92" w:rsidRDefault="00F33B92" w:rsidP="00F33B92">
      <w:pPr>
        <w:spacing w:line="480" w:lineRule="auto"/>
        <w:rPr>
          <w:sz w:val="24"/>
          <w:szCs w:val="24"/>
        </w:rPr>
      </w:pPr>
      <w:r w:rsidRPr="00F33B92">
        <w:rPr>
          <w:sz w:val="24"/>
          <w:szCs w:val="24"/>
        </w:rPr>
        <w:t xml:space="preserve">Across all conditions, there were 25 genes, differentially expressed by </w:t>
      </w:r>
      <w:r w:rsidRPr="00F33B92">
        <w:rPr>
          <w:i/>
          <w:iCs/>
          <w:sz w:val="24"/>
          <w:szCs w:val="24"/>
        </w:rPr>
        <w:t>M. trichosporium</w:t>
      </w:r>
      <w:r w:rsidRPr="00F33B92">
        <w:rPr>
          <w:sz w:val="24"/>
          <w:szCs w:val="24"/>
        </w:rPr>
        <w:t xml:space="preserve"> OB3b (</w:t>
      </w:r>
      <w:r w:rsidRPr="00460B5E">
        <w:rPr>
          <w:b/>
          <w:bCs/>
          <w:sz w:val="24"/>
          <w:szCs w:val="24"/>
        </w:rPr>
        <w:t>Table 1</w:t>
      </w:r>
      <w:r w:rsidRPr="00F33B92">
        <w:rPr>
          <w:sz w:val="24"/>
          <w:szCs w:val="24"/>
        </w:rPr>
        <w:t xml:space="preserve">). When </w:t>
      </w:r>
      <w:r w:rsidRPr="00F33B92">
        <w:rPr>
          <w:i/>
          <w:iCs/>
          <w:sz w:val="24"/>
          <w:szCs w:val="24"/>
        </w:rPr>
        <w:t xml:space="preserve">M. trichosporium </w:t>
      </w:r>
      <w:r w:rsidRPr="00F33B92">
        <w:rPr>
          <w:sz w:val="24"/>
          <w:szCs w:val="24"/>
        </w:rPr>
        <w:t xml:space="preserve">OB3b was in </w:t>
      </w:r>
      <w:r w:rsidR="009B0281">
        <w:rPr>
          <w:sz w:val="24"/>
          <w:szCs w:val="24"/>
        </w:rPr>
        <w:t>co-culture</w:t>
      </w:r>
      <w:r w:rsidRPr="00F33B92">
        <w:rPr>
          <w:sz w:val="24"/>
          <w:szCs w:val="24"/>
        </w:rPr>
        <w:t xml:space="preserve"> with </w:t>
      </w:r>
      <w:r w:rsidRPr="00F33B92">
        <w:rPr>
          <w:i/>
          <w:iCs/>
          <w:sz w:val="24"/>
          <w:szCs w:val="24"/>
        </w:rPr>
        <w:t xml:space="preserve">P. chlororaphis </w:t>
      </w:r>
      <w:r w:rsidRPr="00F33B92">
        <w:rPr>
          <w:sz w:val="24"/>
          <w:szCs w:val="24"/>
        </w:rPr>
        <w:t>HC, 20 genes were differentially expressed of which 8 were annotated. These genes included an arsenate reductase gene (</w:t>
      </w:r>
      <w:r w:rsidRPr="00F33B92">
        <w:rPr>
          <w:i/>
          <w:iCs/>
          <w:sz w:val="24"/>
          <w:szCs w:val="24"/>
        </w:rPr>
        <w:t>arsC</w:t>
      </w:r>
      <w:r w:rsidRPr="00F33B92">
        <w:rPr>
          <w:sz w:val="24"/>
          <w:szCs w:val="24"/>
        </w:rPr>
        <w:t>) and associated transcriptional regulators, hydroxylamine reductase (</w:t>
      </w:r>
      <w:r w:rsidRPr="00F33B92">
        <w:rPr>
          <w:i/>
          <w:iCs/>
          <w:sz w:val="24"/>
          <w:szCs w:val="24"/>
        </w:rPr>
        <w:t>hcp</w:t>
      </w:r>
      <w:r w:rsidRPr="00F33B92">
        <w:rPr>
          <w:sz w:val="24"/>
          <w:szCs w:val="24"/>
        </w:rPr>
        <w:t>), and the large subunit of a nitrite reductase (</w:t>
      </w:r>
      <w:r w:rsidRPr="00F33B92">
        <w:rPr>
          <w:i/>
          <w:iCs/>
          <w:sz w:val="24"/>
          <w:szCs w:val="24"/>
        </w:rPr>
        <w:t>nasB</w:t>
      </w:r>
      <w:r w:rsidRPr="00F33B92">
        <w:rPr>
          <w:sz w:val="24"/>
          <w:szCs w:val="24"/>
        </w:rPr>
        <w:t xml:space="preserve">). When </w:t>
      </w:r>
      <w:r w:rsidRPr="00F33B92">
        <w:rPr>
          <w:i/>
          <w:iCs/>
          <w:sz w:val="24"/>
          <w:szCs w:val="24"/>
        </w:rPr>
        <w:t xml:space="preserve">M. trichosporium </w:t>
      </w:r>
      <w:r w:rsidRPr="00F33B92">
        <w:rPr>
          <w:sz w:val="24"/>
          <w:szCs w:val="24"/>
        </w:rPr>
        <w:t xml:space="preserve">OB3b was in </w:t>
      </w:r>
      <w:r w:rsidR="009B0281">
        <w:rPr>
          <w:sz w:val="24"/>
          <w:szCs w:val="24"/>
        </w:rPr>
        <w:t>co-culture</w:t>
      </w:r>
      <w:r w:rsidRPr="00F33B92">
        <w:rPr>
          <w:sz w:val="24"/>
          <w:szCs w:val="24"/>
        </w:rPr>
        <w:t xml:space="preserve"> with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HC, 5 genes were differentially expressed of which 4 were annotated. These included an outer membrane immunogenic protein, flavodoxin I, pyrroline-5-carboxylate reductase (</w:t>
      </w:r>
      <w:r w:rsidRPr="00F33B92">
        <w:rPr>
          <w:i/>
          <w:iCs/>
          <w:sz w:val="24"/>
          <w:szCs w:val="24"/>
        </w:rPr>
        <w:t>proC</w:t>
      </w:r>
      <w:r w:rsidRPr="00F33B92">
        <w:rPr>
          <w:sz w:val="24"/>
          <w:szCs w:val="24"/>
        </w:rPr>
        <w:t>), and L-ornithine Nalpha-acyltransferase (</w:t>
      </w:r>
      <w:r w:rsidRPr="00F33B92">
        <w:rPr>
          <w:i/>
          <w:iCs/>
          <w:sz w:val="24"/>
          <w:szCs w:val="24"/>
        </w:rPr>
        <w:t>olsB</w:t>
      </w:r>
      <w:r w:rsidRPr="00F33B92">
        <w:rPr>
          <w:sz w:val="24"/>
          <w:szCs w:val="24"/>
        </w:rPr>
        <w:t xml:space="preserve">). When </w:t>
      </w:r>
      <w:r w:rsidRPr="00F33B92">
        <w:rPr>
          <w:i/>
          <w:iCs/>
          <w:sz w:val="24"/>
          <w:szCs w:val="24"/>
        </w:rPr>
        <w:t xml:space="preserve">M. trichosporium </w:t>
      </w:r>
      <w:r w:rsidRPr="00F33B92">
        <w:rPr>
          <w:sz w:val="24"/>
          <w:szCs w:val="24"/>
        </w:rPr>
        <w:t xml:space="preserve">OB3b was in </w:t>
      </w:r>
      <w:r w:rsidR="009B0281">
        <w:rPr>
          <w:sz w:val="24"/>
          <w:szCs w:val="24"/>
        </w:rPr>
        <w:t>co-culture</w:t>
      </w:r>
      <w:r w:rsidRPr="00F33B92">
        <w:rPr>
          <w:sz w:val="24"/>
          <w:szCs w:val="24"/>
        </w:rPr>
        <w:t xml:space="preserve"> with </w:t>
      </w:r>
      <w:r w:rsidRPr="00F33B92">
        <w:rPr>
          <w:i/>
          <w:iCs/>
          <w:sz w:val="24"/>
          <w:szCs w:val="24"/>
        </w:rPr>
        <w:t xml:space="preserve">Flavobacterium </w:t>
      </w:r>
      <w:r w:rsidRPr="00F33B92">
        <w:rPr>
          <w:sz w:val="24"/>
          <w:szCs w:val="24"/>
        </w:rPr>
        <w:t xml:space="preserve">HC there were no differentially expressed genes. </w:t>
      </w:r>
    </w:p>
    <w:p w14:paraId="45393C16" w14:textId="4F3687AB" w:rsidR="00460B5E" w:rsidRDefault="00460B5E" w:rsidP="00F33B92">
      <w:pPr>
        <w:spacing w:line="480" w:lineRule="auto"/>
        <w:rPr>
          <w:sz w:val="24"/>
          <w:szCs w:val="24"/>
        </w:rPr>
      </w:pPr>
    </w:p>
    <w:p w14:paraId="029BF79F" w14:textId="77777777" w:rsidR="00460B5E" w:rsidRDefault="00460B5E" w:rsidP="00F33B92">
      <w:pPr>
        <w:spacing w:line="480" w:lineRule="auto"/>
        <w:rPr>
          <w:sz w:val="24"/>
          <w:szCs w:val="24"/>
        </w:rPr>
      </w:pPr>
    </w:p>
    <w:p w14:paraId="5DCA949E" w14:textId="77777777" w:rsidR="00460B5E" w:rsidRDefault="00460B5E" w:rsidP="00F33B92">
      <w:pPr>
        <w:spacing w:line="480" w:lineRule="auto"/>
        <w:rPr>
          <w:sz w:val="24"/>
          <w:szCs w:val="24"/>
        </w:rPr>
      </w:pPr>
    </w:p>
    <w:p w14:paraId="05F30F97" w14:textId="77777777" w:rsidR="00460B5E" w:rsidRDefault="00460B5E" w:rsidP="00F33B92">
      <w:pPr>
        <w:spacing w:line="480" w:lineRule="auto"/>
        <w:rPr>
          <w:sz w:val="24"/>
          <w:szCs w:val="24"/>
        </w:rPr>
      </w:pPr>
    </w:p>
    <w:p w14:paraId="049B9631" w14:textId="77777777" w:rsidR="00460B5E" w:rsidRDefault="00460B5E" w:rsidP="00F33B92">
      <w:pPr>
        <w:spacing w:line="480" w:lineRule="auto"/>
        <w:rPr>
          <w:sz w:val="24"/>
          <w:szCs w:val="24"/>
        </w:rPr>
      </w:pPr>
    </w:p>
    <w:p w14:paraId="0962933C" w14:textId="7660C9C2" w:rsidR="00460B5E" w:rsidRDefault="00460B5E" w:rsidP="00F33B92">
      <w:pPr>
        <w:spacing w:line="480" w:lineRule="auto"/>
        <w:rPr>
          <w:sz w:val="24"/>
          <w:szCs w:val="24"/>
        </w:rPr>
      </w:pPr>
    </w:p>
    <w:p w14:paraId="516CFE77" w14:textId="77777777" w:rsidR="00460B5E" w:rsidRDefault="00460B5E" w:rsidP="00F33B92">
      <w:pPr>
        <w:spacing w:line="480" w:lineRule="auto"/>
        <w:rPr>
          <w:sz w:val="24"/>
          <w:szCs w:val="24"/>
        </w:rPr>
      </w:pPr>
    </w:p>
    <w:p w14:paraId="6CC11444" w14:textId="77777777" w:rsidR="00460B5E" w:rsidRDefault="00460B5E" w:rsidP="00F33B92">
      <w:pPr>
        <w:spacing w:line="480" w:lineRule="auto"/>
        <w:rPr>
          <w:sz w:val="24"/>
          <w:szCs w:val="24"/>
        </w:rPr>
      </w:pPr>
    </w:p>
    <w:p w14:paraId="3E9D1F84" w14:textId="77777777" w:rsidR="00460B5E" w:rsidRDefault="00460B5E" w:rsidP="00F33B92">
      <w:pPr>
        <w:spacing w:line="480" w:lineRule="auto"/>
        <w:rPr>
          <w:sz w:val="24"/>
          <w:szCs w:val="24"/>
        </w:rPr>
      </w:pPr>
    </w:p>
    <w:p w14:paraId="15EA4B6A" w14:textId="59AB1D05" w:rsidR="00460B5E" w:rsidRDefault="00E2733E" w:rsidP="00F33B92">
      <w:pPr>
        <w:spacing w:line="480" w:lineRule="auto"/>
        <w:rPr>
          <w:sz w:val="24"/>
          <w:szCs w:val="24"/>
        </w:rPr>
      </w:pPr>
      <w:r>
        <w:rPr>
          <w:noProof/>
          <w:sz w:val="24"/>
          <w:szCs w:val="24"/>
          <w14:ligatures w14:val="standardContextual"/>
        </w:rPr>
        <w:lastRenderedPageBreak/>
        <mc:AlternateContent>
          <mc:Choice Requires="wps">
            <w:drawing>
              <wp:anchor distT="0" distB="0" distL="114300" distR="114300" simplePos="0" relativeHeight="251668480" behindDoc="0" locked="0" layoutInCell="1" allowOverlap="1" wp14:anchorId="14852727" wp14:editId="16429BC8">
                <wp:simplePos x="0" y="0"/>
                <wp:positionH relativeFrom="column">
                  <wp:posOffset>115747</wp:posOffset>
                </wp:positionH>
                <wp:positionV relativeFrom="paragraph">
                  <wp:posOffset>109959</wp:posOffset>
                </wp:positionV>
                <wp:extent cx="5713095" cy="1020869"/>
                <wp:effectExtent l="0" t="0" r="1905" b="0"/>
                <wp:wrapNone/>
                <wp:docPr id="299988252" name="Text Box 21"/>
                <wp:cNvGraphicFramePr/>
                <a:graphic xmlns:a="http://schemas.openxmlformats.org/drawingml/2006/main">
                  <a:graphicData uri="http://schemas.microsoft.com/office/word/2010/wordprocessingShape">
                    <wps:wsp>
                      <wps:cNvSpPr txBox="1"/>
                      <wps:spPr>
                        <a:xfrm>
                          <a:off x="0" y="0"/>
                          <a:ext cx="5713095" cy="1020869"/>
                        </a:xfrm>
                        <a:prstGeom prst="rect">
                          <a:avLst/>
                        </a:prstGeom>
                        <a:solidFill>
                          <a:schemeClr val="lt1"/>
                        </a:solidFill>
                        <a:ln w="6350">
                          <a:noFill/>
                        </a:ln>
                      </wps:spPr>
                      <wps:txbx>
                        <w:txbxContent>
                          <w:p w14:paraId="7634F50B" w14:textId="5A46EDE7" w:rsidR="00E2733E" w:rsidRDefault="00E2733E" w:rsidP="00E2733E">
                            <w:r w:rsidRPr="00E2733E">
                              <w:rPr>
                                <w:b/>
                                <w:bCs/>
                                <w:sz w:val="24"/>
                                <w:szCs w:val="24"/>
                              </w:rPr>
                              <w:t>Table 1:</w:t>
                            </w:r>
                            <w:r w:rsidRPr="00E2733E">
                              <w:rPr>
                                <w:sz w:val="24"/>
                                <w:szCs w:val="24"/>
                              </w:rPr>
                              <w:t xml:space="preserve"> Differentially expressed genes of </w:t>
                            </w:r>
                            <w:r w:rsidRPr="00E2733E">
                              <w:rPr>
                                <w:i/>
                                <w:iCs/>
                                <w:sz w:val="24"/>
                                <w:szCs w:val="24"/>
                              </w:rPr>
                              <w:t>Methylosinus trichosporium</w:t>
                            </w:r>
                            <w:r w:rsidRPr="00E2733E">
                              <w:rPr>
                                <w:sz w:val="24"/>
                                <w:szCs w:val="24"/>
                              </w:rPr>
                              <w:t xml:space="preserve"> OB3b in </w:t>
                            </w:r>
                            <w:r w:rsidR="009B0281">
                              <w:rPr>
                                <w:sz w:val="24"/>
                                <w:szCs w:val="24"/>
                              </w:rPr>
                              <w:t>co-culture</w:t>
                            </w:r>
                            <w:r w:rsidRPr="00E2733E">
                              <w:rPr>
                                <w:sz w:val="24"/>
                                <w:szCs w:val="24"/>
                              </w:rPr>
                              <w:t xml:space="preserve"> with </w:t>
                            </w:r>
                            <w:r w:rsidRPr="00E2733E">
                              <w:rPr>
                                <w:i/>
                                <w:iCs/>
                                <w:sz w:val="24"/>
                                <w:szCs w:val="24"/>
                              </w:rPr>
                              <w:t>Pseudomonas chlororaphis</w:t>
                            </w:r>
                            <w:r w:rsidRPr="00E2733E">
                              <w:rPr>
                                <w:sz w:val="24"/>
                                <w:szCs w:val="24"/>
                              </w:rPr>
                              <w:t xml:space="preserve"> HC or </w:t>
                            </w:r>
                            <w:r w:rsidRPr="00094018">
                              <w:rPr>
                                <w:i/>
                                <w:iCs/>
                                <w:sz w:val="24"/>
                                <w:szCs w:val="24"/>
                              </w:rPr>
                              <w:t>Cupriavidus</w:t>
                            </w:r>
                            <w:r w:rsidRPr="00E2733E">
                              <w:rPr>
                                <w:sz w:val="24"/>
                                <w:szCs w:val="24"/>
                              </w:rPr>
                              <w:t xml:space="preserve"> sp. HC compared to OB3b in monoculture. A negative log2FC represents genes that are expressed less in the </w:t>
                            </w:r>
                            <w:r w:rsidR="009B0281">
                              <w:rPr>
                                <w:sz w:val="24"/>
                                <w:szCs w:val="24"/>
                              </w:rPr>
                              <w:t>co-culture</w:t>
                            </w:r>
                            <w:r w:rsidRPr="00E2733E">
                              <w:rPr>
                                <w:sz w:val="24"/>
                                <w:szCs w:val="24"/>
                              </w:rPr>
                              <w:t xml:space="preserve"> condition. There were no differentially expressed genes in </w:t>
                            </w:r>
                            <w:r w:rsidR="009B0281">
                              <w:rPr>
                                <w:sz w:val="24"/>
                                <w:szCs w:val="24"/>
                              </w:rPr>
                              <w:t>co-culture</w:t>
                            </w:r>
                            <w:r w:rsidRPr="00E2733E">
                              <w:rPr>
                                <w:sz w:val="24"/>
                                <w:szCs w:val="24"/>
                              </w:rPr>
                              <w:t xml:space="preserve"> with </w:t>
                            </w:r>
                            <w:r w:rsidRPr="00E2733E">
                              <w:rPr>
                                <w:i/>
                                <w:iCs/>
                                <w:sz w:val="24"/>
                                <w:szCs w:val="24"/>
                              </w:rPr>
                              <w:t xml:space="preserve">Flavobacterium </w:t>
                            </w:r>
                            <w:r w:rsidRPr="00E2733E">
                              <w:rPr>
                                <w:sz w:val="24"/>
                                <w:szCs w:val="24"/>
                              </w:rPr>
                              <w:t>sp. HC.</w:t>
                            </w:r>
                            <w:r w:rsidRPr="00E2733E">
                              <w:rPr>
                                <w:sz w:val="24"/>
                                <w:szCs w:val="24"/>
                              </w:rP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52727" id="Text Box 21" o:spid="_x0000_s1029" type="#_x0000_t202" style="position:absolute;margin-left:9.1pt;margin-top:8.65pt;width:449.85pt;height:8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" fillcolor="white [3201]" stroked="f" strokeweight=".5pt">
                <v:textbox>
                  <w:txbxContent>
                    <w:p w14:paraId="7634F50B" w14:textId="5A46EDE7" w:rsidR="00E2733E" w:rsidRDefault="00E2733E" w:rsidP="00E2733E">
                      <w:r w:rsidRPr="00E2733E">
                        <w:rPr>
                          <w:b/>
                          <w:bCs/>
                          <w:sz w:val="24"/>
                          <w:szCs w:val="24"/>
                        </w:rPr>
                        <w:t>Table 1:</w:t>
                      </w:r>
                      <w:r w:rsidRPr="00E2733E">
                        <w:rPr>
                          <w:sz w:val="24"/>
                          <w:szCs w:val="24"/>
                        </w:rPr>
                        <w:t xml:space="preserve"> Differentially expressed genes of </w:t>
                      </w:r>
                      <w:r w:rsidRPr="00E2733E">
                        <w:rPr>
                          <w:i/>
                          <w:iCs/>
                          <w:sz w:val="24"/>
                          <w:szCs w:val="24"/>
                        </w:rPr>
                        <w:t>Methylosinus trichosporium</w:t>
                      </w:r>
                      <w:r w:rsidRPr="00E2733E">
                        <w:rPr>
                          <w:sz w:val="24"/>
                          <w:szCs w:val="24"/>
                        </w:rPr>
                        <w:t xml:space="preserve"> OB3b in </w:t>
                      </w:r>
                      <w:r w:rsidR="009B0281">
                        <w:rPr>
                          <w:sz w:val="24"/>
                          <w:szCs w:val="24"/>
                        </w:rPr>
                        <w:t>co-culture</w:t>
                      </w:r>
                      <w:r w:rsidRPr="00E2733E">
                        <w:rPr>
                          <w:sz w:val="24"/>
                          <w:szCs w:val="24"/>
                        </w:rPr>
                        <w:t xml:space="preserve"> with </w:t>
                      </w:r>
                      <w:r w:rsidRPr="00E2733E">
                        <w:rPr>
                          <w:i/>
                          <w:iCs/>
                          <w:sz w:val="24"/>
                          <w:szCs w:val="24"/>
                        </w:rPr>
                        <w:t>Pseudomonas chlororaphis</w:t>
                      </w:r>
                      <w:r w:rsidRPr="00E2733E">
                        <w:rPr>
                          <w:sz w:val="24"/>
                          <w:szCs w:val="24"/>
                        </w:rPr>
                        <w:t xml:space="preserve"> HC or </w:t>
                      </w:r>
                      <w:r w:rsidRPr="00094018">
                        <w:rPr>
                          <w:i/>
                          <w:iCs/>
                          <w:sz w:val="24"/>
                          <w:szCs w:val="24"/>
                        </w:rPr>
                        <w:t>Cupriavidus</w:t>
                      </w:r>
                      <w:r w:rsidRPr="00E2733E">
                        <w:rPr>
                          <w:sz w:val="24"/>
                          <w:szCs w:val="24"/>
                        </w:rPr>
                        <w:t xml:space="preserve"> sp. HC compared to OB3b in monoculture. A negative log2FC represents genes that are expressed less in the </w:t>
                      </w:r>
                      <w:r w:rsidR="009B0281">
                        <w:rPr>
                          <w:sz w:val="24"/>
                          <w:szCs w:val="24"/>
                        </w:rPr>
                        <w:t>co-culture</w:t>
                      </w:r>
                      <w:r w:rsidRPr="00E2733E">
                        <w:rPr>
                          <w:sz w:val="24"/>
                          <w:szCs w:val="24"/>
                        </w:rPr>
                        <w:t xml:space="preserve"> condition. There were no differentially expressed genes in </w:t>
                      </w:r>
                      <w:r w:rsidR="009B0281">
                        <w:rPr>
                          <w:sz w:val="24"/>
                          <w:szCs w:val="24"/>
                        </w:rPr>
                        <w:t>co-culture</w:t>
                      </w:r>
                      <w:r w:rsidRPr="00E2733E">
                        <w:rPr>
                          <w:sz w:val="24"/>
                          <w:szCs w:val="24"/>
                        </w:rPr>
                        <w:t xml:space="preserve"> with </w:t>
                      </w:r>
                      <w:r w:rsidRPr="00E2733E">
                        <w:rPr>
                          <w:i/>
                          <w:iCs/>
                          <w:sz w:val="24"/>
                          <w:szCs w:val="24"/>
                        </w:rPr>
                        <w:t xml:space="preserve">Flavobacterium </w:t>
                      </w:r>
                      <w:r w:rsidRPr="00E2733E">
                        <w:rPr>
                          <w:sz w:val="24"/>
                          <w:szCs w:val="24"/>
                        </w:rPr>
                        <w:t>sp. HC.</w:t>
                      </w:r>
                      <w:r w:rsidRPr="00E2733E">
                        <w:rPr>
                          <w:sz w:val="24"/>
                          <w:szCs w:val="24"/>
                        </w:rPr>
                        <w:tab/>
                      </w:r>
                      <w:r>
                        <w:tab/>
                      </w:r>
                      <w:r>
                        <w:tab/>
                      </w:r>
                    </w:p>
                  </w:txbxContent>
                </v:textbox>
              </v:shape>
            </w:pict>
          </mc:Fallback>
        </mc:AlternateContent>
      </w:r>
    </w:p>
    <w:p w14:paraId="67C8365C" w14:textId="21446404" w:rsidR="00460B5E" w:rsidRDefault="00460B5E" w:rsidP="00F33B92">
      <w:pPr>
        <w:spacing w:line="480" w:lineRule="auto"/>
        <w:rPr>
          <w:sz w:val="24"/>
          <w:szCs w:val="24"/>
        </w:rPr>
      </w:pPr>
    </w:p>
    <w:p w14:paraId="191891AF" w14:textId="57BDB037" w:rsidR="00460B5E" w:rsidRPr="00F33B92" w:rsidRDefault="00302C65" w:rsidP="006A2F31">
      <w:pPr>
        <w:pStyle w:val="Heading6"/>
        <w:rPr>
          <w:rFonts w:cs="Times New Roman"/>
        </w:rPr>
      </w:pPr>
      <w:bookmarkStart w:id="88" w:name="_Toc161934672"/>
      <w:r w:rsidRPr="00460B5E">
        <w:rPr>
          <w:noProof/>
          <w:sz w:val="24"/>
          <w:szCs w:val="24"/>
        </w:rPr>
        <w:drawing>
          <wp:anchor distT="0" distB="0" distL="114300" distR="114300" simplePos="0" relativeHeight="251667456" behindDoc="1" locked="0" layoutInCell="1" allowOverlap="1" wp14:anchorId="107ED6ED" wp14:editId="2D4F5F32">
            <wp:simplePos x="0" y="0"/>
            <wp:positionH relativeFrom="column">
              <wp:posOffset>115570</wp:posOffset>
            </wp:positionH>
            <wp:positionV relativeFrom="paragraph">
              <wp:posOffset>241300</wp:posOffset>
            </wp:positionV>
            <wp:extent cx="5713095" cy="2482215"/>
            <wp:effectExtent l="0" t="0" r="1905" b="0"/>
            <wp:wrapTight wrapText="bothSides">
              <wp:wrapPolygon edited="0">
                <wp:start x="0" y="0"/>
                <wp:lineTo x="0" y="21440"/>
                <wp:lineTo x="21559" y="21440"/>
                <wp:lineTo x="21559" y="0"/>
                <wp:lineTo x="0" y="0"/>
              </wp:wrapPolygon>
            </wp:wrapTight>
            <wp:docPr id="5750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8233" name=""/>
                    <pic:cNvPicPr/>
                  </pic:nvPicPr>
                  <pic:blipFill>
                    <a:blip r:embed="rId27">
                      <a:extLst>
                        <a:ext uri="{28A0092B-C50C-407E-A947-70E740481C1C}">
                          <a14:useLocalDpi xmlns:a14="http://schemas.microsoft.com/office/drawing/2010/main" val="0"/>
                        </a:ext>
                      </a:extLst>
                    </a:blip>
                    <a:stretch>
                      <a:fillRect/>
                    </a:stretch>
                  </pic:blipFill>
                  <pic:spPr>
                    <a:xfrm>
                      <a:off x="0" y="0"/>
                      <a:ext cx="5713095" cy="2482215"/>
                    </a:xfrm>
                    <a:prstGeom prst="rect">
                      <a:avLst/>
                    </a:prstGeom>
                  </pic:spPr>
                </pic:pic>
              </a:graphicData>
            </a:graphic>
            <wp14:sizeRelH relativeFrom="page">
              <wp14:pctWidth>0</wp14:pctWidth>
            </wp14:sizeRelH>
            <wp14:sizeRelV relativeFrom="page">
              <wp14:pctHeight>0</wp14:pctHeight>
            </wp14:sizeRelV>
          </wp:anchor>
        </w:drawing>
      </w:r>
      <w:r w:rsidR="006A2F31">
        <w:t xml:space="preserve">Table 1: OB3b differentially expressed genes in </w:t>
      </w:r>
      <w:r w:rsidR="009B0281">
        <w:t>co-culture</w:t>
      </w:r>
      <w:bookmarkEnd w:id="88"/>
      <w:r w:rsidR="006A2F31">
        <w:t xml:space="preserve"> </w:t>
      </w:r>
    </w:p>
    <w:p w14:paraId="725F80FD" w14:textId="77777777" w:rsidR="00F33B92" w:rsidRPr="00F33B92" w:rsidRDefault="00F33B92" w:rsidP="006E624A">
      <w:pPr>
        <w:pStyle w:val="Heading4"/>
      </w:pPr>
      <w:r w:rsidRPr="00F33B92">
        <w:t xml:space="preserve">Genes Involved in Carbon Utilization by </w:t>
      </w:r>
      <w:r w:rsidRPr="00F33B92">
        <w:rPr>
          <w:i/>
          <w:iCs/>
        </w:rPr>
        <w:t xml:space="preserve">Cupriavidus </w:t>
      </w:r>
      <w:r w:rsidRPr="00F33B92">
        <w:t>sp.</w:t>
      </w:r>
      <w:r w:rsidRPr="00F33B92">
        <w:rPr>
          <w:i/>
          <w:iCs/>
        </w:rPr>
        <w:t xml:space="preserve"> </w:t>
      </w:r>
      <w:r w:rsidRPr="00F33B92">
        <w:t xml:space="preserve">HC </w:t>
      </w:r>
    </w:p>
    <w:p w14:paraId="303DFF32" w14:textId="1E66F77F" w:rsidR="00F33B92" w:rsidRPr="00F33B92" w:rsidRDefault="00F33B92" w:rsidP="00F33B92">
      <w:pPr>
        <w:spacing w:line="480" w:lineRule="auto"/>
        <w:rPr>
          <w:sz w:val="24"/>
          <w:szCs w:val="24"/>
        </w:rPr>
      </w:pPr>
      <w:r w:rsidRPr="00F33B92">
        <w:rPr>
          <w:sz w:val="24"/>
          <w:szCs w:val="24"/>
        </w:rPr>
        <w:t xml:space="preserve">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 xml:space="preserve">OB3b,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 xml:space="preserve">HC overexpresses </w:t>
      </w:r>
      <w:r w:rsidRPr="00F33B92">
        <w:rPr>
          <w:i/>
          <w:iCs/>
          <w:sz w:val="24"/>
          <w:szCs w:val="24"/>
        </w:rPr>
        <w:t>fdwB</w:t>
      </w:r>
      <w:r w:rsidRPr="00F33B92">
        <w:rPr>
          <w:sz w:val="24"/>
          <w:szCs w:val="24"/>
        </w:rPr>
        <w:t>, coding for formate dehydrogenase beta subunit as well as genes in the TCA cycle such as succinate dehydrogenase iron-sulfur subunit (</w:t>
      </w:r>
      <w:r w:rsidRPr="00F33B92">
        <w:rPr>
          <w:i/>
          <w:iCs/>
          <w:sz w:val="24"/>
          <w:szCs w:val="24"/>
        </w:rPr>
        <w:t>frdB</w:t>
      </w:r>
      <w:r w:rsidRPr="00F33B92">
        <w:rPr>
          <w:sz w:val="24"/>
          <w:szCs w:val="24"/>
        </w:rPr>
        <w:t>), isocitrate lyase (</w:t>
      </w:r>
      <w:r w:rsidRPr="00F33B92">
        <w:rPr>
          <w:i/>
          <w:iCs/>
          <w:sz w:val="24"/>
          <w:szCs w:val="24"/>
        </w:rPr>
        <w:t>aceA</w:t>
      </w:r>
      <w:r w:rsidRPr="00F33B92">
        <w:rPr>
          <w:sz w:val="24"/>
          <w:szCs w:val="24"/>
        </w:rPr>
        <w:t>), fumarate hydratase (</w:t>
      </w:r>
      <w:r w:rsidRPr="00F33B92">
        <w:rPr>
          <w:i/>
          <w:iCs/>
          <w:sz w:val="24"/>
          <w:szCs w:val="24"/>
        </w:rPr>
        <w:t>fumA</w:t>
      </w:r>
      <w:r w:rsidRPr="00F33B92">
        <w:rPr>
          <w:sz w:val="24"/>
          <w:szCs w:val="24"/>
        </w:rPr>
        <w:t>), and what is putatively annotated as D-malate dehydrogenase (</w:t>
      </w:r>
      <w:r w:rsidRPr="00F33B92">
        <w:rPr>
          <w:i/>
          <w:iCs/>
          <w:sz w:val="24"/>
          <w:szCs w:val="24"/>
        </w:rPr>
        <w:t>dmlA</w:t>
      </w:r>
      <w:r w:rsidRPr="00F33B92">
        <w:rPr>
          <w:sz w:val="24"/>
          <w:szCs w:val="24"/>
        </w:rPr>
        <w:t xml:space="preserve">).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HC also shows increased expression of an alcohol dehydrogenase gene (</w:t>
      </w:r>
      <w:r w:rsidRPr="00F33B92">
        <w:rPr>
          <w:i/>
          <w:iCs/>
          <w:sz w:val="24"/>
          <w:szCs w:val="24"/>
        </w:rPr>
        <w:t>adh</w:t>
      </w:r>
      <w:r w:rsidRPr="00F33B92">
        <w:rPr>
          <w:sz w:val="24"/>
          <w:szCs w:val="24"/>
        </w:rPr>
        <w:t xml:space="preserve">) in </w:t>
      </w:r>
      <w:r w:rsidR="009B0281">
        <w:rPr>
          <w:sz w:val="24"/>
          <w:szCs w:val="24"/>
        </w:rPr>
        <w:t>co-culture</w:t>
      </w:r>
      <w:r w:rsidRPr="00F33B92">
        <w:rPr>
          <w:sz w:val="24"/>
          <w:szCs w:val="24"/>
        </w:rPr>
        <w:t xml:space="preserve"> with OB3b that could potentially be responsible for the utilization of methanol</w:t>
      </w:r>
      <w:r w:rsidR="00460B5E">
        <w:rPr>
          <w:sz w:val="24"/>
          <w:szCs w:val="24"/>
        </w:rPr>
        <w:t xml:space="preserve"> (</w:t>
      </w:r>
      <w:r w:rsidR="00460B5E">
        <w:rPr>
          <w:b/>
          <w:bCs/>
          <w:sz w:val="24"/>
          <w:szCs w:val="24"/>
        </w:rPr>
        <w:t>Table 2</w:t>
      </w:r>
      <w:r w:rsidR="00460B5E">
        <w:rPr>
          <w:sz w:val="24"/>
          <w:szCs w:val="24"/>
        </w:rPr>
        <w:t>)</w:t>
      </w:r>
      <w:r w:rsidR="00460B5E" w:rsidRPr="00F33B92">
        <w:rPr>
          <w:sz w:val="24"/>
          <w:szCs w:val="24"/>
        </w:rPr>
        <w:t>.</w:t>
      </w:r>
    </w:p>
    <w:p w14:paraId="2EF91E4A" w14:textId="77777777" w:rsidR="00F33B92" w:rsidRPr="00F33B92" w:rsidRDefault="00F33B92" w:rsidP="006E624A">
      <w:pPr>
        <w:pStyle w:val="Heading4"/>
      </w:pPr>
      <w:r w:rsidRPr="00F33B92">
        <w:t xml:space="preserve">Genes involved in Carbon Utilization by </w:t>
      </w:r>
      <w:r w:rsidRPr="00F33B92">
        <w:rPr>
          <w:i/>
          <w:iCs/>
        </w:rPr>
        <w:t xml:space="preserve">Pseudomonas chlororaphis </w:t>
      </w:r>
      <w:r w:rsidRPr="00F33B92">
        <w:t>HC</w:t>
      </w:r>
    </w:p>
    <w:p w14:paraId="2B485646" w14:textId="6344CE95" w:rsidR="00F33B92" w:rsidRPr="00F33B92" w:rsidRDefault="00F33B92" w:rsidP="00F33B92">
      <w:pPr>
        <w:spacing w:line="480" w:lineRule="auto"/>
        <w:rPr>
          <w:sz w:val="24"/>
          <w:szCs w:val="24"/>
        </w:rPr>
      </w:pPr>
      <w:r w:rsidRPr="00F33B92">
        <w:rPr>
          <w:sz w:val="24"/>
          <w:szCs w:val="24"/>
        </w:rPr>
        <w:t xml:space="preserve">In </w:t>
      </w:r>
      <w:r w:rsidR="009B0281">
        <w:rPr>
          <w:sz w:val="24"/>
          <w:szCs w:val="24"/>
        </w:rPr>
        <w:t>co-culture</w:t>
      </w:r>
      <w:r w:rsidRPr="00F33B92">
        <w:rPr>
          <w:sz w:val="24"/>
          <w:szCs w:val="24"/>
        </w:rPr>
        <w:t xml:space="preserve">, </w:t>
      </w:r>
      <w:r w:rsidRPr="00F33B92">
        <w:rPr>
          <w:i/>
          <w:iCs/>
          <w:sz w:val="24"/>
          <w:szCs w:val="24"/>
        </w:rPr>
        <w:t xml:space="preserve">P. chlororaphis </w:t>
      </w:r>
      <w:r w:rsidRPr="00F33B92">
        <w:rPr>
          <w:sz w:val="24"/>
          <w:szCs w:val="24"/>
        </w:rPr>
        <w:t>HC overexpresses an alcohol dehydrogenase gene (</w:t>
      </w:r>
      <w:r w:rsidRPr="00F33B92">
        <w:rPr>
          <w:i/>
          <w:iCs/>
          <w:sz w:val="24"/>
          <w:szCs w:val="24"/>
        </w:rPr>
        <w:t>alhP</w:t>
      </w:r>
      <w:r w:rsidRPr="00F33B92">
        <w:rPr>
          <w:sz w:val="24"/>
          <w:szCs w:val="24"/>
        </w:rPr>
        <w:t>) and TCA cycle genes encoding for malate dehydrogenase (</w:t>
      </w:r>
      <w:r w:rsidRPr="00F33B92">
        <w:rPr>
          <w:i/>
          <w:iCs/>
          <w:sz w:val="24"/>
          <w:szCs w:val="24"/>
        </w:rPr>
        <w:t>maeB</w:t>
      </w:r>
      <w:r w:rsidRPr="00F33B92">
        <w:rPr>
          <w:sz w:val="24"/>
          <w:szCs w:val="24"/>
        </w:rPr>
        <w:t>), acetyl-CoA synthetase, and fumarate hydratase (</w:t>
      </w:r>
      <w:r w:rsidRPr="00F33B92">
        <w:rPr>
          <w:i/>
          <w:iCs/>
          <w:sz w:val="24"/>
          <w:szCs w:val="24"/>
        </w:rPr>
        <w:t>fumC</w:t>
      </w:r>
      <w:r w:rsidRPr="00F33B92">
        <w:rPr>
          <w:sz w:val="24"/>
          <w:szCs w:val="24"/>
        </w:rPr>
        <w:t xml:space="preserve">) when compared to when </w:t>
      </w:r>
      <w:r w:rsidRPr="00F33B92">
        <w:rPr>
          <w:i/>
          <w:iCs/>
          <w:sz w:val="24"/>
          <w:szCs w:val="24"/>
        </w:rPr>
        <w:t xml:space="preserve">P. chlororaphis </w:t>
      </w:r>
      <w:r w:rsidRPr="00F33B92">
        <w:rPr>
          <w:sz w:val="24"/>
          <w:szCs w:val="24"/>
        </w:rPr>
        <w:t>HC growing on peptones. Additionally,</w:t>
      </w:r>
      <w:r w:rsidRPr="00F33B92">
        <w:rPr>
          <w:i/>
          <w:iCs/>
          <w:sz w:val="24"/>
          <w:szCs w:val="24"/>
        </w:rPr>
        <w:t xml:space="preserve"> </w:t>
      </w:r>
      <w:r w:rsidRPr="00F33B92">
        <w:rPr>
          <w:sz w:val="24"/>
          <w:szCs w:val="24"/>
        </w:rPr>
        <w:t>a set of genes coding for an aerobic C4-dicarboxylate transport protein (</w:t>
      </w:r>
      <w:r w:rsidRPr="00F33B92">
        <w:rPr>
          <w:i/>
          <w:iCs/>
          <w:sz w:val="24"/>
          <w:szCs w:val="24"/>
        </w:rPr>
        <w:t>dctABD</w:t>
      </w:r>
      <w:r w:rsidRPr="00F33B92">
        <w:rPr>
          <w:sz w:val="24"/>
          <w:szCs w:val="24"/>
        </w:rPr>
        <w:t xml:space="preserve">), </w:t>
      </w:r>
      <w:r w:rsidRPr="00F33B92">
        <w:rPr>
          <w:sz w:val="24"/>
          <w:szCs w:val="24"/>
        </w:rPr>
        <w:lastRenderedPageBreak/>
        <w:t xml:space="preserve">is also overexpressed in </w:t>
      </w:r>
      <w:r w:rsidR="009B0281">
        <w:rPr>
          <w:sz w:val="24"/>
          <w:szCs w:val="24"/>
        </w:rPr>
        <w:t>co-culture</w:t>
      </w:r>
      <w:r w:rsidRPr="00F33B92">
        <w:rPr>
          <w:sz w:val="24"/>
          <w:szCs w:val="24"/>
        </w:rPr>
        <w:t xml:space="preserve"> with OB3b by </w:t>
      </w:r>
      <w:r w:rsidRPr="00F33B92">
        <w:rPr>
          <w:i/>
          <w:iCs/>
          <w:sz w:val="24"/>
          <w:szCs w:val="24"/>
        </w:rPr>
        <w:t>P. chlororaphis</w:t>
      </w:r>
      <w:r w:rsidRPr="00F33B92">
        <w:rPr>
          <w:sz w:val="24"/>
          <w:szCs w:val="24"/>
        </w:rPr>
        <w:t xml:space="preserve"> HC, implying that the C4 carbon derived from the oxidation of CH</w:t>
      </w:r>
      <w:r w:rsidRPr="00F33B92">
        <w:rPr>
          <w:sz w:val="24"/>
          <w:szCs w:val="24"/>
          <w:vertAlign w:val="subscript"/>
        </w:rPr>
        <w:t>4</w:t>
      </w:r>
      <w:r w:rsidRPr="00F33B92">
        <w:rPr>
          <w:sz w:val="24"/>
          <w:szCs w:val="24"/>
        </w:rPr>
        <w:t xml:space="preserve"> by OB3b could be assimilated by</w:t>
      </w:r>
      <w:r w:rsidRPr="00F33B92">
        <w:rPr>
          <w:i/>
          <w:iCs/>
          <w:sz w:val="24"/>
          <w:szCs w:val="24"/>
        </w:rPr>
        <w:t xml:space="preserve"> P. chlororaphis</w:t>
      </w:r>
      <w:r w:rsidRPr="00F33B92">
        <w:rPr>
          <w:sz w:val="24"/>
          <w:szCs w:val="24"/>
        </w:rPr>
        <w:t xml:space="preserve"> HC</w:t>
      </w:r>
      <w:r w:rsidR="00460B5E">
        <w:rPr>
          <w:sz w:val="24"/>
          <w:szCs w:val="24"/>
        </w:rPr>
        <w:t xml:space="preserve"> (</w:t>
      </w:r>
      <w:r w:rsidR="00460B5E">
        <w:rPr>
          <w:b/>
          <w:bCs/>
          <w:sz w:val="24"/>
          <w:szCs w:val="24"/>
        </w:rPr>
        <w:t>Table 2</w:t>
      </w:r>
      <w:r w:rsidR="00460B5E">
        <w:rPr>
          <w:sz w:val="24"/>
          <w:szCs w:val="24"/>
        </w:rPr>
        <w:t>)</w:t>
      </w:r>
      <w:r w:rsidRPr="00F33B92">
        <w:rPr>
          <w:sz w:val="24"/>
          <w:szCs w:val="24"/>
        </w:rPr>
        <w:t>.</w:t>
      </w:r>
    </w:p>
    <w:p w14:paraId="11228982" w14:textId="77777777" w:rsidR="00F33B92" w:rsidRPr="00F33B92" w:rsidRDefault="00F33B92" w:rsidP="006E624A">
      <w:pPr>
        <w:pStyle w:val="Heading4"/>
      </w:pPr>
      <w:r w:rsidRPr="00F33B92">
        <w:t>Genes Involved in Carbon Utilization by</w:t>
      </w:r>
      <w:r w:rsidRPr="00F33B92">
        <w:rPr>
          <w:i/>
          <w:iCs/>
        </w:rPr>
        <w:t xml:space="preserve"> Flavobacterium</w:t>
      </w:r>
      <w:r w:rsidRPr="00F33B92">
        <w:t xml:space="preserve"> sp. HC</w:t>
      </w:r>
    </w:p>
    <w:p w14:paraId="687BC037" w14:textId="276F8113" w:rsidR="00F33B92" w:rsidRDefault="00F33B92" w:rsidP="00F33B92">
      <w:pPr>
        <w:spacing w:line="480" w:lineRule="auto"/>
        <w:rPr>
          <w:sz w:val="24"/>
          <w:szCs w:val="24"/>
        </w:rPr>
      </w:pPr>
      <w:r w:rsidRPr="347D99D0">
        <w:rPr>
          <w:i/>
          <w:iCs/>
          <w:sz w:val="24"/>
          <w:szCs w:val="24"/>
        </w:rPr>
        <w:t xml:space="preserve">Flavobacterium </w:t>
      </w:r>
      <w:r w:rsidRPr="347D99D0">
        <w:rPr>
          <w:sz w:val="24"/>
          <w:szCs w:val="24"/>
        </w:rPr>
        <w:t>sp. HC downregulates two genes involved in glycolysis/gluconeogenesis including glyceraldehyde 3-phosphate dehydrogenase (</w:t>
      </w:r>
      <w:r w:rsidRPr="347D99D0">
        <w:rPr>
          <w:i/>
          <w:iCs/>
          <w:sz w:val="24"/>
          <w:szCs w:val="24"/>
        </w:rPr>
        <w:t>gapA</w:t>
      </w:r>
      <w:r w:rsidRPr="347D99D0">
        <w:rPr>
          <w:sz w:val="24"/>
          <w:szCs w:val="24"/>
        </w:rPr>
        <w:t>)</w:t>
      </w:r>
      <w:r w:rsidRPr="347D99D0">
        <w:rPr>
          <w:i/>
          <w:iCs/>
          <w:sz w:val="24"/>
          <w:szCs w:val="24"/>
        </w:rPr>
        <w:t xml:space="preserve"> </w:t>
      </w:r>
      <w:r w:rsidRPr="347D99D0">
        <w:rPr>
          <w:sz w:val="24"/>
          <w:szCs w:val="24"/>
        </w:rPr>
        <w:t>and phosphoenolpyruvate carboxykinase (</w:t>
      </w:r>
      <w:r w:rsidRPr="347D99D0">
        <w:rPr>
          <w:i/>
          <w:iCs/>
          <w:sz w:val="24"/>
          <w:szCs w:val="24"/>
        </w:rPr>
        <w:t>pckA</w:t>
      </w:r>
      <w:r w:rsidRPr="347D99D0">
        <w:rPr>
          <w:sz w:val="24"/>
          <w:szCs w:val="24"/>
        </w:rPr>
        <w:t xml:space="preserve">) in </w:t>
      </w:r>
      <w:r w:rsidR="009B0281">
        <w:rPr>
          <w:sz w:val="24"/>
          <w:szCs w:val="24"/>
        </w:rPr>
        <w:t>co-culture</w:t>
      </w:r>
      <w:r w:rsidRPr="347D99D0">
        <w:rPr>
          <w:sz w:val="24"/>
          <w:szCs w:val="24"/>
        </w:rPr>
        <w:t xml:space="preserve"> with OB3b compared to the monoculture. Under the same condition, </w:t>
      </w:r>
      <w:r w:rsidR="0061620D" w:rsidRPr="347D99D0">
        <w:rPr>
          <w:sz w:val="24"/>
          <w:szCs w:val="24"/>
        </w:rPr>
        <w:t xml:space="preserve">it </w:t>
      </w:r>
      <w:r w:rsidRPr="347D99D0">
        <w:rPr>
          <w:sz w:val="24"/>
          <w:szCs w:val="24"/>
        </w:rPr>
        <w:t>also downregulates one gene involved in the TCA cycle; succinate dehydrogenase iron-sulfur subunit (</w:t>
      </w:r>
      <w:r w:rsidRPr="347D99D0">
        <w:rPr>
          <w:i/>
          <w:iCs/>
          <w:sz w:val="24"/>
          <w:szCs w:val="24"/>
        </w:rPr>
        <w:t>sdhB</w:t>
      </w:r>
      <w:r w:rsidRPr="347D99D0">
        <w:rPr>
          <w:sz w:val="24"/>
          <w:szCs w:val="24"/>
        </w:rPr>
        <w:t xml:space="preserve">). Unlike in </w:t>
      </w:r>
      <w:r w:rsidRPr="347D99D0">
        <w:rPr>
          <w:i/>
          <w:iCs/>
          <w:sz w:val="24"/>
          <w:szCs w:val="24"/>
        </w:rPr>
        <w:t xml:space="preserve">P. chlororaphis </w:t>
      </w:r>
      <w:r w:rsidRPr="347D99D0">
        <w:rPr>
          <w:sz w:val="24"/>
          <w:szCs w:val="24"/>
        </w:rPr>
        <w:t xml:space="preserve">HC and </w:t>
      </w:r>
      <w:r w:rsidRPr="347D99D0">
        <w:rPr>
          <w:i/>
          <w:iCs/>
          <w:sz w:val="24"/>
          <w:szCs w:val="24"/>
        </w:rPr>
        <w:t xml:space="preserve">Cupriavidus </w:t>
      </w:r>
      <w:r w:rsidRPr="347D99D0">
        <w:rPr>
          <w:sz w:val="24"/>
          <w:szCs w:val="24"/>
        </w:rPr>
        <w:t xml:space="preserve">sp. HC, genes related to central carbon metabolism are downregulated, and there is no evidence that an alcohol dehydrogenase is being expressed in </w:t>
      </w:r>
      <w:r w:rsidR="009B0281">
        <w:rPr>
          <w:sz w:val="24"/>
          <w:szCs w:val="24"/>
        </w:rPr>
        <w:t>co-culture</w:t>
      </w:r>
      <w:r w:rsidRPr="347D99D0">
        <w:rPr>
          <w:sz w:val="24"/>
          <w:szCs w:val="24"/>
        </w:rPr>
        <w:t xml:space="preserve"> with OB3b. In light of this, it is challenging to pinpoint the pathways used for growth in </w:t>
      </w:r>
      <w:r w:rsidR="009B0281">
        <w:rPr>
          <w:sz w:val="24"/>
          <w:szCs w:val="24"/>
        </w:rPr>
        <w:t>co-culture</w:t>
      </w:r>
      <w:r w:rsidRPr="347D99D0">
        <w:rPr>
          <w:sz w:val="24"/>
          <w:szCs w:val="24"/>
        </w:rPr>
        <w:t xml:space="preserve"> with OB3b</w:t>
      </w:r>
      <w:r w:rsidR="00460B5E" w:rsidRPr="347D99D0">
        <w:rPr>
          <w:sz w:val="24"/>
          <w:szCs w:val="24"/>
        </w:rPr>
        <w:t xml:space="preserve"> (</w:t>
      </w:r>
      <w:r w:rsidR="00460B5E" w:rsidRPr="347D99D0">
        <w:rPr>
          <w:b/>
          <w:bCs/>
          <w:sz w:val="24"/>
          <w:szCs w:val="24"/>
        </w:rPr>
        <w:t>Table 2</w:t>
      </w:r>
      <w:r w:rsidR="00460B5E" w:rsidRPr="347D99D0">
        <w:rPr>
          <w:sz w:val="24"/>
          <w:szCs w:val="24"/>
        </w:rPr>
        <w:t>).</w:t>
      </w:r>
    </w:p>
    <w:p w14:paraId="1DCFAC4F" w14:textId="206C6C7B" w:rsidR="00460B5E" w:rsidRDefault="00460B5E" w:rsidP="00F33B92">
      <w:pPr>
        <w:spacing w:line="480" w:lineRule="auto"/>
        <w:rPr>
          <w:sz w:val="24"/>
          <w:szCs w:val="24"/>
        </w:rPr>
      </w:pPr>
    </w:p>
    <w:p w14:paraId="50586CD5" w14:textId="0A745CE4" w:rsidR="00460B5E" w:rsidRDefault="00460B5E" w:rsidP="00F33B92">
      <w:pPr>
        <w:spacing w:line="480" w:lineRule="auto"/>
        <w:rPr>
          <w:sz w:val="24"/>
          <w:szCs w:val="24"/>
        </w:rPr>
      </w:pPr>
    </w:p>
    <w:p w14:paraId="1623B26D" w14:textId="77777777" w:rsidR="006A2F31" w:rsidRDefault="006A2F31" w:rsidP="00F33B92">
      <w:pPr>
        <w:spacing w:line="480" w:lineRule="auto"/>
        <w:rPr>
          <w:sz w:val="24"/>
          <w:szCs w:val="24"/>
        </w:rPr>
      </w:pPr>
    </w:p>
    <w:p w14:paraId="4D5D1D58" w14:textId="77777777" w:rsidR="006A2F31" w:rsidRDefault="006A2F31" w:rsidP="00F33B92">
      <w:pPr>
        <w:spacing w:line="480" w:lineRule="auto"/>
        <w:rPr>
          <w:sz w:val="24"/>
          <w:szCs w:val="24"/>
        </w:rPr>
      </w:pPr>
    </w:p>
    <w:p w14:paraId="6F22F063" w14:textId="77777777" w:rsidR="006A2F31" w:rsidRDefault="006A2F31" w:rsidP="00F33B92">
      <w:pPr>
        <w:spacing w:line="480" w:lineRule="auto"/>
        <w:rPr>
          <w:sz w:val="24"/>
          <w:szCs w:val="24"/>
        </w:rPr>
      </w:pPr>
    </w:p>
    <w:p w14:paraId="32E03963" w14:textId="77777777" w:rsidR="006A2F31" w:rsidRDefault="006A2F31" w:rsidP="00F33B92">
      <w:pPr>
        <w:spacing w:line="480" w:lineRule="auto"/>
        <w:rPr>
          <w:sz w:val="24"/>
          <w:szCs w:val="24"/>
        </w:rPr>
      </w:pPr>
    </w:p>
    <w:p w14:paraId="3BE2570B" w14:textId="77777777" w:rsidR="00AB3E06" w:rsidRDefault="00AB3E06" w:rsidP="00F33B92">
      <w:pPr>
        <w:spacing w:line="480" w:lineRule="auto"/>
        <w:rPr>
          <w:sz w:val="24"/>
          <w:szCs w:val="24"/>
        </w:rPr>
      </w:pPr>
    </w:p>
    <w:p w14:paraId="1EAF503E" w14:textId="77777777" w:rsidR="00AB3E06" w:rsidRDefault="00AB3E06" w:rsidP="00F33B92">
      <w:pPr>
        <w:spacing w:line="480" w:lineRule="auto"/>
        <w:rPr>
          <w:sz w:val="24"/>
          <w:szCs w:val="24"/>
        </w:rPr>
      </w:pPr>
    </w:p>
    <w:p w14:paraId="6F7339A1" w14:textId="7094506A" w:rsidR="00AB3E06" w:rsidRDefault="00302C65" w:rsidP="00F33B92">
      <w:pPr>
        <w:spacing w:line="480" w:lineRule="auto"/>
        <w:rPr>
          <w:sz w:val="24"/>
          <w:szCs w:val="24"/>
        </w:rPr>
      </w:pPr>
      <w:r>
        <w:rPr>
          <w:noProof/>
          <w:sz w:val="24"/>
          <w:szCs w:val="24"/>
          <w14:ligatures w14:val="standardContextual"/>
        </w:rPr>
        <w:lastRenderedPageBreak/>
        <mc:AlternateContent>
          <mc:Choice Requires="wps">
            <w:drawing>
              <wp:anchor distT="0" distB="0" distL="114300" distR="114300" simplePos="0" relativeHeight="251665408" behindDoc="0" locked="0" layoutInCell="1" allowOverlap="1" wp14:anchorId="53010536" wp14:editId="491A27C2">
                <wp:simplePos x="0" y="0"/>
                <wp:positionH relativeFrom="column">
                  <wp:posOffset>115747</wp:posOffset>
                </wp:positionH>
                <wp:positionV relativeFrom="paragraph">
                  <wp:posOffset>324091</wp:posOffset>
                </wp:positionV>
                <wp:extent cx="5713095" cy="784225"/>
                <wp:effectExtent l="0" t="0" r="1905" b="3175"/>
                <wp:wrapNone/>
                <wp:docPr id="285497886" name="Text Box 20"/>
                <wp:cNvGraphicFramePr/>
                <a:graphic xmlns:a="http://schemas.openxmlformats.org/drawingml/2006/main">
                  <a:graphicData uri="http://schemas.microsoft.com/office/word/2010/wordprocessingShape">
                    <wps:wsp>
                      <wps:cNvSpPr txBox="1"/>
                      <wps:spPr>
                        <a:xfrm>
                          <a:off x="0" y="0"/>
                          <a:ext cx="5713095" cy="784225"/>
                        </a:xfrm>
                        <a:prstGeom prst="rect">
                          <a:avLst/>
                        </a:prstGeom>
                        <a:solidFill>
                          <a:schemeClr val="lt1"/>
                        </a:solidFill>
                        <a:ln w="6350">
                          <a:noFill/>
                        </a:ln>
                      </wps:spPr>
                      <wps:txbx>
                        <w:txbxContent>
                          <w:p w14:paraId="54E02BF0" w14:textId="6D72035E" w:rsidR="00460B5E" w:rsidRDefault="00460B5E" w:rsidP="00460B5E">
                            <w:r w:rsidRPr="00460B5E">
                              <w:rPr>
                                <w:b/>
                                <w:bCs/>
                              </w:rPr>
                              <w:t>Table 2</w:t>
                            </w:r>
                            <w:r>
                              <w:t xml:space="preserve">: Differentially expressed genes related to carbon metabolism for the NMOHB in </w:t>
                            </w:r>
                            <w:r w:rsidR="009B0281">
                              <w:t>co-culture</w:t>
                            </w:r>
                            <w:r>
                              <w:t xml:space="preserve"> with </w:t>
                            </w:r>
                            <w:r w:rsidRPr="00094018">
                              <w:rPr>
                                <w:i/>
                                <w:iCs/>
                              </w:rPr>
                              <w:t>Methylosinus trichosporium</w:t>
                            </w:r>
                            <w:r>
                              <w:t xml:space="preserve"> OB3b. A positive log2FC represents genes that are expressed more in the </w:t>
                            </w:r>
                            <w:r w:rsidR="009B0281">
                              <w:t>co-culture</w:t>
                            </w:r>
                            <w:r>
                              <w:t xml:space="preserve"> </w:t>
                            </w:r>
                            <w:r w:rsidR="00094018">
                              <w:t>condition</w:t>
                            </w:r>
                            <w:r>
                              <w:t xml:space="preserve"> compared to the NMOHB grown in NMS + peptones medium.</w:t>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10536" id="Text Box 20" o:spid="_x0000_s1030" type="#_x0000_t202" style="position:absolute;margin-left:9.1pt;margin-top:25.5pt;width:449.85pt;height:6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" fillcolor="white [3201]" stroked="f" strokeweight=".5pt">
                <v:textbox>
                  <w:txbxContent>
                    <w:p w14:paraId="54E02BF0" w14:textId="6D72035E" w:rsidR="00460B5E" w:rsidRDefault="00460B5E" w:rsidP="00460B5E">
                      <w:r w:rsidRPr="00460B5E">
                        <w:rPr>
                          <w:b/>
                          <w:bCs/>
                        </w:rPr>
                        <w:t>Table 2</w:t>
                      </w:r>
                      <w:r>
                        <w:t xml:space="preserve">: Differentially expressed genes related to carbon metabolism for the NMOHB in </w:t>
                      </w:r>
                      <w:r w:rsidR="009B0281">
                        <w:t>co-culture</w:t>
                      </w:r>
                      <w:r>
                        <w:t xml:space="preserve"> with </w:t>
                      </w:r>
                      <w:r w:rsidRPr="00094018">
                        <w:rPr>
                          <w:i/>
                          <w:iCs/>
                        </w:rPr>
                        <w:t>Methylosinus trichosporium</w:t>
                      </w:r>
                      <w:r>
                        <w:t xml:space="preserve"> OB3b. A positive log2FC represents genes that are expressed more in the </w:t>
                      </w:r>
                      <w:r w:rsidR="009B0281">
                        <w:t>co-culture</w:t>
                      </w:r>
                      <w:r>
                        <w:t xml:space="preserve"> </w:t>
                      </w:r>
                      <w:r w:rsidR="00094018">
                        <w:t>condition</w:t>
                      </w:r>
                      <w:r>
                        <w:t xml:space="preserve"> compared to the NMOHB grown in NMS + peptones medium.</w:t>
                      </w:r>
                      <w:r>
                        <w:tab/>
                      </w:r>
                      <w:r>
                        <w:tab/>
                      </w:r>
                      <w:r>
                        <w:tab/>
                      </w:r>
                    </w:p>
                  </w:txbxContent>
                </v:textbox>
              </v:shape>
            </w:pict>
          </mc:Fallback>
        </mc:AlternateContent>
      </w:r>
    </w:p>
    <w:p w14:paraId="125BEFC3" w14:textId="32B47734" w:rsidR="006A2F31" w:rsidRDefault="006A2F31" w:rsidP="00F33B92">
      <w:pPr>
        <w:spacing w:line="480" w:lineRule="auto"/>
        <w:rPr>
          <w:sz w:val="24"/>
          <w:szCs w:val="24"/>
        </w:rPr>
      </w:pPr>
    </w:p>
    <w:p w14:paraId="148B274E" w14:textId="3142F3EB" w:rsidR="00460B5E" w:rsidRDefault="00B121B9" w:rsidP="00F33B92">
      <w:pPr>
        <w:spacing w:line="480" w:lineRule="auto"/>
        <w:rPr>
          <w:sz w:val="24"/>
          <w:szCs w:val="24"/>
        </w:rPr>
      </w:pPr>
      <w:r w:rsidRPr="00094018">
        <w:rPr>
          <w:noProof/>
          <w:sz w:val="24"/>
          <w:szCs w:val="24"/>
        </w:rPr>
        <w:drawing>
          <wp:anchor distT="0" distB="0" distL="114300" distR="114300" simplePos="0" relativeHeight="251672576" behindDoc="1" locked="0" layoutInCell="1" allowOverlap="1" wp14:anchorId="765E9F11" wp14:editId="0C857654">
            <wp:simplePos x="0" y="0"/>
            <wp:positionH relativeFrom="column">
              <wp:posOffset>114123</wp:posOffset>
            </wp:positionH>
            <wp:positionV relativeFrom="paragraph">
              <wp:posOffset>352666</wp:posOffset>
            </wp:positionV>
            <wp:extent cx="5713095" cy="4651375"/>
            <wp:effectExtent l="0" t="0" r="1905" b="0"/>
            <wp:wrapTight wrapText="bothSides">
              <wp:wrapPolygon edited="0">
                <wp:start x="0" y="0"/>
                <wp:lineTo x="0" y="21526"/>
                <wp:lineTo x="21559" y="21526"/>
                <wp:lineTo x="21559" y="0"/>
                <wp:lineTo x="0" y="0"/>
              </wp:wrapPolygon>
            </wp:wrapTight>
            <wp:docPr id="11055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5878" name=""/>
                    <pic:cNvPicPr/>
                  </pic:nvPicPr>
                  <pic:blipFill>
                    <a:blip r:embed="rId28">
                      <a:extLst>
                        <a:ext uri="{28A0092B-C50C-407E-A947-70E740481C1C}">
                          <a14:useLocalDpi xmlns:a14="http://schemas.microsoft.com/office/drawing/2010/main" val="0"/>
                        </a:ext>
                      </a:extLst>
                    </a:blip>
                    <a:stretch>
                      <a:fillRect/>
                    </a:stretch>
                  </pic:blipFill>
                  <pic:spPr>
                    <a:xfrm>
                      <a:off x="0" y="0"/>
                      <a:ext cx="5713095" cy="4651375"/>
                    </a:xfrm>
                    <a:prstGeom prst="rect">
                      <a:avLst/>
                    </a:prstGeom>
                  </pic:spPr>
                </pic:pic>
              </a:graphicData>
            </a:graphic>
            <wp14:sizeRelH relativeFrom="page">
              <wp14:pctWidth>0</wp14:pctWidth>
            </wp14:sizeRelH>
            <wp14:sizeRelV relativeFrom="page">
              <wp14:pctHeight>0</wp14:pctHeight>
            </wp14:sizeRelV>
          </wp:anchor>
        </w:drawing>
      </w:r>
    </w:p>
    <w:p w14:paraId="048A9033" w14:textId="52CAB8F0" w:rsidR="006A2F31" w:rsidRDefault="006A2F31" w:rsidP="006A2F31">
      <w:pPr>
        <w:pStyle w:val="Heading6"/>
      </w:pPr>
      <w:bookmarkStart w:id="89" w:name="_Toc161934673"/>
      <w:r>
        <w:t>Table 2: Differentially expressed carbon metabolism genes</w:t>
      </w:r>
      <w:bookmarkEnd w:id="89"/>
    </w:p>
    <w:p w14:paraId="46995CD1" w14:textId="77777777" w:rsidR="006A2F31" w:rsidRDefault="006A2F31" w:rsidP="00F33B92">
      <w:pPr>
        <w:spacing w:line="480" w:lineRule="auto"/>
        <w:rPr>
          <w:sz w:val="24"/>
          <w:szCs w:val="24"/>
        </w:rPr>
      </w:pPr>
    </w:p>
    <w:p w14:paraId="0BAEE63C" w14:textId="2E50C549" w:rsidR="00460B5E" w:rsidRDefault="00460B5E" w:rsidP="00F33B92">
      <w:pPr>
        <w:spacing w:line="480" w:lineRule="auto"/>
        <w:rPr>
          <w:sz w:val="24"/>
          <w:szCs w:val="24"/>
        </w:rPr>
      </w:pPr>
    </w:p>
    <w:p w14:paraId="0E1A8C3B" w14:textId="40DBD06C" w:rsidR="00460B5E" w:rsidRDefault="00460B5E" w:rsidP="00F33B92">
      <w:pPr>
        <w:spacing w:line="480" w:lineRule="auto"/>
        <w:rPr>
          <w:sz w:val="24"/>
          <w:szCs w:val="24"/>
        </w:rPr>
      </w:pPr>
    </w:p>
    <w:p w14:paraId="051871D4" w14:textId="77777777" w:rsidR="00460B5E" w:rsidRPr="00F33B92" w:rsidRDefault="00460B5E" w:rsidP="00F33B92">
      <w:pPr>
        <w:spacing w:line="480" w:lineRule="auto"/>
        <w:rPr>
          <w:sz w:val="24"/>
          <w:szCs w:val="24"/>
        </w:rPr>
      </w:pPr>
    </w:p>
    <w:p w14:paraId="6E89DE1C" w14:textId="77777777" w:rsidR="00F33B92" w:rsidRPr="00F33B92" w:rsidRDefault="00F33B92" w:rsidP="006E624A">
      <w:pPr>
        <w:pStyle w:val="Heading4"/>
      </w:pPr>
      <w:r w:rsidRPr="00F33B92">
        <w:rPr>
          <w:i/>
          <w:iCs/>
        </w:rPr>
        <w:lastRenderedPageBreak/>
        <w:t xml:space="preserve">Cupriavidus </w:t>
      </w:r>
      <w:r w:rsidRPr="00F33B92">
        <w:t>sp.</w:t>
      </w:r>
      <w:r w:rsidRPr="00F33B92">
        <w:rPr>
          <w:i/>
          <w:iCs/>
        </w:rPr>
        <w:t xml:space="preserve"> </w:t>
      </w:r>
      <w:r w:rsidRPr="00F33B92">
        <w:t>HC</w:t>
      </w:r>
      <w:r w:rsidRPr="00F33B92">
        <w:rPr>
          <w:i/>
          <w:iCs/>
        </w:rPr>
        <w:t xml:space="preserve"> </w:t>
      </w:r>
      <w:r w:rsidRPr="00F33B92">
        <w:t xml:space="preserve">Overexpresses ROS Remediation Genes in Coculture with </w:t>
      </w:r>
      <w:r w:rsidRPr="00F33B92">
        <w:rPr>
          <w:i/>
          <w:iCs/>
        </w:rPr>
        <w:t xml:space="preserve">Methylosinus trichosporium </w:t>
      </w:r>
      <w:r w:rsidRPr="00F33B92">
        <w:t>OB3b</w:t>
      </w:r>
    </w:p>
    <w:p w14:paraId="7EA09379" w14:textId="10076AA5" w:rsidR="00F33B92" w:rsidRPr="00F33B92" w:rsidRDefault="00F33B92" w:rsidP="00F33B92">
      <w:pPr>
        <w:spacing w:line="480" w:lineRule="auto"/>
        <w:rPr>
          <w:rFonts w:eastAsia="Times New Roman"/>
          <w:color w:val="000000"/>
          <w:sz w:val="24"/>
          <w:szCs w:val="24"/>
        </w:rPr>
      </w:pPr>
      <w:r w:rsidRPr="00F33B92">
        <w:rPr>
          <w:sz w:val="24"/>
          <w:szCs w:val="24"/>
        </w:rPr>
        <w:t xml:space="preserve">When growing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 xml:space="preserve">OB3b, </w:t>
      </w:r>
      <w:r w:rsidRPr="00F33B92">
        <w:rPr>
          <w:i/>
          <w:iCs/>
          <w:sz w:val="24"/>
          <w:szCs w:val="24"/>
        </w:rPr>
        <w:t xml:space="preserve">Cupriavidus </w:t>
      </w:r>
      <w:r w:rsidRPr="00F33B92">
        <w:rPr>
          <w:sz w:val="24"/>
          <w:szCs w:val="24"/>
        </w:rPr>
        <w:t>sp.</w:t>
      </w:r>
      <w:r w:rsidRPr="00F33B92">
        <w:rPr>
          <w:i/>
          <w:iCs/>
          <w:sz w:val="24"/>
          <w:szCs w:val="24"/>
        </w:rPr>
        <w:t xml:space="preserve"> </w:t>
      </w:r>
      <w:r w:rsidRPr="00F33B92">
        <w:rPr>
          <w:sz w:val="24"/>
          <w:szCs w:val="24"/>
        </w:rPr>
        <w:t>HC overexpresses multiple genes that could remediate toxic ROS including SOD2 Fe-Mn family superoxide dismutase, thioredoxin-dependent peroxiredoxin (</w:t>
      </w:r>
      <w:r w:rsidRPr="00F33B92">
        <w:rPr>
          <w:i/>
          <w:iCs/>
          <w:sz w:val="24"/>
          <w:szCs w:val="24"/>
        </w:rPr>
        <w:t>prx</w:t>
      </w:r>
      <w:r w:rsidRPr="00F33B92">
        <w:rPr>
          <w:sz w:val="24"/>
          <w:szCs w:val="24"/>
        </w:rPr>
        <w:t>), glutathione-dependent peroxiredoxin (</w:t>
      </w:r>
      <w:r w:rsidRPr="00F33B92">
        <w:rPr>
          <w:i/>
          <w:iCs/>
          <w:sz w:val="24"/>
          <w:szCs w:val="24"/>
        </w:rPr>
        <w:t>pgdX</w:t>
      </w:r>
      <w:r w:rsidRPr="00F33B92">
        <w:rPr>
          <w:sz w:val="24"/>
          <w:szCs w:val="24"/>
        </w:rPr>
        <w:t>),</w:t>
      </w:r>
      <w:r w:rsidRPr="00F33B92">
        <w:rPr>
          <w:rFonts w:eastAsia="Times New Roman"/>
          <w:color w:val="000000"/>
          <w:sz w:val="24"/>
          <w:szCs w:val="24"/>
        </w:rPr>
        <w:t xml:space="preserve"> thioredoxin-dependent peroxiredoxin (</w:t>
      </w:r>
      <w:r w:rsidRPr="00F33B92">
        <w:rPr>
          <w:rFonts w:eastAsia="Times New Roman"/>
          <w:i/>
          <w:iCs/>
          <w:color w:val="000000"/>
          <w:sz w:val="24"/>
          <w:szCs w:val="24"/>
        </w:rPr>
        <w:t>tpx</w:t>
      </w:r>
      <w:r w:rsidRPr="00F33B92">
        <w:rPr>
          <w:rFonts w:eastAsia="Times New Roman"/>
          <w:color w:val="000000"/>
          <w:sz w:val="24"/>
          <w:szCs w:val="24"/>
        </w:rPr>
        <w:t>), and genes for glutathione biosynthesis from glutamate via glutamate-cysteine ligase (</w:t>
      </w:r>
      <w:r w:rsidRPr="00F33B92">
        <w:rPr>
          <w:rFonts w:eastAsia="Times New Roman"/>
          <w:i/>
          <w:iCs/>
          <w:color w:val="000000"/>
          <w:sz w:val="24"/>
          <w:szCs w:val="24"/>
        </w:rPr>
        <w:t>gshA</w:t>
      </w:r>
      <w:r w:rsidRPr="00F33B92">
        <w:rPr>
          <w:rFonts w:eastAsia="Times New Roman"/>
          <w:color w:val="000000"/>
          <w:sz w:val="24"/>
          <w:szCs w:val="24"/>
        </w:rPr>
        <w:t>) and</w:t>
      </w:r>
      <w:r w:rsidRPr="00F33B92">
        <w:rPr>
          <w:sz w:val="24"/>
          <w:szCs w:val="24"/>
        </w:rPr>
        <w:t xml:space="preserve"> </w:t>
      </w:r>
      <w:r w:rsidRPr="00F33B92">
        <w:rPr>
          <w:rFonts w:eastAsia="Times New Roman"/>
          <w:color w:val="000000"/>
          <w:sz w:val="24"/>
          <w:szCs w:val="24"/>
        </w:rPr>
        <w:t>glutathione synthase (</w:t>
      </w:r>
      <w:r w:rsidRPr="00F33B92">
        <w:rPr>
          <w:rFonts w:eastAsia="Times New Roman"/>
          <w:i/>
          <w:iCs/>
          <w:color w:val="000000"/>
          <w:sz w:val="24"/>
          <w:szCs w:val="24"/>
        </w:rPr>
        <w:t>gshB</w:t>
      </w:r>
      <w:r w:rsidRPr="00F33B92">
        <w:rPr>
          <w:rFonts w:eastAsia="Times New Roman"/>
          <w:color w:val="000000"/>
          <w:sz w:val="24"/>
          <w:szCs w:val="24"/>
        </w:rPr>
        <w:t xml:space="preserve">) which are involved in peroxide remediation </w:t>
      </w:r>
      <w:r w:rsidRPr="00F33B92">
        <w:rPr>
          <w:rFonts w:eastAsia="Times New Roman"/>
          <w:color w:val="000000"/>
          <w:sz w:val="24"/>
          <w:szCs w:val="24"/>
        </w:rPr>
        <w:fldChar w:fldCharType="begin"/>
      </w:r>
      <w:r w:rsidRPr="00F33B92">
        <w:rPr>
          <w:rFonts w:eastAsia="Times New Roman"/>
          <w:color w:val="000000"/>
          <w:sz w:val="24"/>
          <w:szCs w:val="24"/>
        </w:rPr>
        <w:instrText xml:space="preserve"> ADDIN ZOTERO_ITEM CSL_CITATION {"citationID":"LXCi9nhr","properties":{"formattedCitation":"(24)","plainCitation":"(24)","noteIndex":0},"citationItems":[{"id":570,"uris":["http://zotero.org/users/11931443/items/7WKK6PIM"],"itemData":{"id":570,"type":"article-journal","abstract":"Pseudomonas aeruginosa PAO1 contains gshA and gshB genes, which encode enzymes involved in glutathione (GSH) biosynthesis. Challenging P. aeruginosa with hydrogen peroxide, cumene hydroperoxide, and t-butyl hydroperoxide increased the expression of gshA and gshB. The physiological roles of these genes in P. aeruginosa oxidative stress, bacterial virulence, and biofilm formation were examined using P. aeruginosa ΔgshA, ΔgshB, and double ΔgshAΔgshB mutant strains. These mutants exhibited significantly increased susceptibility to methyl viologen, thiol-depleting agent, and methylglyoxal compared to PAO1. Expression of functional gshA, gshB or exogenous supplementation with GSH complemented these phenotypes, which indicates that the observed mutant phenotypes arose from their inability to produce GSH. Virulence assays using a Drosophila melanogaster model revealed that the ΔgshA, ΔgshB and double ΔgshAΔgshB mutants exhibited attenuated virulence phenotypes. An analysis of virulence factors, including pyocyanin, pyoverdine, and cell motility (swimming and twitching), showed that these levels were reduced in these gsh mutants compared to PAO1. In contrast, biofilm formation increased in mutants. These data indicate that the GSH product and the genes responsible for GSH synthesis play multiple crucial roles in oxidative stress protection, bacterial virulence and biofilm formation in P. aeruginosa.","container-title":"PLOS ONE","DOI":"10.1371/journal.pone.0205815","ISSN":"1932-6203","issue":"10","journalAbbreviation":"PLOS ONE","language":"en","note":"publisher: Public Library of Science","page":"e0205815","source":"PLoS Journals","title":"Pseudomonas aeruginosa glutathione biosynthesis genes play multiple roles in stress protection, bacterial virulence and biofilm formation","volume":"13","author":[{"family":"Wongsaroj","given":"Lampet"},{"family":"Saninjuk","given":"Kritsakorn"},{"family":"Romsang","given":"Adisak"},{"family":"Duang-nkern","given":"Jintana"},{"family":"Trinachartvanit","given":"Wachareeporn"},{"family":"Vattanaviboon","given":"Paiboon"},{"family":"Mongkolsuk","given":"Skorn"}],"issued":{"date-parts":[["2018",10,16]]}}}],"schema":"https://github.com/citation-style-language/schema/raw/master/csl-citation.json"} </w:instrText>
      </w:r>
      <w:r w:rsidRPr="00F33B92">
        <w:rPr>
          <w:rFonts w:eastAsia="Times New Roman"/>
          <w:color w:val="000000"/>
          <w:sz w:val="24"/>
          <w:szCs w:val="24"/>
        </w:rPr>
        <w:fldChar w:fldCharType="separate"/>
      </w:r>
      <w:r w:rsidRPr="00F33B92">
        <w:rPr>
          <w:rFonts w:eastAsia="Times New Roman"/>
          <w:noProof/>
          <w:color w:val="000000"/>
          <w:sz w:val="24"/>
          <w:szCs w:val="24"/>
        </w:rPr>
        <w:t>(24)</w:t>
      </w:r>
      <w:r w:rsidRPr="00F33B92">
        <w:rPr>
          <w:rFonts w:eastAsia="Times New Roman"/>
          <w:color w:val="000000"/>
          <w:sz w:val="24"/>
          <w:szCs w:val="24"/>
        </w:rPr>
        <w:fldChar w:fldCharType="end"/>
      </w:r>
      <w:r w:rsidRPr="00F33B92">
        <w:rPr>
          <w:rFonts w:eastAsia="Times New Roman"/>
          <w:color w:val="000000"/>
          <w:sz w:val="24"/>
          <w:szCs w:val="24"/>
        </w:rPr>
        <w:t xml:space="preserve">. </w:t>
      </w:r>
      <w:r w:rsidRPr="00F33B92">
        <w:rPr>
          <w:sz w:val="24"/>
          <w:szCs w:val="24"/>
        </w:rPr>
        <w:t xml:space="preserve">This implies that in </w:t>
      </w:r>
      <w:r w:rsidR="009B0281">
        <w:rPr>
          <w:sz w:val="24"/>
          <w:szCs w:val="24"/>
        </w:rPr>
        <w:t>co-culture</w:t>
      </w:r>
      <w:r w:rsidRPr="00F33B92">
        <w:rPr>
          <w:sz w:val="24"/>
          <w:szCs w:val="24"/>
        </w:rPr>
        <w:t xml:space="preserve"> with OB3b, the </w:t>
      </w:r>
      <w:r w:rsidRPr="00F33B92">
        <w:rPr>
          <w:i/>
          <w:iCs/>
          <w:sz w:val="24"/>
          <w:szCs w:val="24"/>
        </w:rPr>
        <w:t xml:space="preserve">Cupriavidus </w:t>
      </w:r>
      <w:r w:rsidRPr="00F33B92">
        <w:rPr>
          <w:sz w:val="24"/>
          <w:szCs w:val="24"/>
        </w:rPr>
        <w:t>sp. HC</w:t>
      </w:r>
      <w:r w:rsidRPr="00F33B92">
        <w:rPr>
          <w:i/>
          <w:iCs/>
          <w:sz w:val="24"/>
          <w:szCs w:val="24"/>
        </w:rPr>
        <w:t xml:space="preserve"> </w:t>
      </w:r>
      <w:r w:rsidRPr="00F33B92">
        <w:rPr>
          <w:sz w:val="24"/>
          <w:szCs w:val="24"/>
        </w:rPr>
        <w:t>must deal with exposure to ROS by utilizing ROS remediation proteins in ways that are likely not needed when growing in NMS + Peptones</w:t>
      </w:r>
      <w:r w:rsidR="00E2733E">
        <w:rPr>
          <w:sz w:val="24"/>
          <w:szCs w:val="24"/>
        </w:rPr>
        <w:t xml:space="preserve"> (</w:t>
      </w:r>
      <w:r w:rsidR="00E2733E" w:rsidRPr="00E2733E">
        <w:rPr>
          <w:b/>
          <w:bCs/>
          <w:sz w:val="24"/>
          <w:szCs w:val="24"/>
        </w:rPr>
        <w:t>Table 3</w:t>
      </w:r>
      <w:r w:rsidR="00E2733E">
        <w:rPr>
          <w:sz w:val="24"/>
          <w:szCs w:val="24"/>
        </w:rPr>
        <w:t>)</w:t>
      </w:r>
      <w:r w:rsidRPr="00F33B92">
        <w:rPr>
          <w:sz w:val="24"/>
          <w:szCs w:val="24"/>
        </w:rPr>
        <w:t>.</w:t>
      </w:r>
    </w:p>
    <w:p w14:paraId="71467DEB" w14:textId="404F0FBD" w:rsidR="00F33B92" w:rsidRPr="00F33B92" w:rsidRDefault="00F33B92" w:rsidP="006E624A">
      <w:pPr>
        <w:pStyle w:val="Heading4"/>
      </w:pPr>
      <w:r w:rsidRPr="347D99D0">
        <w:rPr>
          <w:i/>
          <w:iCs/>
        </w:rPr>
        <w:t xml:space="preserve">Flavobacterium </w:t>
      </w:r>
      <w:r>
        <w:t>HC</w:t>
      </w:r>
      <w:r w:rsidRPr="347D99D0">
        <w:rPr>
          <w:i/>
          <w:iCs/>
        </w:rPr>
        <w:t xml:space="preserve"> </w:t>
      </w:r>
      <w:r w:rsidR="006042BB">
        <w:t>Underexpresses</w:t>
      </w:r>
      <w:r w:rsidR="0061620D">
        <w:t xml:space="preserve"> </w:t>
      </w:r>
      <w:r>
        <w:t xml:space="preserve">ROS Remediation Genes in Coculture with </w:t>
      </w:r>
      <w:r w:rsidRPr="347D99D0">
        <w:rPr>
          <w:i/>
          <w:iCs/>
        </w:rPr>
        <w:t xml:space="preserve">Methylosinus trichosporium </w:t>
      </w:r>
      <w:r>
        <w:t>OB3b</w:t>
      </w:r>
    </w:p>
    <w:p w14:paraId="5ED15769" w14:textId="2D3C536C" w:rsidR="00F33B92" w:rsidRPr="00F33B92" w:rsidRDefault="00F33B92" w:rsidP="00F33B92">
      <w:pPr>
        <w:spacing w:line="480" w:lineRule="auto"/>
        <w:rPr>
          <w:sz w:val="24"/>
          <w:szCs w:val="24"/>
        </w:rPr>
      </w:pPr>
      <w:r w:rsidRPr="00F33B92">
        <w:rPr>
          <w:sz w:val="24"/>
          <w:szCs w:val="24"/>
        </w:rPr>
        <w:t xml:space="preserve">When growing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 xml:space="preserve">OB3b, </w:t>
      </w:r>
      <w:r w:rsidRPr="00F33B92">
        <w:rPr>
          <w:i/>
          <w:iCs/>
          <w:sz w:val="24"/>
          <w:szCs w:val="24"/>
        </w:rPr>
        <w:t xml:space="preserve">Flavobacterium </w:t>
      </w:r>
      <w:r w:rsidRPr="00F33B92">
        <w:rPr>
          <w:sz w:val="24"/>
          <w:szCs w:val="24"/>
        </w:rPr>
        <w:t>sp.</w:t>
      </w:r>
      <w:r w:rsidRPr="00F33B92">
        <w:rPr>
          <w:i/>
          <w:iCs/>
          <w:sz w:val="24"/>
          <w:szCs w:val="24"/>
        </w:rPr>
        <w:t xml:space="preserve"> </w:t>
      </w:r>
      <w:r w:rsidRPr="00F33B92">
        <w:rPr>
          <w:sz w:val="24"/>
          <w:szCs w:val="24"/>
        </w:rPr>
        <w:t>HC decreases its expression ROS remediation genes including thioredoxin 1(</w:t>
      </w:r>
      <w:r w:rsidRPr="00F33B92">
        <w:rPr>
          <w:i/>
          <w:iCs/>
          <w:sz w:val="24"/>
          <w:szCs w:val="24"/>
        </w:rPr>
        <w:t>trxA</w:t>
      </w:r>
      <w:r w:rsidRPr="00F33B92">
        <w:rPr>
          <w:sz w:val="24"/>
          <w:szCs w:val="24"/>
        </w:rPr>
        <w:t>), and lipoyl-dependent peroxiredoxin (</w:t>
      </w:r>
      <w:r w:rsidRPr="00F33B92">
        <w:rPr>
          <w:i/>
          <w:iCs/>
          <w:sz w:val="24"/>
          <w:szCs w:val="24"/>
        </w:rPr>
        <w:t>osmC</w:t>
      </w:r>
      <w:r w:rsidRPr="00F33B92">
        <w:rPr>
          <w:sz w:val="24"/>
          <w:szCs w:val="24"/>
        </w:rPr>
        <w:t>)</w:t>
      </w:r>
      <w:r w:rsidR="00E2733E">
        <w:rPr>
          <w:sz w:val="24"/>
          <w:szCs w:val="24"/>
        </w:rPr>
        <w:t xml:space="preserve"> (</w:t>
      </w:r>
      <w:r w:rsidR="00E2733E" w:rsidRPr="00E2733E">
        <w:rPr>
          <w:b/>
          <w:bCs/>
          <w:sz w:val="24"/>
          <w:szCs w:val="24"/>
        </w:rPr>
        <w:t>Table 3</w:t>
      </w:r>
      <w:r w:rsidR="00E2733E">
        <w:rPr>
          <w:sz w:val="24"/>
          <w:szCs w:val="24"/>
        </w:rPr>
        <w:t>)</w:t>
      </w:r>
      <w:r w:rsidRPr="00F33B92">
        <w:rPr>
          <w:sz w:val="24"/>
          <w:szCs w:val="24"/>
        </w:rPr>
        <w:t>.</w:t>
      </w:r>
    </w:p>
    <w:p w14:paraId="20133CC0" w14:textId="77777777" w:rsidR="00F33B92" w:rsidRPr="00F33B92" w:rsidRDefault="00F33B92" w:rsidP="006E624A">
      <w:pPr>
        <w:pStyle w:val="Heading4"/>
      </w:pPr>
      <w:r w:rsidRPr="00F33B92">
        <w:rPr>
          <w:i/>
          <w:iCs/>
        </w:rPr>
        <w:t xml:space="preserve">Pseudomonas chlororaphis </w:t>
      </w:r>
      <w:r w:rsidRPr="00F33B92">
        <w:t xml:space="preserve">Overexpresses ROS Remediation Genes in Coculture with </w:t>
      </w:r>
      <w:r w:rsidRPr="00F33B92">
        <w:rPr>
          <w:i/>
          <w:iCs/>
        </w:rPr>
        <w:t xml:space="preserve">Methylosinus trichosporium </w:t>
      </w:r>
      <w:r w:rsidRPr="00F33B92">
        <w:t>OB3b</w:t>
      </w:r>
    </w:p>
    <w:p w14:paraId="4942FF91" w14:textId="3A7FC9A6" w:rsidR="00F33B92" w:rsidRDefault="00F33B92" w:rsidP="00F33B92">
      <w:pPr>
        <w:spacing w:line="480" w:lineRule="auto"/>
        <w:rPr>
          <w:sz w:val="24"/>
          <w:szCs w:val="24"/>
        </w:rPr>
      </w:pPr>
      <w:r w:rsidRPr="00F33B92">
        <w:rPr>
          <w:sz w:val="24"/>
          <w:szCs w:val="24"/>
        </w:rPr>
        <w:t xml:space="preserve">When </w:t>
      </w:r>
      <w:r w:rsidRPr="00F33B92">
        <w:rPr>
          <w:i/>
          <w:iCs/>
          <w:sz w:val="24"/>
          <w:szCs w:val="24"/>
        </w:rPr>
        <w:t xml:space="preserve">P. chlororaphis </w:t>
      </w:r>
      <w:r w:rsidRPr="00F33B92">
        <w:rPr>
          <w:sz w:val="24"/>
          <w:szCs w:val="24"/>
        </w:rPr>
        <w:t xml:space="preserve">is growing in </w:t>
      </w:r>
      <w:r w:rsidR="009B0281">
        <w:rPr>
          <w:sz w:val="24"/>
          <w:szCs w:val="24"/>
        </w:rPr>
        <w:t>co-culture</w:t>
      </w:r>
      <w:r w:rsidRPr="00F33B92">
        <w:rPr>
          <w:sz w:val="24"/>
          <w:szCs w:val="24"/>
        </w:rPr>
        <w:t xml:space="preserve"> with </w:t>
      </w:r>
      <w:r w:rsidRPr="00F33B92">
        <w:rPr>
          <w:i/>
          <w:iCs/>
          <w:sz w:val="24"/>
          <w:szCs w:val="24"/>
        </w:rPr>
        <w:t xml:space="preserve">M. trichosporium </w:t>
      </w:r>
      <w:r w:rsidRPr="00F33B92">
        <w:rPr>
          <w:sz w:val="24"/>
          <w:szCs w:val="24"/>
        </w:rPr>
        <w:t>OB3b, it overexpresses genes related to the remediation of ROS species such as hydrogen peroxide and superoxide. Specifically, the strain overexpresses peroxidases including catalase (</w:t>
      </w:r>
      <w:r w:rsidRPr="00F33B92">
        <w:rPr>
          <w:i/>
          <w:iCs/>
          <w:sz w:val="24"/>
          <w:szCs w:val="24"/>
        </w:rPr>
        <w:t>katE</w:t>
      </w:r>
      <w:r w:rsidRPr="00F33B92">
        <w:rPr>
          <w:sz w:val="24"/>
          <w:szCs w:val="24"/>
        </w:rPr>
        <w:t>) and a thioredoxin-dependent peroxiredoxin (</w:t>
      </w:r>
      <w:r w:rsidRPr="00F33B92">
        <w:rPr>
          <w:i/>
          <w:iCs/>
          <w:sz w:val="24"/>
          <w:szCs w:val="24"/>
        </w:rPr>
        <w:t>prx</w:t>
      </w:r>
      <w:r w:rsidRPr="00F33B92">
        <w:rPr>
          <w:sz w:val="24"/>
          <w:szCs w:val="24"/>
        </w:rPr>
        <w:t>)</w:t>
      </w:r>
      <w:r w:rsidR="00E2733E" w:rsidRPr="00E2733E">
        <w:rPr>
          <w:sz w:val="24"/>
          <w:szCs w:val="24"/>
        </w:rPr>
        <w:t xml:space="preserve"> </w:t>
      </w:r>
      <w:r w:rsidR="00E2733E">
        <w:rPr>
          <w:sz w:val="24"/>
          <w:szCs w:val="24"/>
        </w:rPr>
        <w:t>(</w:t>
      </w:r>
      <w:r w:rsidR="00E2733E" w:rsidRPr="00E2733E">
        <w:rPr>
          <w:b/>
          <w:bCs/>
          <w:sz w:val="24"/>
          <w:szCs w:val="24"/>
        </w:rPr>
        <w:t>Table 3</w:t>
      </w:r>
      <w:r w:rsidR="00E2733E">
        <w:rPr>
          <w:sz w:val="24"/>
          <w:szCs w:val="24"/>
        </w:rPr>
        <w:t>)</w:t>
      </w:r>
      <w:r w:rsidRPr="00F33B92">
        <w:rPr>
          <w:sz w:val="24"/>
          <w:szCs w:val="24"/>
        </w:rPr>
        <w:t>.</w:t>
      </w:r>
    </w:p>
    <w:p w14:paraId="1FFEA5E2" w14:textId="77777777" w:rsidR="00E2733E" w:rsidRDefault="00E2733E" w:rsidP="00F33B92">
      <w:pPr>
        <w:spacing w:line="480" w:lineRule="auto"/>
        <w:rPr>
          <w:sz w:val="24"/>
          <w:szCs w:val="24"/>
        </w:rPr>
      </w:pPr>
    </w:p>
    <w:p w14:paraId="1F70CCA3" w14:textId="74C44C30" w:rsidR="00E2733E" w:rsidRDefault="00E2733E" w:rsidP="00F33B92">
      <w:pPr>
        <w:spacing w:line="480" w:lineRule="auto"/>
        <w:rPr>
          <w:sz w:val="24"/>
          <w:szCs w:val="24"/>
        </w:rPr>
      </w:pPr>
    </w:p>
    <w:p w14:paraId="26986C91" w14:textId="29ABD5BC" w:rsidR="00E2733E" w:rsidRDefault="00094018" w:rsidP="00F33B92">
      <w:pPr>
        <w:spacing w:line="480" w:lineRule="auto"/>
        <w:rPr>
          <w:sz w:val="24"/>
          <w:szCs w:val="24"/>
        </w:rPr>
      </w:pPr>
      <w:r>
        <w:rPr>
          <w:noProof/>
          <w:sz w:val="24"/>
          <w:szCs w:val="24"/>
          <w14:ligatures w14:val="standardContextual"/>
        </w:rPr>
        <mc:AlternateContent>
          <mc:Choice Requires="wps">
            <w:drawing>
              <wp:anchor distT="0" distB="0" distL="114300" distR="114300" simplePos="0" relativeHeight="251670528" behindDoc="0" locked="0" layoutInCell="1" allowOverlap="1" wp14:anchorId="1ABC5F33" wp14:editId="39DABDB7">
                <wp:simplePos x="0" y="0"/>
                <wp:positionH relativeFrom="column">
                  <wp:posOffset>114299</wp:posOffset>
                </wp:positionH>
                <wp:positionV relativeFrom="paragraph">
                  <wp:posOffset>126614</wp:posOffset>
                </wp:positionV>
                <wp:extent cx="5714727" cy="778440"/>
                <wp:effectExtent l="0" t="0" r="635" b="0"/>
                <wp:wrapNone/>
                <wp:docPr id="1897636442" name="Text Box 22"/>
                <wp:cNvGraphicFramePr/>
                <a:graphic xmlns:a="http://schemas.openxmlformats.org/drawingml/2006/main">
                  <a:graphicData uri="http://schemas.microsoft.com/office/word/2010/wordprocessingShape">
                    <wps:wsp>
                      <wps:cNvSpPr txBox="1"/>
                      <wps:spPr>
                        <a:xfrm>
                          <a:off x="0" y="0"/>
                          <a:ext cx="5714727" cy="778440"/>
                        </a:xfrm>
                        <a:prstGeom prst="rect">
                          <a:avLst/>
                        </a:prstGeom>
                        <a:solidFill>
                          <a:schemeClr val="lt1"/>
                        </a:solidFill>
                        <a:ln w="6350">
                          <a:noFill/>
                        </a:ln>
                      </wps:spPr>
                      <wps:txbx>
                        <w:txbxContent>
                          <w:p w14:paraId="3CC3AB10" w14:textId="42C6315B" w:rsidR="00E2733E" w:rsidRDefault="00E2733E" w:rsidP="00E2733E">
                            <w:r w:rsidRPr="00E2733E">
                              <w:rPr>
                                <w:b/>
                                <w:bCs/>
                              </w:rPr>
                              <w:t>Table 3:</w:t>
                            </w:r>
                            <w:r>
                              <w:t xml:space="preserve"> Differentially expressed genes related to ROS remediation for the NMOHB in </w:t>
                            </w:r>
                            <w:r w:rsidR="009B0281">
                              <w:t>co-culture</w:t>
                            </w:r>
                            <w:r>
                              <w:t xml:space="preserve"> with </w:t>
                            </w:r>
                            <w:r w:rsidRPr="00E2733E">
                              <w:rPr>
                                <w:i/>
                                <w:iCs/>
                              </w:rPr>
                              <w:t>Methylosinus trichosporium</w:t>
                            </w:r>
                            <w:r>
                              <w:t xml:space="preserve"> OB3b.</w:t>
                            </w:r>
                            <w:r>
                              <w:tab/>
                              <w:t xml:space="preserve"> A positive log2FC represents genes that are expressed more in the </w:t>
                            </w:r>
                            <w:r w:rsidR="009B0281">
                              <w:t>co-culture</w:t>
                            </w:r>
                            <w:r>
                              <w:t xml:space="preserve"> condition compared to the NMOHB grown in NMS + peptones medium.</w:t>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C5F33" id="Text Box 22" o:spid="_x0000_s1031" type="#_x0000_t202" style="position:absolute;margin-left:9pt;margin-top:9.95pt;width:450pt;height:6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" fillcolor="white [3201]" stroked="f" strokeweight=".5pt">
                <v:textbox>
                  <w:txbxContent>
                    <w:p w14:paraId="3CC3AB10" w14:textId="42C6315B" w:rsidR="00E2733E" w:rsidRDefault="00E2733E" w:rsidP="00E2733E">
                      <w:r w:rsidRPr="00E2733E">
                        <w:rPr>
                          <w:b/>
                          <w:bCs/>
                        </w:rPr>
                        <w:t>Table 3:</w:t>
                      </w:r>
                      <w:r>
                        <w:t xml:space="preserve"> Differentially expressed genes related to ROS remediation for the NMOHB in </w:t>
                      </w:r>
                      <w:r w:rsidR="009B0281">
                        <w:t>co-culture</w:t>
                      </w:r>
                      <w:r>
                        <w:t xml:space="preserve"> with </w:t>
                      </w:r>
                      <w:r w:rsidRPr="00E2733E">
                        <w:rPr>
                          <w:i/>
                          <w:iCs/>
                        </w:rPr>
                        <w:t>Methylosinus trichosporium</w:t>
                      </w:r>
                      <w:r>
                        <w:t xml:space="preserve"> OB3b.</w:t>
                      </w:r>
                      <w:r>
                        <w:tab/>
                        <w:t xml:space="preserve"> A positive log2FC represents genes that are expressed more in the </w:t>
                      </w:r>
                      <w:r w:rsidR="009B0281">
                        <w:t>co-culture</w:t>
                      </w:r>
                      <w:r>
                        <w:t xml:space="preserve"> condition compared to the NMOHB grown in NMS + peptones medium.</w:t>
                      </w:r>
                      <w:r>
                        <w:tab/>
                      </w:r>
                      <w:r>
                        <w:tab/>
                      </w:r>
                      <w:r>
                        <w:tab/>
                      </w:r>
                    </w:p>
                  </w:txbxContent>
                </v:textbox>
              </v:shape>
            </w:pict>
          </mc:Fallback>
        </mc:AlternateContent>
      </w:r>
    </w:p>
    <w:p w14:paraId="7F7367C1" w14:textId="3CA48680" w:rsidR="00E2733E" w:rsidRDefault="00302C65" w:rsidP="00F33B92">
      <w:pPr>
        <w:spacing w:line="480" w:lineRule="auto"/>
        <w:rPr>
          <w:sz w:val="24"/>
          <w:szCs w:val="24"/>
        </w:rPr>
      </w:pPr>
      <w:r w:rsidRPr="00094018">
        <w:rPr>
          <w:noProof/>
          <w:sz w:val="24"/>
          <w:szCs w:val="24"/>
        </w:rPr>
        <w:drawing>
          <wp:anchor distT="0" distB="0" distL="114300" distR="114300" simplePos="0" relativeHeight="251673600" behindDoc="1" locked="0" layoutInCell="1" allowOverlap="1" wp14:anchorId="44028575" wp14:editId="501E0FC4">
            <wp:simplePos x="0" y="0"/>
            <wp:positionH relativeFrom="column">
              <wp:posOffset>229235</wp:posOffset>
            </wp:positionH>
            <wp:positionV relativeFrom="paragraph">
              <wp:posOffset>463550</wp:posOffset>
            </wp:positionV>
            <wp:extent cx="5600700" cy="2633980"/>
            <wp:effectExtent l="0" t="0" r="0" b="0"/>
            <wp:wrapTight wrapText="bothSides">
              <wp:wrapPolygon edited="0">
                <wp:start x="0" y="0"/>
                <wp:lineTo x="0" y="21454"/>
                <wp:lineTo x="21551" y="21454"/>
                <wp:lineTo x="21551" y="0"/>
                <wp:lineTo x="0" y="0"/>
              </wp:wrapPolygon>
            </wp:wrapTight>
            <wp:docPr id="1702738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38160" name=""/>
                    <pic:cNvPicPr/>
                  </pic:nvPicPr>
                  <pic:blipFill>
                    <a:blip r:embed="rId29">
                      <a:extLst>
                        <a:ext uri="{28A0092B-C50C-407E-A947-70E740481C1C}">
                          <a14:useLocalDpi xmlns:a14="http://schemas.microsoft.com/office/drawing/2010/main" val="0"/>
                        </a:ext>
                      </a:extLst>
                    </a:blip>
                    <a:stretch>
                      <a:fillRect/>
                    </a:stretch>
                  </pic:blipFill>
                  <pic:spPr>
                    <a:xfrm>
                      <a:off x="0" y="0"/>
                      <a:ext cx="5600700" cy="2633980"/>
                    </a:xfrm>
                    <a:prstGeom prst="rect">
                      <a:avLst/>
                    </a:prstGeom>
                  </pic:spPr>
                </pic:pic>
              </a:graphicData>
            </a:graphic>
            <wp14:sizeRelH relativeFrom="page">
              <wp14:pctWidth>0</wp14:pctWidth>
            </wp14:sizeRelH>
            <wp14:sizeRelV relativeFrom="page">
              <wp14:pctHeight>0</wp14:pctHeight>
            </wp14:sizeRelV>
          </wp:anchor>
        </w:drawing>
      </w:r>
    </w:p>
    <w:p w14:paraId="501C6EEF" w14:textId="67CCF374" w:rsidR="00E2733E" w:rsidRDefault="00E2733E" w:rsidP="00F33B92">
      <w:pPr>
        <w:spacing w:line="480" w:lineRule="auto"/>
        <w:rPr>
          <w:sz w:val="24"/>
          <w:szCs w:val="24"/>
        </w:rPr>
      </w:pPr>
    </w:p>
    <w:p w14:paraId="2AB80A02" w14:textId="77777777" w:rsidR="00E2733E" w:rsidRDefault="00E2733E" w:rsidP="00F33B92">
      <w:pPr>
        <w:spacing w:line="480" w:lineRule="auto"/>
        <w:rPr>
          <w:sz w:val="24"/>
          <w:szCs w:val="24"/>
        </w:rPr>
      </w:pPr>
    </w:p>
    <w:p w14:paraId="3B5463A6" w14:textId="6B860A17" w:rsidR="00E2733E" w:rsidRPr="00302C65" w:rsidRDefault="00FA2DD0" w:rsidP="00302C65">
      <w:pPr>
        <w:pStyle w:val="Heading6"/>
      </w:pPr>
      <w:bookmarkStart w:id="90" w:name="_Toc161934674"/>
      <w:r>
        <w:t xml:space="preserve">Table 4: Differentially expressed ROS </w:t>
      </w:r>
      <w:bookmarkEnd w:id="90"/>
    </w:p>
    <w:p w14:paraId="2A53405C" w14:textId="57F10B73" w:rsidR="00F33B92" w:rsidRPr="00F33B92" w:rsidRDefault="00F33B92" w:rsidP="006E624A">
      <w:pPr>
        <w:pStyle w:val="Heading4"/>
      </w:pPr>
      <w:r w:rsidRPr="00F33B92">
        <w:rPr>
          <w:i/>
          <w:iCs/>
        </w:rPr>
        <w:t xml:space="preserve">Pseudomonas chlororaphis </w:t>
      </w:r>
      <w:r w:rsidRPr="00F33B92">
        <w:t xml:space="preserve">HC Changes Expression of Nitrogen Utilization Genes Under </w:t>
      </w:r>
      <w:r w:rsidR="007D3DBA">
        <w:t>Methane-</w:t>
      </w:r>
      <w:r w:rsidR="00224D46">
        <w:t>O</w:t>
      </w:r>
      <w:r w:rsidR="007D3DBA">
        <w:t>xidizing</w:t>
      </w:r>
      <w:r w:rsidRPr="00F33B92">
        <w:t xml:space="preserve"> Conditions</w:t>
      </w:r>
    </w:p>
    <w:p w14:paraId="56D8C55D" w14:textId="6A56E90E" w:rsidR="00F33B92" w:rsidRPr="00F33B92" w:rsidRDefault="00F33B92" w:rsidP="00F33B92">
      <w:pPr>
        <w:spacing w:line="480" w:lineRule="auto"/>
        <w:rPr>
          <w:sz w:val="24"/>
          <w:szCs w:val="24"/>
        </w:rPr>
      </w:pPr>
      <w:r w:rsidRPr="347D99D0">
        <w:rPr>
          <w:sz w:val="24"/>
          <w:szCs w:val="24"/>
        </w:rPr>
        <w:t xml:space="preserve">When </w:t>
      </w:r>
      <w:r w:rsidRPr="347D99D0">
        <w:rPr>
          <w:i/>
          <w:iCs/>
          <w:sz w:val="24"/>
          <w:szCs w:val="24"/>
        </w:rPr>
        <w:t xml:space="preserve">M. trichosporium </w:t>
      </w:r>
      <w:r w:rsidRPr="347D99D0">
        <w:rPr>
          <w:sz w:val="24"/>
          <w:szCs w:val="24"/>
        </w:rPr>
        <w:t xml:space="preserve">OB3b is growing in </w:t>
      </w:r>
      <w:r w:rsidR="009B0281">
        <w:rPr>
          <w:sz w:val="24"/>
          <w:szCs w:val="24"/>
        </w:rPr>
        <w:t>co-culture</w:t>
      </w:r>
      <w:r w:rsidRPr="347D99D0">
        <w:rPr>
          <w:sz w:val="24"/>
          <w:szCs w:val="24"/>
        </w:rPr>
        <w:t xml:space="preserve"> with </w:t>
      </w:r>
      <w:r w:rsidRPr="347D99D0">
        <w:rPr>
          <w:i/>
          <w:iCs/>
          <w:sz w:val="24"/>
          <w:szCs w:val="24"/>
        </w:rPr>
        <w:t xml:space="preserve">P. chlororaphis </w:t>
      </w:r>
      <w:r w:rsidRPr="347D99D0">
        <w:rPr>
          <w:sz w:val="24"/>
          <w:szCs w:val="24"/>
        </w:rPr>
        <w:t xml:space="preserve">HC, </w:t>
      </w:r>
      <w:r w:rsidR="0061620D" w:rsidRPr="347D99D0">
        <w:rPr>
          <w:sz w:val="24"/>
          <w:szCs w:val="24"/>
        </w:rPr>
        <w:t xml:space="preserve">OB3b </w:t>
      </w:r>
      <w:r w:rsidRPr="347D99D0">
        <w:rPr>
          <w:sz w:val="24"/>
          <w:szCs w:val="24"/>
        </w:rPr>
        <w:t xml:space="preserve">decreases its expression of the </w:t>
      </w:r>
      <w:r w:rsidRPr="347D99D0">
        <w:rPr>
          <w:i/>
          <w:iCs/>
          <w:sz w:val="24"/>
          <w:szCs w:val="24"/>
        </w:rPr>
        <w:t xml:space="preserve">nasBE </w:t>
      </w:r>
      <w:r w:rsidRPr="347D99D0">
        <w:rPr>
          <w:sz w:val="24"/>
          <w:szCs w:val="24"/>
        </w:rPr>
        <w:t xml:space="preserve">nitrite reductase large and small subunits. </w:t>
      </w:r>
      <w:r w:rsidR="0061620D" w:rsidRPr="347D99D0">
        <w:rPr>
          <w:sz w:val="24"/>
          <w:szCs w:val="24"/>
        </w:rPr>
        <w:t xml:space="preserve">On the other hand, </w:t>
      </w:r>
      <w:r w:rsidRPr="347D99D0">
        <w:rPr>
          <w:i/>
          <w:iCs/>
          <w:sz w:val="24"/>
          <w:szCs w:val="24"/>
        </w:rPr>
        <w:t xml:space="preserve">P. chlororaphis </w:t>
      </w:r>
      <w:r w:rsidRPr="347D99D0">
        <w:rPr>
          <w:sz w:val="24"/>
          <w:szCs w:val="24"/>
        </w:rPr>
        <w:t xml:space="preserve">HC overexpresses the </w:t>
      </w:r>
      <w:r w:rsidRPr="347D99D0">
        <w:rPr>
          <w:i/>
          <w:iCs/>
          <w:sz w:val="24"/>
          <w:szCs w:val="24"/>
        </w:rPr>
        <w:t xml:space="preserve">narK </w:t>
      </w:r>
      <w:r w:rsidRPr="347D99D0">
        <w:rPr>
          <w:sz w:val="24"/>
          <w:szCs w:val="24"/>
        </w:rPr>
        <w:t xml:space="preserve">nitrate/nitrite transporter and the </w:t>
      </w:r>
      <w:r w:rsidRPr="347D99D0">
        <w:rPr>
          <w:i/>
          <w:iCs/>
          <w:sz w:val="24"/>
          <w:szCs w:val="24"/>
        </w:rPr>
        <w:t xml:space="preserve">nirB </w:t>
      </w:r>
      <w:r w:rsidRPr="347D99D0">
        <w:rPr>
          <w:sz w:val="24"/>
          <w:szCs w:val="24"/>
        </w:rPr>
        <w:t>nitrite reductase genes when compared to growing in NMS + peptones medium</w:t>
      </w:r>
      <w:r w:rsidR="00E2733E" w:rsidRPr="347D99D0">
        <w:rPr>
          <w:sz w:val="24"/>
          <w:szCs w:val="24"/>
        </w:rPr>
        <w:t xml:space="preserve"> (</w:t>
      </w:r>
      <w:r w:rsidR="00E2733E" w:rsidRPr="347D99D0">
        <w:rPr>
          <w:b/>
          <w:bCs/>
          <w:sz w:val="24"/>
          <w:szCs w:val="24"/>
        </w:rPr>
        <w:t>Table 4</w:t>
      </w:r>
      <w:r w:rsidR="00E2733E" w:rsidRPr="347D99D0">
        <w:rPr>
          <w:sz w:val="24"/>
          <w:szCs w:val="24"/>
        </w:rPr>
        <w:t>)</w:t>
      </w:r>
      <w:r w:rsidR="0061620D" w:rsidRPr="347D99D0">
        <w:rPr>
          <w:sz w:val="24"/>
          <w:szCs w:val="24"/>
        </w:rPr>
        <w:t xml:space="preserve">, suggesting a possible shift in nitrogen metabolism in the </w:t>
      </w:r>
      <w:r w:rsidR="009B0281">
        <w:rPr>
          <w:sz w:val="24"/>
          <w:szCs w:val="24"/>
        </w:rPr>
        <w:t>co-culture</w:t>
      </w:r>
      <w:r w:rsidR="0061620D" w:rsidRPr="347D99D0">
        <w:rPr>
          <w:sz w:val="24"/>
          <w:szCs w:val="24"/>
        </w:rPr>
        <w:t xml:space="preserve">. </w:t>
      </w:r>
    </w:p>
    <w:p w14:paraId="5518669D" w14:textId="7189938F" w:rsidR="00F33B92" w:rsidRPr="00F33B92" w:rsidRDefault="00F33B92" w:rsidP="006E624A">
      <w:pPr>
        <w:pStyle w:val="Heading4"/>
      </w:pPr>
      <w:r w:rsidRPr="00F33B92">
        <w:rPr>
          <w:i/>
          <w:iCs/>
        </w:rPr>
        <w:lastRenderedPageBreak/>
        <w:t xml:space="preserve">Cupriavidus </w:t>
      </w:r>
      <w:r w:rsidRPr="00F33B92">
        <w:t>sp.</w:t>
      </w:r>
      <w:r w:rsidRPr="00F33B92">
        <w:rPr>
          <w:i/>
          <w:iCs/>
        </w:rPr>
        <w:t xml:space="preserve"> </w:t>
      </w:r>
      <w:r w:rsidRPr="00F33B92">
        <w:t xml:space="preserve">HC Changes Expression of Nitrogen Utilization Genes Under </w:t>
      </w:r>
      <w:r w:rsidR="007D3DBA">
        <w:t>Methane-</w:t>
      </w:r>
      <w:r w:rsidR="00224D46">
        <w:t>O</w:t>
      </w:r>
      <w:r w:rsidR="007D3DBA">
        <w:t>xidizing</w:t>
      </w:r>
      <w:r w:rsidRPr="00F33B92">
        <w:t xml:space="preserve"> Conditions</w:t>
      </w:r>
    </w:p>
    <w:p w14:paraId="4A3E0301" w14:textId="47DFB2C0" w:rsidR="00F33B92" w:rsidRPr="00F33B92" w:rsidRDefault="00F33B92" w:rsidP="347D99D0">
      <w:pPr>
        <w:spacing w:line="480" w:lineRule="auto"/>
        <w:rPr>
          <w:rFonts w:eastAsia="Times New Roman"/>
          <w:i/>
          <w:iCs/>
          <w:color w:val="000000"/>
          <w:sz w:val="24"/>
          <w:szCs w:val="24"/>
        </w:rPr>
      </w:pPr>
      <w:r w:rsidRPr="347D99D0">
        <w:rPr>
          <w:sz w:val="24"/>
          <w:szCs w:val="24"/>
        </w:rPr>
        <w:t xml:space="preserve">In </w:t>
      </w:r>
      <w:r w:rsidR="009B0281">
        <w:rPr>
          <w:sz w:val="24"/>
          <w:szCs w:val="24"/>
        </w:rPr>
        <w:t>co-culture</w:t>
      </w:r>
      <w:r w:rsidRPr="347D99D0">
        <w:rPr>
          <w:sz w:val="24"/>
          <w:szCs w:val="24"/>
        </w:rPr>
        <w:t xml:space="preserve"> with OB3b, </w:t>
      </w:r>
      <w:r w:rsidRPr="347D99D0">
        <w:rPr>
          <w:i/>
          <w:iCs/>
          <w:sz w:val="24"/>
          <w:szCs w:val="24"/>
        </w:rPr>
        <w:t xml:space="preserve">Cupriavidus </w:t>
      </w:r>
      <w:r w:rsidRPr="347D99D0">
        <w:rPr>
          <w:sz w:val="24"/>
          <w:szCs w:val="24"/>
        </w:rPr>
        <w:t>sp.</w:t>
      </w:r>
      <w:r w:rsidRPr="347D99D0">
        <w:rPr>
          <w:i/>
          <w:iCs/>
          <w:sz w:val="24"/>
          <w:szCs w:val="24"/>
        </w:rPr>
        <w:t xml:space="preserve"> </w:t>
      </w:r>
      <w:r w:rsidRPr="347D99D0">
        <w:rPr>
          <w:sz w:val="24"/>
          <w:szCs w:val="24"/>
        </w:rPr>
        <w:t>HC overexpresses the nitrate/nitrite MFS transporter (</w:t>
      </w:r>
      <w:r w:rsidRPr="347D99D0">
        <w:rPr>
          <w:i/>
          <w:iCs/>
          <w:sz w:val="24"/>
          <w:szCs w:val="24"/>
        </w:rPr>
        <w:t>narK</w:t>
      </w:r>
      <w:r w:rsidRPr="347D99D0">
        <w:rPr>
          <w:sz w:val="24"/>
          <w:szCs w:val="24"/>
        </w:rPr>
        <w:t xml:space="preserve">), assimilatory nitrate reductase catalytic subunit </w:t>
      </w:r>
      <w:r w:rsidRPr="347D99D0">
        <w:rPr>
          <w:color w:val="000000" w:themeColor="text1"/>
          <w:sz w:val="24"/>
          <w:szCs w:val="24"/>
        </w:rPr>
        <w:t>(</w:t>
      </w:r>
      <w:r w:rsidRPr="347D99D0">
        <w:rPr>
          <w:i/>
          <w:iCs/>
          <w:color w:val="000000" w:themeColor="text1"/>
          <w:sz w:val="24"/>
          <w:szCs w:val="24"/>
        </w:rPr>
        <w:t>nasA</w:t>
      </w:r>
      <w:r w:rsidRPr="347D99D0">
        <w:rPr>
          <w:color w:val="000000" w:themeColor="text1"/>
          <w:sz w:val="24"/>
          <w:szCs w:val="24"/>
        </w:rPr>
        <w:t>), assimilatory nitrite reductase large subunit (</w:t>
      </w:r>
      <w:r w:rsidRPr="347D99D0">
        <w:rPr>
          <w:i/>
          <w:iCs/>
          <w:color w:val="000000" w:themeColor="text1"/>
          <w:sz w:val="24"/>
          <w:szCs w:val="24"/>
        </w:rPr>
        <w:t>nasB</w:t>
      </w:r>
      <w:r w:rsidRPr="347D99D0">
        <w:rPr>
          <w:color w:val="000000" w:themeColor="text1"/>
          <w:sz w:val="24"/>
          <w:szCs w:val="24"/>
        </w:rPr>
        <w:t>), and the assimilatory nitrite reductases large and small subunits (</w:t>
      </w:r>
      <w:r w:rsidRPr="347D99D0">
        <w:rPr>
          <w:i/>
          <w:iCs/>
          <w:color w:val="000000" w:themeColor="text1"/>
          <w:sz w:val="24"/>
          <w:szCs w:val="24"/>
        </w:rPr>
        <w:t>nirBD</w:t>
      </w:r>
      <w:r w:rsidRPr="347D99D0">
        <w:rPr>
          <w:color w:val="000000" w:themeColor="text1"/>
          <w:sz w:val="24"/>
          <w:szCs w:val="24"/>
        </w:rPr>
        <w:t>).</w:t>
      </w:r>
      <w:r w:rsidR="0061620D" w:rsidRPr="347D99D0">
        <w:rPr>
          <w:color w:val="000000" w:themeColor="text1"/>
          <w:sz w:val="24"/>
          <w:szCs w:val="24"/>
        </w:rPr>
        <w:t xml:space="preserve">  </w:t>
      </w:r>
      <w:r w:rsidRPr="347D99D0">
        <w:rPr>
          <w:rFonts w:eastAsia="Times New Roman"/>
          <w:color w:val="000000" w:themeColor="text1"/>
          <w:sz w:val="24"/>
          <w:szCs w:val="24"/>
        </w:rPr>
        <w:t xml:space="preserve">Additionally, in </w:t>
      </w:r>
      <w:r w:rsidR="009B0281">
        <w:rPr>
          <w:rFonts w:eastAsia="Times New Roman"/>
          <w:color w:val="000000" w:themeColor="text1"/>
          <w:sz w:val="24"/>
          <w:szCs w:val="24"/>
        </w:rPr>
        <w:t>co-culture</w:t>
      </w:r>
      <w:r w:rsidRPr="347D99D0">
        <w:rPr>
          <w:rFonts w:eastAsia="Times New Roman"/>
          <w:color w:val="000000" w:themeColor="text1"/>
          <w:sz w:val="24"/>
          <w:szCs w:val="24"/>
        </w:rPr>
        <w:t xml:space="preserve"> with OB3b, the strain overexpresses genes related to the biosynthesis or degradation of amino acids. There is an additionally overexpressed gene related to proline degradation to glutamate via proline dehydrogenase (</w:t>
      </w:r>
      <w:r w:rsidRPr="347D99D0">
        <w:rPr>
          <w:rFonts w:eastAsia="Times New Roman"/>
          <w:i/>
          <w:iCs/>
          <w:color w:val="000000" w:themeColor="text1"/>
          <w:sz w:val="24"/>
          <w:szCs w:val="24"/>
        </w:rPr>
        <w:t>putA</w:t>
      </w:r>
      <w:r w:rsidRPr="347D99D0">
        <w:rPr>
          <w:rFonts w:eastAsia="Times New Roman"/>
          <w:color w:val="000000" w:themeColor="text1"/>
          <w:sz w:val="24"/>
          <w:szCs w:val="24"/>
        </w:rPr>
        <w:t>). It seems likely that most of these changes are in response to growing in the absence of peptones</w:t>
      </w:r>
      <w:r w:rsidR="00E2733E" w:rsidRPr="347D99D0">
        <w:rPr>
          <w:rFonts w:eastAsia="Times New Roman"/>
          <w:color w:val="000000" w:themeColor="text1"/>
          <w:sz w:val="24"/>
          <w:szCs w:val="24"/>
        </w:rPr>
        <w:t xml:space="preserve"> </w:t>
      </w:r>
      <w:r w:rsidR="00E2733E" w:rsidRPr="347D99D0">
        <w:rPr>
          <w:sz w:val="24"/>
          <w:szCs w:val="24"/>
        </w:rPr>
        <w:t>(</w:t>
      </w:r>
      <w:r w:rsidR="00E2733E" w:rsidRPr="347D99D0">
        <w:rPr>
          <w:b/>
          <w:bCs/>
          <w:sz w:val="24"/>
          <w:szCs w:val="24"/>
        </w:rPr>
        <w:t>Table 4</w:t>
      </w:r>
      <w:r w:rsidR="00E2733E" w:rsidRPr="347D99D0">
        <w:rPr>
          <w:sz w:val="24"/>
          <w:szCs w:val="24"/>
        </w:rPr>
        <w:t>)</w:t>
      </w:r>
      <w:r w:rsidRPr="347D99D0">
        <w:rPr>
          <w:rFonts w:eastAsia="Times New Roman"/>
          <w:color w:val="000000" w:themeColor="text1"/>
          <w:sz w:val="24"/>
          <w:szCs w:val="24"/>
        </w:rPr>
        <w:t xml:space="preserve">.  </w:t>
      </w:r>
    </w:p>
    <w:p w14:paraId="4806212B" w14:textId="1174A7AE" w:rsidR="00F33B92" w:rsidRPr="00F33B92" w:rsidRDefault="00F33B92" w:rsidP="006E624A">
      <w:pPr>
        <w:pStyle w:val="Heading4"/>
      </w:pPr>
      <w:r w:rsidRPr="00F33B92">
        <w:rPr>
          <w:i/>
          <w:iCs/>
        </w:rPr>
        <w:t xml:space="preserve">Flavobacterium </w:t>
      </w:r>
      <w:r w:rsidRPr="00F33B92">
        <w:t>sp.</w:t>
      </w:r>
      <w:r w:rsidRPr="00F33B92">
        <w:rPr>
          <w:i/>
          <w:iCs/>
        </w:rPr>
        <w:t xml:space="preserve"> </w:t>
      </w:r>
      <w:r w:rsidRPr="00F33B92">
        <w:t xml:space="preserve">HC Changes Expression of Nitrogen Utilization Genes Under </w:t>
      </w:r>
      <w:r w:rsidR="007D3DBA">
        <w:t>Methane-</w:t>
      </w:r>
      <w:r w:rsidR="00224D46">
        <w:t>O</w:t>
      </w:r>
      <w:r w:rsidR="007D3DBA">
        <w:t>xidizing</w:t>
      </w:r>
      <w:r w:rsidRPr="00F33B92">
        <w:t xml:space="preserve"> Conditions</w:t>
      </w:r>
    </w:p>
    <w:p w14:paraId="46EDFA95" w14:textId="09D1F891" w:rsidR="00F33B92" w:rsidRDefault="00F33B92" w:rsidP="00F33B92">
      <w:pPr>
        <w:spacing w:line="480" w:lineRule="auto"/>
        <w:rPr>
          <w:rFonts w:eastAsia="Times New Roman"/>
          <w:color w:val="000000"/>
          <w:sz w:val="24"/>
          <w:szCs w:val="24"/>
        </w:rPr>
      </w:pPr>
      <w:r w:rsidRPr="00F33B92">
        <w:rPr>
          <w:sz w:val="24"/>
          <w:szCs w:val="24"/>
        </w:rPr>
        <w:t xml:space="preserve">When </w:t>
      </w:r>
      <w:r w:rsidRPr="00F33B92">
        <w:rPr>
          <w:i/>
          <w:iCs/>
          <w:sz w:val="24"/>
          <w:szCs w:val="24"/>
        </w:rPr>
        <w:t xml:space="preserve">Flavobacterium </w:t>
      </w:r>
      <w:r w:rsidRPr="00F33B92">
        <w:rPr>
          <w:sz w:val="24"/>
          <w:szCs w:val="24"/>
        </w:rPr>
        <w:t>sp.</w:t>
      </w:r>
      <w:r w:rsidRPr="00F33B92">
        <w:rPr>
          <w:i/>
          <w:iCs/>
          <w:sz w:val="24"/>
          <w:szCs w:val="24"/>
        </w:rPr>
        <w:t xml:space="preserve"> </w:t>
      </w:r>
      <w:r w:rsidRPr="00F33B92">
        <w:rPr>
          <w:sz w:val="24"/>
          <w:szCs w:val="24"/>
        </w:rPr>
        <w:t xml:space="preserve">HC is growing in </w:t>
      </w:r>
      <w:r w:rsidR="009B0281">
        <w:rPr>
          <w:sz w:val="24"/>
          <w:szCs w:val="24"/>
        </w:rPr>
        <w:t>co-culture</w:t>
      </w:r>
      <w:r w:rsidRPr="00F33B92">
        <w:rPr>
          <w:sz w:val="24"/>
          <w:szCs w:val="24"/>
        </w:rPr>
        <w:t xml:space="preserve">, it overexpresses the </w:t>
      </w:r>
      <w:r w:rsidRPr="00F33B92">
        <w:rPr>
          <w:i/>
          <w:iCs/>
          <w:sz w:val="24"/>
          <w:szCs w:val="24"/>
        </w:rPr>
        <w:t xml:space="preserve">nrtA </w:t>
      </w:r>
      <w:r w:rsidRPr="00F33B92">
        <w:rPr>
          <w:sz w:val="24"/>
          <w:szCs w:val="24"/>
        </w:rPr>
        <w:t xml:space="preserve">and </w:t>
      </w:r>
      <w:r w:rsidRPr="00F33B92">
        <w:rPr>
          <w:i/>
          <w:iCs/>
          <w:sz w:val="24"/>
          <w:szCs w:val="24"/>
        </w:rPr>
        <w:t xml:space="preserve">nrtB </w:t>
      </w:r>
      <w:r w:rsidRPr="00F33B92">
        <w:rPr>
          <w:sz w:val="24"/>
          <w:szCs w:val="24"/>
        </w:rPr>
        <w:t xml:space="preserve">nitrate/nitrite transporter and transport system substrate-binding proteins. Additionally, the strain underexpresses </w:t>
      </w:r>
      <w:r w:rsidRPr="00F33B92">
        <w:rPr>
          <w:rFonts w:eastAsia="Times New Roman"/>
          <w:color w:val="000000" w:themeColor="text1"/>
          <w:sz w:val="24"/>
          <w:szCs w:val="24"/>
        </w:rPr>
        <w:t>ornithine--oxo-acid transaminase gene (</w:t>
      </w:r>
      <w:r w:rsidRPr="00F33B92">
        <w:rPr>
          <w:rFonts w:eastAsia="Times New Roman"/>
          <w:i/>
          <w:iCs/>
          <w:color w:val="000000" w:themeColor="text1"/>
          <w:sz w:val="24"/>
          <w:szCs w:val="24"/>
        </w:rPr>
        <w:t>rocD</w:t>
      </w:r>
      <w:r w:rsidRPr="00F33B92">
        <w:rPr>
          <w:rFonts w:eastAsia="Times New Roman"/>
          <w:color w:val="000000" w:themeColor="text1"/>
          <w:sz w:val="24"/>
          <w:szCs w:val="24"/>
        </w:rPr>
        <w:t xml:space="preserve">) and </w:t>
      </w:r>
      <w:r w:rsidRPr="00F33B92">
        <w:rPr>
          <w:rFonts w:eastAsia="Times New Roman"/>
          <w:color w:val="000000"/>
          <w:sz w:val="24"/>
          <w:szCs w:val="24"/>
        </w:rPr>
        <w:t>tryptophan synthase alpha chain gene (</w:t>
      </w:r>
      <w:r w:rsidRPr="00F33B92">
        <w:rPr>
          <w:rFonts w:eastAsia="Times New Roman"/>
          <w:i/>
          <w:iCs/>
          <w:color w:val="000000"/>
          <w:sz w:val="24"/>
          <w:szCs w:val="24"/>
        </w:rPr>
        <w:t>trpA</w:t>
      </w:r>
      <w:r w:rsidRPr="00F33B92">
        <w:rPr>
          <w:rFonts w:eastAsia="Times New Roman"/>
          <w:color w:val="000000"/>
          <w:sz w:val="24"/>
          <w:szCs w:val="24"/>
        </w:rPr>
        <w:t>), again suggesting a need for additional nitrogen</w:t>
      </w:r>
      <w:r w:rsidR="00E2733E">
        <w:rPr>
          <w:rFonts w:eastAsia="Times New Roman"/>
          <w:color w:val="000000"/>
          <w:sz w:val="24"/>
          <w:szCs w:val="24"/>
        </w:rPr>
        <w:t xml:space="preserve"> </w:t>
      </w:r>
      <w:r w:rsidR="00E2733E">
        <w:rPr>
          <w:sz w:val="24"/>
          <w:szCs w:val="24"/>
        </w:rPr>
        <w:t>(</w:t>
      </w:r>
      <w:r w:rsidR="00E2733E" w:rsidRPr="00E2733E">
        <w:rPr>
          <w:b/>
          <w:bCs/>
          <w:sz w:val="24"/>
          <w:szCs w:val="24"/>
        </w:rPr>
        <w:t>Table 4</w:t>
      </w:r>
      <w:r w:rsidR="00E2733E">
        <w:rPr>
          <w:sz w:val="24"/>
          <w:szCs w:val="24"/>
        </w:rPr>
        <w:t>)</w:t>
      </w:r>
      <w:r w:rsidRPr="00F33B92">
        <w:rPr>
          <w:rFonts w:eastAsia="Times New Roman"/>
          <w:color w:val="000000"/>
          <w:sz w:val="24"/>
          <w:szCs w:val="24"/>
        </w:rPr>
        <w:t xml:space="preserve">.  </w:t>
      </w:r>
    </w:p>
    <w:p w14:paraId="6F7DBDD0" w14:textId="77777777" w:rsidR="00E2733E" w:rsidRDefault="00E2733E" w:rsidP="00F33B92">
      <w:pPr>
        <w:spacing w:line="480" w:lineRule="auto"/>
        <w:rPr>
          <w:rFonts w:eastAsia="Times New Roman"/>
          <w:color w:val="000000"/>
          <w:sz w:val="24"/>
          <w:szCs w:val="24"/>
        </w:rPr>
      </w:pPr>
    </w:p>
    <w:p w14:paraId="6999B4EB" w14:textId="77777777" w:rsidR="00E2733E" w:rsidRDefault="00E2733E" w:rsidP="00F33B92">
      <w:pPr>
        <w:spacing w:line="480" w:lineRule="auto"/>
        <w:rPr>
          <w:rFonts w:eastAsia="Times New Roman"/>
          <w:color w:val="000000"/>
          <w:sz w:val="24"/>
          <w:szCs w:val="24"/>
        </w:rPr>
      </w:pPr>
    </w:p>
    <w:p w14:paraId="537A270A" w14:textId="127B09DD" w:rsidR="00E2733E" w:rsidRDefault="00AB3E06" w:rsidP="00F33B92">
      <w:pPr>
        <w:spacing w:line="480" w:lineRule="auto"/>
        <w:rPr>
          <w:rFonts w:eastAsia="Times New Roman"/>
          <w:color w:val="000000"/>
          <w:sz w:val="24"/>
          <w:szCs w:val="24"/>
        </w:rPr>
      </w:pPr>
      <w:r>
        <w:rPr>
          <w:rFonts w:eastAsia="Times New Roman"/>
          <w:color w:val="000000"/>
          <w:sz w:val="24"/>
          <w:szCs w:val="24"/>
        </w:rPr>
        <w:br w:type="column"/>
      </w:r>
      <w:r w:rsidR="00E2733E">
        <w:rPr>
          <w:rFonts w:eastAsia="Times New Roman"/>
          <w:noProof/>
          <w:color w:val="000000"/>
          <w:sz w:val="24"/>
          <w:szCs w:val="24"/>
          <w14:ligatures w14:val="standardContextual"/>
        </w:rPr>
        <w:lastRenderedPageBreak/>
        <mc:AlternateContent>
          <mc:Choice Requires="wps">
            <w:drawing>
              <wp:anchor distT="0" distB="0" distL="114300" distR="114300" simplePos="0" relativeHeight="251671552" behindDoc="0" locked="0" layoutInCell="1" allowOverlap="1" wp14:anchorId="03BDA631" wp14:editId="3B65BC02">
                <wp:simplePos x="0" y="0"/>
                <wp:positionH relativeFrom="column">
                  <wp:posOffset>114300</wp:posOffset>
                </wp:positionH>
                <wp:positionV relativeFrom="paragraph">
                  <wp:posOffset>451413</wp:posOffset>
                </wp:positionV>
                <wp:extent cx="5715000" cy="829028"/>
                <wp:effectExtent l="0" t="0" r="0" b="0"/>
                <wp:wrapNone/>
                <wp:docPr id="61942828" name="Text Box 23"/>
                <wp:cNvGraphicFramePr/>
                <a:graphic xmlns:a="http://schemas.openxmlformats.org/drawingml/2006/main">
                  <a:graphicData uri="http://schemas.microsoft.com/office/word/2010/wordprocessingShape">
                    <wps:wsp>
                      <wps:cNvSpPr txBox="1"/>
                      <wps:spPr>
                        <a:xfrm>
                          <a:off x="0" y="0"/>
                          <a:ext cx="5715000" cy="829028"/>
                        </a:xfrm>
                        <a:prstGeom prst="rect">
                          <a:avLst/>
                        </a:prstGeom>
                        <a:solidFill>
                          <a:schemeClr val="lt1"/>
                        </a:solidFill>
                        <a:ln w="6350">
                          <a:noFill/>
                        </a:ln>
                      </wps:spPr>
                      <wps:txbx>
                        <w:txbxContent>
                          <w:p w14:paraId="7B61B95A" w14:textId="1B4A748F" w:rsidR="00E2733E" w:rsidRPr="006E624A" w:rsidRDefault="00E2733E" w:rsidP="00E2733E">
                            <w:pPr>
                              <w:rPr>
                                <w:sz w:val="24"/>
                                <w:szCs w:val="24"/>
                              </w:rPr>
                            </w:pPr>
                            <w:r w:rsidRPr="006E624A">
                              <w:rPr>
                                <w:b/>
                                <w:bCs/>
                                <w:sz w:val="24"/>
                                <w:szCs w:val="24"/>
                              </w:rPr>
                              <w:t>Table 4</w:t>
                            </w:r>
                            <w:r w:rsidRPr="006E624A">
                              <w:rPr>
                                <w:sz w:val="24"/>
                                <w:szCs w:val="24"/>
                              </w:rPr>
                              <w:t xml:space="preserve">: Differentially expressed genes related to nitrogen and amino acid utilization for the NMOHB in </w:t>
                            </w:r>
                            <w:r w:rsidR="009B0281">
                              <w:rPr>
                                <w:sz w:val="24"/>
                                <w:szCs w:val="24"/>
                              </w:rPr>
                              <w:t>co-culture</w:t>
                            </w:r>
                            <w:r w:rsidRPr="006E624A">
                              <w:rPr>
                                <w:sz w:val="24"/>
                                <w:szCs w:val="24"/>
                              </w:rPr>
                              <w:t xml:space="preserve"> with </w:t>
                            </w:r>
                            <w:r w:rsidRPr="006E624A">
                              <w:rPr>
                                <w:i/>
                                <w:iCs/>
                                <w:sz w:val="24"/>
                                <w:szCs w:val="24"/>
                              </w:rPr>
                              <w:t>Methylosinus trichosporium</w:t>
                            </w:r>
                            <w:r w:rsidRPr="006E624A">
                              <w:rPr>
                                <w:sz w:val="24"/>
                                <w:szCs w:val="24"/>
                              </w:rPr>
                              <w:t xml:space="preserve"> OB3b. A positive log2FC represents genes that are expressed more in the </w:t>
                            </w:r>
                            <w:r w:rsidR="009B0281">
                              <w:rPr>
                                <w:sz w:val="24"/>
                                <w:szCs w:val="24"/>
                              </w:rPr>
                              <w:t>co-culture</w:t>
                            </w:r>
                            <w:r w:rsidRPr="006E624A">
                              <w:rPr>
                                <w:sz w:val="24"/>
                                <w:szCs w:val="24"/>
                              </w:rPr>
                              <w:t xml:space="preserve"> condition compared to the NMOHB grown in NMS + peptones medium.</w:t>
                            </w:r>
                            <w:r w:rsidRPr="006E624A">
                              <w:rPr>
                                <w:sz w:val="24"/>
                                <w:szCs w:val="24"/>
                              </w:rPr>
                              <w:tab/>
                            </w:r>
                            <w:r w:rsidRPr="006E624A">
                              <w:rPr>
                                <w:sz w:val="24"/>
                                <w:szCs w:val="24"/>
                              </w:rPr>
                              <w:tab/>
                            </w:r>
                            <w:r w:rsidRPr="006E624A">
                              <w:rPr>
                                <w:sz w:val="24"/>
                                <w:szCs w:val="24"/>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DA631" id="Text Box 23" o:spid="_x0000_s1032" type="#_x0000_t202" style="position:absolute;margin-left:9pt;margin-top:35.55pt;width:450pt;height:6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" fillcolor="white [3201]" stroked="f" strokeweight=".5pt">
                <v:textbox>
                  <w:txbxContent>
                    <w:p w14:paraId="7B61B95A" w14:textId="1B4A748F" w:rsidR="00E2733E" w:rsidRPr="006E624A" w:rsidRDefault="00E2733E" w:rsidP="00E2733E">
                      <w:pPr>
                        <w:rPr>
                          <w:sz w:val="24"/>
                          <w:szCs w:val="24"/>
                        </w:rPr>
                      </w:pPr>
                      <w:r w:rsidRPr="006E624A">
                        <w:rPr>
                          <w:b/>
                          <w:bCs/>
                          <w:sz w:val="24"/>
                          <w:szCs w:val="24"/>
                        </w:rPr>
                        <w:t>Table 4</w:t>
                      </w:r>
                      <w:r w:rsidRPr="006E624A">
                        <w:rPr>
                          <w:sz w:val="24"/>
                          <w:szCs w:val="24"/>
                        </w:rPr>
                        <w:t xml:space="preserve">: Differentially expressed genes related to nitrogen and amino acid utilization for the NMOHB in </w:t>
                      </w:r>
                      <w:r w:rsidR="009B0281">
                        <w:rPr>
                          <w:sz w:val="24"/>
                          <w:szCs w:val="24"/>
                        </w:rPr>
                        <w:t>co-culture</w:t>
                      </w:r>
                      <w:r w:rsidRPr="006E624A">
                        <w:rPr>
                          <w:sz w:val="24"/>
                          <w:szCs w:val="24"/>
                        </w:rPr>
                        <w:t xml:space="preserve"> with </w:t>
                      </w:r>
                      <w:r w:rsidRPr="006E624A">
                        <w:rPr>
                          <w:i/>
                          <w:iCs/>
                          <w:sz w:val="24"/>
                          <w:szCs w:val="24"/>
                        </w:rPr>
                        <w:t>Methylosinus trichosporium</w:t>
                      </w:r>
                      <w:r w:rsidRPr="006E624A">
                        <w:rPr>
                          <w:sz w:val="24"/>
                          <w:szCs w:val="24"/>
                        </w:rPr>
                        <w:t xml:space="preserve"> OB3b. A positive log2FC represents genes that are expressed more in the </w:t>
                      </w:r>
                      <w:r w:rsidR="009B0281">
                        <w:rPr>
                          <w:sz w:val="24"/>
                          <w:szCs w:val="24"/>
                        </w:rPr>
                        <w:t>co-culture</w:t>
                      </w:r>
                      <w:r w:rsidRPr="006E624A">
                        <w:rPr>
                          <w:sz w:val="24"/>
                          <w:szCs w:val="24"/>
                        </w:rPr>
                        <w:t xml:space="preserve"> condition compared to the NMOHB grown in NMS + peptones medium.</w:t>
                      </w:r>
                      <w:r w:rsidRPr="006E624A">
                        <w:rPr>
                          <w:sz w:val="24"/>
                          <w:szCs w:val="24"/>
                        </w:rPr>
                        <w:tab/>
                      </w:r>
                      <w:r w:rsidRPr="006E624A">
                        <w:rPr>
                          <w:sz w:val="24"/>
                          <w:szCs w:val="24"/>
                        </w:rPr>
                        <w:tab/>
                      </w:r>
                      <w:r w:rsidRPr="006E624A">
                        <w:rPr>
                          <w:sz w:val="24"/>
                          <w:szCs w:val="24"/>
                        </w:rPr>
                        <w:tab/>
                      </w:r>
                    </w:p>
                  </w:txbxContent>
                </v:textbox>
              </v:shape>
            </w:pict>
          </mc:Fallback>
        </mc:AlternateContent>
      </w:r>
    </w:p>
    <w:p w14:paraId="63FC9F17" w14:textId="27C3B565" w:rsidR="00E2733E" w:rsidRDefault="00E2733E" w:rsidP="00F33B92">
      <w:pPr>
        <w:spacing w:line="480" w:lineRule="auto"/>
        <w:rPr>
          <w:rFonts w:eastAsia="Times New Roman"/>
          <w:color w:val="000000"/>
          <w:sz w:val="24"/>
          <w:szCs w:val="24"/>
        </w:rPr>
      </w:pPr>
    </w:p>
    <w:p w14:paraId="042E075A" w14:textId="5810871C" w:rsidR="00E2733E" w:rsidRDefault="00302C65" w:rsidP="00F33B92">
      <w:pPr>
        <w:spacing w:line="480" w:lineRule="auto"/>
        <w:rPr>
          <w:rFonts w:eastAsia="Times New Roman"/>
          <w:color w:val="000000"/>
          <w:sz w:val="24"/>
          <w:szCs w:val="24"/>
        </w:rPr>
      </w:pPr>
      <w:r w:rsidRPr="00094018">
        <w:rPr>
          <w:rFonts w:eastAsia="Times New Roman"/>
          <w:noProof/>
          <w:color w:val="000000"/>
          <w:sz w:val="24"/>
          <w:szCs w:val="24"/>
        </w:rPr>
        <w:drawing>
          <wp:anchor distT="0" distB="0" distL="114300" distR="114300" simplePos="0" relativeHeight="251674624" behindDoc="1" locked="0" layoutInCell="1" allowOverlap="1" wp14:anchorId="649915C6" wp14:editId="51E07965">
            <wp:simplePos x="0" y="0"/>
            <wp:positionH relativeFrom="column">
              <wp:posOffset>114300</wp:posOffset>
            </wp:positionH>
            <wp:positionV relativeFrom="paragraph">
              <wp:posOffset>449580</wp:posOffset>
            </wp:positionV>
            <wp:extent cx="5717540" cy="3260725"/>
            <wp:effectExtent l="0" t="0" r="0" b="3175"/>
            <wp:wrapTight wrapText="bothSides">
              <wp:wrapPolygon edited="0">
                <wp:start x="0" y="0"/>
                <wp:lineTo x="0" y="21537"/>
                <wp:lineTo x="21542" y="21537"/>
                <wp:lineTo x="21542" y="0"/>
                <wp:lineTo x="0" y="0"/>
              </wp:wrapPolygon>
            </wp:wrapTight>
            <wp:docPr id="105377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777719" name=""/>
                    <pic:cNvPicPr/>
                  </pic:nvPicPr>
                  <pic:blipFill>
                    <a:blip r:embed="rId30">
                      <a:extLst>
                        <a:ext uri="{28A0092B-C50C-407E-A947-70E740481C1C}">
                          <a14:useLocalDpi xmlns:a14="http://schemas.microsoft.com/office/drawing/2010/main" val="0"/>
                        </a:ext>
                      </a:extLst>
                    </a:blip>
                    <a:stretch>
                      <a:fillRect/>
                    </a:stretch>
                  </pic:blipFill>
                  <pic:spPr>
                    <a:xfrm>
                      <a:off x="0" y="0"/>
                      <a:ext cx="5717540" cy="3260725"/>
                    </a:xfrm>
                    <a:prstGeom prst="rect">
                      <a:avLst/>
                    </a:prstGeom>
                  </pic:spPr>
                </pic:pic>
              </a:graphicData>
            </a:graphic>
            <wp14:sizeRelH relativeFrom="page">
              <wp14:pctWidth>0</wp14:pctWidth>
            </wp14:sizeRelH>
            <wp14:sizeRelV relativeFrom="page">
              <wp14:pctHeight>0</wp14:pctHeight>
            </wp14:sizeRelV>
          </wp:anchor>
        </w:drawing>
      </w:r>
    </w:p>
    <w:p w14:paraId="69FCB365" w14:textId="5126C997" w:rsidR="00E2733E" w:rsidRDefault="00E2733E" w:rsidP="00F33B92">
      <w:pPr>
        <w:spacing w:line="480" w:lineRule="auto"/>
        <w:rPr>
          <w:rFonts w:eastAsia="Times New Roman"/>
          <w:color w:val="000000"/>
          <w:sz w:val="24"/>
          <w:szCs w:val="24"/>
        </w:rPr>
      </w:pPr>
    </w:p>
    <w:p w14:paraId="7553AFC0" w14:textId="677FA98A" w:rsidR="00E2733E" w:rsidRDefault="00FA2DD0" w:rsidP="00FA2DD0">
      <w:pPr>
        <w:pStyle w:val="Heading6"/>
        <w:rPr>
          <w:rFonts w:eastAsia="Times New Roman"/>
        </w:rPr>
      </w:pPr>
      <w:bookmarkStart w:id="91" w:name="_Toc161934675"/>
      <w:r>
        <w:rPr>
          <w:rFonts w:eastAsia="Times New Roman"/>
        </w:rPr>
        <w:t>Table 4: Differentially expressed nitrogen and amino acid genes</w:t>
      </w:r>
      <w:bookmarkEnd w:id="91"/>
    </w:p>
    <w:p w14:paraId="21DFD8B5" w14:textId="77777777" w:rsidR="00E2733E" w:rsidRDefault="00E2733E" w:rsidP="00F33B92">
      <w:pPr>
        <w:spacing w:line="480" w:lineRule="auto"/>
        <w:rPr>
          <w:rFonts w:eastAsia="Times New Roman"/>
          <w:color w:val="000000"/>
          <w:sz w:val="24"/>
          <w:szCs w:val="24"/>
        </w:rPr>
      </w:pPr>
    </w:p>
    <w:p w14:paraId="666DF8B7" w14:textId="77777777" w:rsidR="00E2733E" w:rsidRDefault="00E2733E" w:rsidP="00F33B92">
      <w:pPr>
        <w:spacing w:line="480" w:lineRule="auto"/>
        <w:rPr>
          <w:rFonts w:eastAsia="Times New Roman"/>
          <w:color w:val="000000"/>
          <w:sz w:val="24"/>
          <w:szCs w:val="24"/>
        </w:rPr>
      </w:pPr>
    </w:p>
    <w:p w14:paraId="215F5805" w14:textId="77777777" w:rsidR="00E2733E" w:rsidRPr="00F33B92" w:rsidRDefault="00E2733E" w:rsidP="00F33B92">
      <w:pPr>
        <w:spacing w:line="480" w:lineRule="auto"/>
        <w:rPr>
          <w:sz w:val="24"/>
          <w:szCs w:val="24"/>
        </w:rPr>
      </w:pPr>
    </w:p>
    <w:p w14:paraId="11BB0206" w14:textId="77777777" w:rsidR="006E624A" w:rsidRDefault="006E624A" w:rsidP="00F33B92">
      <w:pPr>
        <w:spacing w:line="480" w:lineRule="auto"/>
        <w:rPr>
          <w:b/>
          <w:bCs/>
          <w:sz w:val="28"/>
          <w:szCs w:val="28"/>
        </w:rPr>
      </w:pPr>
    </w:p>
    <w:p w14:paraId="32B3103B" w14:textId="15361BEF" w:rsidR="00F33B92" w:rsidRPr="00F33B92" w:rsidRDefault="00AB3E06" w:rsidP="006E624A">
      <w:pPr>
        <w:pStyle w:val="Heading3"/>
      </w:pPr>
      <w:r>
        <w:br w:type="column"/>
      </w:r>
      <w:bookmarkStart w:id="92" w:name="_Toc167115843"/>
      <w:r w:rsidR="00F33B92" w:rsidRPr="00F33B92">
        <w:lastRenderedPageBreak/>
        <w:t>Discussion</w:t>
      </w:r>
      <w:bookmarkEnd w:id="92"/>
    </w:p>
    <w:p w14:paraId="1A827117" w14:textId="77777777" w:rsidR="00F33B92" w:rsidRPr="00F33B92" w:rsidRDefault="00F33B92" w:rsidP="006E624A">
      <w:pPr>
        <w:pStyle w:val="Heading4"/>
      </w:pPr>
      <w:r w:rsidRPr="00F33B92">
        <w:t xml:space="preserve">Cross-feeding of Methane Derived Carbon to NMOHB in Coculture Conditions </w:t>
      </w:r>
    </w:p>
    <w:p w14:paraId="458D6274" w14:textId="669882F3" w:rsidR="00F33B92" w:rsidRPr="00F33B92" w:rsidRDefault="00A56C5B" w:rsidP="00F33B92">
      <w:pPr>
        <w:spacing w:line="480" w:lineRule="auto"/>
        <w:rPr>
          <w:sz w:val="24"/>
          <w:szCs w:val="24"/>
        </w:rPr>
      </w:pPr>
      <w:r>
        <w:rPr>
          <w:sz w:val="24"/>
          <w:szCs w:val="24"/>
        </w:rPr>
        <w:t>This study shows</w:t>
      </w:r>
      <w:r w:rsidR="00F33B92" w:rsidRPr="347D99D0">
        <w:rPr>
          <w:sz w:val="24"/>
          <w:szCs w:val="24"/>
        </w:rPr>
        <w:t xml:space="preserve"> potential ways that carbon sharing occurs between OB3b and </w:t>
      </w:r>
      <w:r w:rsidR="00F33B92" w:rsidRPr="347D99D0">
        <w:rPr>
          <w:i/>
          <w:iCs/>
          <w:sz w:val="24"/>
          <w:szCs w:val="24"/>
        </w:rPr>
        <w:t xml:space="preserve">P. chlororaphis </w:t>
      </w:r>
      <w:r w:rsidR="00F33B92" w:rsidRPr="347D99D0">
        <w:rPr>
          <w:sz w:val="24"/>
          <w:szCs w:val="24"/>
        </w:rPr>
        <w:t>HC by observing the transcription of genes related to metabolism of metabolites that could be derived from CH</w:t>
      </w:r>
      <w:r w:rsidR="00F33B92" w:rsidRPr="347D99D0">
        <w:rPr>
          <w:sz w:val="24"/>
          <w:szCs w:val="24"/>
          <w:vertAlign w:val="subscript"/>
        </w:rPr>
        <w:t>4</w:t>
      </w:r>
      <w:r w:rsidR="00F33B92" w:rsidRPr="347D99D0">
        <w:rPr>
          <w:sz w:val="24"/>
          <w:szCs w:val="24"/>
        </w:rPr>
        <w:t xml:space="preserve"> oxidation such as methanol and C4 dicarboxylates. This study indicates that </w:t>
      </w:r>
      <w:r w:rsidR="00F33B92" w:rsidRPr="347D99D0">
        <w:rPr>
          <w:i/>
          <w:iCs/>
          <w:sz w:val="24"/>
          <w:szCs w:val="24"/>
        </w:rPr>
        <w:t xml:space="preserve">P. chlororaphis </w:t>
      </w:r>
      <w:r w:rsidR="00F33B92" w:rsidRPr="347D99D0">
        <w:rPr>
          <w:sz w:val="24"/>
          <w:szCs w:val="24"/>
        </w:rPr>
        <w:t xml:space="preserve">HC and </w:t>
      </w:r>
      <w:r w:rsidR="00F33B92" w:rsidRPr="347D99D0">
        <w:rPr>
          <w:i/>
          <w:iCs/>
          <w:sz w:val="24"/>
          <w:szCs w:val="24"/>
        </w:rPr>
        <w:t xml:space="preserve">Cupriavidus </w:t>
      </w:r>
      <w:r w:rsidR="00F33B92" w:rsidRPr="347D99D0">
        <w:rPr>
          <w:sz w:val="24"/>
          <w:szCs w:val="24"/>
        </w:rPr>
        <w:t>sp. HC</w:t>
      </w:r>
      <w:r w:rsidR="00F33B92" w:rsidRPr="347D99D0">
        <w:rPr>
          <w:i/>
          <w:iCs/>
          <w:sz w:val="24"/>
          <w:szCs w:val="24"/>
        </w:rPr>
        <w:t xml:space="preserve"> </w:t>
      </w:r>
      <w:r w:rsidR="00F33B92" w:rsidRPr="347D99D0">
        <w:rPr>
          <w:sz w:val="24"/>
          <w:szCs w:val="24"/>
        </w:rPr>
        <w:t>express alcohol dehydrogenases that could potentially be expressed to oxidize methanol derived from the initial step of CH</w:t>
      </w:r>
      <w:r w:rsidR="00F33B92" w:rsidRPr="347D99D0">
        <w:rPr>
          <w:sz w:val="24"/>
          <w:szCs w:val="24"/>
          <w:vertAlign w:val="subscript"/>
        </w:rPr>
        <w:t>4</w:t>
      </w:r>
      <w:r w:rsidR="00F33B92" w:rsidRPr="347D99D0">
        <w:rPr>
          <w:sz w:val="24"/>
          <w:szCs w:val="24"/>
        </w:rPr>
        <w:t xml:space="preserve"> oxidation to methanol by methane monooxygenase in OB3b. It has been shown that in strict methylotrophs, methanol cross-feeding can occur and that the non-</w:t>
      </w:r>
      <w:r w:rsidR="00224D46">
        <w:rPr>
          <w:sz w:val="24"/>
          <w:szCs w:val="24"/>
        </w:rPr>
        <w:t>m</w:t>
      </w:r>
      <w:r w:rsidR="007D3DBA">
        <w:rPr>
          <w:sz w:val="24"/>
          <w:szCs w:val="24"/>
        </w:rPr>
        <w:t>ethane-oxidizing</w:t>
      </w:r>
      <w:r w:rsidR="00F33B92" w:rsidRPr="347D99D0">
        <w:rPr>
          <w:sz w:val="24"/>
          <w:szCs w:val="24"/>
        </w:rPr>
        <w:t xml:space="preserve"> strains can even cause the MOB to shift expression of methanol dehydrogenase from a high affinity methanol dehydrogenase </w:t>
      </w:r>
      <w:r w:rsidR="00450AAB" w:rsidRPr="347D99D0">
        <w:rPr>
          <w:sz w:val="24"/>
          <w:szCs w:val="24"/>
        </w:rPr>
        <w:t xml:space="preserve">(MDh) </w:t>
      </w:r>
      <w:r w:rsidR="00F33B92" w:rsidRPr="347D99D0">
        <w:rPr>
          <w:sz w:val="24"/>
          <w:szCs w:val="24"/>
        </w:rPr>
        <w:t xml:space="preserve">to a low affinity </w:t>
      </w:r>
      <w:r w:rsidR="00450AAB" w:rsidRPr="347D99D0">
        <w:rPr>
          <w:sz w:val="24"/>
          <w:szCs w:val="24"/>
        </w:rPr>
        <w:t>MDh</w:t>
      </w:r>
      <w:r w:rsidR="00F33B92" w:rsidRPr="347D99D0">
        <w:rPr>
          <w:sz w:val="24"/>
          <w:szCs w:val="24"/>
        </w:rPr>
        <w:t>, thereby facilitating the release of methanol by the MOB cells for use by the non-</w:t>
      </w:r>
      <w:r w:rsidR="00224D46">
        <w:rPr>
          <w:sz w:val="24"/>
          <w:szCs w:val="24"/>
        </w:rPr>
        <w:t>m</w:t>
      </w:r>
      <w:r w:rsidR="007D3DBA">
        <w:rPr>
          <w:sz w:val="24"/>
          <w:szCs w:val="24"/>
        </w:rPr>
        <w:t>ethane-oxidizing</w:t>
      </w:r>
      <w:r w:rsidR="00F33B92" w:rsidRPr="347D99D0">
        <w:rPr>
          <w:sz w:val="24"/>
          <w:szCs w:val="24"/>
        </w:rPr>
        <w:t xml:space="preserve"> bacteria </w:t>
      </w:r>
      <w:r w:rsidR="00F33B92" w:rsidRPr="347D99D0">
        <w:rPr>
          <w:sz w:val="24"/>
          <w:szCs w:val="24"/>
        </w:rPr>
        <w:fldChar w:fldCharType="begin"/>
      </w:r>
      <w:r w:rsidR="00F33B92" w:rsidRPr="347D99D0">
        <w:rPr>
          <w:sz w:val="24"/>
          <w:szCs w:val="24"/>
        </w:rPr>
        <w:instrText xml:space="preserve"> ADDIN ZOTERO_ITEM CSL_CITATION {"citationID":"jocSK4WU","properties":{"formattedCitation":"(7)","plainCitation":"(7)","noteIndex":0},"citationItems":[{"id":127,"uris":["http://zotero.org/users/11931443/items/C9FEY7AZ"],"itemData":{"id":127,"type":"article-journal","abstract":"The utilization of methane, a potent greenhouse gas, is an important component of local and global carbon cycles that is characterized by tight linkages between methane-utilizing (methanotrophic) and nonmethanotrophic bacteria. It has been suggested that the methanotroph sustains these nonmethanotrophs by cross-feeding, because subsequent products of the methane oxidation pathway, such as methanol, represent alternative carbon sources. We established cocultures in a microcosm model system to determine the mechanism and substrate that underlay the observed cross-feeding in the environment. Lanthanum, a rare earth element, was applied because of its increasing importance in methylotrophy. We used co-occurring strains isolated from Lake Washington sediment that are involved in methane utilization: a methanotroph and two nonmethanotrophic methylotrophs. Gene-expression profiles and mutant analyses suggest that methanol is the dominant carbon and energy source the methanotroph provides to support growth of the nonmethanotrophs. However, in the presence of the nonmethanotroph, gene expression of the dominant methanol dehydrogenase (MDH) shifts from the lanthanide-dependent MDH (XoxF)-type, to the calcium-dependent MDH (MxaF)-type. Correspondingly, methanol is released into the medium only when the methanotroph expresses the MxaF-type MDH. These results suggest a cross-feeding mechanism in which the nonmethanotrophic partner induces a change in expression of methanotroph MDHs, resulting in release of methanol for its growth. This partner-induced change in gene expression that benefits the partner is a paradigm for microbial interactions that cannot be observed in studies of pure cultures, underscoring the importance of synthetic microbial community approaches to understand environmental microbiomes.","container-title":"Proceedings of the National Academy of Sciences","DOI":"10.1073/pnas.1619871114","ISSN":"0027-8424, 1091-6490","issue":"2","journalAbbreviation":"Proc Natl Acad Sci USA","language":"en","page":"358-363","source":"DOI.org (Crossref)","title":"Lanthanide-dependent cross-feeding of methane-derived carbon is linked by microbial community interactions","volume":"114","author":[{"family":"Krause","given":"Sascha M. B."},{"family":"Johnson","given":"Timothy"},{"family":"Samadhi Karunaratne","given":"Yasodara"},{"family":"Fu","given":"Yanfen"},{"family":"Beck","given":"David A. C."},{"family":"Chistoserdova","given":"Ludmila"},{"family":"Lidstrom","given":"Mary E."}],"issued":{"date-parts":[["2017",1,10]]}}}],"schema":"https://github.com/citation-style-language/schema/raw/master/csl-citation.json"} </w:instrText>
      </w:r>
      <w:r w:rsidR="00F33B92" w:rsidRPr="347D99D0">
        <w:rPr>
          <w:sz w:val="24"/>
          <w:szCs w:val="24"/>
        </w:rPr>
        <w:fldChar w:fldCharType="separate"/>
      </w:r>
      <w:r w:rsidR="00F33B92" w:rsidRPr="347D99D0">
        <w:rPr>
          <w:noProof/>
          <w:sz w:val="24"/>
          <w:szCs w:val="24"/>
        </w:rPr>
        <w:t>(7)</w:t>
      </w:r>
      <w:r w:rsidR="00F33B92" w:rsidRPr="347D99D0">
        <w:rPr>
          <w:sz w:val="24"/>
          <w:szCs w:val="24"/>
        </w:rPr>
        <w:fldChar w:fldCharType="end"/>
      </w:r>
      <w:r w:rsidR="00F33B92" w:rsidRPr="347D99D0">
        <w:rPr>
          <w:sz w:val="24"/>
          <w:szCs w:val="24"/>
        </w:rPr>
        <w:t xml:space="preserve">. OB3b expresses both the high affinity </w:t>
      </w:r>
      <w:r w:rsidR="00F33B92" w:rsidRPr="347D99D0">
        <w:rPr>
          <w:i/>
          <w:iCs/>
          <w:sz w:val="24"/>
          <w:szCs w:val="24"/>
        </w:rPr>
        <w:t>xoxF</w:t>
      </w:r>
      <w:r w:rsidR="00F33B92" w:rsidRPr="347D99D0">
        <w:rPr>
          <w:sz w:val="24"/>
          <w:szCs w:val="24"/>
        </w:rPr>
        <w:t xml:space="preserve"> and low affinity </w:t>
      </w:r>
      <w:r w:rsidR="00F33B92" w:rsidRPr="347D99D0">
        <w:rPr>
          <w:i/>
          <w:iCs/>
          <w:sz w:val="24"/>
          <w:szCs w:val="24"/>
        </w:rPr>
        <w:t>mxaF</w:t>
      </w:r>
      <w:r w:rsidR="00F33B92" w:rsidRPr="347D99D0">
        <w:rPr>
          <w:sz w:val="24"/>
          <w:szCs w:val="24"/>
        </w:rPr>
        <w:t xml:space="preserve"> type </w:t>
      </w:r>
      <w:r w:rsidR="00450AAB" w:rsidRPr="347D99D0">
        <w:rPr>
          <w:sz w:val="24"/>
          <w:szCs w:val="24"/>
        </w:rPr>
        <w:t>MDhs</w:t>
      </w:r>
      <w:r w:rsidR="00F33B92" w:rsidRPr="347D99D0">
        <w:rPr>
          <w:sz w:val="24"/>
          <w:szCs w:val="24"/>
        </w:rPr>
        <w:t xml:space="preserve"> in </w:t>
      </w:r>
      <w:r w:rsidR="009B0281">
        <w:rPr>
          <w:sz w:val="24"/>
          <w:szCs w:val="24"/>
        </w:rPr>
        <w:t>co-culture</w:t>
      </w:r>
      <w:r w:rsidR="00F33B92" w:rsidRPr="347D99D0">
        <w:rPr>
          <w:sz w:val="24"/>
          <w:szCs w:val="24"/>
        </w:rPr>
        <w:t xml:space="preserve"> with each of the NMOHB and in monoculture, but there is no indication that OB3b switches expression to the low affinity </w:t>
      </w:r>
      <w:r w:rsidR="00450AAB" w:rsidRPr="347D99D0">
        <w:rPr>
          <w:sz w:val="24"/>
          <w:szCs w:val="24"/>
        </w:rPr>
        <w:t>MDh</w:t>
      </w:r>
      <w:r w:rsidR="00F33B92" w:rsidRPr="347D99D0">
        <w:rPr>
          <w:sz w:val="24"/>
          <w:szCs w:val="24"/>
        </w:rPr>
        <w:t xml:space="preserve"> in </w:t>
      </w:r>
      <w:r w:rsidR="009B0281">
        <w:rPr>
          <w:sz w:val="24"/>
          <w:szCs w:val="24"/>
        </w:rPr>
        <w:t>co-culture</w:t>
      </w:r>
      <w:r w:rsidR="00F33B92" w:rsidRPr="347D99D0">
        <w:rPr>
          <w:sz w:val="24"/>
          <w:szCs w:val="24"/>
        </w:rPr>
        <w:t xml:space="preserve">. But because expression of the </w:t>
      </w:r>
      <w:r w:rsidR="00F33B92" w:rsidRPr="347D99D0">
        <w:rPr>
          <w:i/>
          <w:iCs/>
          <w:sz w:val="24"/>
          <w:szCs w:val="24"/>
        </w:rPr>
        <w:t>mxaF</w:t>
      </w:r>
      <w:r w:rsidR="00F33B92" w:rsidRPr="347D99D0">
        <w:rPr>
          <w:sz w:val="24"/>
          <w:szCs w:val="24"/>
        </w:rPr>
        <w:t xml:space="preserve"> type is essential in some MOB </w:t>
      </w:r>
      <w:r w:rsidR="004D3930">
        <w:rPr>
          <w:sz w:val="24"/>
          <w:szCs w:val="24"/>
        </w:rPr>
        <w:t>for</w:t>
      </w:r>
      <w:r w:rsidR="00F33B92" w:rsidRPr="347D99D0">
        <w:rPr>
          <w:sz w:val="24"/>
          <w:szCs w:val="24"/>
        </w:rPr>
        <w:t xml:space="preserve"> release of methanol from the cell in other MOB such as in the system studied by Krause et al. </w:t>
      </w:r>
      <w:r w:rsidR="00F33B92" w:rsidRPr="347D99D0">
        <w:rPr>
          <w:sz w:val="24"/>
          <w:szCs w:val="24"/>
        </w:rPr>
        <w:fldChar w:fldCharType="begin"/>
      </w:r>
      <w:r w:rsidR="00F33B92" w:rsidRPr="347D99D0">
        <w:rPr>
          <w:sz w:val="24"/>
          <w:szCs w:val="24"/>
        </w:rPr>
        <w:instrText xml:space="preserve"> ADDIN ZOTERO_ITEM CSL_CITATION {"citationID":"b0pMrbM4","properties":{"formattedCitation":"(7)","plainCitation":"(7)","noteIndex":0},"citationItems":[{"id":127,"uris":["http://zotero.org/users/11931443/items/C9FEY7AZ"],"itemData":{"id":127,"type":"article-journal","abstract":"The utilization of methane, a potent greenhouse gas, is an important component of local and global carbon cycles that is characterized by tight linkages between methane-utilizing (methanotrophic) and nonmethanotrophic bacteria. It has been suggested that the methanotroph sustains these nonmethanotrophs by cross-feeding, because subsequent products of the methane oxidation pathway, such as methanol, represent alternative carbon sources. We established cocultures in a microcosm model system to determine the mechanism and substrate that underlay the observed cross-feeding in the environment. Lanthanum, a rare earth element, was applied because of its increasing importance in methylotrophy. We used co-occurring strains isolated from Lake Washington sediment that are involved in methane utilization: a methanotroph and two nonmethanotrophic methylotrophs. Gene-expression profiles and mutant analyses suggest that methanol is the dominant carbon and energy source the methanotroph provides to support growth of the nonmethanotrophs. However, in the presence of the nonmethanotroph, gene expression of the dominant methanol dehydrogenase (MDH) shifts from the lanthanide-dependent MDH (XoxF)-type, to the calcium-dependent MDH (MxaF)-type. Correspondingly, methanol is released into the medium only when the methanotroph expresses the MxaF-type MDH. These results suggest a cross-feeding mechanism in which the nonmethanotrophic partner induces a change in expression of methanotroph MDHs, resulting in release of methanol for its growth. This partner-induced change in gene expression that benefits the partner is a paradigm for microbial interactions that cannot be observed in studies of pure cultures, underscoring the importance of synthetic microbial community approaches to understand environmental microbiomes.","container-title":"Proceedings of the National Academy of Sciences","DOI":"10.1073/pnas.1619871114","ISSN":"0027-8424, 1091-6490","issue":"2","journalAbbreviation":"Proc Natl Acad Sci USA","language":"en","page":"358-363","source":"DOI.org (Crossref)","title":"Lanthanide-dependent cross-feeding of methane-derived carbon is linked by microbial community interactions","volume":"114","author":[{"family":"Krause","given":"Sascha M. B."},{"family":"Johnson","given":"Timothy"},{"family":"Samadhi Karunaratne","given":"Yasodara"},{"family":"Fu","given":"Yanfen"},{"family":"Beck","given":"David A. C."},{"family":"Chistoserdova","given":"Ludmila"},{"family":"Lidstrom","given":"Mary E."}],"issued":{"date-parts":[["2017",1,10]]}}}],"schema":"https://github.com/citation-style-language/schema/raw/master/csl-citation.json"} </w:instrText>
      </w:r>
      <w:r w:rsidR="00F33B92" w:rsidRPr="347D99D0">
        <w:rPr>
          <w:sz w:val="24"/>
          <w:szCs w:val="24"/>
        </w:rPr>
        <w:fldChar w:fldCharType="separate"/>
      </w:r>
      <w:r w:rsidR="00F33B92" w:rsidRPr="347D99D0">
        <w:rPr>
          <w:noProof/>
          <w:sz w:val="24"/>
          <w:szCs w:val="24"/>
        </w:rPr>
        <w:t>(7)</w:t>
      </w:r>
      <w:r w:rsidR="00F33B92" w:rsidRPr="347D99D0">
        <w:rPr>
          <w:sz w:val="24"/>
          <w:szCs w:val="24"/>
        </w:rPr>
        <w:fldChar w:fldCharType="end"/>
      </w:r>
      <w:r w:rsidR="00F33B92" w:rsidRPr="347D99D0">
        <w:rPr>
          <w:sz w:val="24"/>
          <w:szCs w:val="24"/>
        </w:rPr>
        <w:t xml:space="preserve">, it is reasonable that some methanol would be accessible to the NMOHB. </w:t>
      </w:r>
    </w:p>
    <w:p w14:paraId="4C689705" w14:textId="4BE6E186" w:rsidR="00F33B92" w:rsidRPr="00F33B92" w:rsidRDefault="00F33B92" w:rsidP="347D99D0">
      <w:pPr>
        <w:spacing w:line="480" w:lineRule="auto"/>
        <w:rPr>
          <w:sz w:val="24"/>
          <w:szCs w:val="24"/>
        </w:rPr>
      </w:pPr>
      <w:r w:rsidRPr="347D99D0">
        <w:rPr>
          <w:sz w:val="24"/>
          <w:szCs w:val="24"/>
        </w:rPr>
        <w:t xml:space="preserve">It is likely the </w:t>
      </w:r>
      <w:r w:rsidRPr="347D99D0">
        <w:rPr>
          <w:i/>
          <w:iCs/>
          <w:sz w:val="24"/>
          <w:szCs w:val="24"/>
        </w:rPr>
        <w:t xml:space="preserve">P. chlororaphis </w:t>
      </w:r>
      <w:r w:rsidRPr="347D99D0">
        <w:rPr>
          <w:sz w:val="24"/>
          <w:szCs w:val="24"/>
        </w:rPr>
        <w:t>HC strain may also be taking up TCA cycle intermediates including fumarate, succinate, or malate derived from CH</w:t>
      </w:r>
      <w:r w:rsidRPr="347D99D0">
        <w:rPr>
          <w:sz w:val="24"/>
          <w:szCs w:val="24"/>
          <w:vertAlign w:val="subscript"/>
        </w:rPr>
        <w:t>4</w:t>
      </w:r>
      <w:r w:rsidRPr="347D99D0">
        <w:rPr>
          <w:sz w:val="24"/>
          <w:szCs w:val="24"/>
        </w:rPr>
        <w:t xml:space="preserve"> oxidation. This carbon could be assimilated by </w:t>
      </w:r>
      <w:r w:rsidRPr="347D99D0">
        <w:rPr>
          <w:i/>
          <w:iCs/>
          <w:sz w:val="24"/>
          <w:szCs w:val="24"/>
        </w:rPr>
        <w:t xml:space="preserve">P. chlororaphis </w:t>
      </w:r>
      <w:r w:rsidRPr="347D99D0">
        <w:rPr>
          <w:sz w:val="24"/>
          <w:szCs w:val="24"/>
        </w:rPr>
        <w:t xml:space="preserve">HC via the </w:t>
      </w:r>
      <w:r w:rsidRPr="347D99D0">
        <w:rPr>
          <w:i/>
          <w:iCs/>
          <w:sz w:val="24"/>
          <w:szCs w:val="24"/>
        </w:rPr>
        <w:t xml:space="preserve">dctABD </w:t>
      </w:r>
      <w:r w:rsidRPr="347D99D0">
        <w:rPr>
          <w:sz w:val="24"/>
          <w:szCs w:val="24"/>
        </w:rPr>
        <w:t xml:space="preserve">C4 dicarboxylate transport system which is expressed by </w:t>
      </w:r>
      <w:r w:rsidRPr="347D99D0">
        <w:rPr>
          <w:i/>
          <w:iCs/>
          <w:sz w:val="24"/>
          <w:szCs w:val="24"/>
        </w:rPr>
        <w:t xml:space="preserve">P. chlororaphis </w:t>
      </w:r>
      <w:r w:rsidRPr="347D99D0">
        <w:rPr>
          <w:sz w:val="24"/>
          <w:szCs w:val="24"/>
        </w:rPr>
        <w:t xml:space="preserve">HC in </w:t>
      </w:r>
      <w:r w:rsidR="009B0281">
        <w:rPr>
          <w:sz w:val="24"/>
          <w:szCs w:val="24"/>
        </w:rPr>
        <w:t>co-culture</w:t>
      </w:r>
      <w:r w:rsidRPr="347D99D0">
        <w:rPr>
          <w:sz w:val="24"/>
          <w:szCs w:val="24"/>
        </w:rPr>
        <w:t xml:space="preserve"> with OB3b and would correlate with the observation that fumarate hydratase and malate dehydrogenase are overexpressed by </w:t>
      </w:r>
      <w:r w:rsidRPr="347D99D0">
        <w:rPr>
          <w:i/>
          <w:iCs/>
          <w:sz w:val="24"/>
          <w:szCs w:val="24"/>
        </w:rPr>
        <w:t xml:space="preserve">P. </w:t>
      </w:r>
      <w:r w:rsidRPr="347D99D0">
        <w:rPr>
          <w:i/>
          <w:iCs/>
          <w:sz w:val="24"/>
          <w:szCs w:val="24"/>
        </w:rPr>
        <w:lastRenderedPageBreak/>
        <w:t xml:space="preserve">chlororaphis </w:t>
      </w:r>
      <w:r w:rsidRPr="347D99D0">
        <w:rPr>
          <w:sz w:val="24"/>
          <w:szCs w:val="24"/>
        </w:rPr>
        <w:t xml:space="preserve">HC. The expression of the transporter gene </w:t>
      </w:r>
      <w:r w:rsidRPr="347D99D0">
        <w:rPr>
          <w:i/>
          <w:iCs/>
          <w:sz w:val="24"/>
          <w:szCs w:val="24"/>
        </w:rPr>
        <w:t>dctA</w:t>
      </w:r>
      <w:r w:rsidRPr="347D99D0">
        <w:rPr>
          <w:sz w:val="24"/>
          <w:szCs w:val="24"/>
        </w:rPr>
        <w:t xml:space="preserve"> is critical to the use of C4 carbon by </w:t>
      </w:r>
      <w:r w:rsidRPr="347D99D0">
        <w:rPr>
          <w:i/>
          <w:iCs/>
          <w:sz w:val="24"/>
          <w:szCs w:val="24"/>
        </w:rPr>
        <w:t>P. chlororaphis</w:t>
      </w:r>
      <w:r w:rsidRPr="347D99D0">
        <w:rPr>
          <w:sz w:val="24"/>
          <w:szCs w:val="24"/>
        </w:rPr>
        <w:t xml:space="preserve">. Other studies have shown that in </w:t>
      </w:r>
      <w:r w:rsidRPr="347D99D0">
        <w:rPr>
          <w:i/>
          <w:iCs/>
          <w:sz w:val="24"/>
          <w:szCs w:val="24"/>
        </w:rPr>
        <w:t>Pseudomonas chlororaphis</w:t>
      </w:r>
      <w:r w:rsidRPr="347D99D0">
        <w:rPr>
          <w:sz w:val="24"/>
          <w:szCs w:val="24"/>
        </w:rPr>
        <w:t xml:space="preserve"> strain O6, the expression of </w:t>
      </w:r>
      <w:r w:rsidRPr="347D99D0">
        <w:rPr>
          <w:i/>
          <w:iCs/>
          <w:sz w:val="24"/>
          <w:szCs w:val="24"/>
        </w:rPr>
        <w:t>dctA</w:t>
      </w:r>
      <w:r w:rsidRPr="347D99D0">
        <w:rPr>
          <w:sz w:val="24"/>
          <w:szCs w:val="24"/>
        </w:rPr>
        <w:t xml:space="preserve"> is directly linked to its utilization of C4 dicarboxylate carbon utilized in the TCA cycle and mutants of strain O6 lacking in their ability to expresses the </w:t>
      </w:r>
      <w:r w:rsidRPr="347D99D0">
        <w:rPr>
          <w:i/>
          <w:iCs/>
          <w:sz w:val="24"/>
          <w:szCs w:val="24"/>
        </w:rPr>
        <w:t>dctA</w:t>
      </w:r>
      <w:r w:rsidRPr="347D99D0">
        <w:rPr>
          <w:sz w:val="24"/>
          <w:szCs w:val="24"/>
        </w:rPr>
        <w:t xml:space="preserve"> transport gene do not grow on succinate or fumarate and show reduced growth on malate </w:t>
      </w:r>
      <w:r w:rsidRPr="347D99D0">
        <w:rPr>
          <w:sz w:val="24"/>
          <w:szCs w:val="24"/>
        </w:rPr>
        <w:fldChar w:fldCharType="begin"/>
      </w:r>
      <w:r w:rsidRPr="347D99D0">
        <w:rPr>
          <w:sz w:val="24"/>
          <w:szCs w:val="24"/>
        </w:rPr>
        <w:instrText xml:space="preserve"> ADDIN ZOTERO_ITEM CSL_CITATION {"citationID":"CNhZHXwZ","properties":{"formattedCitation":"(25\\uc0\\u8211{}28)","plainCitation":"(25–28)","noteIndex":0},"citationItems":[{"id":518,"uris":["http://zotero.org/users/11931443/items/ZMCRWZ6Q"],"itemData":{"id":518,"type":"article-journal","abstract":"Pseudomonas aeruginosautilizes preferentially C4-dicarboxylates such as malate, fumarate, and succinate as carbon and energy sources. We have identified and characterized two C4-dicarboxylate transport (Dct) systems in P. aeruginosaPAO1. Inactivation of the dctA(PA1183) gene caused a growth defect of the strain in minimal media supplemented with succinate, fumarate or malate, indicating that DctA has a major role in Dct. However, residual growth of the dctAmutant in these media suggested the presence of additional C4-dicarboxylate transporter(s). Tn5insertion mutagenesis of the ΔdctAmutant led to the identification of a second Dct system, i.e., the DctPQM transporter belonging to the tripartite ATP-independent periplasmic (TRAP) family of carriers. The ΔdctA ΔdctPQMdouble mutant showed no growth on malate and fumarate and residual growth on succinate, suggesting that DctA and DctPQM are the only malate and fumarate transporters, whereas additional transporters for succinate are present. Using lacZreporter fusions, we showed that the expression of the dctAgene and the dctPQMoperon was enhanced in early exponential growth phase and induced by C4-dicarboxylates. Competition experiments demonstrated that the DctPQM carrier was more efficient than the DctA carrier for the utilization of succinate at micromolar concentrations, whereas DctA was the major transporter at millimolar concentrations. To conclude, this is the first time that the high- and low-affinity uptake systems for succinate DctA and DctPQM have been reported to function coordinately to transport C4-dicarboxylates and that the alternative sigma factor RpoN and a DctB/DctD two-component system regulates simultaneously the dctAgene and the dctPQMoperon.","container-title":"Journal of Bacteriology","DOI":"10.1128/JB.05074-11","ISSN":"0021-9193","issue":"17","journalAbbreviation":"J Bacteriol","note":"PMID: 21725012\nPMCID: PMC3165536","page":"4307-4316","source":"PubMed Central","title":"Identification of C4-Dicarboxylate Transport Systems in Pseudomonas aeruginosaPAO1</w:instrText>
      </w:r>
      <w:r w:rsidRPr="347D99D0">
        <w:rPr>
          <w:rFonts w:ascii="Segoe UI Symbol" w:hAnsi="Segoe UI Symbol" w:cs="Segoe UI Symbol"/>
          <w:sz w:val="24"/>
          <w:szCs w:val="24"/>
        </w:rPr>
        <w:instrText>▿</w:instrText>
      </w:r>
      <w:r w:rsidRPr="347D99D0">
        <w:rPr>
          <w:sz w:val="24"/>
          <w:szCs w:val="24"/>
        </w:rPr>
        <w:instrText xml:space="preserve">","volume":"193","author":[{"family":"Valentini","given":"Martina"},{"family":"Storelli","given":"Nicola"},{"family":"Lapouge","given":"Karine"}],"issued":{"date-parts":[["2011",9]]}}},{"id":527,"uris":["http://zotero.org/users/11931443/items/DHKMTYU7"],"itemData":{"id":527,"type":"article-journal","abstract":"The dct locus of Rhodobacter capsulatus encodes a high-affinity transport system for the C4-dicarboxylates malate, succinate, and fumarate. The nucleotide sequence of the region downstream of the previously sequenced dctP gene (encoding a periplasmic C4-dicarboxylate-binding protein) was determined. Two open reading frames (ORFs) of 681 bp (dctQ) and 1,320 bp (dctM) were identified as additional dct genes by insertional mutagenesis and complementation studies. DctQ (24,763 Da) and DctM (46,827 Da) had hydropathic profiles consistent with the presence of 4 and 12 potential transmembrane segments, respectively, and were localized in the cytoplasmic membrane fraction after heterologous expression of the dctQM ORFs in Escherichia coli. DctP, DctQ, and DctM were found to be unrelated to known transport proteins in the ABC (ATP-binding cassette) superfamily but were shown to be homologous with the products of previously unidentified ORFs in a number of gram-negative bacteria, including Bordetella pertussis, E. coli, Salmonella typhimurium, Haemophilus influenzae, and Synechocystis sp. strain PCC6803. An additional ORF (rypA) downstream of dctM encodes a protein with sequence similarity to eukaryotic protein-tyrosine phosphatases, but interposon mutagenesis of this ORF did not result in a Dct- phenotype. Complementation of a Rhizobium meliloti dctABD deletion mutant by heterologous expression of the dctPQM genes from R. capsulatus demonstrated that no additional structural genes were required to form a functional transport system. Transport via the Dct system was vanadate insensitive, and in uncoupler titrations with intact cells, the decrease in the rate of succinate transport correlated closely with the fall in membrane potential but not with the cellular ATP concentration, implying that the proton motive force, rather than ATP hydrolysis, drives uptake. It is concluded that the R. capsulatus Dct system is a new type of periplasmic secondary transporter and that similar, hitherto-unrecognized systems are widespread in gram-negative bacteria. The name TRAP (for tripartite ATP-independent periplasmic) transporters is proposed for this new group.","container-title":"Journal of Bacteriology","DOI":"10.1128/jb.179.17.5482-5493.1997","ISSN":"0021-9193","issue":"17","journalAbbreviation":"J Bacteriol","language":"eng","note":"PMID: 9287004\nPMCID: PMC179420","page":"5482-5493","source":"PubMed","title":"TRAP transporters: a new family of periplasmic solute transport systems encoded by the dctPQM genes of Rhodobacter capsulatus and by homologs in diverse gram-negative bacteria","title-short":"TRAP transporters","volume":"179","author":[{"family":"Forward","given":"J. A."},{"family":"Behrendt","given":"M. C."},{"family":"Wyborn","given":"N. R."},{"family":"Cross","given":"R."},{"family":"Kelly","given":"D. J."}],"issued":{"date-parts":[["1997",9]]}}},{"id":515,"uris":["http://zotero.org/users/11931443/items/2ERZSKCR"],"itemData":{"id":515,"type":"article-journal","abstract":"Transcription from the dctA gene, which encodes an organic acid transporter in the root-colonizing bacterium Pseudomonas chlororaphis O6, is under complex regulatory control. Promoter sequence analysis revealed an RpoN binding site. The regulation of transcript accumulation by the level of ammonium ions in the growth medium confirmed RpoN regulation, even in the presence of glucose. A dctA mutant colonized tobacco roots to a lesser extent than the wild-type mutant during early seedling development. Colonization by the dctA mutant, as compared to the wild type, also reduced the level of systemically induced resistance against the soft rot pathogen Erwinia carotovora SCC1. We ascribe this reduced colonization to the inability of the mutant to utilize certain organic acid components in the root exudates. The dctA mutant failed to grow on succinate and fumarate, and showed reduced growth on malate. All altered properties of the mutant were complemented by the full-length dctA gene. We propose that organic acids in root exudates may provide important nutrient sources for the beneficial root-colonizing pseudomonad.","container-title":"FEMS Microbiology Letters","DOI":"10.1111/j.1574-6968.2006.00092.x","ISSN":"0378-1097","issue":"1","journalAbbreviation":"FEMS Microbiology Letters","page":"98-104","source":"Silverchair","title":"The dctA gene of Pseudomonas chlororaphis O6 is under RpoN control and is required for effective root colonization and induction of systemic resistance","volume":"256","author":[{"family":"Nam","given":"Hyo Song"},{"family":"Anderson","given":"Anne J."},{"family":"Yang","given":"Kwang Yeol"},{"family":"Cho","given":"Baik Ho"},{"family":"Kim","given":"Young Cheol"}],"issued":{"date-parts":[["2006",3,1]]}}},{"id":524,"uris":["http://zotero.org/users/11931443/items/M6AVIVPL"],"itemData":{"id":524,"type":"article-journal","abstract":"Transporters of the dicarboxylate amino acid-cation symporter family often mediate uptake of C4-dicarboxylates, such as succinate or l-malate, in bacteria. A member of this family, dicarboxylate transporter A (DctA) from Corynebacterium glutamicum, was characterized to catalyze uptake of the C4-dicarboxylates succinate, fumarate, and l-malate, which was inhibited by oxaloacetate, 2-oxoglutarate, and glyoxylate. DctA activity was not affected by sodium availability but was dependent on the electrochemical proton potential. Efficient growth of C. glutamicum in minimal medium with succinate, fumarate, or l-malate as the sole carbon source required high dctA expression levels due either to a promoter-up mutation identified in a spontaneous mutant or to ectopic overexpression. Mutant analysis indicated that DctA and DccT, a C4-dicarboxylate divalent anion/sodium symporter-type transporter, are the only transporters for succinate, fumarate, and l-malate in C. glutamicum.","container-title":"Journal of Bacteriology","DOI":"10.1128/JB.00640-09","ISSN":"0021-9193","issue":"17","journalAbbreviation":"J Bacteriol","note":"PMID: 19581365\nPMCID: PMC2725608","page":"5480-5488","source":"PubMed Central","title":"Characterization of the Dicarboxylate Transporter DctA in Corynebacterium glutamicum","volume":"191","author":[{"family":"Youn","given":"Jung-Won"},{"family":"Jolkver","given":"Elena"},{"family":"Krämer","given":"Reinhard"},{"family":"Marin","given":"Kay"},{"family":"Wendisch","given":"Volker F."}],"issued":{"date-parts":[["2009",9]]}}}],"schema":"https://github.com/citation-style-language/schema/raw/master/csl-citation.json"} </w:instrText>
      </w:r>
      <w:r w:rsidRPr="347D99D0">
        <w:rPr>
          <w:sz w:val="24"/>
          <w:szCs w:val="24"/>
        </w:rPr>
        <w:fldChar w:fldCharType="separate"/>
      </w:r>
      <w:r w:rsidRPr="347D99D0">
        <w:rPr>
          <w:sz w:val="24"/>
          <w:szCs w:val="24"/>
        </w:rPr>
        <w:t>(25–28)</w:t>
      </w:r>
      <w:r w:rsidRPr="347D99D0">
        <w:rPr>
          <w:sz w:val="24"/>
          <w:szCs w:val="24"/>
        </w:rPr>
        <w:fldChar w:fldCharType="end"/>
      </w:r>
      <w:r w:rsidRPr="347D99D0">
        <w:rPr>
          <w:color w:val="000000" w:themeColor="text1"/>
          <w:sz w:val="24"/>
          <w:szCs w:val="24"/>
        </w:rPr>
        <w:t xml:space="preserve">. This demonstrates the potential for cross-feeding of carbon in </w:t>
      </w:r>
      <w:r w:rsidR="00224D46">
        <w:rPr>
          <w:color w:val="000000" w:themeColor="text1"/>
          <w:sz w:val="24"/>
          <w:szCs w:val="24"/>
        </w:rPr>
        <w:t>m</w:t>
      </w:r>
      <w:r w:rsidR="007D3DBA">
        <w:rPr>
          <w:color w:val="000000" w:themeColor="text1"/>
          <w:sz w:val="24"/>
          <w:szCs w:val="24"/>
        </w:rPr>
        <w:t>ethane-oxidizing</w:t>
      </w:r>
      <w:r w:rsidRPr="347D99D0">
        <w:rPr>
          <w:color w:val="000000" w:themeColor="text1"/>
          <w:sz w:val="24"/>
          <w:szCs w:val="24"/>
        </w:rPr>
        <w:t xml:space="preserve"> systems is not necessarily strictly limited to methanol </w:t>
      </w:r>
      <w:r w:rsidRPr="347D99D0">
        <w:rPr>
          <w:sz w:val="24"/>
          <w:szCs w:val="24"/>
        </w:rPr>
        <w:t xml:space="preserve">in this system, </w:t>
      </w:r>
      <w:r w:rsidR="00F54017">
        <w:rPr>
          <w:sz w:val="24"/>
          <w:szCs w:val="24"/>
        </w:rPr>
        <w:t xml:space="preserve">and </w:t>
      </w:r>
      <w:r w:rsidRPr="347D99D0">
        <w:rPr>
          <w:sz w:val="24"/>
          <w:szCs w:val="24"/>
        </w:rPr>
        <w:t>perhaps C4 substrates such as fumarate</w:t>
      </w:r>
      <w:r w:rsidR="00F54017">
        <w:rPr>
          <w:sz w:val="24"/>
          <w:szCs w:val="24"/>
        </w:rPr>
        <w:t>, succinate,</w:t>
      </w:r>
      <w:r w:rsidRPr="347D99D0">
        <w:rPr>
          <w:sz w:val="24"/>
          <w:szCs w:val="24"/>
        </w:rPr>
        <w:t xml:space="preserve"> or malate are being directly fed into the TCA cycle. </w:t>
      </w:r>
      <w:r w:rsidR="00450AAB" w:rsidRPr="347D99D0">
        <w:rPr>
          <w:sz w:val="24"/>
          <w:szCs w:val="24"/>
        </w:rPr>
        <w:t xml:space="preserve">There is no indication that transport of C4 substrates is upregulated, however a number of </w:t>
      </w:r>
      <w:r w:rsidRPr="347D99D0">
        <w:rPr>
          <w:sz w:val="24"/>
          <w:szCs w:val="24"/>
        </w:rPr>
        <w:t xml:space="preserve">TCA cycle genes in </w:t>
      </w:r>
      <w:r w:rsidRPr="347D99D0">
        <w:rPr>
          <w:i/>
          <w:iCs/>
          <w:sz w:val="24"/>
          <w:szCs w:val="24"/>
        </w:rPr>
        <w:t xml:space="preserve">Cupriavidus </w:t>
      </w:r>
      <w:r w:rsidRPr="347D99D0">
        <w:rPr>
          <w:sz w:val="24"/>
          <w:szCs w:val="24"/>
        </w:rPr>
        <w:t>sp.</w:t>
      </w:r>
      <w:r w:rsidRPr="347D99D0">
        <w:rPr>
          <w:i/>
          <w:iCs/>
          <w:sz w:val="24"/>
          <w:szCs w:val="24"/>
        </w:rPr>
        <w:t xml:space="preserve"> </w:t>
      </w:r>
      <w:r w:rsidRPr="347D99D0">
        <w:rPr>
          <w:sz w:val="24"/>
          <w:szCs w:val="24"/>
        </w:rPr>
        <w:t>HC</w:t>
      </w:r>
      <w:r w:rsidR="00450AAB" w:rsidRPr="347D99D0">
        <w:rPr>
          <w:sz w:val="24"/>
          <w:szCs w:val="24"/>
        </w:rPr>
        <w:t xml:space="preserve"> were also upregulated indicating a similar </w:t>
      </w:r>
      <w:r w:rsidR="009D50C8" w:rsidRPr="347D99D0">
        <w:rPr>
          <w:sz w:val="24"/>
          <w:szCs w:val="24"/>
        </w:rPr>
        <w:t xml:space="preserve">type of interaction within the </w:t>
      </w:r>
      <w:r w:rsidR="009D50C8" w:rsidRPr="007D3DBA">
        <w:rPr>
          <w:i/>
          <w:iCs/>
          <w:sz w:val="24"/>
          <w:szCs w:val="24"/>
        </w:rPr>
        <w:t>Cupriavidis</w:t>
      </w:r>
      <w:r w:rsidR="009D50C8" w:rsidRPr="347D99D0">
        <w:rPr>
          <w:sz w:val="24"/>
          <w:szCs w:val="24"/>
        </w:rPr>
        <w:t xml:space="preserve"> and </w:t>
      </w:r>
      <w:r w:rsidR="08CB2C83" w:rsidRPr="347D99D0">
        <w:rPr>
          <w:i/>
          <w:iCs/>
          <w:sz w:val="24"/>
          <w:szCs w:val="24"/>
        </w:rPr>
        <w:t xml:space="preserve">Pseudomonas </w:t>
      </w:r>
      <w:r w:rsidR="009B0281">
        <w:rPr>
          <w:sz w:val="24"/>
          <w:szCs w:val="24"/>
        </w:rPr>
        <w:t>co-culture</w:t>
      </w:r>
      <w:r w:rsidR="009D50C8" w:rsidRPr="347D99D0">
        <w:rPr>
          <w:sz w:val="24"/>
          <w:szCs w:val="24"/>
        </w:rPr>
        <w:t xml:space="preserve">s.  </w:t>
      </w:r>
      <w:r w:rsidR="00450AAB" w:rsidRPr="347D99D0">
        <w:rPr>
          <w:sz w:val="24"/>
          <w:szCs w:val="24"/>
        </w:rPr>
        <w:t xml:space="preserve"> </w:t>
      </w:r>
    </w:p>
    <w:p w14:paraId="637666B8" w14:textId="72DCC80D" w:rsidR="00F33B92" w:rsidRPr="00F33B92" w:rsidRDefault="00F33B92" w:rsidP="006E624A">
      <w:pPr>
        <w:pStyle w:val="Heading4"/>
      </w:pPr>
      <w:r w:rsidRPr="00F33B92">
        <w:t xml:space="preserve">NMOHB Expression of Nitrogen Utilization Genes in </w:t>
      </w:r>
      <w:r w:rsidR="007D3DBA">
        <w:t>Methane-</w:t>
      </w:r>
      <w:r w:rsidR="00224D46">
        <w:t>O</w:t>
      </w:r>
      <w:r w:rsidR="007D3DBA">
        <w:t>xidizing</w:t>
      </w:r>
      <w:r w:rsidRPr="00F33B92">
        <w:t xml:space="preserve"> Conditions</w:t>
      </w:r>
    </w:p>
    <w:p w14:paraId="14253D1F" w14:textId="219DFE03" w:rsidR="00F33B92" w:rsidRPr="00F33B92" w:rsidRDefault="00F33B92" w:rsidP="00F33B92">
      <w:pPr>
        <w:spacing w:line="480" w:lineRule="auto"/>
        <w:rPr>
          <w:rFonts w:eastAsia="Times New Roman"/>
          <w:color w:val="000000"/>
          <w:sz w:val="24"/>
          <w:szCs w:val="24"/>
        </w:rPr>
      </w:pPr>
      <w:r w:rsidRPr="00F33B92">
        <w:rPr>
          <w:rFonts w:eastAsia="Times New Roman"/>
          <w:color w:val="000000"/>
          <w:sz w:val="24"/>
          <w:szCs w:val="24"/>
        </w:rPr>
        <w:t xml:space="preserve">A likely reason that </w:t>
      </w:r>
      <w:r w:rsidRPr="00F33B92">
        <w:rPr>
          <w:rFonts w:eastAsia="Times New Roman"/>
          <w:i/>
          <w:iCs/>
          <w:color w:val="000000"/>
          <w:sz w:val="24"/>
          <w:szCs w:val="24"/>
        </w:rPr>
        <w:t xml:space="preserve">Cupriavidus </w:t>
      </w:r>
      <w:r w:rsidRPr="00F33B92">
        <w:rPr>
          <w:rFonts w:eastAsia="Times New Roman"/>
          <w:color w:val="000000"/>
          <w:sz w:val="24"/>
          <w:szCs w:val="24"/>
        </w:rPr>
        <w:t>sp. HC may be increasing its expression of the proline dehydrogenase (</w:t>
      </w:r>
      <w:r w:rsidRPr="00F33B92">
        <w:rPr>
          <w:rFonts w:eastAsia="Times New Roman"/>
          <w:i/>
          <w:iCs/>
          <w:color w:val="000000"/>
          <w:sz w:val="24"/>
          <w:szCs w:val="24"/>
        </w:rPr>
        <w:t>putA)</w:t>
      </w:r>
      <w:r w:rsidRPr="00F33B92">
        <w:rPr>
          <w:rFonts w:eastAsia="Times New Roman"/>
          <w:color w:val="000000"/>
          <w:sz w:val="24"/>
          <w:szCs w:val="24"/>
        </w:rPr>
        <w:t xml:space="preserve"> gene involved in the degradation of proline to glutamate in </w:t>
      </w:r>
      <w:r w:rsidR="009B0281">
        <w:rPr>
          <w:rFonts w:eastAsia="Times New Roman"/>
          <w:color w:val="000000"/>
          <w:sz w:val="24"/>
          <w:szCs w:val="24"/>
        </w:rPr>
        <w:t>co-culture</w:t>
      </w:r>
      <w:r w:rsidRPr="00F33B92">
        <w:rPr>
          <w:rFonts w:eastAsia="Times New Roman"/>
          <w:color w:val="000000"/>
          <w:sz w:val="24"/>
          <w:szCs w:val="24"/>
        </w:rPr>
        <w:t xml:space="preserve"> with OB3b could be that there is simply a shift in the types of amino acids available for metabolism when changing from growth in media with peptones to growth in a CH</w:t>
      </w:r>
      <w:r w:rsidRPr="00F33B92">
        <w:rPr>
          <w:rFonts w:eastAsia="Times New Roman"/>
          <w:color w:val="000000"/>
          <w:sz w:val="24"/>
          <w:szCs w:val="24"/>
          <w:vertAlign w:val="subscript"/>
        </w:rPr>
        <w:t xml:space="preserve">4 </w:t>
      </w:r>
      <w:r w:rsidRPr="00F33B92">
        <w:rPr>
          <w:rFonts w:eastAsia="Times New Roman"/>
          <w:color w:val="000000"/>
          <w:sz w:val="24"/>
          <w:szCs w:val="24"/>
        </w:rPr>
        <w:t xml:space="preserve">oxidizing system. It is also observed that OB3b is downregulating </w:t>
      </w:r>
      <w:r w:rsidRPr="00F33B92">
        <w:rPr>
          <w:rFonts w:eastAsia="Times New Roman"/>
          <w:i/>
          <w:iCs/>
          <w:color w:val="000000"/>
          <w:sz w:val="24"/>
          <w:szCs w:val="24"/>
        </w:rPr>
        <w:t xml:space="preserve">proC, </w:t>
      </w:r>
      <w:r w:rsidRPr="00F33B92">
        <w:rPr>
          <w:rFonts w:eastAsia="Times New Roman"/>
          <w:color w:val="000000"/>
          <w:sz w:val="24"/>
          <w:szCs w:val="24"/>
        </w:rPr>
        <w:t xml:space="preserve">which catalyzes the biosynthesis of proline, this may also be a response to changing levels of proline available in the </w:t>
      </w:r>
      <w:r w:rsidR="009B0281">
        <w:rPr>
          <w:rFonts w:eastAsia="Times New Roman"/>
          <w:color w:val="000000"/>
          <w:sz w:val="24"/>
          <w:szCs w:val="24"/>
        </w:rPr>
        <w:t>co-culture</w:t>
      </w:r>
      <w:r w:rsidRPr="00F33B92">
        <w:rPr>
          <w:rFonts w:eastAsia="Times New Roman"/>
          <w:color w:val="000000"/>
          <w:sz w:val="24"/>
          <w:szCs w:val="24"/>
        </w:rPr>
        <w:t xml:space="preserve"> system compared to the monoculture system. While with these data it is hard to pinpoint the specific interactions and amino acid flux across conditions,</w:t>
      </w:r>
      <w:r w:rsidR="00306323">
        <w:rPr>
          <w:rFonts w:eastAsia="Times New Roman"/>
          <w:color w:val="000000"/>
          <w:sz w:val="24"/>
          <w:szCs w:val="24"/>
        </w:rPr>
        <w:t xml:space="preserve"> the data suggest the cross-feeding of amino acids.</w:t>
      </w:r>
      <w:r w:rsidRPr="00F33B92">
        <w:rPr>
          <w:rFonts w:eastAsia="Times New Roman"/>
          <w:color w:val="000000"/>
          <w:sz w:val="24"/>
          <w:szCs w:val="24"/>
        </w:rPr>
        <w:t xml:space="preserve"> </w:t>
      </w:r>
      <w:r w:rsidR="00306323">
        <w:rPr>
          <w:rFonts w:eastAsia="Times New Roman"/>
          <w:color w:val="000000"/>
          <w:sz w:val="24"/>
          <w:szCs w:val="24"/>
        </w:rPr>
        <w:t>I</w:t>
      </w:r>
      <w:r w:rsidRPr="00F33B92">
        <w:rPr>
          <w:rFonts w:eastAsia="Times New Roman"/>
          <w:color w:val="000000"/>
          <w:sz w:val="24"/>
          <w:szCs w:val="24"/>
        </w:rPr>
        <w:t xml:space="preserve">t has been previously shown that bacterial community structure impacts the available amino acids in a given environment and cross-feeding of amino acids is a prominent interaction of bacterial </w:t>
      </w:r>
      <w:r w:rsidR="009B0281">
        <w:rPr>
          <w:rFonts w:eastAsia="Times New Roman"/>
          <w:color w:val="000000"/>
          <w:sz w:val="24"/>
          <w:szCs w:val="24"/>
        </w:rPr>
        <w:t>co-culture</w:t>
      </w:r>
      <w:r w:rsidRPr="00F33B92">
        <w:rPr>
          <w:rFonts w:eastAsia="Times New Roman"/>
          <w:color w:val="000000"/>
          <w:sz w:val="24"/>
          <w:szCs w:val="24"/>
        </w:rPr>
        <w:t xml:space="preserve">s </w:t>
      </w:r>
      <w:r w:rsidRPr="00F33B92">
        <w:rPr>
          <w:rFonts w:eastAsia="Times New Roman"/>
          <w:color w:val="000000"/>
          <w:sz w:val="24"/>
          <w:szCs w:val="24"/>
        </w:rPr>
        <w:fldChar w:fldCharType="begin"/>
      </w:r>
      <w:r w:rsidRPr="00F33B92">
        <w:rPr>
          <w:rFonts w:eastAsia="Times New Roman"/>
          <w:color w:val="000000"/>
          <w:sz w:val="24"/>
          <w:szCs w:val="24"/>
        </w:rPr>
        <w:instrText xml:space="preserve"> ADDIN ZOTERO_ITEM CSL_CITATION {"citationID":"Tw05M0gR","properties":{"formattedCitation":"(29,30)","plainCitation":"(29,30)","noteIndex":0},"citationItems":[{"id":574,"uris":["http://zotero.org/users/11931443/items/6V5JH5YC"],"itemData":{"id":574,"type":"article-journal","abstract":"Anaerobic digestion is a prevalent bioenergy production process relying on a complex network of symbiotic interactions, where the nutrient based cross-feeding is an essential microbial mechanism. Here, the cross-feeding function was assessed by analyzing extracellular polymeric substances-associated amino acids in microbial aggregates collected from 14 lab-scale anaerobic digesters, as well as deciphering their genetically biosynthetic potential by syntrophic bacteria and methanogens. The total concentration of essential amino acids ranged from 1.2 mg/g VSS to 174.0 mg/g VSS. The percentages of glutamic acid (8.5 </w:instrText>
      </w:r>
      <w:r w:rsidRPr="00F33B92">
        <w:rPr>
          <w:rFonts w:ascii="Cambria Math" w:eastAsia="Times New Roman" w:hAnsi="Cambria Math" w:cs="Cambria Math"/>
          <w:color w:val="000000"/>
          <w:sz w:val="24"/>
          <w:szCs w:val="24"/>
        </w:rPr>
        <w:instrText>∼</w:instrText>
      </w:r>
      <w:r w:rsidRPr="00F33B92">
        <w:rPr>
          <w:rFonts w:eastAsia="Times New Roman"/>
          <w:color w:val="000000"/>
          <w:sz w:val="24"/>
          <w:szCs w:val="24"/>
        </w:rPr>
        <w:instrText> 37.6%), lysine (2.7 </w:instrText>
      </w:r>
      <w:r w:rsidRPr="00F33B92">
        <w:rPr>
          <w:rFonts w:ascii="Cambria Math" w:eastAsia="Times New Roman" w:hAnsi="Cambria Math" w:cs="Cambria Math"/>
          <w:color w:val="000000"/>
          <w:sz w:val="24"/>
          <w:szCs w:val="24"/>
        </w:rPr>
        <w:instrText>∼</w:instrText>
      </w:r>
      <w:r w:rsidRPr="00F33B92">
        <w:rPr>
          <w:rFonts w:eastAsia="Times New Roman"/>
          <w:color w:val="000000"/>
          <w:sz w:val="24"/>
          <w:szCs w:val="24"/>
        </w:rPr>
        <w:instrText> 22.6%), alanine (5.6 </w:instrText>
      </w:r>
      <w:r w:rsidRPr="00F33B92">
        <w:rPr>
          <w:rFonts w:ascii="Cambria Math" w:eastAsia="Times New Roman" w:hAnsi="Cambria Math" w:cs="Cambria Math"/>
          <w:color w:val="000000"/>
          <w:sz w:val="24"/>
          <w:szCs w:val="24"/>
        </w:rPr>
        <w:instrText>∼</w:instrText>
      </w:r>
      <w:r w:rsidRPr="00F33B92">
        <w:rPr>
          <w:rFonts w:eastAsia="Times New Roman"/>
          <w:color w:val="000000"/>
          <w:sz w:val="24"/>
          <w:szCs w:val="24"/>
        </w:rPr>
        <w:instrText> 13.2%), and valine (3.0 </w:instrText>
      </w:r>
      <w:r w:rsidRPr="00F33B92">
        <w:rPr>
          <w:rFonts w:ascii="Cambria Math" w:eastAsia="Times New Roman" w:hAnsi="Cambria Math" w:cs="Cambria Math"/>
          <w:color w:val="000000"/>
          <w:sz w:val="24"/>
          <w:szCs w:val="24"/>
        </w:rPr>
        <w:instrText>∼</w:instrText>
      </w:r>
      <w:r w:rsidRPr="00F33B92">
        <w:rPr>
          <w:rFonts w:eastAsia="Times New Roman"/>
          <w:color w:val="000000"/>
          <w:sz w:val="24"/>
          <w:szCs w:val="24"/>
        </w:rPr>
        <w:instrText xml:space="preserve"> 10.4%) to the total amount of detected amino acids were the highest in most samples. Through metagenomics analysis, several investigated syntrophs (i.e., Smithella, Syntrophobacter, Syntrophomonas, and Mesotoga) and methanogens (i.e., Methanothrix and Methanosarcina) were auxotrophies, but the genetic ability of syntrophs and methanogens to synthesize some essential amino acids could be complementary, implying potential cross-feeding partnership.","container-title":"Bioresource Technology","DOI":"10.1016/j.biortech.2022.127535","ISSN":"0960-8524","journalAbbreviation":"Bioresource Technology","page":"127535","source":"ScienceDirect","title":"Distribution of extracellular amino acids and their potential functions in microbial cross-feeding in anaerobic digestion systems","volume":"360","author":[{"family":"Du","given":"Jin"},{"family":"Yin","given":"Qidong"},{"family":"Zhou","given":"Xingzhao"},{"family":"Guo","given":"Qiannan"},{"family":"Wu","given":"Guangxue"}],"issued":{"date-parts":[["2022",9,1]]}}},{"id":578,"uris":["http://zotero.org/users/11931443/items/GC3QLE2P"],"itemData":{"id":578,"type":"article-journal","abstract":"Literature covered: early 2000s to late 2017Bacteria frequently exchange metabolites with other micro- and macro-organisms. In these often obligate cr…","container-title":"Natural Product Reports","DOI":"10.1039/c8np00009c","ISSN":"0265-0568","issue":"5","language":"en-US","page":"455-488","source":"www.sciencedirect.com","title":"Ecology and evolution of metabolic cross-feeding interactions in bacteria","volume":"35","issued":{"date-parts":[["2018",1,1]]}}}],"schema":"https://github.com/citation-style-language/schema/raw/master/csl-citation.json"} </w:instrText>
      </w:r>
      <w:r w:rsidRPr="00F33B92">
        <w:rPr>
          <w:rFonts w:eastAsia="Times New Roman"/>
          <w:color w:val="000000"/>
          <w:sz w:val="24"/>
          <w:szCs w:val="24"/>
        </w:rPr>
        <w:fldChar w:fldCharType="separate"/>
      </w:r>
      <w:r w:rsidRPr="00F33B92">
        <w:rPr>
          <w:rFonts w:eastAsia="Times New Roman"/>
          <w:noProof/>
          <w:color w:val="000000"/>
          <w:sz w:val="24"/>
          <w:szCs w:val="24"/>
        </w:rPr>
        <w:t>(29,30)</w:t>
      </w:r>
      <w:r w:rsidRPr="00F33B92">
        <w:rPr>
          <w:rFonts w:eastAsia="Times New Roman"/>
          <w:color w:val="000000"/>
          <w:sz w:val="24"/>
          <w:szCs w:val="24"/>
        </w:rPr>
        <w:fldChar w:fldCharType="end"/>
      </w:r>
      <w:r w:rsidRPr="00F33B92">
        <w:rPr>
          <w:rFonts w:eastAsia="Times New Roman"/>
          <w:color w:val="000000"/>
          <w:sz w:val="24"/>
          <w:szCs w:val="24"/>
        </w:rPr>
        <w:t xml:space="preserve">. </w:t>
      </w:r>
    </w:p>
    <w:p w14:paraId="4794B803" w14:textId="7EE78EB1" w:rsidR="00F33B92" w:rsidRPr="00F33B92" w:rsidRDefault="00F33B92" w:rsidP="347D99D0">
      <w:pPr>
        <w:spacing w:line="480" w:lineRule="auto"/>
        <w:rPr>
          <w:color w:val="000000" w:themeColor="text1"/>
          <w:sz w:val="24"/>
          <w:szCs w:val="24"/>
        </w:rPr>
      </w:pPr>
      <w:r w:rsidRPr="347D99D0">
        <w:rPr>
          <w:rFonts w:eastAsia="Times New Roman"/>
          <w:color w:val="000000" w:themeColor="text1"/>
          <w:sz w:val="24"/>
          <w:szCs w:val="24"/>
        </w:rPr>
        <w:lastRenderedPageBreak/>
        <w:t xml:space="preserve">Also of note is that the upregulation of </w:t>
      </w:r>
      <w:r w:rsidRPr="347D99D0">
        <w:rPr>
          <w:sz w:val="24"/>
          <w:szCs w:val="24"/>
        </w:rPr>
        <w:t xml:space="preserve">nitrate/nitrite transport system genes occurs in all NMOHB when in </w:t>
      </w:r>
      <w:r w:rsidR="009B0281">
        <w:rPr>
          <w:sz w:val="24"/>
          <w:szCs w:val="24"/>
        </w:rPr>
        <w:t>co-culture</w:t>
      </w:r>
      <w:r w:rsidRPr="347D99D0">
        <w:rPr>
          <w:sz w:val="24"/>
          <w:szCs w:val="24"/>
        </w:rPr>
        <w:t xml:space="preserve"> with OB3b. Expression of these genes is essential to the transport of nitrogen anions </w:t>
      </w:r>
      <w:r w:rsidRPr="347D99D0">
        <w:rPr>
          <w:sz w:val="24"/>
          <w:szCs w:val="24"/>
        </w:rPr>
        <w:fldChar w:fldCharType="begin"/>
      </w:r>
      <w:r w:rsidRPr="347D99D0">
        <w:rPr>
          <w:sz w:val="24"/>
          <w:szCs w:val="24"/>
        </w:rPr>
        <w:instrText xml:space="preserve"> ADDIN ZOTERO_ITEM CSL_CITATION {"citationID":"YJB0uiC6","properties":{"formattedCitation":"(31)","plainCitation":"(31)","noteIndex":0},"citationItems":[{"id":561,"uris":["http://zotero.org/users/11931443/items/4NBLHURD"],"itemData":{"id":561,"type":"article-journal","abstract":"The nucleotide sequence of the Escherichia coli narK gene, which is located in the upstream region of the narCHJI operon, was determined. The narK gene encodes a very hydrophobic protein with 463 amino acid residues (M r 49 693). A narK deletion mutant, under conditions for the induction of nitrate respiration, was unable to perform nitrate transport. Loss of transport activity was recovered by transforming the mutant with a narK + plasmid. Thus, we conclude that the narK gene encodes a transmembrane protein participating in nitrate transport. In the narK promoter region, we defined a unique sequence that we designate as a ‘nitrate box’, functioning as a putative NarL-binding site, in addition to the consensus sequence of the ‘anaero-box’.","container-title":"FEBS Letters","DOI":"10.1016/0014-5793(89)80906-8","ISSN":"1873-3468","issue":"1-2","language":"en","note":"_eprint: https://onlinelibrary.wiley.com/doi/pdf/10.1016/0014-5793%2889%2980906-8","page":"139-143","source":"Wiley Online Library","title":"The narK gene product participates in nitrate transport induced in Escherichia coli nitrate-respiring cells","volume":"252","author":[{"family":"Noji","given":"Sumihare"},{"family":"Nohno","given":"Tsutomu"},{"family":"Saito","given":"Taiichi"},{"family":"Taniguchi","given":"Shigehiko"}],"issued":{"date-parts":[["1989"]]}}}],"schema":"https://github.com/citation-style-language/schema/raw/master/csl-citation.json"} </w:instrText>
      </w:r>
      <w:r w:rsidRPr="347D99D0">
        <w:rPr>
          <w:sz w:val="24"/>
          <w:szCs w:val="24"/>
        </w:rPr>
        <w:fldChar w:fldCharType="separate"/>
      </w:r>
      <w:r w:rsidRPr="347D99D0">
        <w:rPr>
          <w:noProof/>
          <w:sz w:val="24"/>
          <w:szCs w:val="24"/>
        </w:rPr>
        <w:t>(31)</w:t>
      </w:r>
      <w:r w:rsidRPr="347D99D0">
        <w:rPr>
          <w:sz w:val="24"/>
          <w:szCs w:val="24"/>
        </w:rPr>
        <w:fldChar w:fldCharType="end"/>
      </w:r>
      <w:r w:rsidRPr="347D99D0">
        <w:rPr>
          <w:sz w:val="24"/>
          <w:szCs w:val="24"/>
        </w:rPr>
        <w:t xml:space="preserve"> and may be an indicator of nitrogen anion exchange in the </w:t>
      </w:r>
      <w:r w:rsidR="009B0281">
        <w:rPr>
          <w:sz w:val="24"/>
          <w:szCs w:val="24"/>
        </w:rPr>
        <w:t>co-culture</w:t>
      </w:r>
      <w:r w:rsidRPr="347D99D0">
        <w:rPr>
          <w:sz w:val="24"/>
          <w:szCs w:val="24"/>
        </w:rPr>
        <w:t xml:space="preserve"> system</w:t>
      </w:r>
      <w:r w:rsidR="000C31FC">
        <w:rPr>
          <w:sz w:val="24"/>
          <w:szCs w:val="24"/>
        </w:rPr>
        <w:t>;</w:t>
      </w:r>
      <w:r w:rsidRPr="347D99D0">
        <w:rPr>
          <w:sz w:val="24"/>
          <w:szCs w:val="24"/>
        </w:rPr>
        <w:t xml:space="preserve"> however</w:t>
      </w:r>
      <w:r w:rsidR="000C31FC">
        <w:rPr>
          <w:sz w:val="24"/>
          <w:szCs w:val="24"/>
        </w:rPr>
        <w:t>,</w:t>
      </w:r>
      <w:r w:rsidRPr="347D99D0">
        <w:rPr>
          <w:sz w:val="24"/>
          <w:szCs w:val="24"/>
        </w:rPr>
        <w:t xml:space="preserve"> the precise mechanism of exchange is unknown. Also of note is that OB3b decreases its expression of </w:t>
      </w:r>
      <w:r w:rsidRPr="347D99D0">
        <w:rPr>
          <w:i/>
          <w:iCs/>
          <w:color w:val="000000" w:themeColor="text1"/>
          <w:sz w:val="24"/>
          <w:szCs w:val="24"/>
        </w:rPr>
        <w:t>nasBE</w:t>
      </w:r>
      <w:r w:rsidRPr="347D99D0">
        <w:rPr>
          <w:i/>
          <w:iCs/>
          <w:sz w:val="24"/>
          <w:szCs w:val="24"/>
        </w:rPr>
        <w:t xml:space="preserve">, </w:t>
      </w:r>
      <w:r w:rsidRPr="347D99D0">
        <w:rPr>
          <w:sz w:val="24"/>
          <w:szCs w:val="24"/>
        </w:rPr>
        <w:t>the assimilatory</w:t>
      </w:r>
      <w:r w:rsidRPr="347D99D0">
        <w:rPr>
          <w:i/>
          <w:iCs/>
          <w:sz w:val="24"/>
          <w:szCs w:val="24"/>
        </w:rPr>
        <w:t xml:space="preserve"> </w:t>
      </w:r>
      <w:r w:rsidRPr="347D99D0">
        <w:rPr>
          <w:sz w:val="24"/>
          <w:szCs w:val="24"/>
        </w:rPr>
        <w:t xml:space="preserve">nitrite reductase large and small subunits when in </w:t>
      </w:r>
      <w:r w:rsidR="009B0281">
        <w:rPr>
          <w:sz w:val="24"/>
          <w:szCs w:val="24"/>
        </w:rPr>
        <w:t>co-culture</w:t>
      </w:r>
      <w:r w:rsidRPr="347D99D0">
        <w:rPr>
          <w:sz w:val="24"/>
          <w:szCs w:val="24"/>
        </w:rPr>
        <w:t xml:space="preserve"> with </w:t>
      </w:r>
      <w:r w:rsidRPr="347D99D0">
        <w:rPr>
          <w:i/>
          <w:iCs/>
          <w:sz w:val="24"/>
          <w:szCs w:val="24"/>
        </w:rPr>
        <w:t xml:space="preserve">P. chlororaphis </w:t>
      </w:r>
      <w:r w:rsidRPr="347D99D0">
        <w:rPr>
          <w:sz w:val="24"/>
          <w:szCs w:val="24"/>
        </w:rPr>
        <w:t xml:space="preserve">HC while </w:t>
      </w:r>
      <w:r w:rsidRPr="347D99D0">
        <w:rPr>
          <w:i/>
          <w:iCs/>
          <w:sz w:val="24"/>
          <w:szCs w:val="24"/>
        </w:rPr>
        <w:t xml:space="preserve">P. chlororaphis </w:t>
      </w:r>
      <w:r w:rsidRPr="347D99D0">
        <w:rPr>
          <w:sz w:val="24"/>
          <w:szCs w:val="24"/>
        </w:rPr>
        <w:t xml:space="preserve">HC increases expression of </w:t>
      </w:r>
      <w:r w:rsidRPr="347D99D0">
        <w:rPr>
          <w:color w:val="000000" w:themeColor="text1"/>
          <w:sz w:val="24"/>
          <w:szCs w:val="24"/>
        </w:rPr>
        <w:t>the soluble</w:t>
      </w:r>
      <w:r w:rsidRPr="347D99D0">
        <w:rPr>
          <w:color w:val="FF0000"/>
          <w:sz w:val="24"/>
          <w:szCs w:val="24"/>
        </w:rPr>
        <w:t xml:space="preserve"> </w:t>
      </w:r>
      <w:r w:rsidRPr="347D99D0">
        <w:rPr>
          <w:color w:val="000000" w:themeColor="text1"/>
          <w:sz w:val="24"/>
          <w:szCs w:val="24"/>
        </w:rPr>
        <w:t>nitrite reductase</w:t>
      </w:r>
      <w:r w:rsidR="000C31FC">
        <w:rPr>
          <w:color w:val="000000" w:themeColor="text1"/>
          <w:sz w:val="24"/>
          <w:szCs w:val="24"/>
        </w:rPr>
        <w:t xml:space="preserve"> </w:t>
      </w:r>
      <w:r w:rsidR="000C31FC" w:rsidRPr="347D99D0">
        <w:rPr>
          <w:i/>
          <w:iCs/>
          <w:color w:val="000000" w:themeColor="text1"/>
          <w:sz w:val="24"/>
          <w:szCs w:val="24"/>
        </w:rPr>
        <w:t>nirB</w:t>
      </w:r>
      <w:r w:rsidRPr="347D99D0">
        <w:rPr>
          <w:color w:val="000000" w:themeColor="text1"/>
          <w:sz w:val="24"/>
          <w:szCs w:val="24"/>
        </w:rPr>
        <w:t xml:space="preserve"> in the same condition. Though with these data alone, it is challenging to elucidate the exact role of each organism in the nitrite metabolism, it has been demonstrated that bacteria within microbial biofilms may cooperate in ways such that aerobic methanotrophs and heterotrophic denitrifiers couple oxidation of methane or methane intermediates with denitrification </w:t>
      </w:r>
      <w:r w:rsidRPr="347D99D0">
        <w:rPr>
          <w:color w:val="000000" w:themeColor="text1"/>
          <w:sz w:val="24"/>
          <w:szCs w:val="24"/>
        </w:rPr>
        <w:fldChar w:fldCharType="begin"/>
      </w:r>
      <w:r w:rsidRPr="347D99D0">
        <w:rPr>
          <w:color w:val="000000" w:themeColor="text1"/>
          <w:sz w:val="24"/>
          <w:szCs w:val="24"/>
        </w:rPr>
        <w:instrText xml:space="preserve"> ADDIN ZOTERO_ITEM CSL_CITATION {"citationID":"qzOPsVH0","properties":{"formattedCitation":"(32)","plainCitation":"(32)","noteIndex":0},"citationItems":[{"id":564,"uris":["http://zotero.org/users/11931443/items/P9WB2IUN"],"itemData":{"id":564,"type":"article-journal","abstract":"A methane-based membrane biofilm reactor (MBfR) was assessed for a tertiary nitrogen removal process in domestic wastewater treatment. To mitigate effluent dissolved methane concentrations, the MBfR was operated with a 20% methane mixing ratio and a low pressure of 0.003 atm. The nitrate concentration was reduced from 20 to 4 mg/L with a low methane concentration of 3.3 mg/L in the effluent at 4 h hydraulic retention time (HRT). An in situ dissolved oxygen sensor showed a concentration of 0.045 mg/L in the MBfR, demonstrating methane oxidation under hypoxic conditions. Both 16S rRNA gene sequencing and metagenomic analysis identified bacteria capable of oxidation of methane coupled to denitrification (Methylocystis), whereas other bacteria were implicated in either methane oxidation (Methylococcus) or nitrate reduction (Escherichia). Reduced genetic potential for nitrate reduction to nitrite at a shorter HRT coincided with a decreased efficiency of denitrification, suggesting rate limitation by this initial step of denitrification. Genes encoding nitrite reduction to dinitrogen were at similar relative abundance under both HRT conditions. Our results provide mechanistic evidence for microbial syntrophy between aerobic methanotrophs and denitrifiers in methane-fed MBfRs operated under varying HRTs, with important implications for novel biological nitrogen removal to dilute wastewater.","container-title":"Science of The Total Environment","DOI":"10.1016/j.scitotenv.2019.133818","ISSN":"0048-9697","journalAbbreviation":"Science of The Total Environment","page":"133818","source":"ScienceDirect","title":"Methane-based denitrification kinetics and syntrophy in a membrane biofilm reactor at low methane pressure","volume":"695","author":[{"family":"Lee","given":"Jangho"},{"family":"Alrashed","given":"Wael"},{"family":"Engel","given":"Katja"},{"family":"Yoo","given":"Keunje"},{"family":"Neufeld","given":"Josh D."},{"family":"Lee","given":"Hyung-Sool"}],"issued":{"date-parts":[["2019",12,10]]}}}],"schema":"https://github.com/citation-style-language/schema/raw/master/csl-citation.json"} </w:instrText>
      </w:r>
      <w:r w:rsidRPr="347D99D0">
        <w:rPr>
          <w:color w:val="000000" w:themeColor="text1"/>
          <w:sz w:val="24"/>
          <w:szCs w:val="24"/>
        </w:rPr>
        <w:fldChar w:fldCharType="separate"/>
      </w:r>
      <w:r w:rsidRPr="347D99D0">
        <w:rPr>
          <w:noProof/>
          <w:color w:val="000000" w:themeColor="text1"/>
          <w:sz w:val="24"/>
          <w:szCs w:val="24"/>
        </w:rPr>
        <w:t>(32)</w:t>
      </w:r>
      <w:r w:rsidRPr="347D99D0">
        <w:rPr>
          <w:color w:val="000000" w:themeColor="text1"/>
          <w:sz w:val="24"/>
          <w:szCs w:val="24"/>
        </w:rPr>
        <w:fldChar w:fldCharType="end"/>
      </w:r>
      <w:r w:rsidRPr="347D99D0">
        <w:rPr>
          <w:color w:val="000000" w:themeColor="text1"/>
          <w:sz w:val="24"/>
          <w:szCs w:val="24"/>
        </w:rPr>
        <w:t xml:space="preserve">. Since the </w:t>
      </w:r>
      <w:r w:rsidRPr="347D99D0">
        <w:rPr>
          <w:i/>
          <w:iCs/>
          <w:color w:val="000000" w:themeColor="text1"/>
          <w:sz w:val="24"/>
          <w:szCs w:val="24"/>
        </w:rPr>
        <w:t xml:space="preserve">nas </w:t>
      </w:r>
      <w:r w:rsidRPr="347D99D0">
        <w:rPr>
          <w:color w:val="000000" w:themeColor="text1"/>
          <w:sz w:val="24"/>
          <w:szCs w:val="24"/>
        </w:rPr>
        <w:t xml:space="preserve">genes encoding for assimilatory nitrite reduction in OB3b are being downregulated in </w:t>
      </w:r>
      <w:r w:rsidR="009B0281">
        <w:rPr>
          <w:color w:val="000000" w:themeColor="text1"/>
          <w:sz w:val="24"/>
          <w:szCs w:val="24"/>
        </w:rPr>
        <w:t>co-culture</w:t>
      </w:r>
      <w:r w:rsidRPr="347D99D0">
        <w:rPr>
          <w:color w:val="000000" w:themeColor="text1"/>
          <w:sz w:val="24"/>
          <w:szCs w:val="24"/>
        </w:rPr>
        <w:t xml:space="preserve">, and </w:t>
      </w:r>
      <w:r w:rsidRPr="347D99D0">
        <w:rPr>
          <w:i/>
          <w:iCs/>
          <w:color w:val="000000" w:themeColor="text1"/>
          <w:sz w:val="24"/>
          <w:szCs w:val="24"/>
        </w:rPr>
        <w:t xml:space="preserve">nir </w:t>
      </w:r>
      <w:r w:rsidRPr="347D99D0">
        <w:rPr>
          <w:color w:val="000000" w:themeColor="text1"/>
          <w:sz w:val="24"/>
          <w:szCs w:val="24"/>
        </w:rPr>
        <w:t xml:space="preserve">(nitrite reductase) is being overexpressed by </w:t>
      </w:r>
      <w:r w:rsidRPr="347D99D0">
        <w:rPr>
          <w:i/>
          <w:iCs/>
          <w:color w:val="000000" w:themeColor="text1"/>
          <w:sz w:val="24"/>
          <w:szCs w:val="24"/>
        </w:rPr>
        <w:t xml:space="preserve">P. chlororaphis </w:t>
      </w:r>
      <w:r w:rsidRPr="347D99D0">
        <w:rPr>
          <w:color w:val="000000" w:themeColor="text1"/>
          <w:sz w:val="24"/>
          <w:szCs w:val="24"/>
        </w:rPr>
        <w:t>HC</w:t>
      </w:r>
      <w:r w:rsidRPr="347D99D0">
        <w:rPr>
          <w:i/>
          <w:iCs/>
          <w:color w:val="000000" w:themeColor="text1"/>
          <w:sz w:val="24"/>
          <w:szCs w:val="24"/>
        </w:rPr>
        <w:t xml:space="preserve"> </w:t>
      </w:r>
      <w:r w:rsidRPr="347D99D0">
        <w:rPr>
          <w:color w:val="000000" w:themeColor="text1"/>
          <w:sz w:val="24"/>
          <w:szCs w:val="24"/>
        </w:rPr>
        <w:t xml:space="preserve">in the same condition, perhaps </w:t>
      </w:r>
      <w:r w:rsidRPr="347D99D0">
        <w:rPr>
          <w:i/>
          <w:iCs/>
          <w:color w:val="000000" w:themeColor="text1"/>
          <w:sz w:val="24"/>
          <w:szCs w:val="24"/>
        </w:rPr>
        <w:t xml:space="preserve">P. chlororaphis </w:t>
      </w:r>
      <w:r w:rsidRPr="347D99D0">
        <w:rPr>
          <w:color w:val="000000" w:themeColor="text1"/>
          <w:sz w:val="24"/>
          <w:szCs w:val="24"/>
        </w:rPr>
        <w:t xml:space="preserve">HC is using electrons </w:t>
      </w:r>
      <w:r w:rsidR="00E43380" w:rsidRPr="00E43380">
        <w:rPr>
          <w:color w:val="000000" w:themeColor="text1"/>
          <w:sz w:val="24"/>
          <w:szCs w:val="24"/>
        </w:rPr>
        <w:t>from the oxidation of CH</w:t>
      </w:r>
      <w:r w:rsidR="00E43380" w:rsidRPr="00E43380">
        <w:rPr>
          <w:color w:val="000000" w:themeColor="text1"/>
          <w:sz w:val="24"/>
          <w:szCs w:val="24"/>
          <w:vertAlign w:val="subscript"/>
        </w:rPr>
        <w:t>4</w:t>
      </w:r>
      <w:r w:rsidR="00E43380" w:rsidRPr="00E43380">
        <w:rPr>
          <w:color w:val="000000" w:themeColor="text1"/>
          <w:sz w:val="24"/>
          <w:szCs w:val="24"/>
        </w:rPr>
        <w:t xml:space="preserve"> derived metabolites to reduce nitrite in the </w:t>
      </w:r>
      <w:r w:rsidR="00E43380">
        <w:rPr>
          <w:color w:val="000000" w:themeColor="text1"/>
          <w:sz w:val="24"/>
          <w:szCs w:val="24"/>
        </w:rPr>
        <w:t>methane-oxidizing</w:t>
      </w:r>
      <w:r w:rsidR="00E43380" w:rsidRPr="00E43380">
        <w:rPr>
          <w:color w:val="000000" w:themeColor="text1"/>
          <w:sz w:val="24"/>
          <w:szCs w:val="24"/>
        </w:rPr>
        <w:t xml:space="preserve"> system</w:t>
      </w:r>
      <w:r w:rsidR="00E43380">
        <w:rPr>
          <w:color w:val="000000" w:themeColor="text1"/>
          <w:sz w:val="24"/>
          <w:szCs w:val="24"/>
        </w:rPr>
        <w:t>.</w:t>
      </w:r>
    </w:p>
    <w:p w14:paraId="2F642FCB" w14:textId="77777777" w:rsidR="00F33B92" w:rsidRPr="00F33B92" w:rsidRDefault="00F33B92" w:rsidP="006E624A">
      <w:pPr>
        <w:pStyle w:val="Heading4"/>
      </w:pPr>
      <w:r w:rsidRPr="00F33B92">
        <w:t>NMOHB May Need to Compensate for the Buildup of Toxic ROS When Growing with OB3b</w:t>
      </w:r>
    </w:p>
    <w:p w14:paraId="242D3BE4" w14:textId="306FD723" w:rsidR="00F33B92" w:rsidRPr="003D6F4A" w:rsidRDefault="00A56C5B" w:rsidP="00F33B92">
      <w:pPr>
        <w:spacing w:line="480" w:lineRule="auto"/>
        <w:rPr>
          <w:color w:val="000000" w:themeColor="text1"/>
          <w:sz w:val="24"/>
          <w:szCs w:val="24"/>
        </w:rPr>
      </w:pPr>
      <w:r>
        <w:rPr>
          <w:color w:val="000000" w:themeColor="text1"/>
          <w:sz w:val="24"/>
          <w:szCs w:val="24"/>
        </w:rPr>
        <w:t>E</w:t>
      </w:r>
      <w:r w:rsidR="00F33B92" w:rsidRPr="00F33B92">
        <w:rPr>
          <w:color w:val="000000" w:themeColor="text1"/>
          <w:sz w:val="24"/>
          <w:szCs w:val="24"/>
        </w:rPr>
        <w:t xml:space="preserve">ach of the NMOHB express ROS defense genes in </w:t>
      </w:r>
      <w:r w:rsidR="009B0281">
        <w:rPr>
          <w:color w:val="000000" w:themeColor="text1"/>
          <w:sz w:val="24"/>
          <w:szCs w:val="24"/>
        </w:rPr>
        <w:t>co-culture</w:t>
      </w:r>
      <w:r w:rsidR="00F33B92" w:rsidRPr="00F33B92">
        <w:rPr>
          <w:color w:val="000000" w:themeColor="text1"/>
          <w:sz w:val="24"/>
          <w:szCs w:val="24"/>
        </w:rPr>
        <w:t xml:space="preserve"> with OB3b more than they do when growing in monoculture in NMS + peptones medium. It appears that </w:t>
      </w:r>
      <w:r w:rsidR="00F33B92" w:rsidRPr="00F33B92">
        <w:rPr>
          <w:i/>
          <w:iCs/>
          <w:color w:val="000000" w:themeColor="text1"/>
          <w:sz w:val="24"/>
          <w:szCs w:val="24"/>
        </w:rPr>
        <w:t xml:space="preserve">P. chlororaphis </w:t>
      </w:r>
      <w:r w:rsidR="00F33B92" w:rsidRPr="00F33B92">
        <w:rPr>
          <w:sz w:val="24"/>
          <w:szCs w:val="24"/>
        </w:rPr>
        <w:t>HC</w:t>
      </w:r>
      <w:r w:rsidR="00F33B92" w:rsidRPr="00F33B92">
        <w:rPr>
          <w:i/>
          <w:iCs/>
          <w:color w:val="000000" w:themeColor="text1"/>
          <w:sz w:val="24"/>
          <w:szCs w:val="24"/>
        </w:rPr>
        <w:t xml:space="preserve"> </w:t>
      </w:r>
      <w:r w:rsidR="00F33B92" w:rsidRPr="00F33B92">
        <w:rPr>
          <w:color w:val="000000" w:themeColor="text1"/>
          <w:sz w:val="24"/>
          <w:szCs w:val="24"/>
        </w:rPr>
        <w:t xml:space="preserve">deals with the effects of growing in </w:t>
      </w:r>
      <w:r w:rsidR="009B0281">
        <w:rPr>
          <w:color w:val="000000" w:themeColor="text1"/>
          <w:sz w:val="24"/>
          <w:szCs w:val="24"/>
        </w:rPr>
        <w:t>co-culture</w:t>
      </w:r>
      <w:r w:rsidR="00F33B92" w:rsidRPr="00F33B92">
        <w:rPr>
          <w:color w:val="000000" w:themeColor="text1"/>
          <w:sz w:val="24"/>
          <w:szCs w:val="24"/>
        </w:rPr>
        <w:t xml:space="preserve"> with MOB in a </w:t>
      </w:r>
      <w:r w:rsidR="007D3DBA">
        <w:rPr>
          <w:color w:val="000000" w:themeColor="text1"/>
          <w:sz w:val="24"/>
          <w:szCs w:val="24"/>
        </w:rPr>
        <w:t>methane-oxidizing</w:t>
      </w:r>
      <w:r w:rsidR="00F33B92" w:rsidRPr="00F33B92">
        <w:rPr>
          <w:color w:val="000000" w:themeColor="text1"/>
          <w:sz w:val="24"/>
          <w:szCs w:val="24"/>
        </w:rPr>
        <w:t xml:space="preserve"> system by expressing catalase (</w:t>
      </w:r>
      <w:r w:rsidR="00F33B92" w:rsidRPr="00F33B92">
        <w:rPr>
          <w:i/>
          <w:iCs/>
          <w:color w:val="000000" w:themeColor="text1"/>
          <w:sz w:val="24"/>
          <w:szCs w:val="24"/>
        </w:rPr>
        <w:t>katE</w:t>
      </w:r>
      <w:r w:rsidR="00F33B92" w:rsidRPr="00F33B92">
        <w:rPr>
          <w:color w:val="000000" w:themeColor="text1"/>
          <w:sz w:val="24"/>
          <w:szCs w:val="24"/>
        </w:rPr>
        <w:t xml:space="preserve">), and </w:t>
      </w:r>
      <w:r w:rsidR="00F33B92" w:rsidRPr="00F33B92">
        <w:rPr>
          <w:sz w:val="24"/>
          <w:szCs w:val="24"/>
        </w:rPr>
        <w:t>thioredoxin-dependent pero</w:t>
      </w:r>
      <w:r w:rsidR="005E05A5">
        <w:rPr>
          <w:sz w:val="24"/>
          <w:szCs w:val="24"/>
        </w:rPr>
        <w:t>x</w:t>
      </w:r>
      <w:r w:rsidR="00F33B92" w:rsidRPr="00F33B92">
        <w:rPr>
          <w:sz w:val="24"/>
          <w:szCs w:val="24"/>
        </w:rPr>
        <w:t>iredoxin (</w:t>
      </w:r>
      <w:r w:rsidR="00F33B92" w:rsidRPr="00F33B92">
        <w:rPr>
          <w:i/>
          <w:iCs/>
          <w:sz w:val="24"/>
          <w:szCs w:val="24"/>
        </w:rPr>
        <w:t>prx</w:t>
      </w:r>
      <w:r w:rsidR="00F33B92" w:rsidRPr="00F33B92">
        <w:rPr>
          <w:sz w:val="24"/>
          <w:szCs w:val="24"/>
        </w:rPr>
        <w:t>).</w:t>
      </w:r>
      <w:r w:rsidR="00F33B92" w:rsidRPr="00F33B92">
        <w:rPr>
          <w:i/>
          <w:iCs/>
          <w:sz w:val="24"/>
          <w:szCs w:val="24"/>
        </w:rPr>
        <w:t xml:space="preserve"> Cupriavidus </w:t>
      </w:r>
      <w:r w:rsidR="00F33B92" w:rsidRPr="00F33B92">
        <w:rPr>
          <w:sz w:val="24"/>
          <w:szCs w:val="24"/>
        </w:rPr>
        <w:t>sp.</w:t>
      </w:r>
      <w:r w:rsidR="00F33B92" w:rsidRPr="00F33B92">
        <w:rPr>
          <w:i/>
          <w:iCs/>
          <w:sz w:val="24"/>
          <w:szCs w:val="24"/>
        </w:rPr>
        <w:t xml:space="preserve"> </w:t>
      </w:r>
      <w:r w:rsidR="00F33B92" w:rsidRPr="00F33B92">
        <w:rPr>
          <w:sz w:val="24"/>
          <w:szCs w:val="24"/>
        </w:rPr>
        <w:t xml:space="preserve">HC also overexpresses the SOD2 Fe-Mn family superoxide dismutase in </w:t>
      </w:r>
      <w:r w:rsidR="009B0281">
        <w:rPr>
          <w:sz w:val="24"/>
          <w:szCs w:val="24"/>
        </w:rPr>
        <w:t>co-culture</w:t>
      </w:r>
      <w:r w:rsidR="00F33B92" w:rsidRPr="00F33B92">
        <w:rPr>
          <w:sz w:val="24"/>
          <w:szCs w:val="24"/>
        </w:rPr>
        <w:t>, as well as thioredoxin-dependent peroxiredoxin (</w:t>
      </w:r>
      <w:r w:rsidR="00F33B92" w:rsidRPr="00F33B92">
        <w:rPr>
          <w:i/>
          <w:iCs/>
          <w:sz w:val="24"/>
          <w:szCs w:val="24"/>
        </w:rPr>
        <w:t>prx</w:t>
      </w:r>
      <w:r w:rsidR="00F33B92" w:rsidRPr="00F33B92">
        <w:rPr>
          <w:sz w:val="24"/>
          <w:szCs w:val="24"/>
        </w:rPr>
        <w:t xml:space="preserve">). But it also overexpresses glutathione-dependent </w:t>
      </w:r>
      <w:r w:rsidR="00F33B92" w:rsidRPr="00F33B92">
        <w:rPr>
          <w:sz w:val="24"/>
          <w:szCs w:val="24"/>
        </w:rPr>
        <w:lastRenderedPageBreak/>
        <w:t>peroxiredoxin (</w:t>
      </w:r>
      <w:r w:rsidR="00F33B92" w:rsidRPr="00F33B92">
        <w:rPr>
          <w:i/>
          <w:iCs/>
          <w:sz w:val="24"/>
          <w:szCs w:val="24"/>
        </w:rPr>
        <w:t>pgdX</w:t>
      </w:r>
      <w:r w:rsidR="00F33B92" w:rsidRPr="00F33B92">
        <w:rPr>
          <w:sz w:val="24"/>
          <w:szCs w:val="24"/>
        </w:rPr>
        <w:t>),</w:t>
      </w:r>
      <w:r w:rsidR="00F33B92" w:rsidRPr="00F33B92">
        <w:rPr>
          <w:rFonts w:eastAsia="Times New Roman"/>
          <w:color w:val="000000"/>
          <w:sz w:val="24"/>
          <w:szCs w:val="24"/>
        </w:rPr>
        <w:t xml:space="preserve"> and thioredoxin-dependent peroxiredoxin (</w:t>
      </w:r>
      <w:r w:rsidR="00F33B92" w:rsidRPr="00F33B92">
        <w:rPr>
          <w:rFonts w:eastAsia="Times New Roman"/>
          <w:i/>
          <w:iCs/>
          <w:color w:val="000000"/>
          <w:sz w:val="24"/>
          <w:szCs w:val="24"/>
        </w:rPr>
        <w:t>tpx</w:t>
      </w:r>
      <w:r w:rsidR="00F33B92" w:rsidRPr="00F33B92">
        <w:rPr>
          <w:rFonts w:eastAsia="Times New Roman"/>
          <w:color w:val="000000"/>
          <w:sz w:val="24"/>
          <w:szCs w:val="24"/>
        </w:rPr>
        <w:t>) and genes for glutathione biosynthesis from glutamate via glutamate-cysteine ligase (</w:t>
      </w:r>
      <w:r w:rsidR="00F33B92" w:rsidRPr="00F33B92">
        <w:rPr>
          <w:rFonts w:eastAsia="Times New Roman"/>
          <w:i/>
          <w:iCs/>
          <w:color w:val="000000"/>
          <w:sz w:val="24"/>
          <w:szCs w:val="24"/>
        </w:rPr>
        <w:t>gshA</w:t>
      </w:r>
      <w:r w:rsidR="00F33B92" w:rsidRPr="00F33B92">
        <w:rPr>
          <w:rFonts w:eastAsia="Times New Roman"/>
          <w:color w:val="000000"/>
          <w:sz w:val="24"/>
          <w:szCs w:val="24"/>
        </w:rPr>
        <w:t>) and</w:t>
      </w:r>
      <w:r w:rsidR="00F33B92" w:rsidRPr="00F33B92">
        <w:rPr>
          <w:sz w:val="24"/>
          <w:szCs w:val="24"/>
        </w:rPr>
        <w:t xml:space="preserve"> </w:t>
      </w:r>
      <w:r w:rsidR="00F33B92" w:rsidRPr="00F33B92">
        <w:rPr>
          <w:rFonts w:eastAsia="Times New Roman"/>
          <w:color w:val="000000"/>
          <w:sz w:val="24"/>
          <w:szCs w:val="24"/>
        </w:rPr>
        <w:t>glutathione synthase (</w:t>
      </w:r>
      <w:r w:rsidR="00F33B92" w:rsidRPr="00F33B92">
        <w:rPr>
          <w:rFonts w:eastAsia="Times New Roman"/>
          <w:i/>
          <w:iCs/>
          <w:color w:val="000000"/>
          <w:sz w:val="24"/>
          <w:szCs w:val="24"/>
        </w:rPr>
        <w:t>gshB</w:t>
      </w:r>
      <w:r w:rsidR="00F33B92" w:rsidRPr="00F33B92">
        <w:rPr>
          <w:rFonts w:eastAsia="Times New Roman"/>
          <w:color w:val="000000"/>
          <w:sz w:val="24"/>
          <w:szCs w:val="24"/>
        </w:rPr>
        <w:t xml:space="preserve">). Unlike the other two strains, </w:t>
      </w:r>
      <w:r w:rsidR="00F33B92" w:rsidRPr="00F33B92">
        <w:rPr>
          <w:rFonts w:eastAsia="Times New Roman"/>
          <w:i/>
          <w:iCs/>
          <w:color w:val="000000"/>
          <w:sz w:val="24"/>
          <w:szCs w:val="24"/>
        </w:rPr>
        <w:t xml:space="preserve">Flavobacterium </w:t>
      </w:r>
      <w:r w:rsidR="00F33B92" w:rsidRPr="00F33B92">
        <w:rPr>
          <w:rFonts w:eastAsia="Times New Roman"/>
          <w:color w:val="000000"/>
          <w:sz w:val="24"/>
          <w:szCs w:val="24"/>
        </w:rPr>
        <w:t xml:space="preserve">actually decreases its expression of the ROS genes </w:t>
      </w:r>
      <w:r w:rsidR="00F33B92" w:rsidRPr="00F33B92">
        <w:rPr>
          <w:sz w:val="24"/>
          <w:szCs w:val="24"/>
        </w:rPr>
        <w:t>thioredoxin 1(</w:t>
      </w:r>
      <w:r w:rsidR="00F33B92" w:rsidRPr="00F33B92">
        <w:rPr>
          <w:i/>
          <w:iCs/>
          <w:sz w:val="24"/>
          <w:szCs w:val="24"/>
        </w:rPr>
        <w:t>trxA</w:t>
      </w:r>
      <w:r w:rsidR="00F33B92" w:rsidRPr="00F33B92">
        <w:rPr>
          <w:sz w:val="24"/>
          <w:szCs w:val="24"/>
        </w:rPr>
        <w:t>) and lipoyl-dependent peroxiredoxin (</w:t>
      </w:r>
      <w:r w:rsidR="00F33B92" w:rsidRPr="00F33B92">
        <w:rPr>
          <w:i/>
          <w:iCs/>
          <w:sz w:val="24"/>
          <w:szCs w:val="24"/>
        </w:rPr>
        <w:t>osmC</w:t>
      </w:r>
      <w:r w:rsidR="00F33B92" w:rsidRPr="00F33B92">
        <w:rPr>
          <w:sz w:val="24"/>
          <w:szCs w:val="24"/>
        </w:rPr>
        <w:t xml:space="preserve">) in </w:t>
      </w:r>
      <w:r w:rsidR="009B0281">
        <w:rPr>
          <w:sz w:val="24"/>
          <w:szCs w:val="24"/>
        </w:rPr>
        <w:t>co-culture</w:t>
      </w:r>
      <w:r w:rsidR="00F33B92" w:rsidRPr="00F33B92">
        <w:rPr>
          <w:sz w:val="24"/>
          <w:szCs w:val="24"/>
        </w:rPr>
        <w:t xml:space="preserve"> with OB3b. While OB3b possesses and is expressing in monoculture and </w:t>
      </w:r>
      <w:r w:rsidR="009B0281">
        <w:rPr>
          <w:sz w:val="24"/>
          <w:szCs w:val="24"/>
        </w:rPr>
        <w:t>co-culture</w:t>
      </w:r>
      <w:r w:rsidR="00F33B92" w:rsidRPr="00F33B92">
        <w:rPr>
          <w:sz w:val="24"/>
          <w:szCs w:val="24"/>
        </w:rPr>
        <w:t xml:space="preserve"> conditions several genes related to ROS remediation such as SOD2 superoxide dismutase, catalase peroxidase (</w:t>
      </w:r>
      <w:r w:rsidR="00F33B92" w:rsidRPr="00F33B92">
        <w:rPr>
          <w:i/>
          <w:iCs/>
          <w:sz w:val="24"/>
          <w:szCs w:val="24"/>
        </w:rPr>
        <w:t>katG</w:t>
      </w:r>
      <w:r w:rsidR="00F33B92" w:rsidRPr="00F33B92">
        <w:rPr>
          <w:sz w:val="24"/>
          <w:szCs w:val="24"/>
        </w:rPr>
        <w:t xml:space="preserve">), these genes are not being differentially expressed across conditions. </w:t>
      </w:r>
    </w:p>
    <w:p w14:paraId="765F51A6" w14:textId="53AA0CBF" w:rsidR="00F33B92" w:rsidRPr="00F33B92" w:rsidRDefault="00F33B92" w:rsidP="00F33B92">
      <w:pPr>
        <w:spacing w:line="480" w:lineRule="auto"/>
        <w:rPr>
          <w:sz w:val="24"/>
          <w:szCs w:val="24"/>
        </w:rPr>
      </w:pPr>
      <w:r w:rsidRPr="347D99D0">
        <w:rPr>
          <w:sz w:val="24"/>
          <w:szCs w:val="24"/>
        </w:rPr>
        <w:t xml:space="preserve">During aerobic metabolism toxic reactive oxygen species (ROS) are generated including superoxide and hydrogen peroxide. </w:t>
      </w:r>
      <w:r w:rsidRPr="347D99D0">
        <w:rPr>
          <w:sz w:val="24"/>
          <w:szCs w:val="24"/>
        </w:rPr>
        <w:fldChar w:fldCharType="begin"/>
      </w:r>
      <w:r w:rsidRPr="347D99D0">
        <w:rPr>
          <w:sz w:val="24"/>
          <w:szCs w:val="24"/>
        </w:rPr>
        <w:instrText xml:space="preserve"> ADDIN ZOTERO_ITEM CSL_CITATION {"citationID":"AIQlfE6c","properties":{"formattedCitation":"(33\\uc0\\u8211{}37)","plainCitation":"(33–37)","noteIndex":0},"citationItems":[{"id":429,"uris":["http://zotero.org/users/11931443/items/VT79VHFR"],"itemData":{"id":429,"type":"article-journal","abstract":"Reactive oxygen species – superoxide, hydrogen peroxide and hydroxyl radicals – have long been suspected of constraining bacterial growth in important microbial habitats and indeed of shaping microbial communities. Over recent decades, studies of paradigmatic organisms such as Escherichia coli, Salmonella typhimurium, Bacillus subtilis and Saccharomyces cerevisiae have pinpointed the biomolecules that oxidants can damage and the strategies by which microbes minimize their injuries. What is lacking is a good sense of the circumstances under which oxidative stress actually occurs. In this MiniReview several potential natural sources of oxidative stress are considered: endogenous ROS formation, chemical oxidation of reduced species at oxic–anoxic interfaces, H2O2 production by lactic acid bacteria, the oxidative burst of phagocytes and the redox-cycling of secreted small molecules. While all of these phenomena can be reproduced and verified in the lab, the actual quantification of stress in natural habitats remains lacking – and, therefore, we have a fundamental hole in our understanding of the role that oxidative stress actually plays in the biosphere.","container-title":"Environmental Microbiology","DOI":"10.1111/1462-2920.14445","ISSN":"1462-2920","issue":"2","language":"en","license":"© 2018 Society for Applied Microbiology and John Wiley &amp; Sons Ltd.","note":"_eprint: https://onlinelibrary.wiley.com/doi/pdf/10.1111/1462-2920.14445","page":"521-530","source":"Wiley Online Library","title":"Where in the world do bacteria experience oxidative stress?","volume":"21","author":[{"family":"Imlay","given":"James A."}],"issued":{"date-parts":[["2019"]]}}},{"id":441,"uris":["http://zotero.org/users/11931443/items/E43RH4AM"],"itemData":{"id":441,"type":"article-journal","journalAbbreviation":"J Bacteriol","language":"en","note":"DOI: 10.1128/jb.179.2.382-388.1997","title":"Homeostatic regulation of intracellular hydrogen peroxide concentration in aerobically growing Escherichia coli","URL":"https://journals.asm.org/doi/epdf/10.1128/jb.179.2.382-388.1997","volume":"179","author":[{"family":"González-Flecha","given":"B"},{"family":"Demple","given":"B"}],"accessed":{"date-parts":[["2024",2,20]]},"issued":{"date-parts":[["1997"]]}}},{"id":415,"uris":["http://zotero.org/users/11931443/items/7UEN8XNM"],"itemData":{"id":415,"type":"article-journal","abstract":"Summary: When sucrose or acetate was added to washed suspensions of a number of aerobic bacteria, exogenous ferricytochrome c 3+ was reduced, luminol chemiluminescence was enhanced and the rate of adrenaline auto-oxidation was increased. Superoxide dismutase from bovine erythrocytes inhibited all of there reactions, suggesting that superoxide radicals (O− 2) are formed during aerobic bacterial metabolism. Superoxide radicals were probably generated during respiratory chain activity because O− 2 production by intact bacteria was stimulated by antimycin A and the highest O− 2-producing activity was observed with membrane fractions with a high concentration of cytochromes. Exogenous superoxide dismutase partially inhibited NADH-dependent oxgyen consumption by membrane particles of Brevibacterium flavum 22LD.","container-title":"Microbiology","DOI":"10.1099/00221287-113-2-377","ISSN":"1465-2080","issue":"2","note":"publisher: Microbiology Society,","page":"377-382","source":"Microbiology Society Journals","title":"Production of Superoxide Radicals during Bacterial Respiration","volume":"113","author":[{"family":"Shvinka","given":"J. E."},{"family":"Toma","given":"M. K."},{"family":"Galinina","given":"N. I."},{"family":"SkĀRds","given":"I. V."},{"family":"Viesturs","given":"U. E."}],"issued":{"date-parts":[["1979"]]}}},{"id":352,"uris":["http://zotero.org/users/11931443/items/JLDUX3MU"],"itemData":{"id":352,"type":"article-journal","abstract":"Particulate methane monooxygenase (pMMO), a copper-containing membrane protein, catalyzes methane hydroxylation under aerobic conditions. We found that the activity of pMMO was increased by catalase, implying that hydrogen peroxide (H2O2) is generated by pMMO with duroquinol, an electron donor for pMMO, and that the generated H2O2 inhibits pMMO activity. In addition, reversible inhibition of pMMO with H2O2 was observed upon treatment of pMMO with H2O2 followed by the addition of catalase, and H2O2 formation by pMMO with duroquinol was detected using a fluorescence probe. The redox behavior of type 2 copper in pMMO measured by the electron paramagnetic resonance revealed that H2O2 re-oxidizes the type 2 copper in pMMO reduced with duroquinol.","container-title":"Journal of Molecular Catalysis B: Enzymatic","DOI":"10.1016/j.molcatb.2008.09.005","ISSN":"1381-1177","issue":"1","journalAbbreviation":"Journal of Molecular Catalysis B: Enzymatic","page":"211-215","source":"ScienceDirect","title":"Hydrogen peroxide as an effecter on the inactivation of particulate methane monooxygenase under aerobic conditions","volume":"57","author":[{"family":"Miyaji","given":"Akimitsu"},{"family":"Suzuki","given":"Masashi"},{"family":"Baba","given":"Toshihide"},{"family":"Kamachi","given":"Toshiaki"},{"family":"Okura","given":"Ichiro"}],"issued":{"date-parts":[["2009",5,1]]}}},{"id":103,"uris":["http://zotero.org/users/11931443/items/BUGV4YYP"],"itemData":{"id":103,"type":"article-journal","abstract":"The advent of O2 in the atmosphere was among the first major pollution \nevents occurred on earth. The reaction between ferrous iron, very abundant in the \nreductive early atmosphere, and oxygen results in the formation of harmful superoxide \nand hydroxyl radicals, which affect all macromolecules (DNA, lipids and proteins). \nLiving organisms have to build up mechanisms to protect themselves against oxidative \nstress, with enzymes such as catalase and superoxide dismutase, small proteins like \nthioredoxin and glutaredoxin, and molecules such as glutathione. Bacterial genetic \nresponses to oxidative stress are controlled by two major transcriptional regulators \n(OxyR and SoxRS). This paper reviews major key points in the generation of reactive \noxygen species in bacteria, defense mechanisms and genetic responses to oxidative \nstress. Special attention is paid to the oxidative damage to proteins.","ISSN":"1139-6709","language":"eng","license":"(c) Spanish Society for Microbiology, Springer-Verlag Ibérica, 2000","note":"Accepted: 2016-03-29T08:35:45Z\npublisher: Springer-Verlag Ibérica","source":"repositori.udl.cat","title":"Oxidative stress in bacteria and protein damage by reactive oxygen species","URL":"https://repositori.udl.cat/handle/10459.1/56751","author":[{"family":"Cabiscol Català","given":"Elisa"},{"family":"Tamarit Sumalla","given":"Jordi"},{"family":"Ros Salvador","given":"Joaquim"}],"accessed":{"date-parts":[["2021",11,21]]},"issued":{"date-parts":[["2000"]]}}}],"schema":"https://github.com/citation-style-language/schema/raw/master/csl-citation.json"} </w:instrText>
      </w:r>
      <w:r w:rsidRPr="347D99D0">
        <w:rPr>
          <w:sz w:val="24"/>
          <w:szCs w:val="24"/>
        </w:rPr>
        <w:fldChar w:fldCharType="separate"/>
      </w:r>
      <w:r w:rsidRPr="347D99D0">
        <w:rPr>
          <w:sz w:val="24"/>
          <w:szCs w:val="24"/>
        </w:rPr>
        <w:t>(33–37)</w:t>
      </w:r>
      <w:r w:rsidRPr="347D99D0">
        <w:rPr>
          <w:sz w:val="24"/>
          <w:szCs w:val="24"/>
        </w:rPr>
        <w:fldChar w:fldCharType="end"/>
      </w:r>
      <w:r w:rsidRPr="347D99D0">
        <w:rPr>
          <w:sz w:val="24"/>
          <w:szCs w:val="24"/>
        </w:rPr>
        <w:t xml:space="preserve">. This endogenous production of ROS can have harmful effects on cells including damaging proteins, nucleic acids, and lipids </w:t>
      </w:r>
      <w:r w:rsidRPr="347D99D0">
        <w:rPr>
          <w:sz w:val="24"/>
          <w:szCs w:val="24"/>
        </w:rPr>
        <w:fldChar w:fldCharType="begin"/>
      </w:r>
      <w:r w:rsidRPr="347D99D0">
        <w:rPr>
          <w:sz w:val="24"/>
          <w:szCs w:val="24"/>
        </w:rPr>
        <w:instrText xml:space="preserve"> ADDIN ZOTERO_ITEM CSL_CITATION {"citationID":"fK5J0DU8","properties":{"formattedCitation":"(37)","plainCitation":"(37)","noteIndex":0},"citationItems":[{"id":103,"uris":["http://zotero.org/users/11931443/items/BUGV4YYP"],"itemData":{"id":103,"type":"article-journal","abstract":"The advent of O2 in the atmosphere was among the first major pollution \nevents occurred on earth. The reaction between ferrous iron, very abundant in the \nreductive early atmosphere, and oxygen results in the formation of harmful superoxide \nand hydroxyl radicals, which affect all macromolecules (DNA, lipids and proteins). \nLiving organisms have to build up mechanisms to protect themselves against oxidative \nstress, with enzymes such as catalase and superoxide dismutase, small proteins like \nthioredoxin and glutaredoxin, and molecules such as glutathione. Bacterial genetic \nresponses to oxidative stress are controlled by two major transcriptional regulators \n(OxyR and SoxRS). This paper reviews major key points in the generation of reactive \noxygen species in bacteria, defense mechanisms and genetic responses to oxidative \nstress. Special attention is paid to the oxidative damage to proteins.","ISSN":"1139-6709","language":"eng","license":"(c) Spanish Society for Microbiology, Springer-Verlag Ibérica, 2000","note":"Accepted: 2016-03-29T08:35:45Z\npublisher: Springer-Verlag Ibérica","source":"repositori.udl.cat","title":"Oxidative stress in bacteria and protein damage by reactive oxygen species","URL":"https://repositori.udl.cat/handle/10459.1/56751","author":[{"family":"Cabiscol Català","given":"Elisa"},{"family":"Tamarit Sumalla","given":"Jordi"},{"family":"Ros Salvador","given":"Joaquim"}],"accessed":{"date-parts":[["2021",11,21]]},"issued":{"date-parts":[["2000"]]}}}],"schema":"https://github.com/citation-style-language/schema/raw/master/csl-citation.json"} </w:instrText>
      </w:r>
      <w:r w:rsidRPr="347D99D0">
        <w:rPr>
          <w:sz w:val="24"/>
          <w:szCs w:val="24"/>
        </w:rPr>
        <w:fldChar w:fldCharType="separate"/>
      </w:r>
      <w:r w:rsidRPr="347D99D0">
        <w:rPr>
          <w:noProof/>
          <w:sz w:val="24"/>
          <w:szCs w:val="24"/>
        </w:rPr>
        <w:t>(37)</w:t>
      </w:r>
      <w:r w:rsidRPr="347D99D0">
        <w:rPr>
          <w:sz w:val="24"/>
          <w:szCs w:val="24"/>
        </w:rPr>
        <w:fldChar w:fldCharType="end"/>
      </w:r>
      <w:r w:rsidRPr="347D99D0">
        <w:rPr>
          <w:sz w:val="24"/>
          <w:szCs w:val="24"/>
        </w:rPr>
        <w:t xml:space="preserve">. In addition to potential generation of toxic ROS by cellular respiration, aerobic MOB oxidize methane using methane monooxygenases that catalyze the oxidation of methane to methanol in the presence of dioxygen that may contribute to ROS generation </w:t>
      </w:r>
      <w:r w:rsidRPr="347D99D0">
        <w:rPr>
          <w:sz w:val="24"/>
          <w:szCs w:val="24"/>
        </w:rPr>
        <w:fldChar w:fldCharType="begin"/>
      </w:r>
      <w:r w:rsidRPr="347D99D0">
        <w:rPr>
          <w:sz w:val="24"/>
          <w:szCs w:val="24"/>
        </w:rPr>
        <w:instrText xml:space="preserve"> ADDIN ZOTERO_ITEM CSL_CITATION {"citationID":"kilpE7Hs","properties":{"formattedCitation":"(38)","plainCitation":"(38)","noteIndex":0},"citationItems":[{"id":446,"uris":["http://zotero.org/users/11931443/items/FD8L46PT"],"itemData":{"id":446,"type":"article-journal","abstract":"Methane monooxygenase (MMO) enzymes activate O2 for oxidation of methane. Two distinct MMOs exist in nature, a soluble form that uses a diiron active site (sMMO) and a membrane-bound form with a catalytic copper center (pMMO). Understanding the reaction mechanisms of these enzymes is of fundamental importance to biologists and chemists, and is also relevant to the development of new biocatalysts. The sMMO catalytic cycle has been elucidated in detail, including O2 activation intermediates and the nature of the methane-oxidizing species. By contrast, many aspects of pMMO catalysis remain unclear, most notably the nuclearity and molecular details of the copper active site. Here, we review the current state of knowledge for both enzymes, and consider pMMO O2 activation intermediates suggested by computational and synthetic studies in the context of existing biochemical data. Further work is needed on all fronts, with the ultimate goal of understanding how these two remarkable enzymes catalyze a reaction not readily achieved by any other metalloenzyme or biomimetic compound.","container-title":"JBIC Journal of Biological Inorganic Chemistry","DOI":"10.1007/s00775-016-1419-y","ISSN":"1432-1327","issue":"2","journalAbbreviation":"J Biol Inorg Chem","language":"en","page":"307-319","source":"Springer Link","title":"A tale of two methane monooxygenases","volume":"22","author":[{"family":"Ross","given":"Matthew O."},{"family":"Rosenzweig","given":"Amy C."}],"issued":{"date-parts":[["2017",4,1]]}}}],"schema":"https://github.com/citation-style-language/schema/raw/master/csl-citation.json"} </w:instrText>
      </w:r>
      <w:r w:rsidRPr="347D99D0">
        <w:rPr>
          <w:sz w:val="24"/>
          <w:szCs w:val="24"/>
        </w:rPr>
        <w:fldChar w:fldCharType="separate"/>
      </w:r>
      <w:r w:rsidRPr="347D99D0">
        <w:rPr>
          <w:noProof/>
          <w:sz w:val="24"/>
          <w:szCs w:val="24"/>
        </w:rPr>
        <w:t>(38)</w:t>
      </w:r>
      <w:r w:rsidRPr="347D99D0">
        <w:rPr>
          <w:sz w:val="24"/>
          <w:szCs w:val="24"/>
        </w:rPr>
        <w:fldChar w:fldCharType="end"/>
      </w:r>
      <w:r w:rsidRPr="347D99D0">
        <w:rPr>
          <w:sz w:val="24"/>
          <w:szCs w:val="24"/>
        </w:rPr>
        <w:t xml:space="preserve">. Bacteria possess a wide variety of ROS defense mechanisms including the expression of genes that code for proteins that directly act on ROS to reduce toxic effects. Some of the genes responsible for ROS remediation are being expressed by NMOHB in </w:t>
      </w:r>
      <w:r w:rsidR="009B0281">
        <w:rPr>
          <w:sz w:val="24"/>
          <w:szCs w:val="24"/>
        </w:rPr>
        <w:t>co-culture</w:t>
      </w:r>
      <w:r w:rsidRPr="347D99D0">
        <w:rPr>
          <w:sz w:val="24"/>
          <w:szCs w:val="24"/>
        </w:rPr>
        <w:t xml:space="preserve"> with OB3b including catalase </w:t>
      </w:r>
      <w:r w:rsidRPr="347D99D0">
        <w:rPr>
          <w:sz w:val="24"/>
          <w:szCs w:val="24"/>
        </w:rPr>
        <w:fldChar w:fldCharType="begin"/>
      </w:r>
      <w:r w:rsidRPr="347D99D0">
        <w:rPr>
          <w:sz w:val="24"/>
          <w:szCs w:val="24"/>
        </w:rPr>
        <w:instrText xml:space="preserve"> ADDIN ZOTERO_ITEM CSL_CITATION {"citationID":"SpntYgWA","properties":{"formattedCitation":"(37)","plainCitation":"(37)","noteIndex":0},"citationItems":[{"id":103,"uris":["http://zotero.org/users/11931443/items/BUGV4YYP"],"itemData":{"id":103,"type":"article-journal","abstract":"The advent of O2 in the atmosphere was among the first major pollution \nevents occurred on earth. The reaction between ferrous iron, very abundant in the \nreductive early atmosphere, and oxygen results in the formation of harmful superoxide \nand hydroxyl radicals, which affect all macromolecules (DNA, lipids and proteins). \nLiving organisms have to build up mechanisms to protect themselves against oxidative \nstress, with enzymes such as catalase and superoxide dismutase, small proteins like \nthioredoxin and glutaredoxin, and molecules such as glutathione. Bacterial genetic \nresponses to oxidative stress are controlled by two major transcriptional regulators \n(OxyR and SoxRS). This paper reviews major key points in the generation of reactive \noxygen species in bacteria, defense mechanisms and genetic responses to oxidative \nstress. Special attention is paid to the oxidative damage to proteins.","ISSN":"1139-6709","language":"eng","license":"(c) Spanish Society for Microbiology, Springer-Verlag Ibérica, 2000","note":"Accepted: 2016-03-29T08:35:45Z\npublisher: Springer-Verlag Ibérica","source":"repositori.udl.cat","title":"Oxidative stress in bacteria and protein damage by reactive oxygen species","URL":"https://repositori.udl.cat/handle/10459.1/56751","author":[{"family":"Cabiscol Català","given":"Elisa"},{"family":"Tamarit Sumalla","given":"Jordi"},{"family":"Ros Salvador","given":"Joaquim"}],"accessed":{"date-parts":[["2021",11,21]]},"issued":{"date-parts":[["2000"]]}}}],"schema":"https://github.com/citation-style-language/schema/raw/master/csl-citation.json"} </w:instrText>
      </w:r>
      <w:r w:rsidRPr="347D99D0">
        <w:rPr>
          <w:sz w:val="24"/>
          <w:szCs w:val="24"/>
        </w:rPr>
        <w:fldChar w:fldCharType="separate"/>
      </w:r>
      <w:r w:rsidRPr="347D99D0">
        <w:rPr>
          <w:noProof/>
          <w:sz w:val="24"/>
          <w:szCs w:val="24"/>
        </w:rPr>
        <w:t>(37)</w:t>
      </w:r>
      <w:r w:rsidRPr="347D99D0">
        <w:rPr>
          <w:sz w:val="24"/>
          <w:szCs w:val="24"/>
        </w:rPr>
        <w:fldChar w:fldCharType="end"/>
      </w:r>
      <w:r w:rsidRPr="347D99D0">
        <w:rPr>
          <w:sz w:val="24"/>
          <w:szCs w:val="24"/>
        </w:rPr>
        <w:t xml:space="preserve">, SOD </w:t>
      </w:r>
      <w:r w:rsidRPr="347D99D0">
        <w:rPr>
          <w:sz w:val="24"/>
          <w:szCs w:val="24"/>
        </w:rPr>
        <w:fldChar w:fldCharType="begin"/>
      </w:r>
      <w:r w:rsidRPr="347D99D0">
        <w:rPr>
          <w:sz w:val="24"/>
          <w:szCs w:val="24"/>
        </w:rPr>
        <w:instrText xml:space="preserve"> ADDIN ZOTERO_ITEM CSL_CITATION {"citationID":"KTPZlhZZ","properties":{"formattedCitation":"(39)","plainCitation":"(39)","noteIndex":0},"citationItems":[{"id":417,"uris":["http://zotero.org/users/11931443/items/NCXMDI5C"],"itemData":{"id":417,"type":"article-journal","abstract":"Excess oxygen can disrupt the growth of most organisms, but the underlying mechanisms of damage have proved difficult to unravel. The model bacterium Escherichia coli represents the best understood organism in terms of the effects of and response to oxidative stress.Superoxide (O2−) and hydrogen peroxide (H2O2) are formed within cells when molecular oxygen (O2) adventitiously acquires electrons from the reduced cofactors of flavoproteins.Both O2− and H2O2 can oxidize the exposed Fe–S clusters of a family of dehydratases. This event destabilizes the clusters, and their consequent disintegration eliminates enzyme activity.O2− and H2O2 also inactivate a variety of non-redox enzymes that use single Fe2+ ions as catalytic cofactors.DNA is damaged when H2O2 reacts with the intracellular pool of unincorporated iron. The iron that is released from oxidized metalloproteins enlarges this pool and accelerates this process.The transcription factor OxyR detects modest increments in intracellular H2O2. It activates several responses that help preserve the activities of Fe–S and mononuclear metalloenzymes.The SoxRS system detects redox-active compounds that are released by plants and some bacteria. These compounds can generate toxic doses of O2−, and the SoxRS system acts primarily to minimize the amounts of these compounds inside the cell.Future studies should aim to determine whether the knowledge gained from studying oxidative stress in the facultative anaerobe E. coli is applicable to other organisms, such as strictly aerobic and microaerophilic bacteria.","container-title":"Nature Reviews Microbiology","DOI":"10.1038/nrmicro3032","ISSN":"1740-1534","issue":"7","journalAbbreviation":"Nat Rev Microbiol","language":"en","license":"2013 Springer Nature Limited","note":"number: 7\npublisher: Nature Publishing Group","page":"443-454","source":"www.nature.com","title":"The molecular mechanisms and physiological consequences of oxidative stress: lessons from a model bacterium","title-short":"The molecular mechanisms and physiological consequences of oxidative stress","volume":"11","author":[{"family":"Imlay","given":"James A."}],"issued":{"date-parts":[["2013",7]]}}}],"schema":"https://github.com/citation-style-language/schema/raw/master/csl-citation.json"} </w:instrText>
      </w:r>
      <w:r w:rsidRPr="347D99D0">
        <w:rPr>
          <w:sz w:val="24"/>
          <w:szCs w:val="24"/>
        </w:rPr>
        <w:fldChar w:fldCharType="separate"/>
      </w:r>
      <w:r w:rsidRPr="347D99D0">
        <w:rPr>
          <w:noProof/>
          <w:sz w:val="24"/>
          <w:szCs w:val="24"/>
        </w:rPr>
        <w:t>(39)</w:t>
      </w:r>
      <w:r w:rsidRPr="347D99D0">
        <w:rPr>
          <w:sz w:val="24"/>
          <w:szCs w:val="24"/>
        </w:rPr>
        <w:fldChar w:fldCharType="end"/>
      </w:r>
      <w:r w:rsidRPr="347D99D0">
        <w:rPr>
          <w:sz w:val="24"/>
          <w:szCs w:val="24"/>
        </w:rPr>
        <w:t xml:space="preserve">, </w:t>
      </w:r>
      <w:r w:rsidRPr="347D99D0">
        <w:rPr>
          <w:rFonts w:eastAsia="Times New Roman"/>
          <w:color w:val="000000" w:themeColor="text1"/>
          <w:sz w:val="24"/>
          <w:szCs w:val="24"/>
        </w:rPr>
        <w:t xml:space="preserve">thioredoxin-dependent peroxiredoxin </w:t>
      </w:r>
      <w:r w:rsidRPr="347D99D0">
        <w:rPr>
          <w:rFonts w:eastAsia="Times New Roman"/>
          <w:color w:val="000000" w:themeColor="text1"/>
          <w:sz w:val="24"/>
          <w:szCs w:val="24"/>
        </w:rPr>
        <w:fldChar w:fldCharType="begin"/>
      </w:r>
      <w:r w:rsidRPr="347D99D0">
        <w:rPr>
          <w:rFonts w:eastAsia="Times New Roman"/>
          <w:color w:val="000000" w:themeColor="text1"/>
          <w:sz w:val="24"/>
          <w:szCs w:val="24"/>
        </w:rPr>
        <w:instrText xml:space="preserve"> ADDIN ZOTERO_ITEM CSL_CITATION {"citationID":"pmW2MD3e","properties":{"formattedCitation":"(40)","plainCitation":"(40)","noteIndex":0},"citationItems":[{"id":547,"uris":["http://zotero.org/users/11931443/items/GCAVEBN8"],"itemData":{"id":547,"type":"article-journal","abstract":"The thioredoxin (Trx) system, which is composed of NADPH, thioredoxin reductase (TrxR), and thioredoxin, is a key antioxidant system in defense against oxidative stress through its disulfide reductase activity regulating protein dithiol/disulfide balance. The Trx system provides the electrons to thiol-dependent peroxidases (peroxiredoxins) to remove reactive oxygen and nitrogen species with a fast reaction rate. Trx antioxidant functions are also shown by involvement in DNA and protein repair by reducing ribonucleotide reductase, methionine sulfoxide reductases, and regulating the activity of many redox-sensitive transcription factors. Moreover, Trx systems play critical roles in the immune response, virus infection, and cell death via interaction with thioredoxin-interacting protein. In mammalian cells, the cytosolic and mitochondrial Trx systems, in which TrxRs are high molecular weight selenoenzymes, together with the glutathione-glutaredoxin (Grx) system (NADPH, glutathione reductase, GSH, and Grx) control the cellular redox environment. Recently mammalian thioredoxin and glutathione systems have been found to be able to provide the electrons crossly and to serve as a backup system for each other. In contrast, bacteria TrxRs are low molecular weight enzymes with a structure and reaction mechanism distinct from mammalian TrxR. Many bacterial species possess specific thiol-dependent antioxidant systems, and the significance of the Trx system in the defense against oxidative stress is different. Particularly, the absence of a GSH-Grx system in some pathogenic bacteria such as Helicobacter pylori, Mycobacterium tuberculosis, and Staphylococcus aureus makes the bacterial Trx system essential for survival under oxidative stress. This provides an opportunity to kill these bacteria by targeting the TrxR-Trx system.","container-title":"Free Radical Biology &amp; Medicine","DOI":"10.1016/j.freeradbiomed.2013.07.036","ISSN":"1873-4596","journalAbbreviation":"Free Radic Biol Med","language":"eng","note":"PMID: 23899494","page":"75-87","source":"PubMed","title":"The thioredoxin antioxidant system","volume":"66","author":[{"family":"Lu","given":"Jun"},{"family":"Holmgren","given":"Arne"}],"issued":{"date-parts":[["2014",1]]}}}],"schema":"https://github.com/citation-style-language/schema/raw/master/csl-citation.json"} </w:instrText>
      </w:r>
      <w:r w:rsidRPr="347D99D0">
        <w:rPr>
          <w:rFonts w:eastAsia="Times New Roman"/>
          <w:color w:val="000000" w:themeColor="text1"/>
          <w:sz w:val="24"/>
          <w:szCs w:val="24"/>
        </w:rPr>
        <w:fldChar w:fldCharType="separate"/>
      </w:r>
      <w:r w:rsidRPr="347D99D0">
        <w:rPr>
          <w:rFonts w:eastAsia="Times New Roman"/>
          <w:noProof/>
          <w:color w:val="000000" w:themeColor="text1"/>
          <w:sz w:val="24"/>
          <w:szCs w:val="24"/>
        </w:rPr>
        <w:t>(40)</w:t>
      </w:r>
      <w:r w:rsidRPr="347D99D0">
        <w:rPr>
          <w:rFonts w:eastAsia="Times New Roman"/>
          <w:color w:val="000000" w:themeColor="text1"/>
          <w:sz w:val="24"/>
          <w:szCs w:val="24"/>
        </w:rPr>
        <w:fldChar w:fldCharType="end"/>
      </w:r>
      <w:r w:rsidRPr="347D99D0">
        <w:rPr>
          <w:rFonts w:eastAsia="Times New Roman"/>
          <w:color w:val="000000" w:themeColor="text1"/>
          <w:sz w:val="24"/>
          <w:szCs w:val="24"/>
        </w:rPr>
        <w:t>,</w:t>
      </w:r>
      <w:r w:rsidRPr="347D99D0">
        <w:rPr>
          <w:sz w:val="24"/>
          <w:szCs w:val="24"/>
        </w:rPr>
        <w:t xml:space="preserve"> thioredoxin 1, and lipoyl-dependent peroxiredoxin </w:t>
      </w:r>
      <w:r w:rsidRPr="347D99D0">
        <w:rPr>
          <w:sz w:val="24"/>
          <w:szCs w:val="24"/>
        </w:rPr>
        <w:fldChar w:fldCharType="begin"/>
      </w:r>
      <w:r w:rsidRPr="347D99D0">
        <w:rPr>
          <w:sz w:val="24"/>
          <w:szCs w:val="24"/>
        </w:rPr>
        <w:instrText xml:space="preserve"> ADDIN ZOTERO_ITEM CSL_CITATION {"citationID":"3YqcKW4a","properties":{"formattedCitation":"(40)","plainCitation":"(40)","noteIndex":0},"citationItems":[{"id":547,"uris":["http://zotero.org/users/11931443/items/GCAVEBN8"],"itemData":{"id":547,"type":"article-journal","abstract":"The thioredoxin (Trx) system, which is composed of NADPH, thioredoxin reductase (TrxR), and thioredoxin, is a key antioxidant system in defense against oxidative stress through its disulfide reductase activity regulating protein dithiol/disulfide balance. The Trx system provides the electrons to thiol-dependent peroxidases (peroxiredoxins) to remove reactive oxygen and nitrogen species with a fast reaction rate. Trx antioxidant functions are also shown by involvement in DNA and protein repair by reducing ribonucleotide reductase, methionine sulfoxide reductases, and regulating the activity of many redox-sensitive transcription factors. Moreover, Trx systems play critical roles in the immune response, virus infection, and cell death via interaction with thioredoxin-interacting protein. In mammalian cells, the cytosolic and mitochondrial Trx systems, in which TrxRs are high molecular weight selenoenzymes, together with the glutathione-glutaredoxin (Grx) system (NADPH, glutathione reductase, GSH, and Grx) control the cellular redox environment. Recently mammalian thioredoxin and glutathione systems have been found to be able to provide the electrons crossly and to serve as a backup system for each other. In contrast, bacteria TrxRs are low molecular weight enzymes with a structure and reaction mechanism distinct from mammalian TrxR. Many bacterial species possess specific thiol-dependent antioxidant systems, and the significance of the Trx system in the defense against oxidative stress is different. Particularly, the absence of a GSH-Grx system in some pathogenic bacteria such as Helicobacter pylori, Mycobacterium tuberculosis, and Staphylococcus aureus makes the bacterial Trx system essential for survival under oxidative stress. This provides an opportunity to kill these bacteria by targeting the TrxR-Trx system.","container-title":"Free Radical Biology &amp; Medicine","DOI":"10.1016/j.freeradbiomed.2013.07.036","ISSN":"1873-4596","journalAbbreviation":"Free Radic Biol Med","language":"eng","note":"PMID: 23899494","page":"75-87","source":"PubMed","title":"The thioredoxin antioxidant system","volume":"66","author":[{"family":"Lu","given":"Jun"},{"family":"Holmgren","given":"Arne"}],"issued":{"date-parts":[["2014",1]]}}}],"schema":"https://github.com/citation-style-language/schema/raw/master/csl-citation.json"} </w:instrText>
      </w:r>
      <w:r w:rsidRPr="347D99D0">
        <w:rPr>
          <w:sz w:val="24"/>
          <w:szCs w:val="24"/>
        </w:rPr>
        <w:fldChar w:fldCharType="separate"/>
      </w:r>
      <w:r w:rsidRPr="347D99D0">
        <w:rPr>
          <w:noProof/>
          <w:sz w:val="24"/>
          <w:szCs w:val="24"/>
        </w:rPr>
        <w:t>(40)</w:t>
      </w:r>
      <w:r w:rsidRPr="347D99D0">
        <w:rPr>
          <w:sz w:val="24"/>
          <w:szCs w:val="24"/>
        </w:rPr>
        <w:fldChar w:fldCharType="end"/>
      </w:r>
      <w:r w:rsidRPr="347D99D0">
        <w:rPr>
          <w:sz w:val="24"/>
          <w:szCs w:val="24"/>
        </w:rPr>
        <w:t xml:space="preserve">. When NMOHB shift from growing in peptones to growing on carbon derived from methane oxidation, they seem to alter the way that they deal with ROS by overexpressing certain ROS genes. There were some similarities in that the </w:t>
      </w:r>
      <w:r w:rsidRPr="347D99D0">
        <w:rPr>
          <w:i/>
          <w:iCs/>
          <w:sz w:val="24"/>
          <w:szCs w:val="24"/>
        </w:rPr>
        <w:t xml:space="preserve">P. chlororaphis </w:t>
      </w:r>
      <w:r w:rsidRPr="347D99D0">
        <w:rPr>
          <w:sz w:val="24"/>
          <w:szCs w:val="24"/>
        </w:rPr>
        <w:t xml:space="preserve">HC and </w:t>
      </w:r>
      <w:r w:rsidRPr="347D99D0">
        <w:rPr>
          <w:i/>
          <w:iCs/>
          <w:sz w:val="24"/>
          <w:szCs w:val="24"/>
        </w:rPr>
        <w:t xml:space="preserve">Cupriavidus </w:t>
      </w:r>
      <w:r w:rsidRPr="347D99D0">
        <w:rPr>
          <w:sz w:val="24"/>
          <w:szCs w:val="24"/>
        </w:rPr>
        <w:t>sp.</w:t>
      </w:r>
      <w:r w:rsidRPr="347D99D0">
        <w:rPr>
          <w:i/>
          <w:iCs/>
          <w:sz w:val="24"/>
          <w:szCs w:val="24"/>
        </w:rPr>
        <w:t xml:space="preserve"> </w:t>
      </w:r>
      <w:r w:rsidRPr="347D99D0">
        <w:rPr>
          <w:sz w:val="24"/>
          <w:szCs w:val="24"/>
        </w:rPr>
        <w:t xml:space="preserve">HC both overexpressed </w:t>
      </w:r>
      <w:r w:rsidRPr="347D99D0">
        <w:rPr>
          <w:i/>
          <w:iCs/>
          <w:sz w:val="24"/>
          <w:szCs w:val="24"/>
        </w:rPr>
        <w:t xml:space="preserve">prx </w:t>
      </w:r>
      <w:r w:rsidRPr="347D99D0">
        <w:rPr>
          <w:sz w:val="24"/>
          <w:szCs w:val="24"/>
        </w:rPr>
        <w:t xml:space="preserve">genes when growing in </w:t>
      </w:r>
      <w:r w:rsidR="009B0281">
        <w:rPr>
          <w:sz w:val="24"/>
          <w:szCs w:val="24"/>
        </w:rPr>
        <w:t>co-culture</w:t>
      </w:r>
      <w:r w:rsidRPr="347D99D0">
        <w:rPr>
          <w:sz w:val="24"/>
          <w:szCs w:val="24"/>
        </w:rPr>
        <w:t xml:space="preserve">. The observation that </w:t>
      </w:r>
      <w:r w:rsidRPr="347D99D0">
        <w:rPr>
          <w:i/>
          <w:iCs/>
          <w:sz w:val="24"/>
          <w:szCs w:val="24"/>
        </w:rPr>
        <w:t xml:space="preserve">Cupriavidus </w:t>
      </w:r>
      <w:r w:rsidRPr="347D99D0">
        <w:rPr>
          <w:sz w:val="24"/>
          <w:szCs w:val="24"/>
        </w:rPr>
        <w:t xml:space="preserve">sp. HC overexpresses genes for </w:t>
      </w:r>
      <w:r w:rsidRPr="347D99D0">
        <w:rPr>
          <w:rFonts w:eastAsia="Times New Roman"/>
          <w:color w:val="000000" w:themeColor="text1"/>
          <w:sz w:val="24"/>
          <w:szCs w:val="24"/>
        </w:rPr>
        <w:t>glutathione biosynthesis from glutamate via glutamate-cysteine ligase (</w:t>
      </w:r>
      <w:r w:rsidRPr="347D99D0">
        <w:rPr>
          <w:rFonts w:eastAsia="Times New Roman"/>
          <w:i/>
          <w:iCs/>
          <w:color w:val="000000" w:themeColor="text1"/>
          <w:sz w:val="24"/>
          <w:szCs w:val="24"/>
        </w:rPr>
        <w:t>gshA</w:t>
      </w:r>
      <w:r w:rsidRPr="347D99D0">
        <w:rPr>
          <w:rFonts w:eastAsia="Times New Roman"/>
          <w:color w:val="000000" w:themeColor="text1"/>
          <w:sz w:val="24"/>
          <w:szCs w:val="24"/>
        </w:rPr>
        <w:t>) and</w:t>
      </w:r>
      <w:r w:rsidRPr="347D99D0">
        <w:rPr>
          <w:sz w:val="24"/>
          <w:szCs w:val="24"/>
        </w:rPr>
        <w:t xml:space="preserve"> </w:t>
      </w:r>
      <w:r w:rsidRPr="347D99D0">
        <w:rPr>
          <w:rFonts w:eastAsia="Times New Roman"/>
          <w:color w:val="000000" w:themeColor="text1"/>
          <w:sz w:val="24"/>
          <w:szCs w:val="24"/>
        </w:rPr>
        <w:t>glutathione synthase (</w:t>
      </w:r>
      <w:r w:rsidRPr="347D99D0">
        <w:rPr>
          <w:rFonts w:eastAsia="Times New Roman"/>
          <w:i/>
          <w:iCs/>
          <w:color w:val="000000" w:themeColor="text1"/>
          <w:sz w:val="24"/>
          <w:szCs w:val="24"/>
        </w:rPr>
        <w:t>gshB</w:t>
      </w:r>
      <w:r w:rsidRPr="347D99D0">
        <w:rPr>
          <w:rFonts w:eastAsia="Times New Roman"/>
          <w:color w:val="000000" w:themeColor="text1"/>
          <w:sz w:val="24"/>
          <w:szCs w:val="24"/>
        </w:rPr>
        <w:t xml:space="preserve">) as a response to stress from peroxide exposure has also </w:t>
      </w:r>
      <w:r w:rsidRPr="347D99D0">
        <w:rPr>
          <w:rFonts w:eastAsia="Times New Roman"/>
          <w:color w:val="000000" w:themeColor="text1"/>
          <w:sz w:val="24"/>
          <w:szCs w:val="24"/>
        </w:rPr>
        <w:lastRenderedPageBreak/>
        <w:t xml:space="preserve">been demonstrated in strains of </w:t>
      </w:r>
      <w:r w:rsidRPr="347D99D0">
        <w:rPr>
          <w:rFonts w:eastAsia="Times New Roman"/>
          <w:i/>
          <w:iCs/>
          <w:color w:val="000000" w:themeColor="text1"/>
          <w:sz w:val="24"/>
          <w:szCs w:val="24"/>
        </w:rPr>
        <w:t>Pseudomonas aeruginosa</w:t>
      </w:r>
      <w:r w:rsidRPr="347D99D0">
        <w:rPr>
          <w:rFonts w:eastAsia="Times New Roman"/>
          <w:color w:val="000000" w:themeColor="text1"/>
          <w:sz w:val="24"/>
          <w:szCs w:val="24"/>
        </w:rPr>
        <w:t xml:space="preserve">, where the </w:t>
      </w:r>
      <w:r w:rsidRPr="347D99D0">
        <w:rPr>
          <w:rFonts w:eastAsia="Times New Roman"/>
          <w:i/>
          <w:iCs/>
          <w:color w:val="000000" w:themeColor="text1"/>
          <w:sz w:val="24"/>
          <w:szCs w:val="24"/>
        </w:rPr>
        <w:t xml:space="preserve">gshA </w:t>
      </w:r>
      <w:r w:rsidRPr="347D99D0">
        <w:rPr>
          <w:rFonts w:eastAsia="Times New Roman"/>
          <w:color w:val="000000" w:themeColor="text1"/>
          <w:sz w:val="24"/>
          <w:szCs w:val="24"/>
        </w:rPr>
        <w:t xml:space="preserve">and </w:t>
      </w:r>
      <w:r w:rsidRPr="347D99D0">
        <w:rPr>
          <w:rFonts w:eastAsia="Times New Roman"/>
          <w:i/>
          <w:iCs/>
          <w:color w:val="000000" w:themeColor="text1"/>
          <w:sz w:val="24"/>
          <w:szCs w:val="24"/>
        </w:rPr>
        <w:t xml:space="preserve">gshB </w:t>
      </w:r>
      <w:r w:rsidRPr="347D99D0">
        <w:rPr>
          <w:rFonts w:eastAsia="Times New Roman"/>
          <w:color w:val="000000" w:themeColor="text1"/>
          <w:sz w:val="24"/>
          <w:szCs w:val="24"/>
        </w:rPr>
        <w:t xml:space="preserve">genes are overexpressed in response to different peroxides introduced into the growth system </w:t>
      </w:r>
      <w:r w:rsidRPr="347D99D0">
        <w:rPr>
          <w:rFonts w:eastAsia="Times New Roman"/>
          <w:color w:val="000000" w:themeColor="text1"/>
          <w:sz w:val="24"/>
          <w:szCs w:val="24"/>
        </w:rPr>
        <w:fldChar w:fldCharType="begin"/>
      </w:r>
      <w:r w:rsidRPr="347D99D0">
        <w:rPr>
          <w:rFonts w:eastAsia="Times New Roman"/>
          <w:color w:val="000000" w:themeColor="text1"/>
          <w:sz w:val="24"/>
          <w:szCs w:val="24"/>
        </w:rPr>
        <w:instrText xml:space="preserve"> ADDIN ZOTERO_ITEM CSL_CITATION {"citationID":"hzmFYjnV","properties":{"formattedCitation":"(24)","plainCitation":"(24)","noteIndex":0},"citationItems":[{"id":570,"uris":["http://zotero.org/users/11931443/items/7WKK6PIM"],"itemData":{"id":570,"type":"article-journal","abstract":"Pseudomonas aeruginosa PAO1 contains gshA and gshB genes, which encode enzymes involved in glutathione (GSH) biosynthesis. Challenging P. aeruginosa with hydrogen peroxide, cumene hydroperoxide, and t-butyl hydroperoxide increased the expression of gshA and gshB. The physiological roles of these genes in P. aeruginosa oxidative stress, bacterial virulence, and biofilm formation were examined using P. aeruginosa ΔgshA, ΔgshB, and double ΔgshAΔgshB mutant strains. These mutants exhibited significantly increased susceptibility to methyl viologen, thiol-depleting agent, and methylglyoxal compared to PAO1. Expression of functional gshA, gshB or exogenous supplementation with GSH complemented these phenotypes, which indicates that the observed mutant phenotypes arose from their inability to produce GSH. Virulence assays using a Drosophila melanogaster model revealed that the ΔgshA, ΔgshB and double ΔgshAΔgshB mutants exhibited attenuated virulence phenotypes. An analysis of virulence factors, including pyocyanin, pyoverdine, and cell motility (swimming and twitching), showed that these levels were reduced in these gsh mutants compared to PAO1. In contrast, biofilm formation increased in mutants. These data indicate that the GSH product and the genes responsible for GSH synthesis play multiple crucial roles in oxidative stress protection, bacterial virulence and biofilm formation in P. aeruginosa.","container-title":"PLOS ONE","DOI":"10.1371/journal.pone.0205815","ISSN":"1932-6203","issue":"10","journalAbbreviation":"PLOS ONE","language":"en","note":"publisher: Public Library of Science","page":"e0205815","source":"PLoS Journals","title":"Pseudomonas aeruginosa glutathione biosynthesis genes play multiple roles in stress protection, bacterial virulence and biofilm formation","volume":"13","author":[{"family":"Wongsaroj","given":"Lampet"},{"family":"Saninjuk","given":"Kritsakorn"},{"family":"Romsang","given":"Adisak"},{"family":"Duang-nkern","given":"Jintana"},{"family":"Trinachartvanit","given":"Wachareeporn"},{"family":"Vattanaviboon","given":"Paiboon"},{"family":"Mongkolsuk","given":"Skorn"}],"issued":{"date-parts":[["2018",10,16]]}}}],"schema":"https://github.com/citation-style-language/schema/raw/master/csl-citation.json"} </w:instrText>
      </w:r>
      <w:r w:rsidRPr="347D99D0">
        <w:rPr>
          <w:rFonts w:eastAsia="Times New Roman"/>
          <w:color w:val="000000" w:themeColor="text1"/>
          <w:sz w:val="24"/>
          <w:szCs w:val="24"/>
        </w:rPr>
        <w:fldChar w:fldCharType="separate"/>
      </w:r>
      <w:r w:rsidRPr="347D99D0">
        <w:rPr>
          <w:rFonts w:eastAsia="Times New Roman"/>
          <w:noProof/>
          <w:color w:val="000000" w:themeColor="text1"/>
          <w:sz w:val="24"/>
          <w:szCs w:val="24"/>
        </w:rPr>
        <w:t>(24)</w:t>
      </w:r>
      <w:r w:rsidRPr="347D99D0">
        <w:rPr>
          <w:rFonts w:eastAsia="Times New Roman"/>
          <w:color w:val="000000" w:themeColor="text1"/>
          <w:sz w:val="24"/>
          <w:szCs w:val="24"/>
        </w:rPr>
        <w:fldChar w:fldCharType="end"/>
      </w:r>
      <w:r w:rsidRPr="347D99D0">
        <w:rPr>
          <w:rFonts w:eastAsia="Times New Roman"/>
          <w:color w:val="000000" w:themeColor="text1"/>
          <w:sz w:val="24"/>
          <w:szCs w:val="24"/>
        </w:rPr>
        <w:t xml:space="preserve">. </w:t>
      </w:r>
      <w:r w:rsidRPr="347D99D0">
        <w:rPr>
          <w:sz w:val="24"/>
          <w:szCs w:val="24"/>
        </w:rPr>
        <w:t xml:space="preserve">In general, NMOHB appear to upregulate ROS defense genes as a response to growing in </w:t>
      </w:r>
      <w:r w:rsidR="007D3DBA">
        <w:rPr>
          <w:sz w:val="24"/>
          <w:szCs w:val="24"/>
        </w:rPr>
        <w:t>methane-oxidizing</w:t>
      </w:r>
      <w:r w:rsidRPr="347D99D0">
        <w:rPr>
          <w:sz w:val="24"/>
          <w:szCs w:val="24"/>
        </w:rPr>
        <w:t xml:space="preserve"> conditions compared to growing on peptones, however </w:t>
      </w:r>
      <w:r w:rsidRPr="347D99D0">
        <w:rPr>
          <w:i/>
          <w:iCs/>
          <w:sz w:val="24"/>
          <w:szCs w:val="24"/>
        </w:rPr>
        <w:t xml:space="preserve">Flavobacterium </w:t>
      </w:r>
      <w:r w:rsidRPr="347D99D0">
        <w:rPr>
          <w:sz w:val="24"/>
          <w:szCs w:val="24"/>
        </w:rPr>
        <w:t>sp. HC downregulates theses gen</w:t>
      </w:r>
      <w:r w:rsidR="00475CF1" w:rsidRPr="347D99D0">
        <w:rPr>
          <w:sz w:val="24"/>
          <w:szCs w:val="24"/>
        </w:rPr>
        <w:t>e</w:t>
      </w:r>
      <w:r w:rsidRPr="347D99D0">
        <w:rPr>
          <w:sz w:val="24"/>
          <w:szCs w:val="24"/>
        </w:rPr>
        <w:t xml:space="preserve">s in </w:t>
      </w:r>
      <w:r w:rsidR="009B0281">
        <w:rPr>
          <w:sz w:val="24"/>
          <w:szCs w:val="24"/>
        </w:rPr>
        <w:t>co-culture</w:t>
      </w:r>
      <w:r w:rsidRPr="347D99D0">
        <w:rPr>
          <w:sz w:val="24"/>
          <w:szCs w:val="24"/>
        </w:rPr>
        <w:t xml:space="preserve"> pointing to the variation of ROS response across organisms.</w:t>
      </w:r>
    </w:p>
    <w:p w14:paraId="51E0D2C6" w14:textId="77777777" w:rsidR="00F33B92" w:rsidRPr="00F33B92" w:rsidRDefault="00F33B92" w:rsidP="00F33B92">
      <w:pPr>
        <w:rPr>
          <w:sz w:val="24"/>
          <w:szCs w:val="24"/>
        </w:rPr>
      </w:pPr>
    </w:p>
    <w:p w14:paraId="3902D9E3" w14:textId="77777777" w:rsidR="00F33B92" w:rsidRPr="00F33B92" w:rsidRDefault="00F33B92" w:rsidP="006E624A">
      <w:pPr>
        <w:pStyle w:val="Heading3"/>
      </w:pPr>
      <w:bookmarkStart w:id="93" w:name="_Toc167115844"/>
      <w:r w:rsidRPr="00F33B92">
        <w:t>Conclusion</w:t>
      </w:r>
      <w:bookmarkEnd w:id="93"/>
    </w:p>
    <w:p w14:paraId="6A0D342F" w14:textId="3D7E643F" w:rsidR="00F33B92" w:rsidRPr="00F33B92" w:rsidRDefault="00300DA2" w:rsidP="00F33B92">
      <w:pPr>
        <w:spacing w:line="480" w:lineRule="auto"/>
        <w:rPr>
          <w:sz w:val="24"/>
          <w:szCs w:val="24"/>
        </w:rPr>
      </w:pPr>
      <w:r>
        <w:rPr>
          <w:sz w:val="24"/>
          <w:szCs w:val="24"/>
        </w:rPr>
        <w:t>The</w:t>
      </w:r>
      <w:r w:rsidR="00F33B92" w:rsidRPr="00F33B92">
        <w:rPr>
          <w:sz w:val="24"/>
          <w:szCs w:val="24"/>
        </w:rPr>
        <w:t xml:space="preserve"> NMOHB </w:t>
      </w:r>
      <w:r w:rsidR="00F33B92" w:rsidRPr="00F33B92">
        <w:rPr>
          <w:i/>
          <w:iCs/>
          <w:sz w:val="24"/>
          <w:szCs w:val="24"/>
        </w:rPr>
        <w:t xml:space="preserve">Pseudomonas chlororaphis </w:t>
      </w:r>
      <w:r w:rsidR="00F33B92" w:rsidRPr="00F33B92">
        <w:rPr>
          <w:sz w:val="24"/>
          <w:szCs w:val="24"/>
        </w:rPr>
        <w:t xml:space="preserve">HC, </w:t>
      </w:r>
      <w:r w:rsidR="00F33B92" w:rsidRPr="00F33B92">
        <w:rPr>
          <w:i/>
          <w:iCs/>
          <w:sz w:val="24"/>
          <w:szCs w:val="24"/>
        </w:rPr>
        <w:t xml:space="preserve">Cupriavidus </w:t>
      </w:r>
      <w:r w:rsidR="00F33B92" w:rsidRPr="00F33B92">
        <w:rPr>
          <w:sz w:val="24"/>
          <w:szCs w:val="24"/>
        </w:rPr>
        <w:t xml:space="preserve">sp. HC, and </w:t>
      </w:r>
      <w:r w:rsidR="00F33B92" w:rsidRPr="00F33B92">
        <w:rPr>
          <w:i/>
          <w:iCs/>
          <w:sz w:val="24"/>
          <w:szCs w:val="24"/>
        </w:rPr>
        <w:t xml:space="preserve">Flavobacterium </w:t>
      </w:r>
      <w:r w:rsidR="00F33B92" w:rsidRPr="00F33B92">
        <w:rPr>
          <w:sz w:val="24"/>
          <w:szCs w:val="24"/>
        </w:rPr>
        <w:t xml:space="preserve">sp. HC all grow in </w:t>
      </w:r>
      <w:r w:rsidR="007D3DBA">
        <w:rPr>
          <w:sz w:val="24"/>
          <w:szCs w:val="24"/>
        </w:rPr>
        <w:t>methane-oxidizing</w:t>
      </w:r>
      <w:r w:rsidR="00F33B92" w:rsidRPr="00F33B92">
        <w:rPr>
          <w:sz w:val="24"/>
          <w:szCs w:val="24"/>
        </w:rPr>
        <w:t xml:space="preserve"> conditions when in </w:t>
      </w:r>
      <w:r w:rsidR="009B0281">
        <w:rPr>
          <w:sz w:val="24"/>
          <w:szCs w:val="24"/>
        </w:rPr>
        <w:t>co-culture</w:t>
      </w:r>
      <w:r w:rsidR="00F33B92" w:rsidRPr="00F33B92">
        <w:rPr>
          <w:sz w:val="24"/>
          <w:szCs w:val="24"/>
        </w:rPr>
        <w:t xml:space="preserve"> with </w:t>
      </w:r>
      <w:r w:rsidR="00F33B92" w:rsidRPr="00F33B92">
        <w:rPr>
          <w:i/>
          <w:iCs/>
          <w:sz w:val="24"/>
          <w:szCs w:val="24"/>
        </w:rPr>
        <w:t xml:space="preserve">Methylosinus trichosporium </w:t>
      </w:r>
      <w:r w:rsidR="00F33B92" w:rsidRPr="00F33B92">
        <w:rPr>
          <w:sz w:val="24"/>
          <w:szCs w:val="24"/>
        </w:rPr>
        <w:t xml:space="preserve">OB3b and that </w:t>
      </w:r>
      <w:r w:rsidR="009B0281">
        <w:rPr>
          <w:sz w:val="24"/>
          <w:szCs w:val="24"/>
        </w:rPr>
        <w:t>co-culture</w:t>
      </w:r>
      <w:r w:rsidR="00F33B92" w:rsidRPr="00F33B92">
        <w:rPr>
          <w:sz w:val="24"/>
          <w:szCs w:val="24"/>
        </w:rPr>
        <w:t xml:space="preserve">s of </w:t>
      </w:r>
      <w:r w:rsidR="00F33B92" w:rsidRPr="00F33B92">
        <w:rPr>
          <w:i/>
          <w:iCs/>
          <w:sz w:val="24"/>
          <w:szCs w:val="24"/>
        </w:rPr>
        <w:t xml:space="preserve">P. chlororaphis </w:t>
      </w:r>
      <w:r w:rsidR="00F33B92" w:rsidRPr="00F33B92">
        <w:rPr>
          <w:sz w:val="24"/>
          <w:szCs w:val="24"/>
        </w:rPr>
        <w:t xml:space="preserve">HC and </w:t>
      </w:r>
      <w:r w:rsidR="00F33B92" w:rsidRPr="00F33B92">
        <w:rPr>
          <w:i/>
          <w:iCs/>
          <w:sz w:val="24"/>
          <w:szCs w:val="24"/>
        </w:rPr>
        <w:t xml:space="preserve">M. trichosporium </w:t>
      </w:r>
      <w:r w:rsidR="00F33B92" w:rsidRPr="00F33B92">
        <w:rPr>
          <w:sz w:val="24"/>
          <w:szCs w:val="24"/>
        </w:rPr>
        <w:t xml:space="preserve">OB3b present increased MOR compared to OB3b growing in monoculture. Transcriptomics analysis reveals that carbon sharing between OB3b and the NMOHB is most likely occurring as cross-feeding of methanol and/or C4 dicarboxylates. </w:t>
      </w:r>
      <w:r>
        <w:rPr>
          <w:sz w:val="24"/>
          <w:szCs w:val="24"/>
        </w:rPr>
        <w:t>Also,</w:t>
      </w:r>
      <w:r w:rsidR="00F33B92" w:rsidRPr="00F33B92">
        <w:rPr>
          <w:sz w:val="24"/>
          <w:szCs w:val="24"/>
        </w:rPr>
        <w:t xml:space="preserve"> nitrite and amino acid metabolism are altered in both OB3b and NMOHB when growing in </w:t>
      </w:r>
      <w:r w:rsidR="009B0281">
        <w:rPr>
          <w:sz w:val="24"/>
          <w:szCs w:val="24"/>
        </w:rPr>
        <w:t>co-culture</w:t>
      </w:r>
      <w:r w:rsidR="00F33B92" w:rsidRPr="00F33B92">
        <w:rPr>
          <w:sz w:val="24"/>
          <w:szCs w:val="24"/>
        </w:rPr>
        <w:t xml:space="preserve"> and ROS defense genes by NMOHB are differentially expressed during growth in </w:t>
      </w:r>
      <w:r w:rsidR="009B0281">
        <w:rPr>
          <w:sz w:val="24"/>
          <w:szCs w:val="24"/>
        </w:rPr>
        <w:t>co-culture</w:t>
      </w:r>
      <w:r w:rsidR="00F33B92" w:rsidRPr="00F33B92">
        <w:rPr>
          <w:sz w:val="24"/>
          <w:szCs w:val="24"/>
        </w:rPr>
        <w:t xml:space="preserve"> with OB3b. These observations provide insight into how NMOHB that are not strict methylotrophs respond to growth in </w:t>
      </w:r>
      <w:r w:rsidR="007D3DBA">
        <w:rPr>
          <w:sz w:val="24"/>
          <w:szCs w:val="24"/>
        </w:rPr>
        <w:t>methane-oxidizing</w:t>
      </w:r>
      <w:r w:rsidR="00F33B92" w:rsidRPr="00F33B92">
        <w:rPr>
          <w:sz w:val="24"/>
          <w:szCs w:val="24"/>
        </w:rPr>
        <w:t xml:space="preserve"> systems.</w:t>
      </w:r>
    </w:p>
    <w:p w14:paraId="0B7E40A8" w14:textId="77777777" w:rsidR="003D6F4A" w:rsidRDefault="003D6F4A" w:rsidP="00F33B92">
      <w:pPr>
        <w:rPr>
          <w:b/>
          <w:bCs/>
        </w:rPr>
      </w:pPr>
    </w:p>
    <w:p w14:paraId="1221314C" w14:textId="77777777" w:rsidR="003D6F4A" w:rsidRDefault="003D6F4A" w:rsidP="00F33B92">
      <w:pPr>
        <w:rPr>
          <w:b/>
          <w:bCs/>
        </w:rPr>
      </w:pPr>
    </w:p>
    <w:p w14:paraId="5625C73E" w14:textId="77777777" w:rsidR="003D6F4A" w:rsidRDefault="003D6F4A" w:rsidP="00F33B92">
      <w:pPr>
        <w:rPr>
          <w:b/>
          <w:bCs/>
        </w:rPr>
      </w:pPr>
    </w:p>
    <w:p w14:paraId="4067A28A" w14:textId="77777777" w:rsidR="003D6F4A" w:rsidRDefault="003D6F4A" w:rsidP="00F33B92">
      <w:pPr>
        <w:rPr>
          <w:b/>
          <w:bCs/>
        </w:rPr>
      </w:pPr>
    </w:p>
    <w:p w14:paraId="5FA515B0" w14:textId="77777777" w:rsidR="003D6F4A" w:rsidRDefault="003D6F4A" w:rsidP="00F33B92">
      <w:pPr>
        <w:rPr>
          <w:b/>
          <w:bCs/>
        </w:rPr>
      </w:pPr>
    </w:p>
    <w:p w14:paraId="7DEDACDC" w14:textId="76653A95" w:rsidR="001939AD" w:rsidRPr="00F33B92" w:rsidRDefault="006E624A" w:rsidP="006E624A">
      <w:pPr>
        <w:pStyle w:val="Heading3"/>
      </w:pPr>
      <w:r>
        <w:br w:type="column"/>
      </w:r>
      <w:bookmarkStart w:id="94" w:name="_Toc167115845"/>
      <w:r w:rsidR="00F33B92" w:rsidRPr="00F33B92">
        <w:lastRenderedPageBreak/>
        <w:t>References</w:t>
      </w:r>
      <w:bookmarkEnd w:id="94"/>
    </w:p>
    <w:p w14:paraId="71D01C53" w14:textId="74711C5F" w:rsidR="00F33B92" w:rsidRPr="00F33B92" w:rsidRDefault="00F33B92" w:rsidP="00F33B92">
      <w:pPr>
        <w:rPr>
          <w:sz w:val="24"/>
          <w:szCs w:val="24"/>
        </w:rPr>
      </w:pPr>
      <w:r w:rsidRPr="00F33B92">
        <w:rPr>
          <w:sz w:val="24"/>
          <w:szCs w:val="24"/>
        </w:rPr>
        <w:t>1.</w:t>
      </w:r>
      <w:r w:rsidRPr="00F33B92">
        <w:rPr>
          <w:sz w:val="24"/>
          <w:szCs w:val="24"/>
        </w:rPr>
        <w:tab/>
        <w:t xml:space="preserve">Dean JF, Middelburg JJ, Röckmann T, Aerts R, Blauw LG, Egger M, et al. Methane Feedbacks to the Global Climate System in a Warmer World. Rev of Geophys. 2018;56(1):207–50. </w:t>
      </w:r>
    </w:p>
    <w:p w14:paraId="57DB7F5B" w14:textId="5412B2DC" w:rsidR="00F33B92" w:rsidRPr="00F33B92" w:rsidRDefault="00F33B92" w:rsidP="00F33B92">
      <w:pPr>
        <w:rPr>
          <w:sz w:val="24"/>
          <w:szCs w:val="24"/>
        </w:rPr>
      </w:pPr>
      <w:r w:rsidRPr="00F33B92">
        <w:rPr>
          <w:sz w:val="24"/>
          <w:szCs w:val="24"/>
        </w:rPr>
        <w:t>2.</w:t>
      </w:r>
      <w:r w:rsidRPr="00F33B92">
        <w:rPr>
          <w:sz w:val="24"/>
          <w:szCs w:val="24"/>
        </w:rPr>
        <w:tab/>
        <w:t>Saunois M, Stavert AR, Poulter B, Bousquet P, Canadell JG, Jackson RB, et al. The Global Methane Budget 2000–2017. Earth Sys</w:t>
      </w:r>
      <w:r w:rsidR="0087443B">
        <w:rPr>
          <w:sz w:val="24"/>
          <w:szCs w:val="24"/>
        </w:rPr>
        <w:t>t</w:t>
      </w:r>
      <w:r w:rsidRPr="00F33B92">
        <w:rPr>
          <w:sz w:val="24"/>
          <w:szCs w:val="24"/>
        </w:rPr>
        <w:t xml:space="preserve"> Sci Dat</w:t>
      </w:r>
      <w:r w:rsidR="0087443B">
        <w:rPr>
          <w:sz w:val="24"/>
          <w:szCs w:val="24"/>
        </w:rPr>
        <w:t>a</w:t>
      </w:r>
      <w:r w:rsidRPr="00F33B92">
        <w:rPr>
          <w:sz w:val="24"/>
          <w:szCs w:val="24"/>
        </w:rPr>
        <w:t xml:space="preserve">. 2020 Jul 15;12(3):1561–623. </w:t>
      </w:r>
    </w:p>
    <w:p w14:paraId="1AB1B2C8" w14:textId="77777777" w:rsidR="00F33B92" w:rsidRPr="00F33B92" w:rsidRDefault="00F33B92" w:rsidP="00F33B92">
      <w:pPr>
        <w:rPr>
          <w:sz w:val="24"/>
          <w:szCs w:val="24"/>
        </w:rPr>
      </w:pPr>
      <w:r w:rsidRPr="00F33B92">
        <w:rPr>
          <w:sz w:val="24"/>
          <w:szCs w:val="24"/>
        </w:rPr>
        <w:t>3.</w:t>
      </w:r>
      <w:r w:rsidRPr="00F33B92">
        <w:rPr>
          <w:sz w:val="24"/>
          <w:szCs w:val="24"/>
        </w:rPr>
        <w:tab/>
        <w:t xml:space="preserve">Hanson RS, Hanson TE. Methanotrophic bacteria. Microbiol Rev. 1996 Jun;60(2):439–71. </w:t>
      </w:r>
    </w:p>
    <w:p w14:paraId="2E246BA3" w14:textId="35BE9586" w:rsidR="00F33B92" w:rsidRPr="00F33B92" w:rsidRDefault="00F33B92" w:rsidP="00F33B92">
      <w:pPr>
        <w:rPr>
          <w:sz w:val="24"/>
          <w:szCs w:val="24"/>
        </w:rPr>
      </w:pPr>
      <w:r w:rsidRPr="00F33B92">
        <w:rPr>
          <w:sz w:val="24"/>
          <w:szCs w:val="24"/>
        </w:rPr>
        <w:t>4.</w:t>
      </w:r>
      <w:r w:rsidRPr="00F33B92">
        <w:rPr>
          <w:sz w:val="24"/>
          <w:szCs w:val="24"/>
        </w:rPr>
        <w:tab/>
      </w:r>
      <w:r w:rsidR="0087443B" w:rsidRPr="0087443B">
        <w:rPr>
          <w:sz w:val="24"/>
          <w:szCs w:val="24"/>
        </w:rPr>
        <w:t>Bowman, J. (2006). The Methanotrophs — The Families Methylococcaceae and Methylocystaceae. In: Dworkin, M., Falkow, S., Rosenberg, E., Schleifer, KH., Stackebrandt, E. (eds) The Prokaryotes. Springer, New York, NY. https://doi.org/10.1007/0-387-30745-1_15</w:t>
      </w:r>
    </w:p>
    <w:p w14:paraId="464222E8" w14:textId="116594D3" w:rsidR="00F33B92" w:rsidRPr="00F33B92" w:rsidRDefault="00F33B92" w:rsidP="00F33B92">
      <w:pPr>
        <w:rPr>
          <w:sz w:val="24"/>
          <w:szCs w:val="24"/>
        </w:rPr>
      </w:pPr>
      <w:r w:rsidRPr="00F33B92">
        <w:rPr>
          <w:sz w:val="24"/>
          <w:szCs w:val="24"/>
        </w:rPr>
        <w:t>5.</w:t>
      </w:r>
      <w:r w:rsidRPr="00F33B92">
        <w:rPr>
          <w:sz w:val="24"/>
          <w:szCs w:val="24"/>
        </w:rPr>
        <w:tab/>
        <w:t xml:space="preserve">Fu Y, Li Y, Lidstrom M. The oxidative TCA cycle operates during methanotrophic growth of the Type I methanotroph Methylomicrobium buryatense 5GB1. Metab Eng. 2017 Jul 1;42:43–51. </w:t>
      </w:r>
    </w:p>
    <w:p w14:paraId="7241FE30" w14:textId="77777777" w:rsidR="00F33B92" w:rsidRPr="00F33B92" w:rsidRDefault="00F33B92" w:rsidP="00F33B92">
      <w:pPr>
        <w:rPr>
          <w:sz w:val="24"/>
          <w:szCs w:val="24"/>
        </w:rPr>
      </w:pPr>
      <w:r w:rsidRPr="00F33B92">
        <w:rPr>
          <w:sz w:val="24"/>
          <w:szCs w:val="24"/>
        </w:rPr>
        <w:t>6.</w:t>
      </w:r>
      <w:r w:rsidRPr="00F33B92">
        <w:rPr>
          <w:sz w:val="24"/>
          <w:szCs w:val="24"/>
        </w:rPr>
        <w:tab/>
        <w:t xml:space="preserve">Takeuchi M, Ozaki H, Hiraoka S, Kamagata Y, Sakata S, Yoshioka H, et al. Possible cross-feeding pathway of facultative methylotroph Methyloceanibacter caenitepidi Gela4 on methanotroph Methylocaldum marinum S8. PLOS ONE. 2019 Mar 14;14(3):e0213535. </w:t>
      </w:r>
    </w:p>
    <w:p w14:paraId="68C16475" w14:textId="77777777" w:rsidR="00F33B92" w:rsidRPr="00F33B92" w:rsidRDefault="00F33B92" w:rsidP="00F33B92">
      <w:pPr>
        <w:rPr>
          <w:sz w:val="24"/>
          <w:szCs w:val="24"/>
        </w:rPr>
      </w:pPr>
      <w:r w:rsidRPr="00F33B92">
        <w:rPr>
          <w:sz w:val="24"/>
          <w:szCs w:val="24"/>
        </w:rPr>
        <w:t>7.</w:t>
      </w:r>
      <w:r w:rsidRPr="00F33B92">
        <w:rPr>
          <w:sz w:val="24"/>
          <w:szCs w:val="24"/>
        </w:rPr>
        <w:tab/>
        <w:t xml:space="preserve">Krause SMB, Johnson T, Samadhi Karunaratne Y, Fu Y, Beck DAC, Chistoserdova L, et al. Lanthanide-dependent cross-feeding of methane-derived carbon is linked by microbial community interactions. Proc Natl Acad Sci USA. 2017 Jan 10;114(2):358–63. </w:t>
      </w:r>
    </w:p>
    <w:p w14:paraId="5E37C16E" w14:textId="53047A6C" w:rsidR="00F33B92" w:rsidRPr="00F33B92" w:rsidRDefault="00F33B92" w:rsidP="00F33B92">
      <w:pPr>
        <w:rPr>
          <w:sz w:val="24"/>
          <w:szCs w:val="24"/>
        </w:rPr>
      </w:pPr>
      <w:r w:rsidRPr="00F33B92">
        <w:rPr>
          <w:sz w:val="24"/>
          <w:szCs w:val="24"/>
        </w:rPr>
        <w:t>8.</w:t>
      </w:r>
      <w:r w:rsidRPr="00F33B92">
        <w:rPr>
          <w:sz w:val="24"/>
          <w:szCs w:val="24"/>
        </w:rPr>
        <w:tab/>
        <w:t xml:space="preserve">Hutchens E, Radajewski S, Dumont MG, McDonald IR, Murrell JC. Analysis of methanotrophic bacteria in Movile Cave by stable isotope probing. Environ Microbiol. 2004;6(2):111–20. </w:t>
      </w:r>
    </w:p>
    <w:p w14:paraId="1C048C81" w14:textId="17ADD848" w:rsidR="00F33B92" w:rsidRPr="00F33B92" w:rsidRDefault="00F33B92" w:rsidP="00F33B92">
      <w:pPr>
        <w:rPr>
          <w:sz w:val="24"/>
          <w:szCs w:val="24"/>
        </w:rPr>
      </w:pPr>
      <w:r w:rsidRPr="00F33B92">
        <w:rPr>
          <w:sz w:val="24"/>
          <w:szCs w:val="24"/>
        </w:rPr>
        <w:t>9.</w:t>
      </w:r>
      <w:r w:rsidRPr="00F33B92">
        <w:rPr>
          <w:sz w:val="24"/>
          <w:szCs w:val="24"/>
        </w:rPr>
        <w:tab/>
        <w:t xml:space="preserve">Murase J, Frenzel P. A methane-driven microbial food web in a wetland rice soil. Environ Microbiol. 2007;9(12):3025–34. </w:t>
      </w:r>
    </w:p>
    <w:p w14:paraId="758EE7C8" w14:textId="77777777" w:rsidR="00F33B92" w:rsidRPr="00F33B92" w:rsidRDefault="00F33B92" w:rsidP="00F33B92">
      <w:pPr>
        <w:rPr>
          <w:sz w:val="24"/>
          <w:szCs w:val="24"/>
        </w:rPr>
      </w:pPr>
      <w:r w:rsidRPr="00F33B92">
        <w:rPr>
          <w:sz w:val="24"/>
          <w:szCs w:val="24"/>
        </w:rPr>
        <w:t>10.</w:t>
      </w:r>
      <w:r w:rsidRPr="00F33B92">
        <w:rPr>
          <w:sz w:val="24"/>
          <w:szCs w:val="24"/>
        </w:rPr>
        <w:tab/>
        <w:t xml:space="preserve">Raghoebarsing AA, Smolders AJP, Schmid MC, Rijpstra WIC, Wolters-Arts M, Derksen J, et al. Methanotrophic symbionts provide carbon for photosynthesis in peat bogs. Nature. 2005 Aug;436(7054):1153–6. </w:t>
      </w:r>
    </w:p>
    <w:p w14:paraId="065EE955" w14:textId="107004B2" w:rsidR="00F33B92" w:rsidRPr="00F33B92" w:rsidRDefault="00F33B92" w:rsidP="00F33B92">
      <w:pPr>
        <w:rPr>
          <w:sz w:val="24"/>
          <w:szCs w:val="24"/>
        </w:rPr>
      </w:pPr>
      <w:r w:rsidRPr="00F33B92">
        <w:rPr>
          <w:sz w:val="24"/>
          <w:szCs w:val="24"/>
        </w:rPr>
        <w:t>11.</w:t>
      </w:r>
      <w:r w:rsidRPr="00F33B92">
        <w:rPr>
          <w:sz w:val="24"/>
          <w:szCs w:val="24"/>
        </w:rPr>
        <w:tab/>
        <w:t xml:space="preserve">van Duinen GA, Vermonden K, Bodelier PLE, Hendriks AJ, Leuven RSEW, Middelburg JJ, et al. Methane as a carbon source for the food web in raised bog pools. Freshwater Sci. 2013 Dec;32(4):1260–72. </w:t>
      </w:r>
    </w:p>
    <w:p w14:paraId="022A1728" w14:textId="711CDD34" w:rsidR="00F33B92" w:rsidRPr="00F33B92" w:rsidRDefault="00F33B92" w:rsidP="00F33B92">
      <w:pPr>
        <w:rPr>
          <w:sz w:val="24"/>
          <w:szCs w:val="24"/>
        </w:rPr>
      </w:pPr>
      <w:r w:rsidRPr="00F33B92">
        <w:rPr>
          <w:sz w:val="24"/>
          <w:szCs w:val="24"/>
        </w:rPr>
        <w:t>12.</w:t>
      </w:r>
      <w:r w:rsidRPr="00F33B92">
        <w:rPr>
          <w:sz w:val="24"/>
          <w:szCs w:val="24"/>
        </w:rPr>
        <w:tab/>
        <w:t xml:space="preserve">McDonald IR, Radajewski S, Murrell JC. Stable isotope probing of nucleic acids in methanotrophs and methylotrophs: A review. Org Geochem. 2005 May;36(5):779–87. </w:t>
      </w:r>
    </w:p>
    <w:p w14:paraId="23C712A1" w14:textId="33564813" w:rsidR="00F33B92" w:rsidRPr="00F33B92" w:rsidRDefault="00F33B92" w:rsidP="00F33B92">
      <w:pPr>
        <w:rPr>
          <w:sz w:val="24"/>
          <w:szCs w:val="24"/>
        </w:rPr>
      </w:pPr>
      <w:r w:rsidRPr="00F33B92">
        <w:rPr>
          <w:sz w:val="24"/>
          <w:szCs w:val="24"/>
        </w:rPr>
        <w:t>13.</w:t>
      </w:r>
      <w:r w:rsidRPr="00F33B92">
        <w:rPr>
          <w:sz w:val="24"/>
          <w:szCs w:val="24"/>
        </w:rPr>
        <w:tab/>
        <w:t xml:space="preserve">Iguchi H, Yurimoto H, Sakai Y. Stimulation of Methanotrophic Growth in Cocultures by Cobalamin Excreted by Rhizobia. App Environ Microbiol. 2011 Dec 15;77(24):8509–15. </w:t>
      </w:r>
    </w:p>
    <w:p w14:paraId="27226DB4" w14:textId="77777777" w:rsidR="00F33B92" w:rsidRPr="00F33B92" w:rsidRDefault="00F33B92" w:rsidP="00F33B92">
      <w:pPr>
        <w:rPr>
          <w:sz w:val="24"/>
          <w:szCs w:val="24"/>
        </w:rPr>
      </w:pPr>
      <w:r w:rsidRPr="00F33B92">
        <w:rPr>
          <w:sz w:val="24"/>
          <w:szCs w:val="24"/>
        </w:rPr>
        <w:lastRenderedPageBreak/>
        <w:t>14.</w:t>
      </w:r>
      <w:r w:rsidRPr="00F33B92">
        <w:rPr>
          <w:sz w:val="24"/>
          <w:szCs w:val="24"/>
        </w:rPr>
        <w:tab/>
        <w:t xml:space="preserve">Chen S, Zhou Y, Chen Y, Gu J. fastp: an ultra-fast all-in-one FASTQ preprocessor. Bioinformatics. 2018 Sep 1;34(17):i884–90. </w:t>
      </w:r>
    </w:p>
    <w:p w14:paraId="6ED75A3F" w14:textId="77777777" w:rsidR="00F33B92" w:rsidRPr="00F33B92" w:rsidRDefault="00F33B92" w:rsidP="00F33B92">
      <w:pPr>
        <w:rPr>
          <w:sz w:val="24"/>
          <w:szCs w:val="24"/>
        </w:rPr>
      </w:pPr>
      <w:r w:rsidRPr="00F33B92">
        <w:rPr>
          <w:sz w:val="24"/>
          <w:szCs w:val="24"/>
        </w:rPr>
        <w:t>15.</w:t>
      </w:r>
      <w:r w:rsidRPr="00F33B92">
        <w:rPr>
          <w:sz w:val="24"/>
          <w:szCs w:val="24"/>
        </w:rPr>
        <w:tab/>
        <w:t xml:space="preserve">Souvorov A, Agarwala R, Lipman DJ. SKESA: strategic k-mer extension for scrupulous assemblies. Genome Biol. 2018 Oct 4;19(1):153. </w:t>
      </w:r>
    </w:p>
    <w:p w14:paraId="56AE0425" w14:textId="77777777" w:rsidR="00F33B92" w:rsidRPr="00F33B92" w:rsidRDefault="00F33B92" w:rsidP="00F33B92">
      <w:pPr>
        <w:rPr>
          <w:sz w:val="24"/>
          <w:szCs w:val="24"/>
        </w:rPr>
      </w:pPr>
      <w:r w:rsidRPr="00F33B92">
        <w:rPr>
          <w:sz w:val="24"/>
          <w:szCs w:val="24"/>
        </w:rPr>
        <w:t>16.</w:t>
      </w:r>
      <w:r w:rsidRPr="00F33B92">
        <w:rPr>
          <w:sz w:val="24"/>
          <w:szCs w:val="24"/>
        </w:rPr>
        <w:tab/>
        <w:t xml:space="preserve">Parks DH, Imelfort M, Skennerton CT, Hugenholtz P, Tyson GW. CheckM: assessing the quality of microbial genomes recovered from isolates, single cells, and metagenomes. Genome Res. 2015 Jul;25(7):1043–55. </w:t>
      </w:r>
    </w:p>
    <w:p w14:paraId="6CE1D096" w14:textId="77777777" w:rsidR="00F33B92" w:rsidRPr="00F33B92" w:rsidRDefault="00F33B92" w:rsidP="00F33B92">
      <w:pPr>
        <w:rPr>
          <w:sz w:val="24"/>
          <w:szCs w:val="24"/>
        </w:rPr>
      </w:pPr>
      <w:r w:rsidRPr="00F33B92">
        <w:rPr>
          <w:sz w:val="24"/>
          <w:szCs w:val="24"/>
        </w:rPr>
        <w:t>17.</w:t>
      </w:r>
      <w:r w:rsidRPr="00F33B92">
        <w:rPr>
          <w:sz w:val="24"/>
          <w:szCs w:val="24"/>
        </w:rPr>
        <w:tab/>
        <w:t xml:space="preserve">O’Leary NA, Wright MW, Brister JR, Ciufo S, Haddad D, McVeigh R, et al. Reference sequence (RefSeq) database at NCBI: current status, taxonomic expansion, and functional annotation. Nucleic Acids Res. 2016 Jan 4;44(D1):D733-745. </w:t>
      </w:r>
    </w:p>
    <w:p w14:paraId="2E0BFFD5" w14:textId="77777777" w:rsidR="00F33B92" w:rsidRPr="00F33B92" w:rsidRDefault="00F33B92" w:rsidP="00F33B92">
      <w:pPr>
        <w:rPr>
          <w:sz w:val="24"/>
          <w:szCs w:val="24"/>
        </w:rPr>
      </w:pPr>
      <w:r w:rsidRPr="00F33B92">
        <w:rPr>
          <w:sz w:val="24"/>
          <w:szCs w:val="24"/>
        </w:rPr>
        <w:t>18.</w:t>
      </w:r>
      <w:r w:rsidRPr="00F33B92">
        <w:rPr>
          <w:sz w:val="24"/>
          <w:szCs w:val="24"/>
        </w:rPr>
        <w:tab/>
        <w:t xml:space="preserve">Hyatt D, Chen GL, LoCascio PF, Land ML, Larimer FW, Hauser LJ. Prodigal: prokaryotic gene recognition and translation initiation site identification. BMC Bioinformatics. 2010 Mar 8;11(1):119. </w:t>
      </w:r>
    </w:p>
    <w:p w14:paraId="1D62533E" w14:textId="77777777" w:rsidR="00F33B92" w:rsidRPr="00F33B92" w:rsidRDefault="00F33B92" w:rsidP="00F33B92">
      <w:pPr>
        <w:rPr>
          <w:sz w:val="24"/>
          <w:szCs w:val="24"/>
        </w:rPr>
      </w:pPr>
      <w:r w:rsidRPr="00F33B92">
        <w:rPr>
          <w:sz w:val="24"/>
          <w:szCs w:val="24"/>
        </w:rPr>
        <w:t>19.</w:t>
      </w:r>
      <w:r w:rsidRPr="00F33B92">
        <w:rPr>
          <w:sz w:val="24"/>
          <w:szCs w:val="24"/>
        </w:rPr>
        <w:tab/>
        <w:t xml:space="preserve">Seemann T. Barrnap: BAsic Rapid Ribosomal RNA Predictor. 2013. </w:t>
      </w:r>
    </w:p>
    <w:p w14:paraId="6020223A" w14:textId="77777777" w:rsidR="00F33B92" w:rsidRPr="00F33B92" w:rsidRDefault="00F33B92" w:rsidP="00F33B92">
      <w:pPr>
        <w:rPr>
          <w:sz w:val="24"/>
          <w:szCs w:val="24"/>
        </w:rPr>
      </w:pPr>
      <w:r w:rsidRPr="00F33B92">
        <w:rPr>
          <w:sz w:val="24"/>
          <w:szCs w:val="24"/>
        </w:rPr>
        <w:t>20.</w:t>
      </w:r>
      <w:r w:rsidRPr="00F33B92">
        <w:rPr>
          <w:sz w:val="24"/>
          <w:szCs w:val="24"/>
        </w:rPr>
        <w:tab/>
        <w:t xml:space="preserve">Langmead B, Salzberg SL. Fast gapped-read alignment with Bowtie 2. Nat Methods. 2012 Apr;9(4):357–9. </w:t>
      </w:r>
    </w:p>
    <w:p w14:paraId="4BCDE775" w14:textId="77777777" w:rsidR="00F33B92" w:rsidRPr="00F33B92" w:rsidRDefault="00F33B92" w:rsidP="00F33B92">
      <w:pPr>
        <w:rPr>
          <w:sz w:val="24"/>
          <w:szCs w:val="24"/>
        </w:rPr>
      </w:pPr>
      <w:r w:rsidRPr="00F33B92">
        <w:rPr>
          <w:sz w:val="24"/>
          <w:szCs w:val="24"/>
        </w:rPr>
        <w:t>21.</w:t>
      </w:r>
      <w:r w:rsidRPr="00F33B92">
        <w:rPr>
          <w:sz w:val="24"/>
          <w:szCs w:val="24"/>
        </w:rPr>
        <w:tab/>
        <w:t xml:space="preserve">Patro R, Duggal G, Love MI, Irizarry RA, Kingsford C. Salmon provides fast and bias-aware quantification of transcript expression. Nat Methods. 2017 Apr;14(4):417–9. </w:t>
      </w:r>
    </w:p>
    <w:p w14:paraId="35354BEC" w14:textId="7FC06F8F" w:rsidR="00F33B92" w:rsidRPr="00F33B92" w:rsidRDefault="00F33B92" w:rsidP="00F33B92">
      <w:pPr>
        <w:rPr>
          <w:sz w:val="24"/>
          <w:szCs w:val="24"/>
        </w:rPr>
      </w:pPr>
      <w:r w:rsidRPr="00F33B92">
        <w:rPr>
          <w:sz w:val="24"/>
          <w:szCs w:val="24"/>
        </w:rPr>
        <w:t>22.</w:t>
      </w:r>
      <w:r w:rsidRPr="00F33B92">
        <w:rPr>
          <w:sz w:val="24"/>
          <w:szCs w:val="24"/>
        </w:rPr>
        <w:tab/>
        <w:t xml:space="preserve">Love MI, Huber W, Anders S. Moderated estimation of fold change and dispersion for RNA-seq data with DESeq2. Genome Biol. 2014 Dec 5;15(12):550. </w:t>
      </w:r>
    </w:p>
    <w:p w14:paraId="58AE5D19" w14:textId="06FE389B" w:rsidR="00F33B92" w:rsidRPr="00F33B92" w:rsidRDefault="00F33B92" w:rsidP="00F33B92">
      <w:pPr>
        <w:rPr>
          <w:sz w:val="24"/>
          <w:szCs w:val="24"/>
        </w:rPr>
      </w:pPr>
      <w:r w:rsidRPr="00F33B92">
        <w:rPr>
          <w:sz w:val="24"/>
          <w:szCs w:val="24"/>
        </w:rPr>
        <w:t>23.</w:t>
      </w:r>
      <w:r w:rsidRPr="00F33B92">
        <w:rPr>
          <w:sz w:val="24"/>
          <w:szCs w:val="24"/>
        </w:rPr>
        <w:tab/>
        <w:t xml:space="preserve">Kanehisa M, Sato Y, Morishima K. BlastKOALA and GhostKOALA: KEGG Tools for Functional Characterization of Genome and Metagenome Sequences. J Mol Bio. 2016 Feb 22;428(4):726–31. </w:t>
      </w:r>
    </w:p>
    <w:p w14:paraId="3436630C" w14:textId="77777777" w:rsidR="00F33B92" w:rsidRPr="00F33B92" w:rsidRDefault="00F33B92" w:rsidP="00F33B92">
      <w:pPr>
        <w:rPr>
          <w:sz w:val="24"/>
          <w:szCs w:val="24"/>
        </w:rPr>
      </w:pPr>
      <w:r w:rsidRPr="00F33B92">
        <w:rPr>
          <w:sz w:val="24"/>
          <w:szCs w:val="24"/>
        </w:rPr>
        <w:t>24.</w:t>
      </w:r>
      <w:r w:rsidRPr="00F33B92">
        <w:rPr>
          <w:sz w:val="24"/>
          <w:szCs w:val="24"/>
        </w:rPr>
        <w:tab/>
        <w:t xml:space="preserve">Wongsaroj L, Saninjuk K, Romsang A, Duang-nkern J, Trinachartvanit W, Vattanaviboon P, et al. Pseudomonas aeruginosa glutathione biosynthesis genes play multiple roles in stress protection, bacterial virulence and biofilm formation. PLOS ONE. 2018 Oct 16;13(10):e0205815. </w:t>
      </w:r>
    </w:p>
    <w:p w14:paraId="25828A78" w14:textId="77777777" w:rsidR="00F33B92" w:rsidRPr="00F33B92" w:rsidRDefault="00F33B92" w:rsidP="00F33B92">
      <w:pPr>
        <w:rPr>
          <w:sz w:val="24"/>
          <w:szCs w:val="24"/>
        </w:rPr>
      </w:pPr>
      <w:r w:rsidRPr="00F33B92">
        <w:rPr>
          <w:sz w:val="24"/>
          <w:szCs w:val="24"/>
        </w:rPr>
        <w:t>25.</w:t>
      </w:r>
      <w:r w:rsidRPr="00F33B92">
        <w:rPr>
          <w:sz w:val="24"/>
          <w:szCs w:val="24"/>
        </w:rPr>
        <w:tab/>
        <w:t xml:space="preserve">Valentini M, Storelli N, Lapouge K. Identification of C4-Dicarboxylate Transport Systems in Pseudomonas aeruginosa PAO1. J Bacteriol. 2011 Sep;193(17):4307–16. </w:t>
      </w:r>
    </w:p>
    <w:p w14:paraId="1C06DF88" w14:textId="77777777" w:rsidR="00F33B92" w:rsidRPr="00F33B92" w:rsidRDefault="00F33B92" w:rsidP="00F33B92">
      <w:pPr>
        <w:rPr>
          <w:sz w:val="24"/>
          <w:szCs w:val="24"/>
        </w:rPr>
      </w:pPr>
      <w:r w:rsidRPr="00F33B92">
        <w:rPr>
          <w:sz w:val="24"/>
          <w:szCs w:val="24"/>
        </w:rPr>
        <w:t>26.</w:t>
      </w:r>
      <w:r w:rsidRPr="00F33B92">
        <w:rPr>
          <w:sz w:val="24"/>
          <w:szCs w:val="24"/>
        </w:rPr>
        <w:tab/>
        <w:t xml:space="preserve">Forward JA, Behrendt MC, Wyborn NR, Cross R, Kelly DJ. TRAP transporters: a new family of periplasmic solute transport systems encoded by the dctPQM genes of Rhodobacter capsulatus and by homologs in diverse gram-negative bacteria. J Bacteriol. 1997 Sep;179(17):5482–93. </w:t>
      </w:r>
    </w:p>
    <w:p w14:paraId="4EBA3840" w14:textId="6E57C033" w:rsidR="00F33B92" w:rsidRPr="00F33B92" w:rsidRDefault="00F33B92" w:rsidP="00F33B92">
      <w:pPr>
        <w:rPr>
          <w:sz w:val="24"/>
          <w:szCs w:val="24"/>
        </w:rPr>
      </w:pPr>
      <w:r w:rsidRPr="00F33B92">
        <w:rPr>
          <w:sz w:val="24"/>
          <w:szCs w:val="24"/>
        </w:rPr>
        <w:t>27.</w:t>
      </w:r>
      <w:r w:rsidRPr="00F33B92">
        <w:rPr>
          <w:sz w:val="24"/>
          <w:szCs w:val="24"/>
        </w:rPr>
        <w:tab/>
        <w:t>Nam HS, Anderson AJ, Yang KY, Cho BH, Kim YC. The dctA gene of Pseudomonas chlororaphis O6 is under RpoN control and is required for effective root colonization and induction of systemic resistance. FEMS Microbiol Lett</w:t>
      </w:r>
      <w:r w:rsidR="001A5D7A">
        <w:rPr>
          <w:sz w:val="24"/>
          <w:szCs w:val="24"/>
        </w:rPr>
        <w:t>s</w:t>
      </w:r>
      <w:r w:rsidRPr="00F33B92">
        <w:rPr>
          <w:sz w:val="24"/>
          <w:szCs w:val="24"/>
        </w:rPr>
        <w:t xml:space="preserve">. 2006 Mar 1;256(1):98–104. </w:t>
      </w:r>
    </w:p>
    <w:p w14:paraId="590CD2E7" w14:textId="77777777" w:rsidR="00F33B92" w:rsidRPr="00F33B92" w:rsidRDefault="00F33B92" w:rsidP="00F33B92">
      <w:pPr>
        <w:rPr>
          <w:sz w:val="24"/>
          <w:szCs w:val="24"/>
        </w:rPr>
      </w:pPr>
      <w:r w:rsidRPr="00F33B92">
        <w:rPr>
          <w:sz w:val="24"/>
          <w:szCs w:val="24"/>
        </w:rPr>
        <w:lastRenderedPageBreak/>
        <w:t>28.</w:t>
      </w:r>
      <w:r w:rsidRPr="00F33B92">
        <w:rPr>
          <w:sz w:val="24"/>
          <w:szCs w:val="24"/>
        </w:rPr>
        <w:tab/>
        <w:t xml:space="preserve">Youn JW, Jolkver E, Krämer R, Marin K, Wendisch VF. Characterization of the Dicarboxylate Transporter DctA in Corynebacterium glutamicum. J Bacteriol. 2009 Sep;191(17):5480–8. </w:t>
      </w:r>
    </w:p>
    <w:p w14:paraId="5C03D816" w14:textId="1DDD79CA" w:rsidR="00F33B92" w:rsidRPr="00F33B92" w:rsidRDefault="00F33B92" w:rsidP="00F33B92">
      <w:pPr>
        <w:rPr>
          <w:sz w:val="24"/>
          <w:szCs w:val="24"/>
        </w:rPr>
      </w:pPr>
      <w:r w:rsidRPr="00F33B92">
        <w:rPr>
          <w:sz w:val="24"/>
          <w:szCs w:val="24"/>
        </w:rPr>
        <w:t>29.</w:t>
      </w:r>
      <w:r w:rsidRPr="00F33B92">
        <w:rPr>
          <w:sz w:val="24"/>
          <w:szCs w:val="24"/>
        </w:rPr>
        <w:tab/>
        <w:t>Du J, Yin Q, Zhou X, Guo Q, Wu G. Distribution of extracellular amino acids and their potential functions in microbial cross-feeding in anaerobic digestion systems. Bioresour</w:t>
      </w:r>
      <w:r w:rsidR="001A5D7A">
        <w:rPr>
          <w:sz w:val="24"/>
          <w:szCs w:val="24"/>
        </w:rPr>
        <w:t xml:space="preserve"> </w:t>
      </w:r>
      <w:r w:rsidRPr="00F33B92">
        <w:rPr>
          <w:sz w:val="24"/>
          <w:szCs w:val="24"/>
        </w:rPr>
        <w:t xml:space="preserve">Technol. 2022 Sep 1;360:127535. </w:t>
      </w:r>
    </w:p>
    <w:p w14:paraId="1A859A9D" w14:textId="420C9C9E" w:rsidR="00F33B92" w:rsidRPr="00F33B92" w:rsidRDefault="00F33B92" w:rsidP="00F33B92">
      <w:pPr>
        <w:rPr>
          <w:sz w:val="24"/>
          <w:szCs w:val="24"/>
        </w:rPr>
      </w:pPr>
      <w:r w:rsidRPr="00F33B92">
        <w:rPr>
          <w:sz w:val="24"/>
          <w:szCs w:val="24"/>
        </w:rPr>
        <w:t>30.</w:t>
      </w:r>
      <w:r w:rsidRPr="00F33B92">
        <w:rPr>
          <w:sz w:val="24"/>
          <w:szCs w:val="24"/>
        </w:rPr>
        <w:tab/>
        <w:t>Ecology and evolution of metabolic cross-feeding interactions in bacteria. Nat</w:t>
      </w:r>
      <w:r w:rsidR="001A5D7A">
        <w:rPr>
          <w:sz w:val="24"/>
          <w:szCs w:val="24"/>
        </w:rPr>
        <w:t xml:space="preserve"> </w:t>
      </w:r>
      <w:r w:rsidRPr="00F33B92">
        <w:rPr>
          <w:sz w:val="24"/>
          <w:szCs w:val="24"/>
        </w:rPr>
        <w:t>Prod</w:t>
      </w:r>
      <w:r w:rsidR="001A5D7A">
        <w:rPr>
          <w:sz w:val="24"/>
          <w:szCs w:val="24"/>
        </w:rPr>
        <w:t xml:space="preserve"> </w:t>
      </w:r>
      <w:r w:rsidRPr="00F33B92">
        <w:rPr>
          <w:sz w:val="24"/>
          <w:szCs w:val="24"/>
        </w:rPr>
        <w:t xml:space="preserve">Rep. 2018 Jan 1;35(5):455–88. </w:t>
      </w:r>
    </w:p>
    <w:p w14:paraId="12892B9D" w14:textId="77777777" w:rsidR="00F33B92" w:rsidRPr="00F33B92" w:rsidRDefault="00F33B92" w:rsidP="00F33B92">
      <w:pPr>
        <w:rPr>
          <w:sz w:val="24"/>
          <w:szCs w:val="24"/>
        </w:rPr>
      </w:pPr>
      <w:r w:rsidRPr="00F33B92">
        <w:rPr>
          <w:sz w:val="24"/>
          <w:szCs w:val="24"/>
        </w:rPr>
        <w:t>31.</w:t>
      </w:r>
      <w:r w:rsidRPr="00F33B92">
        <w:rPr>
          <w:sz w:val="24"/>
          <w:szCs w:val="24"/>
        </w:rPr>
        <w:tab/>
        <w:t xml:space="preserve">Noji S, Nohno T, Saito T, Taniguchi S. The narK gene product participates in nitrate transport induced in Escherichia coli nitrate-respiring cells. FEBS Letters. 1989;252(1–2):139–43. </w:t>
      </w:r>
    </w:p>
    <w:p w14:paraId="335AF0D1" w14:textId="64C75672" w:rsidR="00F33B92" w:rsidRPr="00F33B92" w:rsidRDefault="00F33B92" w:rsidP="00F33B92">
      <w:pPr>
        <w:rPr>
          <w:sz w:val="24"/>
          <w:szCs w:val="24"/>
        </w:rPr>
      </w:pPr>
      <w:r w:rsidRPr="00F33B92">
        <w:rPr>
          <w:sz w:val="24"/>
          <w:szCs w:val="24"/>
        </w:rPr>
        <w:t>32.</w:t>
      </w:r>
      <w:r w:rsidRPr="00F33B92">
        <w:rPr>
          <w:sz w:val="24"/>
          <w:szCs w:val="24"/>
        </w:rPr>
        <w:tab/>
        <w:t xml:space="preserve">Lee J, Alrashed W, Engel K, Yoo K, Neufeld JD, Lee HS. Methane-based denitrification kinetics and syntrophy in a membrane biofilm reactor at low methane pressure. Sci Total Environ. 2019 Dec 10;695:133818. </w:t>
      </w:r>
    </w:p>
    <w:p w14:paraId="42D5400B" w14:textId="0929D0AD" w:rsidR="00F33B92" w:rsidRPr="00F33B92" w:rsidRDefault="00F33B92" w:rsidP="00F33B92">
      <w:pPr>
        <w:rPr>
          <w:sz w:val="24"/>
          <w:szCs w:val="24"/>
        </w:rPr>
      </w:pPr>
      <w:r w:rsidRPr="00F33B92">
        <w:rPr>
          <w:sz w:val="24"/>
          <w:szCs w:val="24"/>
        </w:rPr>
        <w:t>33.</w:t>
      </w:r>
      <w:r w:rsidRPr="00F33B92">
        <w:rPr>
          <w:sz w:val="24"/>
          <w:szCs w:val="24"/>
        </w:rPr>
        <w:tab/>
        <w:t>Imlay JA. Where in the world do bacteria experience oxidative stress? Environ</w:t>
      </w:r>
      <w:r w:rsidR="001A5D7A">
        <w:rPr>
          <w:sz w:val="24"/>
          <w:szCs w:val="24"/>
        </w:rPr>
        <w:t xml:space="preserve"> </w:t>
      </w:r>
      <w:r w:rsidRPr="00F33B92">
        <w:rPr>
          <w:sz w:val="24"/>
          <w:szCs w:val="24"/>
        </w:rPr>
        <w:t xml:space="preserve">Microbiol. 2019;21(2):521–30. </w:t>
      </w:r>
    </w:p>
    <w:p w14:paraId="0A06AFBB" w14:textId="37D99DC6" w:rsidR="00F33B92" w:rsidRPr="00F33B92" w:rsidRDefault="00F33B92" w:rsidP="00F33B92">
      <w:pPr>
        <w:rPr>
          <w:sz w:val="24"/>
          <w:szCs w:val="24"/>
        </w:rPr>
      </w:pPr>
      <w:r w:rsidRPr="00F33B92">
        <w:rPr>
          <w:sz w:val="24"/>
          <w:szCs w:val="24"/>
        </w:rPr>
        <w:t>34.</w:t>
      </w:r>
      <w:r w:rsidRPr="00F33B92">
        <w:rPr>
          <w:sz w:val="24"/>
          <w:szCs w:val="24"/>
        </w:rPr>
        <w:tab/>
        <w:t>González-Flecha B, Demple B. Homeostatic regulation of intracellular hydrogen peroxide concentration in aerobically growing Escherichia coli. J Bacteriol</w:t>
      </w:r>
      <w:r w:rsidR="009E4F0E">
        <w:rPr>
          <w:sz w:val="24"/>
          <w:szCs w:val="24"/>
        </w:rPr>
        <w:t xml:space="preserve">. </w:t>
      </w:r>
      <w:r w:rsidRPr="00F33B92">
        <w:rPr>
          <w:sz w:val="24"/>
          <w:szCs w:val="24"/>
        </w:rPr>
        <w:t>1997</w:t>
      </w:r>
    </w:p>
    <w:p w14:paraId="3D904238" w14:textId="725A27F0" w:rsidR="00F33B92" w:rsidRPr="00F33B92" w:rsidRDefault="00F33B92" w:rsidP="00F33B92">
      <w:pPr>
        <w:rPr>
          <w:sz w:val="24"/>
          <w:szCs w:val="24"/>
        </w:rPr>
      </w:pPr>
      <w:r w:rsidRPr="00F33B92">
        <w:rPr>
          <w:sz w:val="24"/>
          <w:szCs w:val="24"/>
        </w:rPr>
        <w:t>35.</w:t>
      </w:r>
      <w:r w:rsidRPr="00F33B92">
        <w:rPr>
          <w:sz w:val="24"/>
          <w:szCs w:val="24"/>
        </w:rPr>
        <w:tab/>
        <w:t xml:space="preserve">Shvinka JE, Toma MK, Galinina NI, SkĀRds IV, Viesturs UE. Production of Superoxide Radicals during Bacterial Respiration. Microbiol. 1979;113(2):377–82. </w:t>
      </w:r>
    </w:p>
    <w:p w14:paraId="62493B67" w14:textId="0DE0A30C" w:rsidR="00F33B92" w:rsidRPr="00F33B92" w:rsidRDefault="00F33B92" w:rsidP="00F33B92">
      <w:pPr>
        <w:rPr>
          <w:sz w:val="24"/>
          <w:szCs w:val="24"/>
        </w:rPr>
      </w:pPr>
      <w:r w:rsidRPr="00F33B92">
        <w:rPr>
          <w:sz w:val="24"/>
          <w:szCs w:val="24"/>
        </w:rPr>
        <w:t>36.</w:t>
      </w:r>
      <w:r w:rsidRPr="00F33B92">
        <w:rPr>
          <w:sz w:val="24"/>
          <w:szCs w:val="24"/>
        </w:rPr>
        <w:tab/>
        <w:t>Miyaji A, Suzuki M, Baba T, Kamachi T, Okura I. Hydrogen peroxide as an effecter on the inactivation of particulate methane monooxygenase under aerobic conditions. J Mol Catal B: Enz</w:t>
      </w:r>
      <w:r w:rsidR="001A5D7A">
        <w:rPr>
          <w:sz w:val="24"/>
          <w:szCs w:val="24"/>
        </w:rPr>
        <w:t>ym</w:t>
      </w:r>
      <w:r w:rsidRPr="00F33B92">
        <w:rPr>
          <w:sz w:val="24"/>
          <w:szCs w:val="24"/>
        </w:rPr>
        <w:t xml:space="preserve">. 2009 May 1;57(1):211–5. </w:t>
      </w:r>
    </w:p>
    <w:p w14:paraId="2E78CF30" w14:textId="39B70601" w:rsidR="00F33B92" w:rsidRPr="00F33B92" w:rsidRDefault="00F33B92" w:rsidP="00F33B92">
      <w:pPr>
        <w:rPr>
          <w:sz w:val="24"/>
          <w:szCs w:val="24"/>
        </w:rPr>
      </w:pPr>
      <w:r w:rsidRPr="00F33B92">
        <w:rPr>
          <w:sz w:val="24"/>
          <w:szCs w:val="24"/>
        </w:rPr>
        <w:t>37.</w:t>
      </w:r>
      <w:r w:rsidRPr="00F33B92">
        <w:rPr>
          <w:sz w:val="24"/>
          <w:szCs w:val="24"/>
        </w:rPr>
        <w:tab/>
      </w:r>
      <w:r w:rsidR="001A5D7A" w:rsidRPr="000C7072">
        <w:rPr>
          <w:sz w:val="24"/>
          <w:szCs w:val="24"/>
        </w:rPr>
        <w:t xml:space="preserve">Cabiscol Català E, Tamarit Sumalla J, Ros Salvador J. Oxidative stress in bacteria and protein damage by reactive oxygen species. </w:t>
      </w:r>
      <w:r w:rsidR="001A5D7A" w:rsidRPr="0087443B">
        <w:rPr>
          <w:sz w:val="24"/>
          <w:szCs w:val="24"/>
        </w:rPr>
        <w:t>Intern</w:t>
      </w:r>
      <w:r w:rsidR="001A5D7A">
        <w:rPr>
          <w:sz w:val="24"/>
          <w:szCs w:val="24"/>
        </w:rPr>
        <w:t>.</w:t>
      </w:r>
      <w:r w:rsidR="001A5D7A" w:rsidRPr="0087443B">
        <w:rPr>
          <w:sz w:val="24"/>
          <w:szCs w:val="24"/>
        </w:rPr>
        <w:t xml:space="preserve"> Micro</w:t>
      </w:r>
      <w:r w:rsidR="001A5D7A">
        <w:rPr>
          <w:sz w:val="24"/>
          <w:szCs w:val="24"/>
        </w:rPr>
        <w:t>.</w:t>
      </w:r>
      <w:r w:rsidR="001A5D7A" w:rsidRPr="0087443B">
        <w:rPr>
          <w:sz w:val="24"/>
          <w:szCs w:val="24"/>
        </w:rPr>
        <w:t>, 2000</w:t>
      </w:r>
      <w:r w:rsidR="001A5D7A">
        <w:rPr>
          <w:sz w:val="24"/>
          <w:szCs w:val="24"/>
        </w:rPr>
        <w:t>;3(1):</w:t>
      </w:r>
      <w:r w:rsidR="001A5D7A" w:rsidRPr="0087443B">
        <w:rPr>
          <w:sz w:val="24"/>
          <w:szCs w:val="24"/>
        </w:rPr>
        <w:t>3-8</w:t>
      </w:r>
    </w:p>
    <w:p w14:paraId="6BB12613" w14:textId="77777777" w:rsidR="00F33B92" w:rsidRPr="00F33B92" w:rsidRDefault="00F33B92" w:rsidP="00F33B92">
      <w:pPr>
        <w:rPr>
          <w:sz w:val="24"/>
          <w:szCs w:val="24"/>
        </w:rPr>
      </w:pPr>
      <w:r w:rsidRPr="00F33B92">
        <w:rPr>
          <w:sz w:val="24"/>
          <w:szCs w:val="24"/>
        </w:rPr>
        <w:t>38.</w:t>
      </w:r>
      <w:r w:rsidRPr="00F33B92">
        <w:rPr>
          <w:sz w:val="24"/>
          <w:szCs w:val="24"/>
        </w:rPr>
        <w:tab/>
        <w:t xml:space="preserve">Ross MO, Rosenzweig AC. A tale of two methane monooxygenases. J Biol Inorg Chem. 2017 Apr 1;22(2):307–19. </w:t>
      </w:r>
    </w:p>
    <w:p w14:paraId="060E853E" w14:textId="77777777" w:rsidR="00F33B92" w:rsidRPr="00F33B92" w:rsidRDefault="00F33B92" w:rsidP="00F33B92">
      <w:pPr>
        <w:rPr>
          <w:sz w:val="24"/>
          <w:szCs w:val="24"/>
        </w:rPr>
      </w:pPr>
      <w:r w:rsidRPr="00F33B92">
        <w:rPr>
          <w:sz w:val="24"/>
          <w:szCs w:val="24"/>
        </w:rPr>
        <w:t>39.</w:t>
      </w:r>
      <w:r w:rsidRPr="00F33B92">
        <w:rPr>
          <w:sz w:val="24"/>
          <w:szCs w:val="24"/>
        </w:rPr>
        <w:tab/>
        <w:t xml:space="preserve">Imlay JA. The molecular mechanisms and physiological consequences of oxidative stress: lessons from a model bacterium. Nat Rev Microbiol. 2013 Jul;11(7):443–54. </w:t>
      </w:r>
    </w:p>
    <w:p w14:paraId="2AD19EAD" w14:textId="761A4302" w:rsidR="000C7072" w:rsidRPr="00F33B92" w:rsidRDefault="00F33B92" w:rsidP="00F33B92">
      <w:pPr>
        <w:rPr>
          <w:sz w:val="24"/>
          <w:szCs w:val="24"/>
        </w:rPr>
      </w:pPr>
      <w:r w:rsidRPr="00F33B92">
        <w:rPr>
          <w:sz w:val="24"/>
          <w:szCs w:val="24"/>
        </w:rPr>
        <w:t>40.</w:t>
      </w:r>
      <w:r w:rsidRPr="00F33B92">
        <w:rPr>
          <w:sz w:val="24"/>
          <w:szCs w:val="24"/>
        </w:rPr>
        <w:tab/>
        <w:t>Lu J, Holmgren A. The thioredoxin antioxidant system. Free Radic Biol Med. 2014 Jan;66:75–87.</w:t>
      </w:r>
    </w:p>
    <w:p w14:paraId="17E2DB34" w14:textId="33C78B9F" w:rsidR="00364AE7" w:rsidRDefault="00364AE7" w:rsidP="00364AE7"/>
    <w:p w14:paraId="44DB8A7D" w14:textId="77777777" w:rsidR="001A5D7A" w:rsidRDefault="001A5D7A" w:rsidP="006E624A">
      <w:pPr>
        <w:pStyle w:val="Heading1"/>
      </w:pPr>
    </w:p>
    <w:p w14:paraId="4022CD1B" w14:textId="77777777" w:rsidR="001A5D7A" w:rsidRDefault="001A5D7A" w:rsidP="006E624A">
      <w:pPr>
        <w:pStyle w:val="Heading1"/>
      </w:pPr>
    </w:p>
    <w:p w14:paraId="647F2205" w14:textId="355CB1EE" w:rsidR="003D6F4A" w:rsidRPr="003D6F4A" w:rsidRDefault="00364AE7" w:rsidP="006E624A">
      <w:pPr>
        <w:pStyle w:val="Heading1"/>
        <w:rPr>
          <w:rFonts w:cs="Times New Roman"/>
          <w:sz w:val="22"/>
          <w:szCs w:val="22"/>
        </w:rPr>
      </w:pPr>
      <w:r>
        <w:lastRenderedPageBreak/>
        <w:t xml:space="preserve"> </w:t>
      </w:r>
      <w:bookmarkStart w:id="95" w:name="_Toc161933286"/>
      <w:bookmarkStart w:id="96" w:name="_Toc161933738"/>
      <w:bookmarkStart w:id="97" w:name="_Toc161934676"/>
      <w:bookmarkStart w:id="98" w:name="_Toc161935375"/>
      <w:bookmarkStart w:id="99" w:name="_Toc167115846"/>
      <w:r w:rsidR="003D6F4A" w:rsidRPr="003D6F4A">
        <w:rPr>
          <w:rFonts w:eastAsiaTheme="minorHAnsi"/>
        </w:rPr>
        <w:t>Chapter 4</w:t>
      </w:r>
      <w:bookmarkEnd w:id="95"/>
      <w:bookmarkEnd w:id="96"/>
      <w:bookmarkEnd w:id="97"/>
      <w:bookmarkEnd w:id="98"/>
      <w:bookmarkEnd w:id="99"/>
    </w:p>
    <w:p w14:paraId="7C48F42D" w14:textId="77777777" w:rsidR="003D6F4A" w:rsidRPr="003D6F4A" w:rsidRDefault="003D6F4A" w:rsidP="006E624A">
      <w:pPr>
        <w:pStyle w:val="Heading2"/>
        <w:jc w:val="center"/>
        <w:rPr>
          <w:rFonts w:eastAsiaTheme="minorHAnsi"/>
        </w:rPr>
      </w:pPr>
      <w:bookmarkStart w:id="100" w:name="_Toc167115847"/>
      <w:r w:rsidRPr="003D6F4A">
        <w:rPr>
          <w:rFonts w:eastAsiaTheme="minorHAnsi"/>
        </w:rPr>
        <w:t>Conclusion</w:t>
      </w:r>
      <w:bookmarkEnd w:id="100"/>
    </w:p>
    <w:p w14:paraId="5D43C917" w14:textId="156D3107" w:rsidR="003D6F4A" w:rsidRPr="003D6F4A" w:rsidRDefault="003D6F4A" w:rsidP="003D6F4A">
      <w:pPr>
        <w:spacing w:after="0" w:line="480" w:lineRule="auto"/>
        <w:rPr>
          <w:rFonts w:eastAsiaTheme="minorHAnsi" w:cs="Times New Roman (Body CS)"/>
          <w:kern w:val="2"/>
          <w:sz w:val="24"/>
          <w:szCs w:val="24"/>
          <w14:ligatures w14:val="standardContextual"/>
        </w:rPr>
      </w:pPr>
      <w:r w:rsidRPr="003D6F4A">
        <w:rPr>
          <w:rFonts w:eastAsiaTheme="minorHAnsi" w:cs="Times New Roman (Body CS)"/>
          <w:kern w:val="2"/>
          <w:sz w:val="24"/>
          <w:szCs w:val="24"/>
          <w14:ligatures w14:val="standardContextual"/>
        </w:rPr>
        <w:t xml:space="preserve">The whole of the work present in the previous chapters demonstrates the breadth and diversity of research regarding our understanding of the group of organisms known as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bacteria. The research is this field is so diverse because the impact of these organisms is critical to the carbon flux in a very wide variety of ecosystems, and methane metabolism is often the focus of many biotechnological applications including the generation of value-added products, and remediation of pollutants. </w:t>
      </w:r>
    </w:p>
    <w:p w14:paraId="0C864F2D" w14:textId="77777777" w:rsidR="003D6F4A" w:rsidRPr="003D6F4A" w:rsidRDefault="003D6F4A" w:rsidP="003D6F4A">
      <w:pPr>
        <w:spacing w:after="0" w:line="480" w:lineRule="auto"/>
        <w:rPr>
          <w:rFonts w:eastAsiaTheme="minorHAnsi" w:cs="Times New Roman (Body CS)"/>
          <w:kern w:val="2"/>
          <w:sz w:val="24"/>
          <w:szCs w:val="24"/>
          <w14:ligatures w14:val="standardContextual"/>
        </w:rPr>
      </w:pPr>
    </w:p>
    <w:p w14:paraId="17982055" w14:textId="1A57E4A2" w:rsidR="003D6F4A" w:rsidRPr="003D6F4A" w:rsidRDefault="003D6F4A" w:rsidP="003D6F4A">
      <w:pPr>
        <w:spacing w:after="0" w:line="480" w:lineRule="auto"/>
        <w:rPr>
          <w:rFonts w:eastAsiaTheme="minorHAnsi" w:cs="Times New Roman (Body CS)"/>
          <w:kern w:val="2"/>
          <w:sz w:val="24"/>
          <w:szCs w:val="24"/>
          <w14:ligatures w14:val="standardContextual"/>
        </w:rPr>
      </w:pPr>
      <w:r w:rsidRPr="003D6F4A">
        <w:rPr>
          <w:rFonts w:eastAsiaTheme="minorHAnsi" w:cs="Times New Roman (Body CS)"/>
          <w:kern w:val="2"/>
          <w:sz w:val="24"/>
          <w:szCs w:val="24"/>
          <w14:ligatures w14:val="standardContextual"/>
        </w:rPr>
        <w:t xml:space="preserve">This work summarized the knowledge gaps in the fields of ecology and physiology of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bacteria including how there was a lack of research into how different concentrations of oxygen or the presence of catalase in growth media as an ROS scavenger may affect the methane oxidation rate and alter the expression of ROS defense genes in MOB. This was despite previous knowledge of the chemical potential for MOB to generate ROS during methane metabolism and the critical role that oxygen flux and balance has on the physiology of any organism. </w:t>
      </w:r>
      <w:r w:rsidR="0031214E">
        <w:rPr>
          <w:rFonts w:eastAsiaTheme="minorHAnsi" w:cs="Times New Roman (Body CS)"/>
          <w:kern w:val="2"/>
          <w:sz w:val="24"/>
          <w:szCs w:val="24"/>
          <w14:ligatures w14:val="standardContextual"/>
        </w:rPr>
        <w:t>This study</w:t>
      </w:r>
      <w:r w:rsidRPr="003D6F4A">
        <w:rPr>
          <w:rFonts w:eastAsiaTheme="minorHAnsi" w:cs="Times New Roman (Body CS)"/>
          <w:kern w:val="2"/>
          <w:sz w:val="24"/>
          <w:szCs w:val="24"/>
          <w14:ligatures w14:val="standardContextual"/>
        </w:rPr>
        <w:t xml:space="preserve"> demonstrate</w:t>
      </w:r>
      <w:r w:rsidR="0031214E">
        <w:rPr>
          <w:rFonts w:eastAsiaTheme="minorHAnsi" w:cs="Times New Roman (Body CS)"/>
          <w:kern w:val="2"/>
          <w:sz w:val="24"/>
          <w:szCs w:val="24"/>
          <w14:ligatures w14:val="standardContextual"/>
        </w:rPr>
        <w:t>s</w:t>
      </w:r>
      <w:r w:rsidRPr="003D6F4A">
        <w:rPr>
          <w:rFonts w:eastAsiaTheme="minorHAnsi" w:cs="Times New Roman (Body CS)"/>
          <w:kern w:val="2"/>
          <w:sz w:val="24"/>
          <w:szCs w:val="24"/>
          <w14:ligatures w14:val="standardContextual"/>
        </w:rPr>
        <w:t xml:space="preserve"> for the first time that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bacteria alter their expression of ROS defense genes as a physiological response to increases in oxygen </w:t>
      </w:r>
      <w:r w:rsidR="00F3276D">
        <w:rPr>
          <w:rFonts w:eastAsiaTheme="minorHAnsi" w:cs="Times New Roman (Body CS)"/>
          <w:kern w:val="2"/>
          <w:sz w:val="24"/>
          <w:szCs w:val="24"/>
          <w14:ligatures w14:val="standardContextual"/>
        </w:rPr>
        <w:t xml:space="preserve">concentration </w:t>
      </w:r>
      <w:r w:rsidRPr="003D6F4A">
        <w:rPr>
          <w:rFonts w:eastAsiaTheme="minorHAnsi" w:cs="Times New Roman (Body CS)"/>
          <w:kern w:val="2"/>
          <w:sz w:val="24"/>
          <w:szCs w:val="24"/>
          <w14:ligatures w14:val="standardContextual"/>
        </w:rPr>
        <w:t xml:space="preserve">and that some MOB such as </w:t>
      </w:r>
      <w:r w:rsidRPr="003D6F4A">
        <w:rPr>
          <w:rFonts w:eastAsiaTheme="minorHAnsi" w:cs="Times New Roman (Body CS)"/>
          <w:i/>
          <w:iCs/>
          <w:kern w:val="2"/>
          <w:sz w:val="24"/>
          <w:szCs w:val="24"/>
          <w14:ligatures w14:val="standardContextual"/>
        </w:rPr>
        <w:t xml:space="preserve">Methylomonas </w:t>
      </w:r>
      <w:r w:rsidRPr="003D6F4A">
        <w:rPr>
          <w:rFonts w:eastAsiaTheme="minorHAnsi" w:cs="Times New Roman (Body CS)"/>
          <w:kern w:val="2"/>
          <w:sz w:val="24"/>
          <w:szCs w:val="24"/>
          <w14:ligatures w14:val="standardContextual"/>
        </w:rPr>
        <w:t xml:space="preserve">sp. WSC-7 may even utilize cell clumping as a response to unfavorable oxygen conditions. There are several implications to these findings. Foremost, it should be noted that even given that only two MOB were discussed at depth during our investigation into how oxygen impacts MOB physiology, there were major distinctions. Properly understanding and optimizing oxygen concentrations is critical when trying to utilize the unique abilities of methane oxidizers for biotechnological and bioremediation </w:t>
      </w:r>
      <w:r w:rsidRPr="003D6F4A">
        <w:rPr>
          <w:rFonts w:eastAsiaTheme="minorHAnsi" w:cs="Times New Roman (Body CS)"/>
          <w:kern w:val="2"/>
          <w:sz w:val="24"/>
          <w:szCs w:val="24"/>
          <w14:ligatures w14:val="standardContextual"/>
        </w:rPr>
        <w:lastRenderedPageBreak/>
        <w:t xml:space="preserve">purposes. Further, as </w:t>
      </w:r>
      <w:r w:rsidR="00D42C07">
        <w:rPr>
          <w:rFonts w:eastAsiaTheme="minorHAnsi" w:cs="Times New Roman (Body CS)"/>
          <w:kern w:val="2"/>
          <w:sz w:val="24"/>
          <w:szCs w:val="24"/>
          <w14:ligatures w14:val="standardContextual"/>
        </w:rPr>
        <w:t>researchers</w:t>
      </w:r>
      <w:r w:rsidRPr="003D6F4A">
        <w:rPr>
          <w:rFonts w:eastAsiaTheme="minorHAnsi" w:cs="Times New Roman (Body CS)"/>
          <w:kern w:val="2"/>
          <w:sz w:val="24"/>
          <w:szCs w:val="24"/>
          <w14:ligatures w14:val="standardContextual"/>
        </w:rPr>
        <w:t xml:space="preserve"> aim to isolate and characterize more methane oxidizers, careful consideration should be made to how ROS generation may hinder our ability to do so effectively. Consideration of oxygen concentrations in the environments where MOB are isolated should be paramount, as unfavorable oxygen concentrations could potentially lead to decreases in methane metabolism, and certain MOB being outcompeted during the enrichment process by MOB that have a wide variety of means allowing them to scavenge ROS and not be adversely affected by ROS toxicity. To further our understanding of how ROS and changes in oxygen concentration impact MOB, it would be beneficial to understand MOB response across a wider range of MOB and try to correlate physiological response to ROS with MOB ecology and evolution. This would allow for more precise means of refining enrichment conditions for the targeted isolation of a wider variety of MOB. </w:t>
      </w:r>
    </w:p>
    <w:p w14:paraId="421D0C15" w14:textId="33E05AAC" w:rsidR="003D6F4A" w:rsidRPr="003D6F4A" w:rsidRDefault="003D6F4A" w:rsidP="003D6F4A">
      <w:pPr>
        <w:spacing w:after="0" w:line="480" w:lineRule="auto"/>
        <w:rPr>
          <w:rFonts w:eastAsiaTheme="minorHAnsi" w:cs="Times New Roman (Body CS)"/>
          <w:kern w:val="2"/>
          <w:sz w:val="24"/>
          <w:szCs w:val="24"/>
          <w14:ligatures w14:val="standardContextual"/>
        </w:rPr>
      </w:pPr>
      <w:r w:rsidRPr="003D6F4A">
        <w:rPr>
          <w:rFonts w:eastAsiaTheme="minorHAnsi" w:cs="Times New Roman (Body CS)"/>
          <w:kern w:val="2"/>
          <w:sz w:val="24"/>
          <w:szCs w:val="24"/>
          <w14:ligatures w14:val="standardContextual"/>
        </w:rPr>
        <w:t xml:space="preserve">In addition to presenting a refined overview of how MOB respond to changes in oxygen concentration, this work also presented a novel perspective of how MOB behave in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with a variety of NMOHB that were isolated from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enrichment cultures. </w:t>
      </w:r>
      <w:r w:rsidR="00D42C07">
        <w:rPr>
          <w:rFonts w:eastAsiaTheme="minorHAnsi" w:cs="Times New Roman (Body CS)"/>
          <w:kern w:val="2"/>
          <w:sz w:val="24"/>
          <w:szCs w:val="24"/>
          <w14:ligatures w14:val="standardContextual"/>
        </w:rPr>
        <w:t>This work</w:t>
      </w:r>
      <w:r w:rsidRPr="003D6F4A">
        <w:rPr>
          <w:rFonts w:eastAsiaTheme="minorHAnsi" w:cs="Times New Roman (Body CS)"/>
          <w:kern w:val="2"/>
          <w:sz w:val="24"/>
          <w:szCs w:val="24"/>
          <w14:ligatures w14:val="standardContextual"/>
        </w:rPr>
        <w:t xml:space="preserve"> </w:t>
      </w:r>
      <w:r w:rsidR="00D42C07">
        <w:rPr>
          <w:rFonts w:eastAsiaTheme="minorHAnsi" w:cs="Times New Roman (Body CS)"/>
          <w:kern w:val="2"/>
          <w:sz w:val="24"/>
          <w:szCs w:val="24"/>
          <w14:ligatures w14:val="standardContextual"/>
        </w:rPr>
        <w:t>helped</w:t>
      </w:r>
      <w:r w:rsidRPr="003D6F4A">
        <w:rPr>
          <w:rFonts w:eastAsiaTheme="minorHAnsi" w:cs="Times New Roman (Body CS)"/>
          <w:kern w:val="2"/>
          <w:sz w:val="24"/>
          <w:szCs w:val="24"/>
          <w14:ligatures w14:val="standardContextual"/>
        </w:rPr>
        <w:t xml:space="preserve"> identify some potential means of carbon flux in our established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systems, and also demonstrated that NMOHB express ROS defense genes when growing in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systems. Until now, most work done on how MOB and NMOHB interact in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had been limited to carbon flux and cross-feeding. </w:t>
      </w:r>
      <w:r w:rsidR="00D42C07">
        <w:rPr>
          <w:rFonts w:eastAsiaTheme="minorHAnsi" w:cs="Times New Roman (Body CS)"/>
          <w:kern w:val="2"/>
          <w:sz w:val="24"/>
          <w:szCs w:val="24"/>
          <w14:ligatures w14:val="standardContextual"/>
        </w:rPr>
        <w:t>This work</w:t>
      </w:r>
      <w:r w:rsidRPr="003D6F4A">
        <w:rPr>
          <w:rFonts w:eastAsiaTheme="minorHAnsi" w:cs="Times New Roman (Body CS)"/>
          <w:kern w:val="2"/>
          <w:sz w:val="24"/>
          <w:szCs w:val="24"/>
          <w14:ligatures w14:val="standardContextual"/>
        </w:rPr>
        <w:t xml:space="preserve"> </w:t>
      </w:r>
      <w:r w:rsidR="00D42C07">
        <w:rPr>
          <w:rFonts w:eastAsiaTheme="minorHAnsi" w:cs="Times New Roman (Body CS)"/>
          <w:kern w:val="2"/>
          <w:sz w:val="24"/>
          <w:szCs w:val="24"/>
          <w14:ligatures w14:val="standardContextual"/>
        </w:rPr>
        <w:t xml:space="preserve">helped </w:t>
      </w:r>
      <w:r w:rsidRPr="003D6F4A">
        <w:rPr>
          <w:rFonts w:eastAsiaTheme="minorHAnsi" w:cs="Times New Roman (Body CS)"/>
          <w:kern w:val="2"/>
          <w:sz w:val="24"/>
          <w:szCs w:val="24"/>
          <w14:ligatures w14:val="standardContextual"/>
        </w:rPr>
        <w:t>pinpoint potential modes of cross-feeding in our system,</w:t>
      </w:r>
      <w:r w:rsidR="00D42C07">
        <w:rPr>
          <w:rFonts w:eastAsiaTheme="minorHAnsi" w:cs="Times New Roman (Body CS)"/>
          <w:kern w:val="2"/>
          <w:sz w:val="24"/>
          <w:szCs w:val="24"/>
          <w14:ligatures w14:val="standardContextual"/>
        </w:rPr>
        <w:t xml:space="preserve"> and</w:t>
      </w:r>
      <w:r w:rsidRPr="003D6F4A">
        <w:rPr>
          <w:rFonts w:eastAsiaTheme="minorHAnsi" w:cs="Times New Roman (Body CS)"/>
          <w:kern w:val="2"/>
          <w:sz w:val="24"/>
          <w:szCs w:val="24"/>
          <w14:ligatures w14:val="standardContextual"/>
        </w:rPr>
        <w:t xml:space="preserve"> also expanded the understanding of MOB community interactions by demonstrating the potential for NMOHB to deal with the negative consequences of ROS in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that there are changes in the expression of nitrite and amino acid utilization genes. It has been established that in some cases, the presence of NMOHB in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with MOB can provide growth stimulating effects to the MOB leading to increased growth rates or </w:t>
      </w:r>
      <w:r w:rsidRPr="003D6F4A">
        <w:rPr>
          <w:rFonts w:eastAsiaTheme="minorHAnsi" w:cs="Times New Roman (Body CS)"/>
          <w:kern w:val="2"/>
          <w:sz w:val="24"/>
          <w:szCs w:val="24"/>
          <w14:ligatures w14:val="standardContextual"/>
        </w:rPr>
        <w:lastRenderedPageBreak/>
        <w:t xml:space="preserve">MOR rates in these systems. </w:t>
      </w:r>
      <w:r w:rsidR="00D42C07">
        <w:rPr>
          <w:rFonts w:eastAsiaTheme="minorHAnsi" w:cs="Times New Roman (Body CS)"/>
          <w:kern w:val="2"/>
          <w:sz w:val="24"/>
          <w:szCs w:val="24"/>
          <w14:ligatures w14:val="standardContextual"/>
        </w:rPr>
        <w:t>Further, this work shows that</w:t>
      </w:r>
      <w:r w:rsidRPr="003D6F4A">
        <w:rPr>
          <w:rFonts w:eastAsiaTheme="minorHAnsi" w:cs="Times New Roman (Body CS)"/>
          <w:kern w:val="2"/>
          <w:sz w:val="24"/>
          <w:szCs w:val="24"/>
          <w14:ligatures w14:val="standardContextual"/>
        </w:rPr>
        <w:t xml:space="preserve"> when </w:t>
      </w:r>
      <w:r w:rsidRPr="003D6F4A">
        <w:rPr>
          <w:rFonts w:eastAsiaTheme="minorHAnsi" w:cs="Times New Roman (Body CS)"/>
          <w:i/>
          <w:iCs/>
          <w:kern w:val="2"/>
          <w:sz w:val="24"/>
          <w:szCs w:val="24"/>
          <w14:ligatures w14:val="standardContextual"/>
        </w:rPr>
        <w:t xml:space="preserve">Methylosinus trichosporium </w:t>
      </w:r>
      <w:r w:rsidRPr="003D6F4A">
        <w:rPr>
          <w:rFonts w:eastAsiaTheme="minorHAnsi" w:cs="Times New Roman (Body CS)"/>
          <w:kern w:val="2"/>
          <w:sz w:val="24"/>
          <w:szCs w:val="24"/>
          <w14:ligatures w14:val="standardContextual"/>
        </w:rPr>
        <w:t xml:space="preserve">OB3b is in </w:t>
      </w:r>
      <w:r w:rsidR="009B0281">
        <w:rPr>
          <w:rFonts w:eastAsiaTheme="minorHAnsi" w:cs="Times New Roman (Body CS)"/>
          <w:kern w:val="2"/>
          <w:sz w:val="24"/>
          <w:szCs w:val="24"/>
          <w14:ligatures w14:val="standardContextual"/>
        </w:rPr>
        <w:t>co-culture</w:t>
      </w:r>
      <w:r w:rsidRPr="003D6F4A">
        <w:rPr>
          <w:rFonts w:eastAsiaTheme="minorHAnsi" w:cs="Times New Roman (Body CS)"/>
          <w:kern w:val="2"/>
          <w:sz w:val="24"/>
          <w:szCs w:val="24"/>
          <w14:ligatures w14:val="standardContextual"/>
        </w:rPr>
        <w:t xml:space="preserve"> with </w:t>
      </w:r>
      <w:r w:rsidRPr="003D6F4A">
        <w:rPr>
          <w:rFonts w:eastAsiaTheme="minorHAnsi" w:cs="Times New Roman (Body CS)"/>
          <w:i/>
          <w:iCs/>
          <w:kern w:val="2"/>
          <w:sz w:val="24"/>
          <w:szCs w:val="24"/>
          <w14:ligatures w14:val="standardContextual"/>
        </w:rPr>
        <w:t xml:space="preserve">Pseudomonas chlororaphis </w:t>
      </w:r>
      <w:r w:rsidRPr="003D6F4A">
        <w:rPr>
          <w:rFonts w:eastAsiaTheme="minorHAnsi" w:cs="Times New Roman (Body CS)"/>
          <w:kern w:val="2"/>
          <w:sz w:val="24"/>
          <w:szCs w:val="24"/>
          <w14:ligatures w14:val="standardContextual"/>
        </w:rPr>
        <w:t>HC there is a growth stimulating effect</w:t>
      </w:r>
      <w:r w:rsidR="00D42C07">
        <w:rPr>
          <w:rFonts w:eastAsiaTheme="minorHAnsi" w:cs="Times New Roman (Body CS)"/>
          <w:kern w:val="2"/>
          <w:sz w:val="24"/>
          <w:szCs w:val="24"/>
          <w14:ligatures w14:val="standardContextual"/>
        </w:rPr>
        <w:t>.</w:t>
      </w:r>
      <w:r w:rsidRPr="003D6F4A">
        <w:rPr>
          <w:rFonts w:eastAsiaTheme="minorHAnsi" w:cs="Times New Roman (Body CS)"/>
          <w:kern w:val="2"/>
          <w:sz w:val="24"/>
          <w:szCs w:val="24"/>
          <w14:ligatures w14:val="standardContextual"/>
        </w:rPr>
        <w:t xml:space="preserve"> </w:t>
      </w:r>
      <w:r w:rsidR="00D42C07">
        <w:rPr>
          <w:rFonts w:eastAsiaTheme="minorHAnsi" w:cs="Times New Roman (Body CS)"/>
          <w:kern w:val="2"/>
          <w:sz w:val="24"/>
          <w:szCs w:val="24"/>
          <w14:ligatures w14:val="standardContextual"/>
        </w:rPr>
        <w:t>H</w:t>
      </w:r>
      <w:r w:rsidRPr="003D6F4A">
        <w:rPr>
          <w:rFonts w:eastAsiaTheme="minorHAnsi" w:cs="Times New Roman (Body CS)"/>
          <w:kern w:val="2"/>
          <w:sz w:val="24"/>
          <w:szCs w:val="24"/>
          <w14:ligatures w14:val="standardContextual"/>
        </w:rPr>
        <w:t>owever</w:t>
      </w:r>
      <w:r w:rsidR="00D42C07">
        <w:rPr>
          <w:rFonts w:eastAsiaTheme="minorHAnsi" w:cs="Times New Roman (Body CS)"/>
          <w:kern w:val="2"/>
          <w:sz w:val="24"/>
          <w:szCs w:val="24"/>
          <w14:ligatures w14:val="standardContextual"/>
        </w:rPr>
        <w:t>,</w:t>
      </w:r>
      <w:r w:rsidRPr="003D6F4A">
        <w:rPr>
          <w:rFonts w:eastAsiaTheme="minorHAnsi" w:cs="Times New Roman (Body CS)"/>
          <w:kern w:val="2"/>
          <w:sz w:val="24"/>
          <w:szCs w:val="24"/>
          <w14:ligatures w14:val="standardContextual"/>
        </w:rPr>
        <w:t xml:space="preserve"> </w:t>
      </w:r>
      <w:r w:rsidR="00D42C07">
        <w:rPr>
          <w:rFonts w:eastAsiaTheme="minorHAnsi" w:cs="Times New Roman (Body CS)"/>
          <w:kern w:val="2"/>
          <w:sz w:val="24"/>
          <w:szCs w:val="24"/>
          <w14:ligatures w14:val="standardContextual"/>
        </w:rPr>
        <w:t>the cause of his stimulation of the MOR is unknown</w:t>
      </w:r>
      <w:r w:rsidRPr="003D6F4A">
        <w:rPr>
          <w:rFonts w:eastAsiaTheme="minorHAnsi" w:cs="Times New Roman (Body CS)"/>
          <w:kern w:val="2"/>
          <w:sz w:val="24"/>
          <w:szCs w:val="24"/>
          <w14:ligatures w14:val="standardContextual"/>
        </w:rPr>
        <w:t xml:space="preserve">. Some future directions for this work may include trying to identify how MOB and NMOHB from the same ecosystem interreact to give insight into more ecologically relevant findings. </w:t>
      </w:r>
      <w:r w:rsidR="00922E13">
        <w:rPr>
          <w:rFonts w:eastAsiaTheme="minorHAnsi" w:cs="Times New Roman (Body CS)"/>
          <w:kern w:val="2"/>
          <w:sz w:val="24"/>
          <w:szCs w:val="24"/>
          <w14:ligatures w14:val="standardContextual"/>
        </w:rPr>
        <w:t>This study</w:t>
      </w:r>
      <w:r w:rsidRPr="003D6F4A">
        <w:rPr>
          <w:rFonts w:eastAsiaTheme="minorHAnsi" w:cs="Times New Roman (Body CS)"/>
          <w:kern w:val="2"/>
          <w:sz w:val="24"/>
          <w:szCs w:val="24"/>
          <w14:ligatures w14:val="standardContextual"/>
        </w:rPr>
        <w:t xml:space="preserve"> </w:t>
      </w:r>
      <w:r w:rsidR="00922E13">
        <w:rPr>
          <w:rFonts w:eastAsiaTheme="minorHAnsi" w:cs="Times New Roman (Body CS)"/>
          <w:kern w:val="2"/>
          <w:sz w:val="24"/>
          <w:szCs w:val="24"/>
          <w14:ligatures w14:val="standardContextual"/>
        </w:rPr>
        <w:t xml:space="preserve">utilized </w:t>
      </w:r>
      <w:r w:rsidRPr="003D6F4A">
        <w:rPr>
          <w:rFonts w:eastAsiaTheme="minorHAnsi" w:cs="Times New Roman (Body CS)"/>
          <w:kern w:val="2"/>
          <w:sz w:val="24"/>
          <w:szCs w:val="24"/>
          <w14:ligatures w14:val="standardContextual"/>
        </w:rPr>
        <w:t xml:space="preserve">NMOHB </w:t>
      </w:r>
      <w:r w:rsidR="00922E13">
        <w:rPr>
          <w:rFonts w:eastAsiaTheme="minorHAnsi" w:cs="Times New Roman (Body CS)"/>
          <w:kern w:val="2"/>
          <w:sz w:val="24"/>
          <w:szCs w:val="24"/>
          <w14:ligatures w14:val="standardContextual"/>
        </w:rPr>
        <w:t xml:space="preserve">that </w:t>
      </w:r>
      <w:r w:rsidRPr="003D6F4A">
        <w:rPr>
          <w:rFonts w:eastAsiaTheme="minorHAnsi" w:cs="Times New Roman (Body CS)"/>
          <w:kern w:val="2"/>
          <w:sz w:val="24"/>
          <w:szCs w:val="24"/>
          <w14:ligatures w14:val="standardContextual"/>
        </w:rPr>
        <w:t xml:space="preserve">were isolated from </w:t>
      </w:r>
      <w:r w:rsidR="007D3DBA">
        <w:rPr>
          <w:rFonts w:eastAsiaTheme="minorHAnsi" w:cs="Times New Roman (Body CS)"/>
          <w:kern w:val="2"/>
          <w:sz w:val="24"/>
          <w:szCs w:val="24"/>
          <w14:ligatures w14:val="standardContextual"/>
        </w:rPr>
        <w:t>methane-oxidizing</w:t>
      </w:r>
      <w:r w:rsidRPr="003D6F4A">
        <w:rPr>
          <w:rFonts w:eastAsiaTheme="minorHAnsi" w:cs="Times New Roman (Body CS)"/>
          <w:kern w:val="2"/>
          <w:sz w:val="24"/>
          <w:szCs w:val="24"/>
          <w14:ligatures w14:val="standardContextual"/>
        </w:rPr>
        <w:t xml:space="preserve"> enrichment cultures, </w:t>
      </w:r>
      <w:r w:rsidR="00922E13">
        <w:rPr>
          <w:rFonts w:eastAsiaTheme="minorHAnsi" w:cs="Times New Roman (Body CS)"/>
          <w:kern w:val="2"/>
          <w:sz w:val="24"/>
          <w:szCs w:val="24"/>
          <w14:ligatures w14:val="standardContextual"/>
        </w:rPr>
        <w:t xml:space="preserve">but </w:t>
      </w:r>
      <w:r w:rsidRPr="003D6F4A">
        <w:rPr>
          <w:rFonts w:eastAsiaTheme="minorHAnsi" w:cs="Times New Roman (Body CS)"/>
          <w:kern w:val="2"/>
          <w:sz w:val="24"/>
          <w:szCs w:val="24"/>
          <w14:ligatures w14:val="standardContextual"/>
        </w:rPr>
        <w:t xml:space="preserve">they may not primarily rely on </w:t>
      </w:r>
      <w:r w:rsidR="00922E13">
        <w:rPr>
          <w:rFonts w:eastAsiaTheme="minorHAnsi" w:cs="Times New Roman (Body CS)"/>
          <w:kern w:val="2"/>
          <w:sz w:val="24"/>
          <w:szCs w:val="24"/>
          <w14:ligatures w14:val="standardContextual"/>
        </w:rPr>
        <w:t>methane-derived</w:t>
      </w:r>
      <w:r w:rsidRPr="003D6F4A">
        <w:rPr>
          <w:rFonts w:eastAsiaTheme="minorHAnsi" w:cs="Times New Roman (Body CS)"/>
          <w:kern w:val="2"/>
          <w:sz w:val="24"/>
          <w:szCs w:val="24"/>
          <w14:ligatures w14:val="standardContextual"/>
        </w:rPr>
        <w:t xml:space="preserve"> car</w:t>
      </w:r>
      <w:r w:rsidR="00922E13">
        <w:rPr>
          <w:rFonts w:eastAsiaTheme="minorHAnsi" w:cs="Times New Roman (Body CS)"/>
          <w:kern w:val="2"/>
          <w:sz w:val="24"/>
          <w:szCs w:val="24"/>
          <w14:ligatures w14:val="standardContextual"/>
        </w:rPr>
        <w:t>b</w:t>
      </w:r>
      <w:r w:rsidRPr="003D6F4A">
        <w:rPr>
          <w:rFonts w:eastAsiaTheme="minorHAnsi" w:cs="Times New Roman (Body CS)"/>
          <w:kern w:val="2"/>
          <w:sz w:val="24"/>
          <w:szCs w:val="24"/>
          <w14:ligatures w14:val="standardContextual"/>
        </w:rPr>
        <w:t xml:space="preserve">on in the natural environment, nor is it assumed that they coexist with species of </w:t>
      </w:r>
      <w:r w:rsidRPr="003D6F4A">
        <w:rPr>
          <w:rFonts w:eastAsiaTheme="minorHAnsi" w:cs="Times New Roman (Body CS)"/>
          <w:i/>
          <w:iCs/>
          <w:kern w:val="2"/>
          <w:sz w:val="24"/>
          <w:szCs w:val="24"/>
          <w14:ligatures w14:val="standardContextual"/>
        </w:rPr>
        <w:t>Methylosinus</w:t>
      </w:r>
      <w:r w:rsidRPr="003D6F4A">
        <w:rPr>
          <w:rFonts w:eastAsiaTheme="minorHAnsi" w:cs="Times New Roman (Body CS)"/>
          <w:kern w:val="2"/>
          <w:sz w:val="24"/>
          <w:szCs w:val="24"/>
          <w14:ligatures w14:val="standardContextual"/>
        </w:rPr>
        <w:t>.</w:t>
      </w:r>
    </w:p>
    <w:p w14:paraId="2EDE5413" w14:textId="6F656C19" w:rsidR="003D6F4A" w:rsidRDefault="003D6F4A" w:rsidP="003D6F4A">
      <w:pPr>
        <w:spacing w:line="480" w:lineRule="auto"/>
      </w:pPr>
      <w:r w:rsidRPr="003D6F4A">
        <w:rPr>
          <w:rFonts w:eastAsiaTheme="minorHAnsi" w:cs="Times New Roman (Body CS)"/>
          <w:kern w:val="2"/>
          <w:sz w:val="24"/>
          <w:szCs w:val="24"/>
          <w14:ligatures w14:val="standardContextual"/>
        </w:rPr>
        <w:t xml:space="preserve">Finally, this dissertation presents the isolation and characterization of a novel species of MOB, </w:t>
      </w:r>
      <w:r w:rsidRPr="003D6F4A">
        <w:rPr>
          <w:rFonts w:eastAsiaTheme="minorHAnsi" w:cs="Times New Roman (Body CS)"/>
          <w:i/>
          <w:iCs/>
          <w:kern w:val="2"/>
          <w:sz w:val="24"/>
          <w:szCs w:val="24"/>
          <w14:ligatures w14:val="standardContextual"/>
        </w:rPr>
        <w:t>Methylocystis suflitae</w:t>
      </w:r>
      <w:r w:rsidRPr="003D6F4A">
        <w:rPr>
          <w:rFonts w:eastAsiaTheme="minorHAnsi" w:cs="Times New Roman (Body CS)"/>
          <w:kern w:val="2"/>
          <w:sz w:val="24"/>
          <w:szCs w:val="24"/>
          <w14:ligatures w14:val="standardContextual"/>
        </w:rPr>
        <w:t>, named for University of Oklahoma emeritus professor Joseph M. Suflita. The characterization of this species highlights a critical aspect of research in the study of MOB, but also in microbiology research as well. Successful discovery and taxonomic classification of new species of microorganisms is an essential component to understanding microbial ecology and cultivating new organisms for the use of microbes to better our world through biotechnological applications. In light of the other work presented in this dissertation, I am hopeful that considerations regarding oxygen concentration, and how microbes are interacting in their broader community may help to refine methods of enrichment and isolation of novel bacteria, especially in targeted approaches following the identification of the presence of specific microorganisms within a particular environment by metagenomic, functional gene, or 16S rRNA surveys.</w:t>
      </w:r>
    </w:p>
    <w:sectPr w:rsidR="003D6F4A" w:rsidSect="004839B1">
      <w:footerReference w:type="default" r:id="rId3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0CDB" w14:textId="77777777" w:rsidR="004219D7" w:rsidRDefault="004219D7" w:rsidP="00E2733E">
      <w:pPr>
        <w:spacing w:after="0" w:line="240" w:lineRule="auto"/>
      </w:pPr>
      <w:r>
        <w:separator/>
      </w:r>
    </w:p>
  </w:endnote>
  <w:endnote w:type="continuationSeparator" w:id="0">
    <w:p w14:paraId="2893F361" w14:textId="77777777" w:rsidR="004219D7" w:rsidRDefault="004219D7" w:rsidP="00E27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3817096"/>
      <w:docPartObj>
        <w:docPartGallery w:val="Page Numbers (Bottom of Page)"/>
        <w:docPartUnique/>
      </w:docPartObj>
    </w:sdtPr>
    <w:sdtContent>
      <w:p w14:paraId="142F86B7" w14:textId="5AAD92DC"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93968555"/>
      <w:docPartObj>
        <w:docPartGallery w:val="Page Numbers (Bottom of Page)"/>
        <w:docPartUnique/>
      </w:docPartObj>
    </w:sdtPr>
    <w:sdtContent>
      <w:p w14:paraId="5AAA9343" w14:textId="23EA72CC"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45400607"/>
      <w:docPartObj>
        <w:docPartGallery w:val="Page Numbers (Bottom of Page)"/>
        <w:docPartUnique/>
      </w:docPartObj>
    </w:sdtPr>
    <w:sdtContent>
      <w:p w14:paraId="7C398368" w14:textId="6B897436"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32684964"/>
      <w:docPartObj>
        <w:docPartGallery w:val="Page Numbers (Bottom of Page)"/>
        <w:docPartUnique/>
      </w:docPartObj>
    </w:sdtPr>
    <w:sdtContent>
      <w:p w14:paraId="36B81B1D" w14:textId="05651B76"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02548398"/>
      <w:docPartObj>
        <w:docPartGallery w:val="Page Numbers (Bottom of Page)"/>
        <w:docPartUnique/>
      </w:docPartObj>
    </w:sdtPr>
    <w:sdtContent>
      <w:p w14:paraId="5DEA8799" w14:textId="644F9591"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704CB0" w14:textId="77777777" w:rsidR="006E624A" w:rsidRDefault="006E6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9701" w14:textId="3F1BE39B" w:rsidR="006E624A" w:rsidRDefault="006E624A" w:rsidP="0059229C">
    <w:pPr>
      <w:pStyle w:val="Footer"/>
      <w:framePr w:wrap="none" w:vAnchor="text" w:hAnchor="margin" w:xAlign="center" w:y="1"/>
      <w:rPr>
        <w:rStyle w:val="PageNumber"/>
      </w:rPr>
    </w:pPr>
  </w:p>
  <w:p w14:paraId="1F0E1587" w14:textId="531C4904" w:rsidR="006E624A" w:rsidRDefault="006E624A" w:rsidP="0059229C">
    <w:pPr>
      <w:pStyle w:val="Footer"/>
      <w:framePr w:wrap="none" w:vAnchor="text" w:hAnchor="margin" w:xAlign="center" w:y="1"/>
      <w:rPr>
        <w:rStyle w:val="PageNumber"/>
      </w:rPr>
    </w:pPr>
  </w:p>
  <w:p w14:paraId="2076AB90" w14:textId="3F03BD7B" w:rsidR="006E624A" w:rsidRPr="003D6F4A" w:rsidRDefault="006E624A" w:rsidP="006E624A">
    <w:pPr>
      <w:pStyle w:val="Footer"/>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009662"/>
      <w:docPartObj>
        <w:docPartGallery w:val="Page Numbers (Bottom of Page)"/>
        <w:docPartUnique/>
      </w:docPartObj>
    </w:sdtPr>
    <w:sdtContent>
      <w:p w14:paraId="5F0E0E5F" w14:textId="2C2E5D2D" w:rsidR="006E624A" w:rsidRDefault="006E624A" w:rsidP="0059229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578AD9A" w14:textId="77777777" w:rsidR="006E624A" w:rsidRDefault="006E62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59141238"/>
      <w:docPartObj>
        <w:docPartGallery w:val="Page Numbers (Bottom of Page)"/>
        <w:docPartUnique/>
      </w:docPartObj>
    </w:sdtPr>
    <w:sdtContent>
      <w:p w14:paraId="030204A3" w14:textId="65D60414" w:rsidR="006E624A" w:rsidRPr="006E624A" w:rsidRDefault="006E624A" w:rsidP="006E624A">
        <w:pPr>
          <w:pStyle w:val="Footer"/>
          <w:framePr w:wrap="none" w:vAnchor="text" w:hAnchor="margin" w:xAlign="center" w:y="1"/>
          <w:jc w:val="center"/>
          <w:rPr>
            <w:rStyle w:val="PageNumber"/>
            <w:rFonts w:ascii="Times New Roman" w:hAnsi="Times New Roman" w:cs="Times New Roman"/>
            <w:sz w:val="24"/>
            <w:szCs w:val="24"/>
          </w:rPr>
        </w:pPr>
        <w:r w:rsidRPr="006E624A">
          <w:rPr>
            <w:rStyle w:val="PageNumber"/>
            <w:rFonts w:ascii="Times New Roman" w:hAnsi="Times New Roman" w:cs="Times New Roman"/>
            <w:sz w:val="24"/>
            <w:szCs w:val="24"/>
          </w:rPr>
          <w:fldChar w:fldCharType="begin"/>
        </w:r>
        <w:r w:rsidRPr="006E624A">
          <w:rPr>
            <w:rStyle w:val="PageNumber"/>
            <w:rFonts w:ascii="Times New Roman" w:hAnsi="Times New Roman" w:cs="Times New Roman"/>
            <w:sz w:val="24"/>
            <w:szCs w:val="24"/>
          </w:rPr>
          <w:instrText xml:space="preserve"> PAGE </w:instrText>
        </w:r>
        <w:r w:rsidRPr="006E624A">
          <w:rPr>
            <w:rStyle w:val="PageNumber"/>
            <w:rFonts w:ascii="Times New Roman" w:hAnsi="Times New Roman" w:cs="Times New Roman"/>
            <w:sz w:val="24"/>
            <w:szCs w:val="24"/>
          </w:rPr>
          <w:fldChar w:fldCharType="separate"/>
        </w:r>
        <w:r w:rsidRPr="006E624A">
          <w:rPr>
            <w:rStyle w:val="PageNumber"/>
            <w:rFonts w:ascii="Times New Roman" w:hAnsi="Times New Roman" w:cs="Times New Roman"/>
            <w:noProof/>
            <w:sz w:val="24"/>
            <w:szCs w:val="24"/>
          </w:rPr>
          <w:t>iv</w:t>
        </w:r>
        <w:r w:rsidRPr="006E624A">
          <w:rPr>
            <w:rStyle w:val="PageNumber"/>
            <w:rFonts w:ascii="Times New Roman" w:hAnsi="Times New Roman" w:cs="Times New Roman"/>
            <w:sz w:val="24"/>
            <w:szCs w:val="24"/>
          </w:rPr>
          <w:fldChar w:fldCharType="end"/>
        </w:r>
      </w:p>
    </w:sdtContent>
  </w:sdt>
  <w:p w14:paraId="10D20013" w14:textId="77D24AB3" w:rsidR="006E624A" w:rsidRDefault="006E624A" w:rsidP="0059229C">
    <w:pPr>
      <w:pStyle w:val="Footer"/>
      <w:framePr w:wrap="none" w:vAnchor="text" w:hAnchor="margin" w:xAlign="center" w:y="1"/>
      <w:rPr>
        <w:rStyle w:val="PageNumber"/>
      </w:rPr>
    </w:pPr>
  </w:p>
  <w:p w14:paraId="63599C69" w14:textId="77777777" w:rsidR="006E624A" w:rsidRDefault="006E624A" w:rsidP="0059229C">
    <w:pPr>
      <w:pStyle w:val="Footer"/>
      <w:framePr w:wrap="none" w:vAnchor="text" w:hAnchor="margin" w:xAlign="center" w:y="1"/>
      <w:rPr>
        <w:rStyle w:val="PageNumber"/>
      </w:rPr>
    </w:pPr>
  </w:p>
  <w:p w14:paraId="7FD266BB" w14:textId="77777777" w:rsidR="006E624A" w:rsidRPr="003D6F4A" w:rsidRDefault="006E624A" w:rsidP="006E624A">
    <w:pPr>
      <w:pStyle w:val="Footer"/>
      <w:jc w:val="center"/>
      <w:rPr>
        <w:rFonts w:ascii="Times New Roman" w:hAnsi="Times New Roman" w:cs="Times New Roman"/>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1501212"/>
      <w:docPartObj>
        <w:docPartGallery w:val="Page Numbers (Bottom of Page)"/>
        <w:docPartUnique/>
      </w:docPartObj>
    </w:sdtPr>
    <w:sdtEndPr>
      <w:rPr>
        <w:rStyle w:val="PageNumber"/>
        <w:rFonts w:ascii="Times New Roman" w:hAnsi="Times New Roman" w:cs="Times New Roman"/>
        <w:sz w:val="24"/>
        <w:szCs w:val="24"/>
      </w:rPr>
    </w:sdtEndPr>
    <w:sdtContent>
      <w:p w14:paraId="6BE9924B" w14:textId="4A3E7FD3" w:rsidR="006E624A" w:rsidRPr="006E624A" w:rsidRDefault="006E624A" w:rsidP="006E624A">
        <w:pPr>
          <w:pStyle w:val="Footer"/>
          <w:framePr w:wrap="none" w:vAnchor="text" w:hAnchor="margin" w:xAlign="center" w:y="1"/>
          <w:jc w:val="center"/>
          <w:rPr>
            <w:rStyle w:val="PageNumber"/>
            <w:rFonts w:ascii="Times New Roman" w:hAnsi="Times New Roman" w:cs="Times New Roman"/>
            <w:sz w:val="24"/>
            <w:szCs w:val="24"/>
          </w:rPr>
        </w:pPr>
        <w:r w:rsidRPr="006E624A">
          <w:rPr>
            <w:rStyle w:val="PageNumber"/>
            <w:rFonts w:ascii="Times New Roman" w:hAnsi="Times New Roman" w:cs="Times New Roman"/>
            <w:sz w:val="24"/>
            <w:szCs w:val="24"/>
          </w:rPr>
          <w:fldChar w:fldCharType="begin"/>
        </w:r>
        <w:r w:rsidRPr="006E624A">
          <w:rPr>
            <w:rStyle w:val="PageNumber"/>
            <w:rFonts w:ascii="Times New Roman" w:hAnsi="Times New Roman" w:cs="Times New Roman"/>
            <w:sz w:val="24"/>
            <w:szCs w:val="24"/>
          </w:rPr>
          <w:instrText xml:space="preserve"> PAGE </w:instrText>
        </w:r>
        <w:r w:rsidRPr="006E624A">
          <w:rPr>
            <w:rStyle w:val="PageNumber"/>
            <w:rFonts w:ascii="Times New Roman" w:hAnsi="Times New Roman" w:cs="Times New Roman"/>
            <w:sz w:val="24"/>
            <w:szCs w:val="24"/>
          </w:rPr>
          <w:fldChar w:fldCharType="separate"/>
        </w:r>
        <w:r w:rsidRPr="006E624A">
          <w:rPr>
            <w:rStyle w:val="PageNumber"/>
            <w:rFonts w:ascii="Times New Roman" w:hAnsi="Times New Roman" w:cs="Times New Roman"/>
            <w:noProof/>
            <w:sz w:val="24"/>
            <w:szCs w:val="24"/>
          </w:rPr>
          <w:t>1</w:t>
        </w:r>
        <w:r w:rsidRPr="006E624A">
          <w:rPr>
            <w:rStyle w:val="PageNumber"/>
            <w:rFonts w:ascii="Times New Roman" w:hAnsi="Times New Roman" w:cs="Times New Roman"/>
            <w:sz w:val="24"/>
            <w:szCs w:val="24"/>
          </w:rPr>
          <w:fldChar w:fldCharType="end"/>
        </w:r>
      </w:p>
    </w:sdtContent>
  </w:sdt>
  <w:p w14:paraId="09CA751B" w14:textId="14D4DE50" w:rsidR="006E624A" w:rsidRDefault="006E624A" w:rsidP="0059229C">
    <w:pPr>
      <w:pStyle w:val="Footer"/>
      <w:framePr w:wrap="none" w:vAnchor="text" w:hAnchor="margin" w:xAlign="center" w:y="1"/>
      <w:rPr>
        <w:rStyle w:val="PageNumber"/>
      </w:rPr>
    </w:pPr>
  </w:p>
  <w:p w14:paraId="36FB4262" w14:textId="77777777" w:rsidR="006E624A" w:rsidRDefault="006E624A" w:rsidP="0059229C">
    <w:pPr>
      <w:pStyle w:val="Footer"/>
      <w:framePr w:wrap="none" w:vAnchor="text" w:hAnchor="margin" w:xAlign="center" w:y="1"/>
      <w:rPr>
        <w:rStyle w:val="PageNumber"/>
      </w:rPr>
    </w:pPr>
  </w:p>
  <w:p w14:paraId="602E7E92" w14:textId="77777777" w:rsidR="006E624A" w:rsidRPr="003D6F4A" w:rsidRDefault="006E624A" w:rsidP="006E624A">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0614" w14:textId="77777777" w:rsidR="004219D7" w:rsidRDefault="004219D7" w:rsidP="00E2733E">
      <w:pPr>
        <w:spacing w:after="0" w:line="240" w:lineRule="auto"/>
      </w:pPr>
      <w:r>
        <w:separator/>
      </w:r>
    </w:p>
  </w:footnote>
  <w:footnote w:type="continuationSeparator" w:id="0">
    <w:p w14:paraId="50997830" w14:textId="77777777" w:rsidR="004219D7" w:rsidRDefault="004219D7" w:rsidP="00E273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71DDA"/>
    <w:multiLevelType w:val="hybridMultilevel"/>
    <w:tmpl w:val="5E9850A2"/>
    <w:lvl w:ilvl="0" w:tplc="B630F1E2">
      <w:start w:val="1"/>
      <w:numFmt w:val="decimal"/>
      <w:lvlText w:val="%1)"/>
      <w:lvlJc w:val="left"/>
      <w:pPr>
        <w:ind w:left="630" w:hanging="360"/>
      </w:pPr>
      <w:rPr>
        <w:rFonts w:hint="default"/>
        <w:b/>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2033994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053"/>
    <w:rsid w:val="00005DB0"/>
    <w:rsid w:val="00006179"/>
    <w:rsid w:val="00044CFD"/>
    <w:rsid w:val="00094018"/>
    <w:rsid w:val="000C31FC"/>
    <w:rsid w:val="000C7072"/>
    <w:rsid w:val="000E1AC8"/>
    <w:rsid w:val="00136EA0"/>
    <w:rsid w:val="00147743"/>
    <w:rsid w:val="001939AD"/>
    <w:rsid w:val="001A077E"/>
    <w:rsid w:val="001A5D7A"/>
    <w:rsid w:val="001B096A"/>
    <w:rsid w:val="001C2B5C"/>
    <w:rsid w:val="00202B1D"/>
    <w:rsid w:val="00224D46"/>
    <w:rsid w:val="0023119E"/>
    <w:rsid w:val="002403A7"/>
    <w:rsid w:val="00282C8C"/>
    <w:rsid w:val="00292E2C"/>
    <w:rsid w:val="002968B7"/>
    <w:rsid w:val="002D2E1C"/>
    <w:rsid w:val="00300DA2"/>
    <w:rsid w:val="00302C65"/>
    <w:rsid w:val="00304E0C"/>
    <w:rsid w:val="00306323"/>
    <w:rsid w:val="00306A21"/>
    <w:rsid w:val="0031214E"/>
    <w:rsid w:val="00314B0B"/>
    <w:rsid w:val="00317591"/>
    <w:rsid w:val="00325334"/>
    <w:rsid w:val="00326DAC"/>
    <w:rsid w:val="00330A95"/>
    <w:rsid w:val="003419FB"/>
    <w:rsid w:val="00364AE7"/>
    <w:rsid w:val="0037070D"/>
    <w:rsid w:val="00386772"/>
    <w:rsid w:val="003A1B56"/>
    <w:rsid w:val="003D6F4A"/>
    <w:rsid w:val="004219D7"/>
    <w:rsid w:val="00440C70"/>
    <w:rsid w:val="00450AAB"/>
    <w:rsid w:val="00460B5E"/>
    <w:rsid w:val="00465725"/>
    <w:rsid w:val="00475CF1"/>
    <w:rsid w:val="004839B1"/>
    <w:rsid w:val="00484542"/>
    <w:rsid w:val="00487E49"/>
    <w:rsid w:val="004B45BF"/>
    <w:rsid w:val="004D33E1"/>
    <w:rsid w:val="004D3930"/>
    <w:rsid w:val="004E2DBC"/>
    <w:rsid w:val="004F5205"/>
    <w:rsid w:val="00531E06"/>
    <w:rsid w:val="0054346B"/>
    <w:rsid w:val="005C0233"/>
    <w:rsid w:val="005D0DD9"/>
    <w:rsid w:val="005E05A5"/>
    <w:rsid w:val="005F0645"/>
    <w:rsid w:val="005F7401"/>
    <w:rsid w:val="005F7BA4"/>
    <w:rsid w:val="006042BB"/>
    <w:rsid w:val="0061620D"/>
    <w:rsid w:val="006240AE"/>
    <w:rsid w:val="0069629D"/>
    <w:rsid w:val="006A2F31"/>
    <w:rsid w:val="006B0B12"/>
    <w:rsid w:val="006B38F5"/>
    <w:rsid w:val="006D2A6A"/>
    <w:rsid w:val="006E624A"/>
    <w:rsid w:val="00721E8B"/>
    <w:rsid w:val="0075125D"/>
    <w:rsid w:val="00772E07"/>
    <w:rsid w:val="007A62B8"/>
    <w:rsid w:val="007B12A4"/>
    <w:rsid w:val="007D324E"/>
    <w:rsid w:val="007D3DBA"/>
    <w:rsid w:val="007D7606"/>
    <w:rsid w:val="007F1934"/>
    <w:rsid w:val="00830937"/>
    <w:rsid w:val="00834E59"/>
    <w:rsid w:val="0087443B"/>
    <w:rsid w:val="008764B1"/>
    <w:rsid w:val="00896DC5"/>
    <w:rsid w:val="008A57DC"/>
    <w:rsid w:val="008F74F3"/>
    <w:rsid w:val="00900F07"/>
    <w:rsid w:val="009024B6"/>
    <w:rsid w:val="00915712"/>
    <w:rsid w:val="00922E13"/>
    <w:rsid w:val="00936418"/>
    <w:rsid w:val="009414FF"/>
    <w:rsid w:val="009B0281"/>
    <w:rsid w:val="009D50C8"/>
    <w:rsid w:val="009E4F0E"/>
    <w:rsid w:val="00A550AA"/>
    <w:rsid w:val="00A56C5B"/>
    <w:rsid w:val="00A70C9B"/>
    <w:rsid w:val="00AB3E06"/>
    <w:rsid w:val="00AC1EAE"/>
    <w:rsid w:val="00AC3348"/>
    <w:rsid w:val="00AC40CE"/>
    <w:rsid w:val="00AE09AC"/>
    <w:rsid w:val="00B014B4"/>
    <w:rsid w:val="00B0705A"/>
    <w:rsid w:val="00B121B9"/>
    <w:rsid w:val="00B4445B"/>
    <w:rsid w:val="00B90746"/>
    <w:rsid w:val="00BE4B05"/>
    <w:rsid w:val="00BF3F87"/>
    <w:rsid w:val="00C12975"/>
    <w:rsid w:val="00C208FB"/>
    <w:rsid w:val="00C21D69"/>
    <w:rsid w:val="00C66A21"/>
    <w:rsid w:val="00C70053"/>
    <w:rsid w:val="00C805EB"/>
    <w:rsid w:val="00C93714"/>
    <w:rsid w:val="00C94D9F"/>
    <w:rsid w:val="00D23012"/>
    <w:rsid w:val="00D42C07"/>
    <w:rsid w:val="00D441AA"/>
    <w:rsid w:val="00D54AC3"/>
    <w:rsid w:val="00D83743"/>
    <w:rsid w:val="00D97CAE"/>
    <w:rsid w:val="00DD3C37"/>
    <w:rsid w:val="00DF0BFE"/>
    <w:rsid w:val="00E079B6"/>
    <w:rsid w:val="00E15078"/>
    <w:rsid w:val="00E2733E"/>
    <w:rsid w:val="00E43380"/>
    <w:rsid w:val="00E52DA5"/>
    <w:rsid w:val="00E96361"/>
    <w:rsid w:val="00EB700C"/>
    <w:rsid w:val="00EC180A"/>
    <w:rsid w:val="00ED63CF"/>
    <w:rsid w:val="00EE0A6F"/>
    <w:rsid w:val="00F17C44"/>
    <w:rsid w:val="00F24022"/>
    <w:rsid w:val="00F3276D"/>
    <w:rsid w:val="00F33B92"/>
    <w:rsid w:val="00F34184"/>
    <w:rsid w:val="00F54017"/>
    <w:rsid w:val="00F707D1"/>
    <w:rsid w:val="00F70A0D"/>
    <w:rsid w:val="00F7218B"/>
    <w:rsid w:val="00F75AFD"/>
    <w:rsid w:val="00F87EF7"/>
    <w:rsid w:val="00FA2DD0"/>
    <w:rsid w:val="00FB4646"/>
    <w:rsid w:val="00FC2432"/>
    <w:rsid w:val="00FC346E"/>
    <w:rsid w:val="08CB2C83"/>
    <w:rsid w:val="18A2AA20"/>
    <w:rsid w:val="28A37480"/>
    <w:rsid w:val="347D99D0"/>
    <w:rsid w:val="4456791F"/>
    <w:rsid w:val="4E67117F"/>
    <w:rsid w:val="5E7AF235"/>
    <w:rsid w:val="68C85FAA"/>
    <w:rsid w:val="69F0C21D"/>
    <w:rsid w:val="7CDC1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2634"/>
  <w15:chartTrackingRefBased/>
  <w15:docId w15:val="{C88233B9-EC4F-9142-8BD3-A41A7679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06"/>
    <w:pPr>
      <w:spacing w:after="160" w:line="259" w:lineRule="auto"/>
    </w:pPr>
    <w:rPr>
      <w:rFonts w:eastAsiaTheme="minorEastAsia" w:cs="Times New Roman"/>
      <w:kern w:val="0"/>
      <w:sz w:val="22"/>
      <w:szCs w:val="22"/>
      <w14:ligatures w14:val="none"/>
    </w:rPr>
  </w:style>
  <w:style w:type="paragraph" w:styleId="Heading1">
    <w:name w:val="heading 1"/>
    <w:basedOn w:val="Normal"/>
    <w:next w:val="Normal"/>
    <w:link w:val="Heading1Char"/>
    <w:uiPriority w:val="9"/>
    <w:qFormat/>
    <w:rsid w:val="006E624A"/>
    <w:pPr>
      <w:spacing w:after="240" w:line="240" w:lineRule="auto"/>
      <w:jc w:val="center"/>
      <w:outlineLvl w:val="0"/>
    </w:pPr>
    <w:rPr>
      <w:rFonts w:cstheme="minorHAnsi"/>
      <w:b/>
      <w:sz w:val="40"/>
      <w:szCs w:val="40"/>
      <w:u w:val="single"/>
    </w:rPr>
  </w:style>
  <w:style w:type="paragraph" w:styleId="Heading2">
    <w:name w:val="heading 2"/>
    <w:basedOn w:val="Normal"/>
    <w:next w:val="Normal"/>
    <w:link w:val="Heading2Char"/>
    <w:uiPriority w:val="9"/>
    <w:unhideWhenUsed/>
    <w:qFormat/>
    <w:rsid w:val="006E624A"/>
    <w:pPr>
      <w:outlineLvl w:val="1"/>
    </w:pPr>
    <w:rPr>
      <w:rFonts w:cstheme="minorHAnsi"/>
      <w:b/>
      <w:sz w:val="40"/>
      <w:szCs w:val="40"/>
    </w:rPr>
  </w:style>
  <w:style w:type="paragraph" w:styleId="Heading3">
    <w:name w:val="heading 3"/>
    <w:basedOn w:val="Normal"/>
    <w:next w:val="Normal"/>
    <w:link w:val="Heading3Char"/>
    <w:uiPriority w:val="9"/>
    <w:unhideWhenUsed/>
    <w:qFormat/>
    <w:rsid w:val="006E624A"/>
    <w:pPr>
      <w:spacing w:line="480" w:lineRule="auto"/>
      <w:outlineLvl w:val="2"/>
    </w:pPr>
    <w:rPr>
      <w:b/>
      <w:bCs/>
      <w:sz w:val="28"/>
      <w:szCs w:val="28"/>
    </w:rPr>
  </w:style>
  <w:style w:type="paragraph" w:styleId="Heading4">
    <w:name w:val="heading 4"/>
    <w:basedOn w:val="Normal"/>
    <w:next w:val="Normal"/>
    <w:link w:val="Heading4Char"/>
    <w:uiPriority w:val="9"/>
    <w:unhideWhenUsed/>
    <w:qFormat/>
    <w:rsid w:val="006E624A"/>
    <w:pPr>
      <w:spacing w:line="480" w:lineRule="auto"/>
      <w:textAlignment w:val="baseline"/>
      <w:outlineLvl w:val="3"/>
    </w:pPr>
    <w:rPr>
      <w:rFonts w:eastAsia="Times New Roman"/>
      <w:b/>
      <w:bCs/>
      <w:sz w:val="24"/>
      <w:szCs w:val="24"/>
    </w:rPr>
  </w:style>
  <w:style w:type="paragraph" w:styleId="Heading5">
    <w:name w:val="heading 5"/>
    <w:basedOn w:val="Normal"/>
    <w:next w:val="Normal"/>
    <w:link w:val="Heading5Char"/>
    <w:uiPriority w:val="9"/>
    <w:unhideWhenUsed/>
    <w:qFormat/>
    <w:rsid w:val="006A2F31"/>
    <w:pPr>
      <w:spacing w:line="480" w:lineRule="auto"/>
      <w:outlineLvl w:val="4"/>
    </w:pPr>
    <w:rPr>
      <w:b/>
      <w:bCs/>
      <w:color w:val="FFFFFF" w:themeColor="background1"/>
      <w:sz w:val="24"/>
      <w:szCs w:val="24"/>
    </w:rPr>
  </w:style>
  <w:style w:type="paragraph" w:styleId="Heading6">
    <w:name w:val="heading 6"/>
    <w:basedOn w:val="Normal"/>
    <w:next w:val="Normal"/>
    <w:link w:val="Heading6Char"/>
    <w:uiPriority w:val="9"/>
    <w:unhideWhenUsed/>
    <w:qFormat/>
    <w:rsid w:val="006A2F31"/>
    <w:pPr>
      <w:outlineLvl w:val="5"/>
    </w:pPr>
    <w:rPr>
      <w:rFonts w:cstheme="minorHAnsi"/>
      <w:color w:val="FFFFFF" w:themeColor="background1"/>
    </w:rPr>
  </w:style>
  <w:style w:type="paragraph" w:styleId="Heading7">
    <w:name w:val="heading 7"/>
    <w:basedOn w:val="Normal"/>
    <w:next w:val="Normal"/>
    <w:link w:val="Heading7Char"/>
    <w:uiPriority w:val="9"/>
    <w:semiHidden/>
    <w:unhideWhenUsed/>
    <w:qFormat/>
    <w:rsid w:val="00C7005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005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005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24A"/>
    <w:rPr>
      <w:rFonts w:eastAsiaTheme="minorEastAsia" w:cstheme="minorHAnsi"/>
      <w:b/>
      <w:kern w:val="0"/>
      <w:sz w:val="40"/>
      <w:szCs w:val="40"/>
      <w:u w:val="single"/>
      <w14:ligatures w14:val="none"/>
    </w:rPr>
  </w:style>
  <w:style w:type="character" w:customStyle="1" w:styleId="Heading2Char">
    <w:name w:val="Heading 2 Char"/>
    <w:basedOn w:val="DefaultParagraphFont"/>
    <w:link w:val="Heading2"/>
    <w:uiPriority w:val="9"/>
    <w:rsid w:val="006E624A"/>
    <w:rPr>
      <w:rFonts w:eastAsiaTheme="minorEastAsia" w:cstheme="minorHAnsi"/>
      <w:b/>
      <w:kern w:val="0"/>
      <w:sz w:val="40"/>
      <w:szCs w:val="40"/>
      <w14:ligatures w14:val="none"/>
    </w:rPr>
  </w:style>
  <w:style w:type="character" w:customStyle="1" w:styleId="Heading3Char">
    <w:name w:val="Heading 3 Char"/>
    <w:basedOn w:val="DefaultParagraphFont"/>
    <w:link w:val="Heading3"/>
    <w:uiPriority w:val="9"/>
    <w:rsid w:val="006E624A"/>
    <w:rPr>
      <w:rFonts w:eastAsiaTheme="minorEastAsia" w:cs="Times New Roman"/>
      <w:b/>
      <w:bCs/>
      <w:kern w:val="0"/>
      <w:sz w:val="28"/>
      <w:szCs w:val="28"/>
      <w14:ligatures w14:val="none"/>
    </w:rPr>
  </w:style>
  <w:style w:type="character" w:customStyle="1" w:styleId="Heading4Char">
    <w:name w:val="Heading 4 Char"/>
    <w:basedOn w:val="DefaultParagraphFont"/>
    <w:link w:val="Heading4"/>
    <w:uiPriority w:val="9"/>
    <w:rsid w:val="006E624A"/>
    <w:rPr>
      <w:rFonts w:eastAsia="Times New Roman" w:cs="Times New Roman"/>
      <w:b/>
      <w:bCs/>
      <w:kern w:val="0"/>
      <w14:ligatures w14:val="none"/>
    </w:rPr>
  </w:style>
  <w:style w:type="character" w:customStyle="1" w:styleId="Heading5Char">
    <w:name w:val="Heading 5 Char"/>
    <w:basedOn w:val="DefaultParagraphFont"/>
    <w:link w:val="Heading5"/>
    <w:uiPriority w:val="9"/>
    <w:rsid w:val="006A2F31"/>
    <w:rPr>
      <w:rFonts w:eastAsiaTheme="minorEastAsia" w:cs="Times New Roman"/>
      <w:b/>
      <w:bCs/>
      <w:color w:val="FFFFFF" w:themeColor="background1"/>
      <w:kern w:val="0"/>
      <w14:ligatures w14:val="none"/>
    </w:rPr>
  </w:style>
  <w:style w:type="character" w:customStyle="1" w:styleId="Heading6Char">
    <w:name w:val="Heading 6 Char"/>
    <w:basedOn w:val="DefaultParagraphFont"/>
    <w:link w:val="Heading6"/>
    <w:uiPriority w:val="9"/>
    <w:rsid w:val="006A2F31"/>
    <w:rPr>
      <w:rFonts w:eastAsiaTheme="minorEastAsia" w:cstheme="minorHAnsi"/>
      <w:color w:val="FFFFFF" w:themeColor="background1"/>
      <w:kern w:val="0"/>
      <w:sz w:val="22"/>
      <w:szCs w:val="22"/>
      <w14:ligatures w14:val="none"/>
    </w:rPr>
  </w:style>
  <w:style w:type="character" w:customStyle="1" w:styleId="Heading7Char">
    <w:name w:val="Heading 7 Char"/>
    <w:basedOn w:val="DefaultParagraphFont"/>
    <w:link w:val="Heading7"/>
    <w:uiPriority w:val="9"/>
    <w:semiHidden/>
    <w:rsid w:val="00C700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700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700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700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0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05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70053"/>
    <w:pPr>
      <w:spacing w:before="160"/>
      <w:jc w:val="center"/>
    </w:pPr>
    <w:rPr>
      <w:i/>
      <w:iCs/>
      <w:color w:val="404040" w:themeColor="text1" w:themeTint="BF"/>
    </w:rPr>
  </w:style>
  <w:style w:type="character" w:customStyle="1" w:styleId="QuoteChar">
    <w:name w:val="Quote Char"/>
    <w:basedOn w:val="DefaultParagraphFont"/>
    <w:link w:val="Quote"/>
    <w:uiPriority w:val="29"/>
    <w:rsid w:val="00C70053"/>
    <w:rPr>
      <w:i/>
      <w:iCs/>
      <w:color w:val="404040" w:themeColor="text1" w:themeTint="BF"/>
    </w:rPr>
  </w:style>
  <w:style w:type="paragraph" w:styleId="ListParagraph">
    <w:name w:val="List Paragraph"/>
    <w:basedOn w:val="Normal"/>
    <w:uiPriority w:val="34"/>
    <w:qFormat/>
    <w:rsid w:val="00C70053"/>
    <w:pPr>
      <w:ind w:left="720"/>
      <w:contextualSpacing/>
    </w:pPr>
  </w:style>
  <w:style w:type="character" w:styleId="IntenseEmphasis">
    <w:name w:val="Intense Emphasis"/>
    <w:basedOn w:val="DefaultParagraphFont"/>
    <w:uiPriority w:val="21"/>
    <w:qFormat/>
    <w:rsid w:val="00C70053"/>
    <w:rPr>
      <w:i/>
      <w:iCs/>
      <w:color w:val="0F4761" w:themeColor="accent1" w:themeShade="BF"/>
    </w:rPr>
  </w:style>
  <w:style w:type="paragraph" w:styleId="IntenseQuote">
    <w:name w:val="Intense Quote"/>
    <w:basedOn w:val="Normal"/>
    <w:next w:val="Normal"/>
    <w:link w:val="IntenseQuoteChar"/>
    <w:uiPriority w:val="30"/>
    <w:qFormat/>
    <w:rsid w:val="00C70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053"/>
    <w:rPr>
      <w:i/>
      <w:iCs/>
      <w:color w:val="0F4761" w:themeColor="accent1" w:themeShade="BF"/>
    </w:rPr>
  </w:style>
  <w:style w:type="character" w:styleId="IntenseReference">
    <w:name w:val="Intense Reference"/>
    <w:basedOn w:val="DefaultParagraphFont"/>
    <w:uiPriority w:val="32"/>
    <w:qFormat/>
    <w:rsid w:val="00C70053"/>
    <w:rPr>
      <w:b/>
      <w:bCs/>
      <w:smallCaps/>
      <w:color w:val="0F4761" w:themeColor="accent1" w:themeShade="BF"/>
      <w:spacing w:val="5"/>
    </w:rPr>
  </w:style>
  <w:style w:type="paragraph" w:styleId="Bibliography">
    <w:name w:val="Bibliography"/>
    <w:basedOn w:val="Normal"/>
    <w:next w:val="Normal"/>
    <w:uiPriority w:val="37"/>
    <w:unhideWhenUsed/>
    <w:rsid w:val="00364AE7"/>
    <w:pPr>
      <w:tabs>
        <w:tab w:val="left" w:pos="380"/>
      </w:tabs>
      <w:spacing w:after="240" w:line="240" w:lineRule="auto"/>
      <w:ind w:left="384" w:hanging="384"/>
    </w:pPr>
    <w:rPr>
      <w:rFonts w:asciiTheme="minorHAnsi" w:hAnsiTheme="minorHAnsi" w:cstheme="minorBidi"/>
    </w:rPr>
  </w:style>
  <w:style w:type="character" w:styleId="Hyperlink">
    <w:name w:val="Hyperlink"/>
    <w:basedOn w:val="DefaultParagraphFont"/>
    <w:uiPriority w:val="99"/>
    <w:unhideWhenUsed/>
    <w:rsid w:val="00364AE7"/>
    <w:rPr>
      <w:color w:val="467886" w:themeColor="hyperlink"/>
      <w:u w:val="single"/>
    </w:rPr>
  </w:style>
  <w:style w:type="character" w:styleId="UnresolvedMention">
    <w:name w:val="Unresolved Mention"/>
    <w:basedOn w:val="DefaultParagraphFont"/>
    <w:uiPriority w:val="99"/>
    <w:semiHidden/>
    <w:unhideWhenUsed/>
    <w:rsid w:val="00364AE7"/>
    <w:rPr>
      <w:color w:val="605E5C"/>
      <w:shd w:val="clear" w:color="auto" w:fill="E1DFDD"/>
    </w:rPr>
  </w:style>
  <w:style w:type="paragraph" w:styleId="Caption">
    <w:name w:val="caption"/>
    <w:basedOn w:val="Normal"/>
    <w:next w:val="Normal"/>
    <w:uiPriority w:val="35"/>
    <w:unhideWhenUsed/>
    <w:qFormat/>
    <w:rsid w:val="00364AE7"/>
    <w:pPr>
      <w:spacing w:after="200" w:line="240" w:lineRule="auto"/>
    </w:pPr>
    <w:rPr>
      <w:rFonts w:asciiTheme="minorHAnsi" w:hAnsiTheme="minorHAnsi" w:cstheme="minorBidi"/>
      <w:i/>
      <w:iCs/>
      <w:color w:val="0E2841" w:themeColor="text2"/>
      <w:sz w:val="18"/>
      <w:szCs w:val="18"/>
    </w:rPr>
  </w:style>
  <w:style w:type="character" w:styleId="CommentReference">
    <w:name w:val="annotation reference"/>
    <w:basedOn w:val="DefaultParagraphFont"/>
    <w:uiPriority w:val="99"/>
    <w:semiHidden/>
    <w:unhideWhenUsed/>
    <w:rsid w:val="00364AE7"/>
    <w:rPr>
      <w:sz w:val="18"/>
      <w:szCs w:val="18"/>
    </w:rPr>
  </w:style>
  <w:style w:type="paragraph" w:styleId="CommentText">
    <w:name w:val="annotation text"/>
    <w:basedOn w:val="Normal"/>
    <w:link w:val="CommentTextChar"/>
    <w:uiPriority w:val="99"/>
    <w:unhideWhenUsed/>
    <w:rsid w:val="00364AE7"/>
    <w:rPr>
      <w:rFonts w:asciiTheme="minorHAnsi" w:hAnsiTheme="minorHAnsi" w:cstheme="minorBidi"/>
    </w:rPr>
  </w:style>
  <w:style w:type="character" w:customStyle="1" w:styleId="CommentTextChar">
    <w:name w:val="Comment Text Char"/>
    <w:basedOn w:val="DefaultParagraphFont"/>
    <w:link w:val="CommentText"/>
    <w:uiPriority w:val="99"/>
    <w:rsid w:val="00364AE7"/>
    <w:rPr>
      <w:rFonts w:asciiTheme="minorHAnsi" w:eastAsiaTheme="minorEastAsia" w:hAnsiTheme="minorHAnsi" w:cstheme="minorBidi"/>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364AE7"/>
    <w:rPr>
      <w:b/>
      <w:bCs/>
    </w:rPr>
  </w:style>
  <w:style w:type="character" w:customStyle="1" w:styleId="CommentSubjectChar">
    <w:name w:val="Comment Subject Char"/>
    <w:basedOn w:val="CommentTextChar"/>
    <w:link w:val="CommentSubject"/>
    <w:uiPriority w:val="99"/>
    <w:semiHidden/>
    <w:rsid w:val="00364AE7"/>
    <w:rPr>
      <w:rFonts w:asciiTheme="minorHAnsi" w:eastAsiaTheme="minorEastAsia" w:hAnsiTheme="minorHAnsi" w:cstheme="minorBidi"/>
      <w:b/>
      <w:bCs/>
      <w:kern w:val="0"/>
      <w:sz w:val="22"/>
      <w:szCs w:val="22"/>
      <w14:ligatures w14:val="none"/>
    </w:rPr>
  </w:style>
  <w:style w:type="paragraph" w:styleId="Footer">
    <w:name w:val="footer"/>
    <w:basedOn w:val="Normal"/>
    <w:link w:val="FooterChar"/>
    <w:uiPriority w:val="99"/>
    <w:unhideWhenUsed/>
    <w:rsid w:val="00364AE7"/>
    <w:pPr>
      <w:tabs>
        <w:tab w:val="center" w:pos="4680"/>
        <w:tab w:val="right" w:pos="9360"/>
      </w:tabs>
      <w:snapToGrid w:val="0"/>
    </w:pPr>
    <w:rPr>
      <w:rFonts w:asciiTheme="minorHAnsi" w:hAnsiTheme="minorHAnsi" w:cstheme="minorBidi"/>
      <w:sz w:val="20"/>
      <w:szCs w:val="20"/>
    </w:rPr>
  </w:style>
  <w:style w:type="character" w:customStyle="1" w:styleId="FooterChar">
    <w:name w:val="Footer Char"/>
    <w:basedOn w:val="DefaultParagraphFont"/>
    <w:link w:val="Footer"/>
    <w:uiPriority w:val="99"/>
    <w:rsid w:val="00364AE7"/>
    <w:rPr>
      <w:rFonts w:asciiTheme="minorHAnsi" w:eastAsiaTheme="minorEastAsia" w:hAnsiTheme="minorHAnsi" w:cstheme="minorBidi"/>
      <w:kern w:val="0"/>
      <w:sz w:val="20"/>
      <w:szCs w:val="20"/>
      <w14:ligatures w14:val="none"/>
    </w:rPr>
  </w:style>
  <w:style w:type="character" w:styleId="PageNumber">
    <w:name w:val="page number"/>
    <w:basedOn w:val="DefaultParagraphFont"/>
    <w:uiPriority w:val="99"/>
    <w:semiHidden/>
    <w:unhideWhenUsed/>
    <w:rsid w:val="00364AE7"/>
  </w:style>
  <w:style w:type="paragraph" w:styleId="Revision">
    <w:name w:val="Revision"/>
    <w:hidden/>
    <w:uiPriority w:val="99"/>
    <w:semiHidden/>
    <w:rsid w:val="00364AE7"/>
    <w:rPr>
      <w:rFonts w:asciiTheme="minorHAnsi" w:eastAsiaTheme="minorEastAsia" w:hAnsiTheme="minorHAnsi" w:cstheme="minorBidi"/>
      <w:kern w:val="0"/>
      <w:sz w:val="22"/>
      <w:szCs w:val="22"/>
      <w14:ligatures w14:val="none"/>
    </w:rPr>
  </w:style>
  <w:style w:type="paragraph" w:styleId="Header">
    <w:name w:val="header"/>
    <w:basedOn w:val="Normal"/>
    <w:link w:val="HeaderChar"/>
    <w:uiPriority w:val="99"/>
    <w:unhideWhenUsed/>
    <w:rsid w:val="00364AE7"/>
    <w:pPr>
      <w:tabs>
        <w:tab w:val="center" w:pos="4680"/>
        <w:tab w:val="right" w:pos="9360"/>
      </w:tabs>
      <w:spacing w:after="0" w:line="240" w:lineRule="auto"/>
    </w:pPr>
    <w:rPr>
      <w:rFonts w:asciiTheme="minorHAnsi" w:hAnsiTheme="minorHAnsi" w:cstheme="minorBidi"/>
    </w:rPr>
  </w:style>
  <w:style w:type="character" w:customStyle="1" w:styleId="HeaderChar">
    <w:name w:val="Header Char"/>
    <w:basedOn w:val="DefaultParagraphFont"/>
    <w:link w:val="Header"/>
    <w:uiPriority w:val="99"/>
    <w:rsid w:val="00364AE7"/>
    <w:rPr>
      <w:rFonts w:asciiTheme="minorHAnsi" w:eastAsiaTheme="minorEastAsia" w:hAnsiTheme="minorHAnsi" w:cstheme="minorBidi"/>
      <w:kern w:val="0"/>
      <w:sz w:val="22"/>
      <w:szCs w:val="22"/>
      <w14:ligatures w14:val="none"/>
    </w:rPr>
  </w:style>
  <w:style w:type="character" w:styleId="FollowedHyperlink">
    <w:name w:val="FollowedHyperlink"/>
    <w:basedOn w:val="DefaultParagraphFont"/>
    <w:uiPriority w:val="99"/>
    <w:semiHidden/>
    <w:unhideWhenUsed/>
    <w:rsid w:val="00364AE7"/>
    <w:rPr>
      <w:color w:val="96607D" w:themeColor="followedHyperlink"/>
      <w:u w:val="single"/>
    </w:rPr>
  </w:style>
  <w:style w:type="paragraph" w:customStyle="1" w:styleId="TableParagraph">
    <w:name w:val="Table Paragraph"/>
    <w:basedOn w:val="Normal"/>
    <w:uiPriority w:val="1"/>
    <w:qFormat/>
    <w:rsid w:val="00364AE7"/>
    <w:pPr>
      <w:widowControl w:val="0"/>
      <w:autoSpaceDE w:val="0"/>
      <w:autoSpaceDN w:val="0"/>
      <w:spacing w:after="0" w:line="199" w:lineRule="exact"/>
      <w:jc w:val="center"/>
    </w:pPr>
    <w:rPr>
      <w:rFonts w:ascii="PMingLiU" w:eastAsia="PMingLiU" w:hAnsi="PMingLiU" w:cs="PMingLiU"/>
    </w:rPr>
  </w:style>
  <w:style w:type="character" w:styleId="LineNumber">
    <w:name w:val="line number"/>
    <w:basedOn w:val="DefaultParagraphFont"/>
    <w:uiPriority w:val="99"/>
    <w:semiHidden/>
    <w:unhideWhenUsed/>
    <w:rsid w:val="00364AE7"/>
  </w:style>
  <w:style w:type="table" w:styleId="TableGrid">
    <w:name w:val="Table Grid"/>
    <w:basedOn w:val="TableNormal"/>
    <w:uiPriority w:val="39"/>
    <w:rsid w:val="00364AE7"/>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D6F4A"/>
    <w:pPr>
      <w:spacing w:before="480" w:after="0" w:line="276" w:lineRule="auto"/>
      <w:outlineLvl w:val="9"/>
    </w:pPr>
    <w:rPr>
      <w:b w:val="0"/>
      <w:bCs/>
      <w:sz w:val="28"/>
      <w:szCs w:val="28"/>
    </w:rPr>
  </w:style>
  <w:style w:type="paragraph" w:styleId="TOC1">
    <w:name w:val="toc 1"/>
    <w:basedOn w:val="Normal"/>
    <w:next w:val="Normal"/>
    <w:autoRedefine/>
    <w:uiPriority w:val="39"/>
    <w:unhideWhenUsed/>
    <w:rsid w:val="003D6F4A"/>
    <w:pPr>
      <w:spacing w:before="360" w:after="0"/>
    </w:pPr>
    <w:rPr>
      <w:rFonts w:asciiTheme="majorHAnsi" w:hAnsiTheme="majorHAnsi"/>
      <w:b/>
      <w:bCs/>
      <w:caps/>
      <w:sz w:val="24"/>
      <w:szCs w:val="24"/>
    </w:rPr>
  </w:style>
  <w:style w:type="paragraph" w:styleId="TOC2">
    <w:name w:val="toc 2"/>
    <w:basedOn w:val="Normal"/>
    <w:next w:val="Normal"/>
    <w:autoRedefine/>
    <w:uiPriority w:val="39"/>
    <w:unhideWhenUsed/>
    <w:rsid w:val="006A2F31"/>
    <w:pPr>
      <w:spacing w:before="240" w:after="0"/>
    </w:pPr>
    <w:rPr>
      <w:rFonts w:asciiTheme="minorHAnsi" w:hAnsiTheme="minorHAnsi"/>
      <w:b/>
      <w:bCs/>
      <w:sz w:val="20"/>
      <w:szCs w:val="20"/>
    </w:rPr>
  </w:style>
  <w:style w:type="paragraph" w:styleId="TOC3">
    <w:name w:val="toc 3"/>
    <w:basedOn w:val="Normal"/>
    <w:next w:val="Normal"/>
    <w:autoRedefine/>
    <w:uiPriority w:val="39"/>
    <w:unhideWhenUsed/>
    <w:rsid w:val="003D6F4A"/>
    <w:pPr>
      <w:spacing w:after="0"/>
      <w:ind w:left="220"/>
    </w:pPr>
    <w:rPr>
      <w:rFonts w:asciiTheme="minorHAnsi" w:hAnsiTheme="minorHAnsi"/>
      <w:sz w:val="20"/>
      <w:szCs w:val="20"/>
    </w:rPr>
  </w:style>
  <w:style w:type="paragraph" w:styleId="TOC4">
    <w:name w:val="toc 4"/>
    <w:basedOn w:val="Normal"/>
    <w:next w:val="Normal"/>
    <w:autoRedefine/>
    <w:uiPriority w:val="39"/>
    <w:unhideWhenUsed/>
    <w:rsid w:val="003D6F4A"/>
    <w:pP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3D6F4A"/>
    <w:pP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3D6F4A"/>
    <w:pP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3D6F4A"/>
    <w:pP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3D6F4A"/>
    <w:pP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3D6F4A"/>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79464">
      <w:bodyDiv w:val="1"/>
      <w:marLeft w:val="0"/>
      <w:marRight w:val="0"/>
      <w:marTop w:val="0"/>
      <w:marBottom w:val="0"/>
      <w:divBdr>
        <w:top w:val="none" w:sz="0" w:space="0" w:color="auto"/>
        <w:left w:val="none" w:sz="0" w:space="0" w:color="auto"/>
        <w:bottom w:val="none" w:sz="0" w:space="0" w:color="auto"/>
        <w:right w:val="none" w:sz="0" w:space="0" w:color="auto"/>
      </w:divBdr>
    </w:div>
    <w:div w:id="112136222">
      <w:bodyDiv w:val="1"/>
      <w:marLeft w:val="0"/>
      <w:marRight w:val="0"/>
      <w:marTop w:val="0"/>
      <w:marBottom w:val="0"/>
      <w:divBdr>
        <w:top w:val="none" w:sz="0" w:space="0" w:color="auto"/>
        <w:left w:val="none" w:sz="0" w:space="0" w:color="auto"/>
        <w:bottom w:val="none" w:sz="0" w:space="0" w:color="auto"/>
        <w:right w:val="none" w:sz="0" w:space="0" w:color="auto"/>
      </w:divBdr>
    </w:div>
    <w:div w:id="390543590">
      <w:bodyDiv w:val="1"/>
      <w:marLeft w:val="0"/>
      <w:marRight w:val="0"/>
      <w:marTop w:val="0"/>
      <w:marBottom w:val="0"/>
      <w:divBdr>
        <w:top w:val="none" w:sz="0" w:space="0" w:color="auto"/>
        <w:left w:val="none" w:sz="0" w:space="0" w:color="auto"/>
        <w:bottom w:val="none" w:sz="0" w:space="0" w:color="auto"/>
        <w:right w:val="none" w:sz="0" w:space="0" w:color="auto"/>
      </w:divBdr>
    </w:div>
    <w:div w:id="499780253">
      <w:bodyDiv w:val="1"/>
      <w:marLeft w:val="0"/>
      <w:marRight w:val="0"/>
      <w:marTop w:val="0"/>
      <w:marBottom w:val="0"/>
      <w:divBdr>
        <w:top w:val="none" w:sz="0" w:space="0" w:color="auto"/>
        <w:left w:val="none" w:sz="0" w:space="0" w:color="auto"/>
        <w:bottom w:val="none" w:sz="0" w:space="0" w:color="auto"/>
        <w:right w:val="none" w:sz="0" w:space="0" w:color="auto"/>
      </w:divBdr>
    </w:div>
    <w:div w:id="653293248">
      <w:bodyDiv w:val="1"/>
      <w:marLeft w:val="0"/>
      <w:marRight w:val="0"/>
      <w:marTop w:val="0"/>
      <w:marBottom w:val="0"/>
      <w:divBdr>
        <w:top w:val="none" w:sz="0" w:space="0" w:color="auto"/>
        <w:left w:val="none" w:sz="0" w:space="0" w:color="auto"/>
        <w:bottom w:val="none" w:sz="0" w:space="0" w:color="auto"/>
        <w:right w:val="none" w:sz="0" w:space="0" w:color="auto"/>
      </w:divBdr>
    </w:div>
    <w:div w:id="968709747">
      <w:bodyDiv w:val="1"/>
      <w:marLeft w:val="0"/>
      <w:marRight w:val="0"/>
      <w:marTop w:val="0"/>
      <w:marBottom w:val="0"/>
      <w:divBdr>
        <w:top w:val="none" w:sz="0" w:space="0" w:color="auto"/>
        <w:left w:val="none" w:sz="0" w:space="0" w:color="auto"/>
        <w:bottom w:val="none" w:sz="0" w:space="0" w:color="auto"/>
        <w:right w:val="none" w:sz="0" w:space="0" w:color="auto"/>
      </w:divBdr>
    </w:div>
    <w:div w:id="1029258268">
      <w:bodyDiv w:val="1"/>
      <w:marLeft w:val="0"/>
      <w:marRight w:val="0"/>
      <w:marTop w:val="0"/>
      <w:marBottom w:val="0"/>
      <w:divBdr>
        <w:top w:val="none" w:sz="0" w:space="0" w:color="auto"/>
        <w:left w:val="none" w:sz="0" w:space="0" w:color="auto"/>
        <w:bottom w:val="none" w:sz="0" w:space="0" w:color="auto"/>
        <w:right w:val="none" w:sz="0" w:space="0" w:color="auto"/>
      </w:divBdr>
    </w:div>
    <w:div w:id="1091196401">
      <w:bodyDiv w:val="1"/>
      <w:marLeft w:val="0"/>
      <w:marRight w:val="0"/>
      <w:marTop w:val="0"/>
      <w:marBottom w:val="0"/>
      <w:divBdr>
        <w:top w:val="none" w:sz="0" w:space="0" w:color="auto"/>
        <w:left w:val="none" w:sz="0" w:space="0" w:color="auto"/>
        <w:bottom w:val="none" w:sz="0" w:space="0" w:color="auto"/>
        <w:right w:val="none" w:sz="0" w:space="0" w:color="auto"/>
      </w:divBdr>
    </w:div>
    <w:div w:id="1146360903">
      <w:bodyDiv w:val="1"/>
      <w:marLeft w:val="0"/>
      <w:marRight w:val="0"/>
      <w:marTop w:val="0"/>
      <w:marBottom w:val="0"/>
      <w:divBdr>
        <w:top w:val="none" w:sz="0" w:space="0" w:color="auto"/>
        <w:left w:val="none" w:sz="0" w:space="0" w:color="auto"/>
        <w:bottom w:val="none" w:sz="0" w:space="0" w:color="auto"/>
        <w:right w:val="none" w:sz="0" w:space="0" w:color="auto"/>
      </w:divBdr>
    </w:div>
    <w:div w:id="1162157163">
      <w:bodyDiv w:val="1"/>
      <w:marLeft w:val="0"/>
      <w:marRight w:val="0"/>
      <w:marTop w:val="0"/>
      <w:marBottom w:val="0"/>
      <w:divBdr>
        <w:top w:val="none" w:sz="0" w:space="0" w:color="auto"/>
        <w:left w:val="none" w:sz="0" w:space="0" w:color="auto"/>
        <w:bottom w:val="none" w:sz="0" w:space="0" w:color="auto"/>
        <w:right w:val="none" w:sz="0" w:space="0" w:color="auto"/>
      </w:divBdr>
    </w:div>
    <w:div w:id="1193156036">
      <w:bodyDiv w:val="1"/>
      <w:marLeft w:val="0"/>
      <w:marRight w:val="0"/>
      <w:marTop w:val="0"/>
      <w:marBottom w:val="0"/>
      <w:divBdr>
        <w:top w:val="none" w:sz="0" w:space="0" w:color="auto"/>
        <w:left w:val="none" w:sz="0" w:space="0" w:color="auto"/>
        <w:bottom w:val="none" w:sz="0" w:space="0" w:color="auto"/>
        <w:right w:val="none" w:sz="0" w:space="0" w:color="auto"/>
      </w:divBdr>
    </w:div>
    <w:div w:id="1252622330">
      <w:bodyDiv w:val="1"/>
      <w:marLeft w:val="0"/>
      <w:marRight w:val="0"/>
      <w:marTop w:val="0"/>
      <w:marBottom w:val="0"/>
      <w:divBdr>
        <w:top w:val="none" w:sz="0" w:space="0" w:color="auto"/>
        <w:left w:val="none" w:sz="0" w:space="0" w:color="auto"/>
        <w:bottom w:val="none" w:sz="0" w:space="0" w:color="auto"/>
        <w:right w:val="none" w:sz="0" w:space="0" w:color="auto"/>
      </w:divBdr>
    </w:div>
    <w:div w:id="1291673120">
      <w:bodyDiv w:val="1"/>
      <w:marLeft w:val="0"/>
      <w:marRight w:val="0"/>
      <w:marTop w:val="0"/>
      <w:marBottom w:val="0"/>
      <w:divBdr>
        <w:top w:val="none" w:sz="0" w:space="0" w:color="auto"/>
        <w:left w:val="none" w:sz="0" w:space="0" w:color="auto"/>
        <w:bottom w:val="none" w:sz="0" w:space="0" w:color="auto"/>
        <w:right w:val="none" w:sz="0" w:space="0" w:color="auto"/>
      </w:divBdr>
    </w:div>
    <w:div w:id="1329409327">
      <w:bodyDiv w:val="1"/>
      <w:marLeft w:val="0"/>
      <w:marRight w:val="0"/>
      <w:marTop w:val="0"/>
      <w:marBottom w:val="0"/>
      <w:divBdr>
        <w:top w:val="none" w:sz="0" w:space="0" w:color="auto"/>
        <w:left w:val="none" w:sz="0" w:space="0" w:color="auto"/>
        <w:bottom w:val="none" w:sz="0" w:space="0" w:color="auto"/>
        <w:right w:val="none" w:sz="0" w:space="0" w:color="auto"/>
      </w:divBdr>
    </w:div>
    <w:div w:id="1365670952">
      <w:bodyDiv w:val="1"/>
      <w:marLeft w:val="0"/>
      <w:marRight w:val="0"/>
      <w:marTop w:val="0"/>
      <w:marBottom w:val="0"/>
      <w:divBdr>
        <w:top w:val="none" w:sz="0" w:space="0" w:color="auto"/>
        <w:left w:val="none" w:sz="0" w:space="0" w:color="auto"/>
        <w:bottom w:val="none" w:sz="0" w:space="0" w:color="auto"/>
        <w:right w:val="none" w:sz="0" w:space="0" w:color="auto"/>
      </w:divBdr>
    </w:div>
    <w:div w:id="1526096133">
      <w:bodyDiv w:val="1"/>
      <w:marLeft w:val="0"/>
      <w:marRight w:val="0"/>
      <w:marTop w:val="0"/>
      <w:marBottom w:val="0"/>
      <w:divBdr>
        <w:top w:val="none" w:sz="0" w:space="0" w:color="auto"/>
        <w:left w:val="none" w:sz="0" w:space="0" w:color="auto"/>
        <w:bottom w:val="none" w:sz="0" w:space="0" w:color="auto"/>
        <w:right w:val="none" w:sz="0" w:space="0" w:color="auto"/>
      </w:divBdr>
    </w:div>
    <w:div w:id="1766463777">
      <w:bodyDiv w:val="1"/>
      <w:marLeft w:val="0"/>
      <w:marRight w:val="0"/>
      <w:marTop w:val="0"/>
      <w:marBottom w:val="0"/>
      <w:divBdr>
        <w:top w:val="none" w:sz="0" w:space="0" w:color="auto"/>
        <w:left w:val="none" w:sz="0" w:space="0" w:color="auto"/>
        <w:bottom w:val="none" w:sz="0" w:space="0" w:color="auto"/>
        <w:right w:val="none" w:sz="0" w:space="0" w:color="auto"/>
      </w:divBdr>
    </w:div>
    <w:div w:id="212923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footer" Target="footer3.xml"/><Relationship Id="rId19" Type="http://schemas.openxmlformats.org/officeDocument/2006/relationships/image" Target="media/image8.emf"/><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emf"/><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8E4FA-7422-004B-8E87-8602846F7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92</Pages>
  <Words>55652</Words>
  <Characters>317218</Characters>
  <Application>Microsoft Office Word</Application>
  <DocSecurity>0</DocSecurity>
  <Lines>2643</Lines>
  <Paragraphs>744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Christopher T.</dc:creator>
  <cp:keywords/>
  <dc:description/>
  <cp:lastModifiedBy>Garner, Christopher T.</cp:lastModifiedBy>
  <cp:revision>19</cp:revision>
  <cp:lastPrinted>2024-05-20T21:45:00Z</cp:lastPrinted>
  <dcterms:created xsi:type="dcterms:W3CDTF">2024-04-30T22:02:00Z</dcterms:created>
  <dcterms:modified xsi:type="dcterms:W3CDTF">2024-05-20T21:48:00Z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id="Lg0V3qvW"/&gt;&lt;style id="http://www.zotero.org/styles/vancouver" locale="en-US" hasBibliography="1" bibliographyStyleHasBeenSet="0"/&gt;&lt;prefs&gt;&lt;pref name="fieldType" value="Field"/&gt;&lt;/prefs&gt;&lt;/data&gt;</vt:lpwstr>
  </property>
</Properties>
</file>