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47DB1" w14:textId="77777777" w:rsidR="0017545E" w:rsidRPr="005927D3" w:rsidRDefault="0017545E" w:rsidP="0017545E">
      <w:pPr>
        <w:spacing w:line="276" w:lineRule="auto"/>
        <w:rPr>
          <w:rFonts w:ascii="Times New Roman" w:hAnsi="Times New Roman" w:cs="Times New Roman"/>
        </w:rPr>
      </w:pPr>
      <w:r w:rsidRPr="005927D3">
        <w:rPr>
          <w:rFonts w:ascii="Times New Roman" w:hAnsi="Times New Roman" w:cs="Times New Roman"/>
          <w:b/>
          <w:bCs/>
        </w:rPr>
        <w:t>Author Accepted Manuscript Statement:</w:t>
      </w:r>
      <w:r w:rsidRPr="005927D3">
        <w:rPr>
          <w:rFonts w:ascii="Times New Roman" w:hAnsi="Times New Roman" w:cs="Times New Roman"/>
        </w:rPr>
        <w:br/>
        <w:t>This is the Author Accepted Manuscript of the following article:</w:t>
      </w:r>
    </w:p>
    <w:p w14:paraId="0426C972" w14:textId="77777777" w:rsidR="0017545E" w:rsidRPr="005927D3" w:rsidRDefault="0017545E" w:rsidP="0017545E">
      <w:pPr>
        <w:spacing w:line="276" w:lineRule="auto"/>
        <w:rPr>
          <w:rFonts w:ascii="Times New Roman" w:hAnsi="Times New Roman" w:cs="Times New Roman"/>
        </w:rPr>
      </w:pPr>
      <w:r w:rsidRPr="005927D3">
        <w:rPr>
          <w:rFonts w:ascii="Times New Roman" w:hAnsi="Times New Roman" w:cs="Times New Roman"/>
        </w:rPr>
        <w:t xml:space="preserve">Lai, </w:t>
      </w:r>
      <w:r>
        <w:rPr>
          <w:rFonts w:ascii="Times New Roman" w:hAnsi="Times New Roman" w:cs="Times New Roman"/>
        </w:rPr>
        <w:t xml:space="preserve">P. </w:t>
      </w:r>
      <w:r w:rsidRPr="005927D3">
        <w:rPr>
          <w:rFonts w:ascii="Times New Roman" w:hAnsi="Times New Roman" w:cs="Times New Roman"/>
        </w:rPr>
        <w:t>H. L.</w:t>
      </w:r>
      <w:r>
        <w:rPr>
          <w:rFonts w:ascii="Times New Roman" w:hAnsi="Times New Roman" w:cs="Times New Roman"/>
        </w:rPr>
        <w:t xml:space="preserve"> &amp; White-Saul, B.</w:t>
      </w:r>
      <w:r w:rsidRPr="005927D3">
        <w:rPr>
          <w:rFonts w:ascii="Times New Roman" w:hAnsi="Times New Roman" w:cs="Times New Roman"/>
        </w:rPr>
        <w:t xml:space="preserve"> (2026). Culture-related influences on volunteerism in later life: A conceptual framework. </w:t>
      </w:r>
      <w:r w:rsidRPr="005927D3">
        <w:rPr>
          <w:rFonts w:ascii="Times New Roman" w:hAnsi="Times New Roman" w:cs="Times New Roman"/>
          <w:i/>
          <w:iCs/>
        </w:rPr>
        <w:t>Quality in Ageing and Older Adults</w:t>
      </w:r>
      <w:r w:rsidRPr="005927D3">
        <w:rPr>
          <w:rFonts w:ascii="Times New Roman" w:hAnsi="Times New Roman" w:cs="Times New Roman"/>
        </w:rPr>
        <w:t xml:space="preserve">. </w:t>
      </w:r>
      <w:hyperlink r:id="rId5" w:history="1">
        <w:r w:rsidRPr="0080517C">
          <w:rPr>
            <w:rStyle w:val="Hyperlink"/>
            <w:rFonts w:ascii="Times New Roman" w:hAnsi="Times New Roman" w:cs="Times New Roman"/>
          </w:rPr>
          <w:t>https://doi.org/10.1108/QAOA-01-2026-0005</w:t>
        </w:r>
      </w:hyperlink>
      <w:r>
        <w:rPr>
          <w:rFonts w:ascii="Times New Roman" w:hAnsi="Times New Roman" w:cs="Times New Roman"/>
        </w:rPr>
        <w:t xml:space="preserve"> </w:t>
      </w:r>
    </w:p>
    <w:p w14:paraId="5F0ABB3B" w14:textId="77777777" w:rsidR="0017545E" w:rsidRPr="005927D3" w:rsidRDefault="0017545E" w:rsidP="0017545E">
      <w:pPr>
        <w:spacing w:line="276" w:lineRule="auto"/>
        <w:rPr>
          <w:rFonts w:ascii="Times New Roman" w:hAnsi="Times New Roman" w:cs="Times New Roman"/>
        </w:rPr>
      </w:pPr>
      <w:r w:rsidRPr="005927D3">
        <w:rPr>
          <w:rFonts w:ascii="Times New Roman" w:hAnsi="Times New Roman" w:cs="Times New Roman"/>
        </w:rPr>
        <w:t xml:space="preserve">The final published version is available on Emerald Insight at: </w:t>
      </w:r>
      <w:hyperlink r:id="rId6" w:history="1">
        <w:r w:rsidRPr="0080517C">
          <w:rPr>
            <w:rStyle w:val="Hyperlink"/>
            <w:rFonts w:ascii="Times New Roman" w:hAnsi="Times New Roman" w:cs="Times New Roman"/>
          </w:rPr>
          <w:t>https://doi.org/10.1108/QAOA-01-2026-0005</w:t>
        </w:r>
      </w:hyperlink>
      <w:r>
        <w:rPr>
          <w:rFonts w:ascii="Times New Roman" w:hAnsi="Times New Roman" w:cs="Times New Roman"/>
        </w:rPr>
        <w:t xml:space="preserve"> </w:t>
      </w:r>
    </w:p>
    <w:p w14:paraId="39BDB5B4" w14:textId="77777777" w:rsidR="0017545E" w:rsidRPr="005927D3" w:rsidRDefault="0017545E" w:rsidP="0017545E">
      <w:pPr>
        <w:spacing w:line="276" w:lineRule="auto"/>
        <w:rPr>
          <w:rFonts w:ascii="Times New Roman" w:hAnsi="Times New Roman" w:cs="Times New Roman"/>
        </w:rPr>
      </w:pPr>
      <w:r w:rsidRPr="005927D3">
        <w:rPr>
          <w:rFonts w:ascii="Times New Roman" w:hAnsi="Times New Roman" w:cs="Times New Roman"/>
        </w:rPr>
        <w:t xml:space="preserve">This author accepted manuscript is deposited under a Creative Commons Attribution Non-commercial 4.0 International (CC BY-NC) </w:t>
      </w:r>
      <w:proofErr w:type="spellStart"/>
      <w:r w:rsidRPr="005927D3">
        <w:rPr>
          <w:rFonts w:ascii="Times New Roman" w:hAnsi="Times New Roman" w:cs="Times New Roman"/>
        </w:rPr>
        <w:t>licence</w:t>
      </w:r>
      <w:proofErr w:type="spellEnd"/>
      <w:r w:rsidRPr="005927D3">
        <w:rPr>
          <w:rFonts w:ascii="Times New Roman" w:hAnsi="Times New Roman" w:cs="Times New Roman"/>
        </w:rPr>
        <w:t xml:space="preserve">. This means that anyone may distribute, adapt, and build upon the work for non-commercial purposes, subject to full attribution. If you wish to use this manuscript for commercial purposes, please contact </w:t>
      </w:r>
      <w:hyperlink r:id="rId7" w:history="1">
        <w:r w:rsidRPr="005927D3">
          <w:rPr>
            <w:rStyle w:val="Hyperlink"/>
            <w:rFonts w:ascii="Times New Roman" w:hAnsi="Times New Roman" w:cs="Times New Roman"/>
          </w:rPr>
          <w:t>permissions@emerald.com</w:t>
        </w:r>
      </w:hyperlink>
      <w:r w:rsidRPr="005927D3">
        <w:rPr>
          <w:rFonts w:ascii="Times New Roman" w:hAnsi="Times New Roman" w:cs="Times New Roman"/>
        </w:rPr>
        <w:t>.</w:t>
      </w:r>
    </w:p>
    <w:p w14:paraId="6BCBB641" w14:textId="77777777" w:rsidR="00D30350" w:rsidRDefault="00D30350" w:rsidP="00D30350">
      <w:pPr>
        <w:spacing w:after="120" w:line="276" w:lineRule="auto"/>
        <w:jc w:val="center"/>
        <w:rPr>
          <w:rFonts w:ascii="Times New Roman" w:hAnsi="Times New Roman" w:cs="Times New Roman"/>
          <w:b/>
          <w:bCs/>
        </w:rPr>
      </w:pPr>
    </w:p>
    <w:p w14:paraId="60E480EC" w14:textId="1A8141F3" w:rsidR="00D30350" w:rsidRDefault="00D30350" w:rsidP="00D30350">
      <w:pPr>
        <w:spacing w:after="120" w:line="276" w:lineRule="auto"/>
        <w:jc w:val="center"/>
        <w:rPr>
          <w:rFonts w:ascii="Times New Roman" w:hAnsi="Times New Roman" w:cs="Times New Roman"/>
          <w:b/>
          <w:bCs/>
        </w:rPr>
      </w:pPr>
      <w:r w:rsidRPr="00D30350">
        <w:rPr>
          <w:rFonts w:ascii="Times New Roman" w:hAnsi="Times New Roman" w:cs="Times New Roman"/>
          <w:b/>
          <w:bCs/>
        </w:rPr>
        <w:t>Culture-</w:t>
      </w:r>
      <w:r w:rsidRPr="00D30350">
        <w:rPr>
          <w:rFonts w:ascii="Times New Roman" w:hAnsi="Times New Roman" w:cs="Times New Roman"/>
          <w:b/>
          <w:bCs/>
        </w:rPr>
        <w:t>Related Influences on Volunteerism in Later Life: A Conceptual Framework</w:t>
      </w:r>
    </w:p>
    <w:p w14:paraId="74090E94" w14:textId="77777777" w:rsidR="00D30350" w:rsidRPr="00D30350" w:rsidRDefault="00D30350" w:rsidP="00D30350">
      <w:pPr>
        <w:spacing w:after="120" w:line="276" w:lineRule="auto"/>
        <w:jc w:val="center"/>
        <w:rPr>
          <w:rFonts w:ascii="Times New Roman" w:hAnsi="Times New Roman" w:cs="Times New Roman"/>
          <w:b/>
          <w:bCs/>
        </w:rPr>
      </w:pPr>
    </w:p>
    <w:p w14:paraId="09076D11" w14:textId="2C41519B" w:rsidR="00D30350" w:rsidRPr="00E350A1" w:rsidRDefault="00D30350" w:rsidP="00D30350">
      <w:pPr>
        <w:spacing w:after="120" w:line="276" w:lineRule="auto"/>
        <w:jc w:val="center"/>
        <w:rPr>
          <w:rFonts w:ascii="Times New Roman" w:hAnsi="Times New Roman" w:cs="Times New Roman"/>
          <w:vertAlign w:val="superscript"/>
        </w:rPr>
      </w:pPr>
      <w:r w:rsidRPr="00E350A1">
        <w:rPr>
          <w:rFonts w:ascii="Times New Roman" w:hAnsi="Times New Roman" w:cs="Times New Roman"/>
        </w:rPr>
        <w:t>Patrick Ho Lam Lai</w:t>
      </w:r>
      <w:r w:rsidRPr="00E350A1">
        <w:rPr>
          <w:rFonts w:ascii="Times New Roman" w:hAnsi="Times New Roman" w:cs="Times New Roman"/>
          <w:vertAlign w:val="superscript"/>
        </w:rPr>
        <w:t>1</w:t>
      </w:r>
      <w:r w:rsidRPr="00E350A1">
        <w:rPr>
          <w:rFonts w:ascii="Times New Roman" w:hAnsi="Times New Roman" w:cs="Times New Roman"/>
        </w:rPr>
        <w:t>, Briana White-Saul</w:t>
      </w:r>
      <w:r w:rsidRPr="00E350A1">
        <w:rPr>
          <w:rFonts w:ascii="Times New Roman" w:hAnsi="Times New Roman" w:cs="Times New Roman"/>
          <w:vertAlign w:val="superscript"/>
        </w:rPr>
        <w:t>1</w:t>
      </w:r>
    </w:p>
    <w:p w14:paraId="7CEFDD12" w14:textId="77777777" w:rsidR="00D30350" w:rsidRPr="00E350A1" w:rsidRDefault="00D30350" w:rsidP="00D30350">
      <w:pPr>
        <w:spacing w:after="120" w:line="276" w:lineRule="auto"/>
        <w:ind w:firstLine="720"/>
        <w:jc w:val="center"/>
        <w:rPr>
          <w:rFonts w:ascii="Times New Roman" w:hAnsi="Times New Roman" w:cs="Times New Roman"/>
        </w:rPr>
      </w:pPr>
      <w:r w:rsidRPr="00E350A1">
        <w:rPr>
          <w:rFonts w:ascii="Times New Roman" w:hAnsi="Times New Roman" w:cs="Times New Roman"/>
          <w:vertAlign w:val="superscript"/>
        </w:rPr>
        <w:t>1</w:t>
      </w:r>
      <w:r w:rsidRPr="00E350A1">
        <w:rPr>
          <w:rFonts w:ascii="Times New Roman" w:hAnsi="Times New Roman" w:cs="Times New Roman"/>
        </w:rPr>
        <w:t>Anne and Henry Zarrow School of Social Work, University of Oklahoma, Norman, Oklahoma, USA</w:t>
      </w:r>
    </w:p>
    <w:p w14:paraId="52EC5A9E" w14:textId="77777777" w:rsidR="00D30350" w:rsidRPr="00E350A1" w:rsidRDefault="00D30350" w:rsidP="0017545E">
      <w:pPr>
        <w:spacing w:after="120" w:line="276" w:lineRule="auto"/>
        <w:rPr>
          <w:rFonts w:ascii="Times New Roman" w:hAnsi="Times New Roman" w:cs="Times New Roman"/>
        </w:rPr>
      </w:pPr>
    </w:p>
    <w:p w14:paraId="505D4AB2" w14:textId="77777777" w:rsidR="00D30350" w:rsidRPr="00E350A1" w:rsidRDefault="00D30350" w:rsidP="00D30350">
      <w:pPr>
        <w:spacing w:after="120" w:line="276" w:lineRule="auto"/>
        <w:ind w:firstLine="720"/>
        <w:rPr>
          <w:rFonts w:ascii="Times New Roman" w:hAnsi="Times New Roman" w:cs="Times New Roman"/>
          <w:b/>
          <w:bCs/>
        </w:rPr>
      </w:pPr>
      <w:r w:rsidRPr="00E350A1">
        <w:rPr>
          <w:rFonts w:ascii="Times New Roman" w:hAnsi="Times New Roman" w:cs="Times New Roman"/>
          <w:b/>
          <w:bCs/>
        </w:rPr>
        <w:t>Author Note</w:t>
      </w:r>
    </w:p>
    <w:p w14:paraId="26076CB3" w14:textId="77777777" w:rsidR="00D30350" w:rsidRPr="00E350A1" w:rsidRDefault="00D30350" w:rsidP="00D30350">
      <w:pPr>
        <w:spacing w:after="120" w:line="276" w:lineRule="auto"/>
        <w:ind w:firstLine="720"/>
        <w:rPr>
          <w:rFonts w:ascii="Times New Roman" w:hAnsi="Times New Roman" w:cs="Times New Roman"/>
        </w:rPr>
      </w:pPr>
      <w:r w:rsidRPr="00E350A1">
        <w:rPr>
          <w:rFonts w:ascii="Times New Roman" w:hAnsi="Times New Roman" w:cs="Times New Roman"/>
        </w:rPr>
        <w:t xml:space="preserve">Patrick Ho Lam Lai </w:t>
      </w:r>
      <w:r w:rsidRPr="00E350A1">
        <w:rPr>
          <w:rFonts w:ascii="Times New Roman" w:eastAsia="SimSun" w:hAnsi="Times New Roman" w:cs="Times New Roman"/>
          <w:noProof/>
          <w:color w:val="0E101A"/>
          <w:lang w:val="en-GB" w:eastAsia="en-GB"/>
        </w:rPr>
        <w:drawing>
          <wp:inline distT="0" distB="0" distL="0" distR="0" wp14:anchorId="5B26564B" wp14:editId="68C970F5">
            <wp:extent cx="137160" cy="137160"/>
            <wp:effectExtent l="0" t="0" r="0" b="0"/>
            <wp:docPr id="15799275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7160" cy="137160"/>
                    </a:xfrm>
                    <a:prstGeom prst="rect">
                      <a:avLst/>
                    </a:prstGeom>
                    <a:ln/>
                  </pic:spPr>
                </pic:pic>
              </a:graphicData>
            </a:graphic>
          </wp:inline>
        </w:drawing>
      </w:r>
      <w:r w:rsidRPr="00E350A1">
        <w:rPr>
          <w:rFonts w:ascii="Times New Roman" w:hAnsi="Times New Roman" w:cs="Times New Roman"/>
        </w:rPr>
        <w:t xml:space="preserve"> </w:t>
      </w:r>
      <w:hyperlink r:id="rId9" w:history="1">
        <w:r w:rsidRPr="00E350A1">
          <w:rPr>
            <w:rStyle w:val="Hyperlink"/>
            <w:rFonts w:ascii="Times New Roman" w:hAnsi="Times New Roman" w:cs="Times New Roman"/>
          </w:rPr>
          <w:t>https://orcid.org/0000-0003-1904-265X</w:t>
        </w:r>
      </w:hyperlink>
      <w:r w:rsidRPr="00E350A1">
        <w:rPr>
          <w:rFonts w:ascii="Times New Roman" w:hAnsi="Times New Roman" w:cs="Times New Roman"/>
        </w:rPr>
        <w:t xml:space="preserve"> </w:t>
      </w:r>
    </w:p>
    <w:p w14:paraId="05E1E74C" w14:textId="77777777" w:rsidR="00D30350" w:rsidRPr="00E350A1" w:rsidRDefault="00D30350" w:rsidP="00D30350">
      <w:pPr>
        <w:spacing w:after="120" w:line="276" w:lineRule="auto"/>
        <w:ind w:firstLine="720"/>
        <w:rPr>
          <w:rFonts w:ascii="Times New Roman" w:hAnsi="Times New Roman" w:cs="Times New Roman"/>
        </w:rPr>
      </w:pPr>
      <w:r w:rsidRPr="00E350A1">
        <w:rPr>
          <w:rFonts w:ascii="Times New Roman" w:hAnsi="Times New Roman" w:cs="Times New Roman"/>
        </w:rPr>
        <w:t xml:space="preserve">Briana White-Saul </w:t>
      </w:r>
      <w:r w:rsidRPr="00E350A1">
        <w:rPr>
          <w:rFonts w:ascii="Times New Roman" w:eastAsia="SimSun" w:hAnsi="Times New Roman" w:cs="Times New Roman"/>
          <w:noProof/>
          <w:color w:val="0E101A"/>
          <w:lang w:val="en-GB" w:eastAsia="en-GB"/>
        </w:rPr>
        <w:drawing>
          <wp:inline distT="0" distB="0" distL="0" distR="0" wp14:anchorId="12FF4E8F" wp14:editId="67757879">
            <wp:extent cx="137160" cy="137160"/>
            <wp:effectExtent l="0" t="0" r="0" b="0"/>
            <wp:docPr id="445159157" name="Picture 445159157"/>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7160" cy="137160"/>
                    </a:xfrm>
                    <a:prstGeom prst="rect">
                      <a:avLst/>
                    </a:prstGeom>
                    <a:ln/>
                  </pic:spPr>
                </pic:pic>
              </a:graphicData>
            </a:graphic>
          </wp:inline>
        </w:drawing>
      </w:r>
      <w:r w:rsidRPr="00E350A1">
        <w:rPr>
          <w:rFonts w:ascii="Times New Roman" w:hAnsi="Times New Roman" w:cs="Times New Roman"/>
        </w:rPr>
        <w:t xml:space="preserve"> </w:t>
      </w:r>
      <w:hyperlink r:id="rId10" w:history="1">
        <w:r w:rsidRPr="00E350A1">
          <w:rPr>
            <w:rStyle w:val="Hyperlink"/>
            <w:rFonts w:ascii="Times New Roman" w:hAnsi="Times New Roman" w:cs="Times New Roman"/>
          </w:rPr>
          <w:t>https://orcid.org/0009-0009-9109-1510</w:t>
        </w:r>
      </w:hyperlink>
      <w:r w:rsidRPr="00E350A1">
        <w:rPr>
          <w:rFonts w:ascii="Times New Roman" w:hAnsi="Times New Roman" w:cs="Times New Roman"/>
        </w:rPr>
        <w:t xml:space="preserve"> </w:t>
      </w:r>
    </w:p>
    <w:p w14:paraId="46730109" w14:textId="77777777" w:rsidR="00D30350" w:rsidRPr="00E350A1" w:rsidRDefault="00D30350" w:rsidP="00D30350">
      <w:pPr>
        <w:spacing w:after="120" w:line="276" w:lineRule="auto"/>
        <w:ind w:firstLine="720"/>
        <w:rPr>
          <w:rFonts w:ascii="Times New Roman" w:hAnsi="Times New Roman" w:cs="Times New Roman"/>
        </w:rPr>
      </w:pPr>
    </w:p>
    <w:p w14:paraId="44FB997A" w14:textId="77777777" w:rsidR="00D30350" w:rsidRPr="00E350A1" w:rsidRDefault="00D30350" w:rsidP="00D30350">
      <w:pPr>
        <w:spacing w:after="120" w:line="276" w:lineRule="auto"/>
        <w:ind w:firstLine="720"/>
        <w:rPr>
          <w:rFonts w:ascii="Times New Roman" w:hAnsi="Times New Roman" w:cs="Times New Roman"/>
        </w:rPr>
      </w:pPr>
    </w:p>
    <w:p w14:paraId="033BA3AF" w14:textId="77777777" w:rsidR="00D30350" w:rsidRPr="00E350A1" w:rsidRDefault="00D30350" w:rsidP="00D30350">
      <w:pPr>
        <w:spacing w:after="120" w:line="276" w:lineRule="auto"/>
        <w:ind w:firstLine="720"/>
        <w:rPr>
          <w:rFonts w:ascii="Times New Roman" w:hAnsi="Times New Roman" w:cs="Times New Roman"/>
        </w:rPr>
      </w:pPr>
      <w:r w:rsidRPr="00E350A1">
        <w:rPr>
          <w:rFonts w:ascii="Times New Roman" w:hAnsi="Times New Roman" w:cs="Times New Roman"/>
        </w:rPr>
        <w:t>Emails: Lai (</w:t>
      </w:r>
      <w:hyperlink r:id="rId11" w:history="1">
        <w:r w:rsidRPr="00E350A1">
          <w:rPr>
            <w:rStyle w:val="Hyperlink"/>
            <w:rFonts w:ascii="Times New Roman" w:hAnsi="Times New Roman" w:cs="Times New Roman"/>
          </w:rPr>
          <w:t>patricklai@ou.edu</w:t>
        </w:r>
      </w:hyperlink>
      <w:r w:rsidRPr="00E350A1">
        <w:rPr>
          <w:rFonts w:ascii="Times New Roman" w:hAnsi="Times New Roman" w:cs="Times New Roman"/>
        </w:rPr>
        <w:t xml:space="preserve"> / </w:t>
      </w:r>
      <w:hyperlink r:id="rId12" w:history="1">
        <w:r w:rsidRPr="00E350A1">
          <w:rPr>
            <w:rStyle w:val="Hyperlink"/>
            <w:rFonts w:ascii="Times New Roman" w:hAnsi="Times New Roman" w:cs="Times New Roman"/>
          </w:rPr>
          <w:t>patricklairesearch@gmail.com</w:t>
        </w:r>
      </w:hyperlink>
      <w:r w:rsidRPr="00E350A1">
        <w:rPr>
          <w:rFonts w:ascii="Times New Roman" w:hAnsi="Times New Roman" w:cs="Times New Roman"/>
        </w:rPr>
        <w:t>), White-Saul (</w:t>
      </w:r>
      <w:hyperlink r:id="rId13" w:history="1">
        <w:r w:rsidRPr="00E350A1">
          <w:rPr>
            <w:rStyle w:val="Hyperlink"/>
            <w:rFonts w:ascii="Times New Roman" w:hAnsi="Times New Roman" w:cs="Times New Roman"/>
          </w:rPr>
          <w:t>Briana.Saul-1@ou.edu</w:t>
        </w:r>
      </w:hyperlink>
      <w:r w:rsidRPr="00E350A1">
        <w:rPr>
          <w:rFonts w:ascii="Times New Roman" w:hAnsi="Times New Roman" w:cs="Times New Roman"/>
        </w:rPr>
        <w:t xml:space="preserve">) </w:t>
      </w:r>
    </w:p>
    <w:p w14:paraId="22031331" w14:textId="77777777" w:rsidR="00D30350" w:rsidRPr="00E350A1" w:rsidRDefault="00D30350" w:rsidP="00D30350">
      <w:pPr>
        <w:spacing w:after="120" w:line="276" w:lineRule="auto"/>
        <w:ind w:firstLine="720"/>
      </w:pPr>
      <w:r w:rsidRPr="00E350A1">
        <w:rPr>
          <w:rFonts w:ascii="Times New Roman" w:eastAsia="SimSun" w:hAnsi="Times New Roman" w:cs="Times New Roman"/>
          <w:lang w:eastAsia="ja-JP"/>
        </w:rPr>
        <w:t xml:space="preserve">Correspondence concerning this article should be addressed to Patrick Ho Lam Lai, Anne and Henry Zarrow School of Social Work, University of Oklahoma, 700 Elm Ave, Room 310, Norman, OK 73019. Phone: +1 925-204-8254. Email: </w:t>
      </w:r>
      <w:hyperlink r:id="rId14" w:history="1">
        <w:r w:rsidRPr="00E350A1">
          <w:rPr>
            <w:rStyle w:val="Hyperlink"/>
            <w:rFonts w:ascii="Times New Roman" w:hAnsi="Times New Roman" w:cs="Times New Roman"/>
          </w:rPr>
          <w:t>patricklai@ou.edu</w:t>
        </w:r>
      </w:hyperlink>
      <w:r w:rsidRPr="00E350A1">
        <w:rPr>
          <w:rFonts w:ascii="Times New Roman" w:hAnsi="Times New Roman" w:cs="Times New Roman"/>
        </w:rPr>
        <w:t xml:space="preserve"> / </w:t>
      </w:r>
      <w:hyperlink r:id="rId15" w:history="1">
        <w:r w:rsidRPr="00E350A1">
          <w:rPr>
            <w:rStyle w:val="Hyperlink"/>
            <w:rFonts w:ascii="Times New Roman" w:hAnsi="Times New Roman" w:cs="Times New Roman"/>
          </w:rPr>
          <w:t>patricklairesearch@gmail.com</w:t>
        </w:r>
      </w:hyperlink>
    </w:p>
    <w:p w14:paraId="16B979B0" w14:textId="11EABCF7" w:rsidR="00D30350" w:rsidRPr="00E350A1" w:rsidRDefault="00D30350" w:rsidP="0017545E">
      <w:pPr>
        <w:spacing w:after="120" w:line="276" w:lineRule="auto"/>
        <w:ind w:firstLine="720"/>
        <w:rPr>
          <w:rFonts w:ascii="Times New Roman" w:hAnsi="Times New Roman" w:cs="Times New Roman"/>
        </w:rPr>
      </w:pPr>
      <w:r w:rsidRPr="00E350A1">
        <w:rPr>
          <w:rFonts w:ascii="Times New Roman" w:hAnsi="Times New Roman" w:cs="Times New Roman"/>
        </w:rPr>
        <w:t>Author Contributions: Lai conceptualized and led the study, developed the conceptual framework, conducted the literature mapping, and wrote the manuscript. White-Saul assisted with literature review, synthesis of selected sources, and drafting supporting text. Lai finalized the manuscript.</w:t>
      </w:r>
      <w:r w:rsidRPr="00E350A1">
        <w:rPr>
          <w:rFonts w:ascii="Times New Roman" w:hAnsi="Times New Roman" w:cs="Times New Roman"/>
        </w:rPr>
        <w:br w:type="page"/>
      </w:r>
    </w:p>
    <w:p w14:paraId="647E129A" w14:textId="77777777" w:rsidR="00D30350" w:rsidRPr="00E350A1" w:rsidRDefault="00D30350" w:rsidP="00D30350">
      <w:pPr>
        <w:spacing w:before="120" w:after="120" w:line="276" w:lineRule="auto"/>
        <w:jc w:val="center"/>
        <w:rPr>
          <w:rFonts w:ascii="Times New Roman" w:hAnsi="Times New Roman" w:cs="Times New Roman"/>
          <w:b/>
          <w:bCs/>
        </w:rPr>
      </w:pPr>
      <w:r w:rsidRPr="00E350A1">
        <w:rPr>
          <w:rFonts w:ascii="Times New Roman" w:hAnsi="Times New Roman" w:cs="Times New Roman"/>
          <w:b/>
          <w:bCs/>
        </w:rPr>
        <w:lastRenderedPageBreak/>
        <w:t>Structured Abstract</w:t>
      </w:r>
    </w:p>
    <w:p w14:paraId="539C8A97" w14:textId="77777777" w:rsidR="00D30350" w:rsidRPr="00E350A1" w:rsidRDefault="00D30350" w:rsidP="00D30350">
      <w:pPr>
        <w:spacing w:before="120" w:after="120" w:line="276" w:lineRule="auto"/>
        <w:rPr>
          <w:rFonts w:ascii="Times New Roman" w:hAnsi="Times New Roman" w:cs="Times New Roman"/>
          <w:b/>
          <w:bCs/>
        </w:rPr>
      </w:pPr>
      <w:r w:rsidRPr="00E350A1">
        <w:rPr>
          <w:rFonts w:ascii="Times New Roman" w:hAnsi="Times New Roman" w:cs="Times New Roman"/>
          <w:b/>
          <w:bCs/>
        </w:rPr>
        <w:t>Purpose</w:t>
      </w:r>
    </w:p>
    <w:p w14:paraId="377DAB3B" w14:textId="77777777" w:rsidR="00D30350" w:rsidRPr="00E350A1" w:rsidRDefault="00D30350" w:rsidP="00D30350">
      <w:pPr>
        <w:spacing w:before="120" w:after="120" w:line="276" w:lineRule="auto"/>
        <w:rPr>
          <w:rFonts w:ascii="Times New Roman" w:hAnsi="Times New Roman" w:cs="Times New Roman"/>
        </w:rPr>
      </w:pPr>
      <w:r w:rsidRPr="00E350A1">
        <w:rPr>
          <w:rFonts w:ascii="Times New Roman" w:hAnsi="Times New Roman" w:cs="Times New Roman"/>
        </w:rPr>
        <w:t xml:space="preserve">Participation in volunteerism in later life varies across </w:t>
      </w:r>
      <w:proofErr w:type="spellStart"/>
      <w:r w:rsidRPr="00E350A1">
        <w:rPr>
          <w:rFonts w:ascii="Times New Roman" w:hAnsi="Times New Roman" w:cs="Times New Roman"/>
        </w:rPr>
        <w:t>ethnoracial</w:t>
      </w:r>
      <w:proofErr w:type="spellEnd"/>
      <w:r w:rsidRPr="00E350A1">
        <w:rPr>
          <w:rFonts w:ascii="Times New Roman" w:hAnsi="Times New Roman" w:cs="Times New Roman"/>
        </w:rPr>
        <w:t xml:space="preserve"> groups, suggesting that culture-related influences may contribute to this difference. However, such influences remain underexplored and are often represented solely by religiosity. This paper maps conceptualizations of culture-related influences on volunteerism among older adults and introduces a structured organizing framework.</w:t>
      </w:r>
    </w:p>
    <w:p w14:paraId="6B1ED13F" w14:textId="77777777" w:rsidR="00D30350" w:rsidRPr="00E350A1" w:rsidRDefault="00D30350" w:rsidP="00D30350">
      <w:pPr>
        <w:spacing w:before="120" w:after="120" w:line="276" w:lineRule="auto"/>
        <w:rPr>
          <w:rFonts w:ascii="Times New Roman" w:hAnsi="Times New Roman" w:cs="Times New Roman"/>
          <w:b/>
          <w:bCs/>
        </w:rPr>
      </w:pPr>
      <w:r w:rsidRPr="00E350A1">
        <w:rPr>
          <w:rFonts w:ascii="Times New Roman" w:hAnsi="Times New Roman" w:cs="Times New Roman"/>
          <w:b/>
          <w:bCs/>
        </w:rPr>
        <w:t>Methodology</w:t>
      </w:r>
    </w:p>
    <w:p w14:paraId="184E3D6C" w14:textId="77777777" w:rsidR="00D30350" w:rsidRPr="00E350A1" w:rsidRDefault="00D30350" w:rsidP="00D30350">
      <w:pPr>
        <w:spacing w:before="120" w:after="120" w:line="276" w:lineRule="auto"/>
        <w:rPr>
          <w:rFonts w:ascii="Times New Roman" w:hAnsi="Times New Roman" w:cs="Times New Roman"/>
        </w:rPr>
      </w:pPr>
      <w:r w:rsidRPr="00E350A1">
        <w:rPr>
          <w:rFonts w:ascii="Times New Roman" w:hAnsi="Times New Roman" w:cs="Times New Roman"/>
        </w:rPr>
        <w:t>An iterative, exploratory review of literature identified through Google Scholar was conducted to examine patterns in conceptualizations of culture-related influences. These patterns informed the development of a two-tier framework that distinguishes broad culture-related domains (Tier 1) from specific culture-related factors (Tier 2).</w:t>
      </w:r>
    </w:p>
    <w:p w14:paraId="0C97227E" w14:textId="77777777" w:rsidR="00D30350" w:rsidRPr="00E350A1" w:rsidRDefault="00D30350" w:rsidP="00D30350">
      <w:pPr>
        <w:spacing w:before="120" w:after="120" w:line="276" w:lineRule="auto"/>
        <w:rPr>
          <w:rFonts w:ascii="Times New Roman" w:hAnsi="Times New Roman" w:cs="Times New Roman"/>
          <w:b/>
          <w:bCs/>
        </w:rPr>
      </w:pPr>
      <w:r w:rsidRPr="00E350A1">
        <w:rPr>
          <w:rFonts w:ascii="Times New Roman" w:hAnsi="Times New Roman" w:cs="Times New Roman"/>
          <w:b/>
          <w:bCs/>
        </w:rPr>
        <w:t>Findings</w:t>
      </w:r>
    </w:p>
    <w:p w14:paraId="1D12EF7A" w14:textId="77777777" w:rsidR="00D30350" w:rsidRPr="00E350A1" w:rsidRDefault="00D30350" w:rsidP="00D30350">
      <w:pPr>
        <w:spacing w:before="120" w:after="120" w:line="276" w:lineRule="auto"/>
        <w:rPr>
          <w:rFonts w:ascii="Times New Roman" w:hAnsi="Times New Roman" w:cs="Times New Roman"/>
        </w:rPr>
      </w:pPr>
      <w:r w:rsidRPr="00E350A1">
        <w:rPr>
          <w:rFonts w:ascii="Times New Roman" w:hAnsi="Times New Roman" w:cs="Times New Roman"/>
        </w:rPr>
        <w:t>The proposed framework identifies seven culture-related domains that shape volunteerism in later life: values and beliefs; norms and social expectations; identity and belonging; religion and spirituality; language and communication; cultural practices and traditions; and structural and contextual environments. The framework further clarifies how these conceptual domains and corresponding factors influence volunteerism in later life.</w:t>
      </w:r>
    </w:p>
    <w:p w14:paraId="7A79DB88" w14:textId="77777777" w:rsidR="00D30350" w:rsidRPr="00E350A1" w:rsidRDefault="00D30350" w:rsidP="00D30350">
      <w:pPr>
        <w:spacing w:before="120" w:after="120" w:line="276" w:lineRule="auto"/>
        <w:rPr>
          <w:rFonts w:ascii="Times New Roman" w:hAnsi="Times New Roman" w:cs="Times New Roman"/>
          <w:b/>
          <w:bCs/>
        </w:rPr>
      </w:pPr>
      <w:r w:rsidRPr="00E350A1">
        <w:rPr>
          <w:rFonts w:ascii="Times New Roman" w:hAnsi="Times New Roman" w:cs="Times New Roman"/>
          <w:b/>
          <w:bCs/>
        </w:rPr>
        <w:t>Originality</w:t>
      </w:r>
    </w:p>
    <w:p w14:paraId="2FE7E3CC" w14:textId="77777777" w:rsidR="00D30350" w:rsidRPr="00E350A1" w:rsidRDefault="00D30350" w:rsidP="00D30350">
      <w:pPr>
        <w:spacing w:before="120" w:after="120" w:line="276" w:lineRule="auto"/>
        <w:rPr>
          <w:rFonts w:ascii="Times New Roman" w:hAnsi="Times New Roman" w:cs="Times New Roman"/>
        </w:rPr>
      </w:pPr>
      <w:r w:rsidRPr="00E350A1">
        <w:rPr>
          <w:rFonts w:ascii="Times New Roman" w:hAnsi="Times New Roman" w:cs="Times New Roman"/>
        </w:rPr>
        <w:t>This paper offers the first integrative two-tier framework to organize culture-related influences on volunteerism among older adults, thereby supporting more coherent conceptual development in this field.</w:t>
      </w:r>
    </w:p>
    <w:p w14:paraId="6E1AD875" w14:textId="77777777" w:rsidR="00D30350" w:rsidRPr="00E350A1" w:rsidRDefault="00D30350" w:rsidP="00D30350">
      <w:pPr>
        <w:spacing w:before="120" w:after="120" w:line="276" w:lineRule="auto"/>
        <w:rPr>
          <w:rFonts w:ascii="Times New Roman" w:hAnsi="Times New Roman" w:cs="Times New Roman"/>
          <w:b/>
          <w:bCs/>
        </w:rPr>
      </w:pPr>
      <w:r w:rsidRPr="00E350A1">
        <w:rPr>
          <w:rFonts w:ascii="Times New Roman" w:hAnsi="Times New Roman" w:cs="Times New Roman"/>
          <w:b/>
          <w:bCs/>
        </w:rPr>
        <w:t>Implications</w:t>
      </w:r>
    </w:p>
    <w:p w14:paraId="16EEE80F" w14:textId="77777777" w:rsidR="00D30350" w:rsidRPr="00E350A1" w:rsidRDefault="00D30350" w:rsidP="00D30350">
      <w:pPr>
        <w:spacing w:before="120" w:after="120" w:line="276" w:lineRule="auto"/>
        <w:rPr>
          <w:rFonts w:ascii="Times New Roman" w:hAnsi="Times New Roman" w:cs="Times New Roman"/>
        </w:rPr>
      </w:pPr>
      <w:r w:rsidRPr="00E350A1">
        <w:rPr>
          <w:rFonts w:ascii="Times New Roman" w:hAnsi="Times New Roman" w:cs="Times New Roman"/>
        </w:rPr>
        <w:t>The proposed framework has implications for research, practice, and policy. It can guide future evidence synthesis (such as reviews), support the development of conceptually grounded and culturally responsive research designs, inform interventions and policies that recognize diverse cultural meanings of volunteer engagement, and promote volunteerism in later life.</w:t>
      </w:r>
    </w:p>
    <w:p w14:paraId="66493BF9" w14:textId="77777777" w:rsidR="00D30350" w:rsidRPr="00E350A1" w:rsidRDefault="00D30350" w:rsidP="00D30350">
      <w:pPr>
        <w:spacing w:before="120" w:after="120" w:line="276" w:lineRule="auto"/>
        <w:rPr>
          <w:rFonts w:ascii="Times New Roman" w:hAnsi="Times New Roman" w:cs="Times New Roman"/>
          <w:b/>
          <w:bCs/>
        </w:rPr>
      </w:pPr>
      <w:r w:rsidRPr="00E350A1">
        <w:rPr>
          <w:rFonts w:ascii="Times New Roman" w:hAnsi="Times New Roman" w:cs="Times New Roman"/>
          <w:b/>
          <w:bCs/>
        </w:rPr>
        <w:t>Keywords</w:t>
      </w:r>
      <w:r w:rsidRPr="00E350A1">
        <w:rPr>
          <w:rFonts w:ascii="Times New Roman" w:hAnsi="Times New Roman" w:cs="Times New Roman"/>
        </w:rPr>
        <w:t>: Volunteerism; Social participation; Older adults; Later life; Culture; Norms; Identity; Religiosity; Conceptual framework; Productive aging</w:t>
      </w:r>
      <w:r w:rsidRPr="00E350A1">
        <w:rPr>
          <w:rFonts w:ascii="Times New Roman" w:hAnsi="Times New Roman" w:cs="Times New Roman"/>
          <w:b/>
          <w:bCs/>
        </w:rPr>
        <w:br w:type="page"/>
      </w:r>
    </w:p>
    <w:p w14:paraId="228EA5F6" w14:textId="77777777" w:rsidR="00D30350" w:rsidRPr="00E350A1" w:rsidRDefault="00D30350" w:rsidP="00D30350">
      <w:pPr>
        <w:spacing w:before="120" w:after="120" w:line="276" w:lineRule="auto"/>
        <w:jc w:val="center"/>
        <w:rPr>
          <w:rFonts w:ascii="Times New Roman" w:hAnsi="Times New Roman" w:cs="Times New Roman"/>
          <w:b/>
          <w:bCs/>
        </w:rPr>
      </w:pPr>
      <w:r w:rsidRPr="00E350A1">
        <w:rPr>
          <w:rFonts w:ascii="Times New Roman" w:hAnsi="Times New Roman" w:cs="Times New Roman"/>
          <w:b/>
          <w:bCs/>
        </w:rPr>
        <w:lastRenderedPageBreak/>
        <w:t>Introduction</w:t>
      </w:r>
    </w:p>
    <w:p w14:paraId="5581946D" w14:textId="77777777" w:rsidR="00D30350" w:rsidRPr="00E350A1" w:rsidRDefault="00D30350" w:rsidP="00D30350">
      <w:pPr>
        <w:pStyle w:val="paragraph"/>
        <w:spacing w:before="120" w:beforeAutospacing="0" w:after="120" w:afterAutospacing="0" w:line="276" w:lineRule="auto"/>
        <w:textAlignment w:val="baseline"/>
        <w:rPr>
          <w:rFonts w:eastAsiaTheme="minorEastAsia"/>
          <w:kern w:val="2"/>
          <w14:ligatures w14:val="standardContextual"/>
        </w:rPr>
      </w:pPr>
      <w:r w:rsidRPr="00E350A1">
        <w:rPr>
          <w:rFonts w:eastAsiaTheme="minorEastAsia"/>
          <w:kern w:val="2"/>
          <w14:ligatures w14:val="standardContextual"/>
        </w:rPr>
        <w:t>Volunteerism in later life represents a key form of social participation, with well-documented benefits for both individuals and communities. Recent scholarship emphasizes that older adults remain a vital population in volunteering research, as they continue to contribute significantly to both formal and informal volunteering across many settings. For instance, recent data from England shows that older adults are more likely than all younger age groups to participate in formal volunteering at least once a month (Department for Culture, Media &amp; Sport, 2024). Consequently, there is a growing call for research to focus more closely on diversity, social context, and wider variety of ways individuals engage in volunteering during later life. Involvement in volunteer activities has been associated with improved physical and mental health, lower social isolation, and a stronger sense of purpose among older adults (Gonzales et al., 2022; Lai et al., 2025). At community, older volunteers contribute to social, health, and civic systems as the demands for support increase in an aging society (Gonzales et al., 2022; Lai et al., 2025). Understanding the factors that influence volunteer engagement in later life is important for promoting healthy and productive aging, which is often defined as meaningful involvement in social and civic activities that benefit both individuals and society (Khaw, 1997; Morrow-Howell et al., 2001).</w:t>
      </w:r>
    </w:p>
    <w:p w14:paraId="6727ED11" w14:textId="77777777" w:rsidR="00D30350" w:rsidRPr="00E350A1" w:rsidRDefault="00D30350" w:rsidP="00D30350">
      <w:pPr>
        <w:pStyle w:val="paragraph"/>
        <w:spacing w:before="120" w:beforeAutospacing="0" w:after="120" w:afterAutospacing="0" w:line="276" w:lineRule="auto"/>
        <w:textAlignment w:val="baseline"/>
        <w:rPr>
          <w:rFonts w:eastAsiaTheme="minorEastAsia"/>
          <w:kern w:val="2"/>
          <w14:ligatures w14:val="standardContextual"/>
        </w:rPr>
      </w:pPr>
      <w:r w:rsidRPr="00E350A1">
        <w:rPr>
          <w:rFonts w:eastAsiaTheme="minorEastAsia"/>
          <w:kern w:val="2"/>
          <w14:ligatures w14:val="standardContextual"/>
        </w:rPr>
        <w:t xml:space="preserve">Although the benefits of volunteering are well documented, participation rates differ across </w:t>
      </w:r>
      <w:proofErr w:type="spellStart"/>
      <w:r w:rsidRPr="00E350A1">
        <w:rPr>
          <w:rFonts w:eastAsiaTheme="minorEastAsia"/>
          <w:kern w:val="2"/>
          <w14:ligatures w14:val="standardContextual"/>
        </w:rPr>
        <w:t>ethnoracial</w:t>
      </w:r>
      <w:proofErr w:type="spellEnd"/>
      <w:r w:rsidRPr="00E350A1">
        <w:rPr>
          <w:rFonts w:eastAsiaTheme="minorEastAsia"/>
          <w:kern w:val="2"/>
          <w14:ligatures w14:val="standardContextual"/>
        </w:rPr>
        <w:t xml:space="preserve"> groups of older adults. Prior research has often emphasized socioeconomic resources, such as education and income, as primary determinants of volunteer engagement. Nonetheless, these factors do not explain fully observed differences in either formal or informal volunteering. A recent study using nationally representative data (Current Population Survey) in the United States (U.S.) suggests that disparities in volunteering remain after accounting for socioeconomic resources, indicating the presence of additional influences, such as culture, shaping volunteerism (Lai et al., 2025).</w:t>
      </w:r>
    </w:p>
    <w:p w14:paraId="01BE8C5B" w14:textId="77777777" w:rsidR="00D30350" w:rsidRPr="00E350A1" w:rsidRDefault="00D30350" w:rsidP="00D30350">
      <w:pPr>
        <w:pStyle w:val="paragraph"/>
        <w:spacing w:before="120" w:beforeAutospacing="0" w:after="120" w:afterAutospacing="0" w:line="276" w:lineRule="auto"/>
        <w:textAlignment w:val="baseline"/>
        <w:rPr>
          <w:rFonts w:eastAsiaTheme="minorEastAsia"/>
          <w:kern w:val="2"/>
          <w14:ligatures w14:val="standardContextual"/>
        </w:rPr>
      </w:pPr>
      <w:r w:rsidRPr="00E350A1">
        <w:rPr>
          <w:rFonts w:eastAsiaTheme="minorEastAsia"/>
          <w:kern w:val="2"/>
          <w14:ligatures w14:val="standardContextual"/>
        </w:rPr>
        <w:t xml:space="preserve">Culture remains conceptually ambiguous and inconsistently specified within the volunteerism literature. In studies of volunteerism of older adults, cultural factors are often operationalized narrowly, most through indicators of religious participation or religiosity (McNamara and Gonzales, 2011; Wilson and Musick, 1997). Though religion is an important aspect of culture, this limited approach can overlook other relevant influences, such as values, norms, identity, and immigrant status. As a result, the term “culture” is used with no clear conceptual boundaries, restricting its analytic usefulness for understanding volunteerism in later life. </w:t>
      </w:r>
    </w:p>
    <w:p w14:paraId="061B371C" w14:textId="77777777" w:rsidR="00D30350" w:rsidRPr="00E350A1" w:rsidRDefault="00D30350" w:rsidP="00D30350">
      <w:pPr>
        <w:pStyle w:val="paragraph"/>
        <w:spacing w:before="120" w:beforeAutospacing="0" w:after="120" w:afterAutospacing="0" w:line="276" w:lineRule="auto"/>
        <w:textAlignment w:val="baseline"/>
        <w:rPr>
          <w:rFonts w:eastAsiaTheme="minorEastAsia"/>
          <w:kern w:val="2"/>
          <w14:ligatures w14:val="standardContextual"/>
        </w:rPr>
      </w:pPr>
      <w:r w:rsidRPr="00E350A1">
        <w:rPr>
          <w:rFonts w:eastAsiaTheme="minorEastAsia"/>
          <w:kern w:val="2"/>
          <w14:ligatures w14:val="standardContextual"/>
        </w:rPr>
        <w:t xml:space="preserve">To address these challenges, this conceptual paper begins with culture as a motivating concern but deliberately adopts the term “culture-related factors” instead of seeing culture as a single, fixed construct (Geertz, 1993; Small et al., 2010; Swidler, 1986). This choice is intentional: attempts to define culture often </w:t>
      </w:r>
      <w:proofErr w:type="gramStart"/>
      <w:r w:rsidRPr="00E350A1">
        <w:rPr>
          <w:rFonts w:eastAsiaTheme="minorEastAsia"/>
          <w:kern w:val="2"/>
          <w14:ligatures w14:val="standardContextual"/>
        </w:rPr>
        <w:t>lead</w:t>
      </w:r>
      <w:proofErr w:type="gramEnd"/>
      <w:r w:rsidRPr="00E350A1">
        <w:rPr>
          <w:rFonts w:eastAsiaTheme="minorEastAsia"/>
          <w:kern w:val="2"/>
          <w14:ligatures w14:val="standardContextual"/>
        </w:rPr>
        <w:t xml:space="preserve"> to disputes on boundary over what should or should not be classified as cultural, which can distract from substantive conceptual synthesis (Lamont and Molnár, 2002). The term “culture-related factors” allows for a broader and more flexible examination of influences connected to culture without imposing a definitive definition. Rather </w:t>
      </w:r>
      <w:r w:rsidRPr="00E350A1">
        <w:rPr>
          <w:rFonts w:eastAsiaTheme="minorEastAsia"/>
          <w:kern w:val="2"/>
          <w14:ligatures w14:val="standardContextual"/>
        </w:rPr>
        <w:lastRenderedPageBreak/>
        <w:t>than resolving what culture is, this approach focuses on how culturally situated influences have been conceptualized in relation to volunteerism.</w:t>
      </w:r>
    </w:p>
    <w:p w14:paraId="5D1DDB8E" w14:textId="77777777" w:rsidR="00D30350" w:rsidRPr="00E350A1" w:rsidRDefault="00D30350" w:rsidP="00D30350">
      <w:pPr>
        <w:pStyle w:val="paragraph"/>
        <w:spacing w:before="120" w:beforeAutospacing="0" w:after="120" w:afterAutospacing="0" w:line="276" w:lineRule="auto"/>
        <w:textAlignment w:val="baseline"/>
        <w:rPr>
          <w:rFonts w:eastAsiaTheme="minorEastAsia"/>
          <w:kern w:val="2"/>
          <w14:ligatures w14:val="standardContextual"/>
        </w:rPr>
      </w:pPr>
      <w:r w:rsidRPr="00E350A1">
        <w:rPr>
          <w:rFonts w:eastAsiaTheme="minorEastAsia"/>
          <w:kern w:val="2"/>
          <w14:ligatures w14:val="standardContextual"/>
        </w:rPr>
        <w:t xml:space="preserve">This paper uses a broad definition of volunteerism that includes both formal and informal engagement. Formal volunteerism refers to unpaid contributions through organizations or structured programs, while informal volunteerism includes helping behaviors outside organizational settings, often within an individual’s immediate network, such as assisting neighbors (Lai et al., 2025; Wilson, 2012). This broader approach aligns with scholarship that critiques narrow or flattened understandings of volunteering and highlights the diverse forms voluntary action can take </w:t>
      </w:r>
      <w:r w:rsidRPr="00E350A1">
        <w:rPr>
          <w:rFonts w:eastAsiaTheme="minorEastAsia"/>
          <w:kern w:val="2"/>
          <w14:ligatures w14:val="standardContextual"/>
        </w:rPr>
        <w:fldChar w:fldCharType="begin"/>
      </w:r>
      <w:r w:rsidRPr="00E350A1">
        <w:rPr>
          <w:rFonts w:eastAsiaTheme="minorEastAsia"/>
          <w:kern w:val="2"/>
          <w14:ligatures w14:val="standardContextual"/>
        </w:rPr>
        <w:instrText xml:space="preserve"> ADDIN ZOTERO_ITEM CSL_CITATION {"citationID":"gpBwSbhz","properties":{"formattedCitation":"(Rochester et al., 2010)","plainCitation":"(Rochester et al., 2010)","noteIndex":0},"citationItems":[{"id":4387,"uris":["http://zotero.org/groups/6142900/items/4RBBUJ4V"],"itemData":{"id":4387,"type":"chapter","abstract":"This chapter and the one that immediately follows it represent an attempt to make sense of volunteering by capturing the full extent of the phenomenon and the rich variety of the forms it can take. We start from the premise that the general perception of volunteering is based on what David Horton Smith (2000) has called, in a different context, a ‘flat-earth map’. In other words, the picture most people have of voluntary action is incomplete; while some of its features are clearly defined, many more of them are ‘dark matter’ (ibid.) which remains relatively unknown and largely unexplored.","container-title":"Volunteering and Society in the 21st Century","DOI":"10.1057/9780230279438_2","ISBN":"978-0-230-27943-8","language":"en","page":"9-23","publisher":"Palgrave Macmillan UK","publisher-place":"London","source":"Springer Link","title":"Making Sense of Volunteering: Perspectives, principles and definitions","title-short":"Making Sense of Volunteering","URL":"https://doi.org/10.1057/9780230279438_2","author":[{"family":"Rochester","given":"Colin"},{"family":"Paine","given":"Angela Ellis"},{"family":"Howlett","given":"Steven"},{"family":"Zimmeck","given":"Meta"}],"editor":[{"family":"Rochester","given":"Colin"},{"family":"Paine","given":"Angela Ellis"},{"family":"Howlett","given":"Steven"},{"family":"Zimmeck","given":"Meta"}],"accessed":{"date-parts":[["2026",3,20]]},"issued":{"date-parts":[["2010"]]}}}],"schema":"https://github.com/citation-style-language/schema/raw/master/csl-citation.json"} </w:instrText>
      </w:r>
      <w:r w:rsidRPr="00E350A1">
        <w:rPr>
          <w:rFonts w:eastAsiaTheme="minorEastAsia"/>
          <w:kern w:val="2"/>
          <w14:ligatures w14:val="standardContextual"/>
        </w:rPr>
        <w:fldChar w:fldCharType="separate"/>
      </w:r>
      <w:r w:rsidRPr="00E350A1">
        <w:rPr>
          <w:rFonts w:eastAsiaTheme="minorEastAsia"/>
          <w:noProof/>
          <w:kern w:val="2"/>
          <w14:ligatures w14:val="standardContextual"/>
        </w:rPr>
        <w:t>(Rochester et al., 2010)</w:t>
      </w:r>
      <w:r w:rsidRPr="00E350A1">
        <w:rPr>
          <w:rFonts w:eastAsiaTheme="minorEastAsia"/>
          <w:kern w:val="2"/>
          <w14:ligatures w14:val="standardContextual"/>
        </w:rPr>
        <w:fldChar w:fldCharType="end"/>
      </w:r>
      <w:r w:rsidRPr="00E350A1">
        <w:rPr>
          <w:rFonts w:eastAsiaTheme="minorEastAsia"/>
          <w:kern w:val="2"/>
          <w14:ligatures w14:val="standardContextual"/>
        </w:rPr>
        <w:t xml:space="preserve">. Recognizing both forms is important in culturally diverse and non-Western contexts, where meaningful contributions may occur through informal helping rather than formal organizational roles (Dekker and Halman, 2003; Hustinx and </w:t>
      </w:r>
      <w:proofErr w:type="spellStart"/>
      <w:r w:rsidRPr="00E350A1">
        <w:rPr>
          <w:rFonts w:eastAsiaTheme="minorEastAsia"/>
          <w:kern w:val="2"/>
          <w14:ligatures w14:val="standardContextual"/>
        </w:rPr>
        <w:t>Lammertyn</w:t>
      </w:r>
      <w:proofErr w:type="spellEnd"/>
      <w:r w:rsidRPr="00E350A1">
        <w:rPr>
          <w:rFonts w:eastAsiaTheme="minorEastAsia"/>
          <w:kern w:val="2"/>
          <w14:ligatures w14:val="standardContextual"/>
        </w:rPr>
        <w:t>, 2003). This paper is situated within the globe to reflect the diversity of cultural frameworks that shape participation in later life. A global perspective allows for consideration of culturally specific meanings and expectations related to helping behaviors, without relying on a regional model of volunteering.</w:t>
      </w:r>
    </w:p>
    <w:p w14:paraId="5D7CB1C4" w14:textId="77777777" w:rsidR="00D30350" w:rsidRPr="00E350A1" w:rsidRDefault="00D30350" w:rsidP="00D30350">
      <w:pPr>
        <w:pStyle w:val="paragraph"/>
        <w:spacing w:before="120" w:beforeAutospacing="0" w:after="120" w:afterAutospacing="0" w:line="276" w:lineRule="auto"/>
        <w:textAlignment w:val="baseline"/>
        <w:rPr>
          <w:rFonts w:eastAsiaTheme="minorEastAsia"/>
          <w:kern w:val="2"/>
          <w14:ligatures w14:val="standardContextual"/>
        </w:rPr>
      </w:pPr>
      <w:r w:rsidRPr="00E350A1">
        <w:rPr>
          <w:rFonts w:eastAsiaTheme="minorEastAsia"/>
          <w:kern w:val="2"/>
          <w14:ligatures w14:val="standardContextual"/>
        </w:rPr>
        <w:t>In this paper, later life is defined broadly as adults aged 50 and older. This inclusive threshold is adopted because research on volunteering and aging utilizes varying age cut-offs, and because transitions relevant to volunteer engagement, such as shifting work roles, caregiving responsibilities, retirement, and changes in health and social expectations, often begin before age 65. Consequently, this study identifies and maps culture-related influences on volunteerism among adults aged 50 and older using a two-tier framework. Tier 1 includes broad culture-related domains, such as values and beliefs, religion and spirituality, and identity and belonging. Tier 2 consists of specific culture-related factors identified in the literature, such as filial piety, collectivism, or ikigai, which are conceptual expressions of the broader domains. By examining how these domains and factors have been conceptualized across studies, this paper clarifies conceptual boundaries and highlights patterns and gaps in existing research, rather than proposing a new causal model. Specific focus is given to how culture-related influences may operate in age-specific ways in later life, particularly through retirement transitions, changing social roles, cohort-based experiences, accumulated cultural capital, and shifting opportunities for social participation.</w:t>
      </w:r>
    </w:p>
    <w:p w14:paraId="13BCA6F0" w14:textId="77777777" w:rsidR="00D30350" w:rsidRPr="00E350A1" w:rsidRDefault="00D30350" w:rsidP="00D30350">
      <w:pPr>
        <w:pStyle w:val="paragraph"/>
        <w:spacing w:before="120" w:beforeAutospacing="0" w:after="120" w:afterAutospacing="0" w:line="276" w:lineRule="auto"/>
        <w:jc w:val="center"/>
        <w:textAlignment w:val="baseline"/>
        <w:rPr>
          <w:rStyle w:val="normaltextrun"/>
          <w:rFonts w:eastAsiaTheme="majorEastAsia"/>
          <w:b/>
          <w:bCs/>
          <w:color w:val="000000"/>
          <w:shd w:val="clear" w:color="auto" w:fill="FFFFFF"/>
        </w:rPr>
      </w:pPr>
      <w:r w:rsidRPr="00E350A1">
        <w:rPr>
          <w:rStyle w:val="normaltextrun"/>
          <w:rFonts w:eastAsiaTheme="majorEastAsia"/>
          <w:b/>
          <w:bCs/>
          <w:color w:val="000000"/>
          <w:shd w:val="clear" w:color="auto" w:fill="FFFFFF"/>
        </w:rPr>
        <w:t>Conceptual Background: Volunteerism, Culture, and Aging</w:t>
      </w:r>
    </w:p>
    <w:p w14:paraId="475D0CE5" w14:textId="77777777" w:rsidR="00D30350" w:rsidRPr="00E350A1" w:rsidRDefault="00D30350" w:rsidP="00D30350">
      <w:pPr>
        <w:pStyle w:val="paragraph"/>
        <w:spacing w:before="120" w:beforeAutospacing="0" w:after="120" w:afterAutospacing="0" w:line="276" w:lineRule="auto"/>
        <w:textAlignment w:val="baseline"/>
        <w:rPr>
          <w:rStyle w:val="normaltextrun"/>
          <w:rFonts w:eastAsiaTheme="majorEastAsia"/>
          <w:color w:val="000000"/>
          <w:shd w:val="clear" w:color="auto" w:fill="FFFFFF"/>
        </w:rPr>
      </w:pPr>
      <w:r w:rsidRPr="00E350A1">
        <w:rPr>
          <w:rStyle w:val="normaltextrun"/>
          <w:rFonts w:eastAsiaTheme="majorEastAsia"/>
          <w:color w:val="000000"/>
          <w:shd w:val="clear" w:color="auto" w:fill="FFFFFF"/>
        </w:rPr>
        <w:t>Prior research suggests that culture-related meanings and expectations may shape informal volunteer engagement as strongly as, or in some contexts more strongly than, formal volunteering, particularly among older adults in collectivist or immigrant communities. However, the ways in which culture-related influences are conceptualized and examined in studies of volunteerism in later life remain fragmented. This section reviews key conceptual issues related to volunteerism, culture, and aging, with the specific aim of clarifying how culture-related influences have been framed in the literature and why an integrative conceptual framework is needed.</w:t>
      </w:r>
    </w:p>
    <w:p w14:paraId="57C48083" w14:textId="77777777" w:rsidR="00D30350" w:rsidRPr="00E350A1" w:rsidRDefault="00D30350" w:rsidP="00D30350">
      <w:pPr>
        <w:pStyle w:val="paragraph"/>
        <w:spacing w:before="120" w:beforeAutospacing="0" w:after="120" w:afterAutospacing="0" w:line="276" w:lineRule="auto"/>
        <w:textAlignment w:val="baseline"/>
        <w:rPr>
          <w:rStyle w:val="normaltextrun"/>
          <w:rFonts w:eastAsiaTheme="majorEastAsia"/>
          <w:i/>
          <w:iCs/>
          <w:color w:val="000000"/>
          <w:u w:val="single"/>
          <w:shd w:val="clear" w:color="auto" w:fill="FFFFFF"/>
        </w:rPr>
      </w:pPr>
      <w:r w:rsidRPr="00E350A1">
        <w:rPr>
          <w:rStyle w:val="normaltextrun"/>
          <w:rFonts w:eastAsiaTheme="majorEastAsia"/>
          <w:i/>
          <w:iCs/>
          <w:color w:val="000000"/>
          <w:u w:val="single"/>
          <w:shd w:val="clear" w:color="auto" w:fill="FFFFFF"/>
        </w:rPr>
        <w:lastRenderedPageBreak/>
        <w:t>Culture as an Under-Specified Influence</w:t>
      </w:r>
    </w:p>
    <w:p w14:paraId="2882FAD5" w14:textId="77777777" w:rsidR="00D30350" w:rsidRPr="00E350A1" w:rsidRDefault="00D30350" w:rsidP="00D30350">
      <w:pPr>
        <w:pStyle w:val="paragraph"/>
        <w:spacing w:before="120" w:beforeAutospacing="0" w:after="120" w:afterAutospacing="0" w:line="276" w:lineRule="auto"/>
        <w:textAlignment w:val="baseline"/>
        <w:rPr>
          <w:rStyle w:val="normaltextrun"/>
          <w:rFonts w:eastAsiaTheme="majorEastAsia"/>
          <w:color w:val="000000"/>
          <w:shd w:val="clear" w:color="auto" w:fill="FFFFFF"/>
        </w:rPr>
      </w:pPr>
      <w:r w:rsidRPr="00E350A1">
        <w:rPr>
          <w:rStyle w:val="normaltextrun"/>
          <w:rFonts w:eastAsiaTheme="majorEastAsia"/>
          <w:color w:val="000000"/>
          <w:shd w:val="clear" w:color="auto" w:fill="FFFFFF"/>
        </w:rPr>
        <w:t>As noted in the introduction, treating culture primarily through narrow proxies such as religiosity obscures the broader range of culture-related influences that shape how volunteerism is understood and practiced in later life (McNamara and Gonzales, 2011; Wilson and Musick, 1997). Beyond religion, culture-related influences may include values related to helping and reciprocity, norms surrounding family and community obligations, language use, identity and belonging, and shared expectations regarding appropriate forms of social contribution (</w:t>
      </w:r>
      <w:proofErr w:type="spellStart"/>
      <w:r w:rsidRPr="00E350A1">
        <w:rPr>
          <w:rStyle w:val="normaltextrun"/>
          <w:rFonts w:eastAsiaTheme="majorEastAsia"/>
          <w:color w:val="000000"/>
          <w:shd w:val="clear" w:color="auto" w:fill="FFFFFF"/>
        </w:rPr>
        <w:t>Triandis</w:t>
      </w:r>
      <w:proofErr w:type="spellEnd"/>
      <w:r w:rsidRPr="00E350A1">
        <w:rPr>
          <w:rStyle w:val="normaltextrun"/>
          <w:rFonts w:eastAsiaTheme="majorEastAsia"/>
          <w:color w:val="000000"/>
          <w:shd w:val="clear" w:color="auto" w:fill="FFFFFF"/>
        </w:rPr>
        <w:t>, 1995). Additional dimensions, such as country or region of origin, settlement context, and immigration timing or generational status, have also been shown to be associated with volunteerism in later life (Lee and Moon, 2011). These dimensions reflect culturally patterned roles and experiences, which may influence how volunteering is understood, valued, and enacted across different social groups.</w:t>
      </w:r>
    </w:p>
    <w:p w14:paraId="43DD7DAB" w14:textId="77777777" w:rsidR="00D30350" w:rsidRPr="00E350A1" w:rsidRDefault="00D30350" w:rsidP="00D30350">
      <w:pPr>
        <w:pStyle w:val="paragraph"/>
        <w:spacing w:before="120" w:beforeAutospacing="0" w:after="120" w:afterAutospacing="0" w:line="276" w:lineRule="auto"/>
        <w:textAlignment w:val="baseline"/>
        <w:rPr>
          <w:rStyle w:val="normaltextrun"/>
          <w:rFonts w:eastAsiaTheme="majorEastAsia"/>
          <w:color w:val="000000"/>
          <w:shd w:val="clear" w:color="auto" w:fill="FFFFFF"/>
        </w:rPr>
      </w:pPr>
      <w:r w:rsidRPr="00E350A1">
        <w:rPr>
          <w:rStyle w:val="normaltextrun"/>
          <w:rFonts w:eastAsiaTheme="majorEastAsia"/>
          <w:color w:val="000000"/>
          <w:shd w:val="clear" w:color="auto" w:fill="FFFFFF"/>
        </w:rPr>
        <w:t xml:space="preserve">Culture is often referenced in broad or implicit terms, without clear definition or systematic examination. Existing studies draw on diverse and sometimes incompatible conceptualizations, such as cultural capital, cultural context, and cultural systems, each emphasizing different aspects of culture and operating at different analytic levels (Hepton, 2003; Throsby, 1999). For example, cultural capital perspectives emphasize how culturally acquired skills, knowledge, and dispositions facilitate participation in socially valued activities, including volunteering (Throsby, 1999). Recent research further highlights the relevance of ethnic minority status and cultural capital in shaping volunteering among older adults </w:t>
      </w:r>
      <w:r w:rsidRPr="00E350A1">
        <w:rPr>
          <w:rStyle w:val="normaltextrun"/>
          <w:rFonts w:eastAsiaTheme="majorEastAsia"/>
          <w:color w:val="000000"/>
          <w:shd w:val="clear" w:color="auto" w:fill="FFFFFF"/>
        </w:rPr>
        <w:fldChar w:fldCharType="begin"/>
      </w:r>
      <w:r w:rsidRPr="00E350A1">
        <w:rPr>
          <w:rStyle w:val="normaltextrun"/>
          <w:rFonts w:eastAsiaTheme="majorEastAsia"/>
          <w:color w:val="000000"/>
          <w:shd w:val="clear" w:color="auto" w:fill="FFFFFF"/>
        </w:rPr>
        <w:instrText xml:space="preserve"> ADDIN ZOTERO_ITEM CSL_CITATION {"citationID":"oGeLuMCi","properties":{"formattedCitation":"(O\\uc0\\u8217{}Dea et al., 2024)","plainCitation":"(O’Dea et al., 2024)","noteIndex":0},"citationItems":[{"id":4376,"uris":["http://zotero.org/groups/6142900/items/65G3M6R3"],"itemData":{"id":4376,"type":"article-journal","abstract":"The COVID-19 pandemic has presented numerous challenges to older adults in Canada, including the ability to volunteer. The purpose of this study is to improve the understanding of the social context surrounding volunteering in Canada, by (a) determining changes in associations between human, social, and cultural capital and volunteering among older adults; and (b) examining the relationship between ethnic minority status and volunteering, using data from the Canadian Longitudinal Study on Aging (CLSA), collected prior to and during the pandemic. This study utilized data from 24,306 CLSA Baseline, Follow-up 1 (FUP1), and COVID-19 Baseline Survey participants (aged 55+). Results confirm a decrease in volunteering during the early stages of the pandemic. Compared to pre-pandemic associations, volunteers during the early stages of the pandemic were more likely to be young–old, male, employed, and not involved in religious activities. Findings provide evidence of pandemic effects on volunteering among older adults in Canada., RésuméLa pandémie de COVID-19 a confronté les personnes âgées à de nombreux défis au Canada, et a notamment restreint leur capacité de faire du bénévolat. Cette étude a pour objet d’améliorer la compréhension du contexte social dans lequel s’inscrit le bénévolat au Canada, en : a) déterminant l’évolution des liens entre le capital humain, social et culturel et le bénévolat chez les personnes âgées, et b) examinant les relations entre le statut de membre d’une minorité ethnique et le bénévolat, à l’aide de données recueillies par l’Étude longitudinale canadienne sur le vieillissement (ÉLCV) avant et pendant la pandémie. La présente étude a utilisé les données recueillies auprès de 24 306 participants au sondage de référence et de suivi initial de l’ÉLCV et au sondage de référence de l’ÉCLV sur la COVID-19 (âgés de 55 ans et plus). Les résultats confirment une baisse du bénévolat au cours des premiers stades de la pandémie. Par rapport aux liens établis avant la pandémie, les bénévoles actifs pendant la pandémie étaient en majorité des hommes de tous âges qui étaient employés et ne participaient pas à des activités religieuses. Les résultats confirment par des preuves l’incidence de la pandémie sur la pratique du bénévolat chez les personnes âgées au Canada.","container-title":"Canadian Journal on Aging / La Revue canadienne du vieillissement","DOI":"10.1017/S0714980824000229","ISSN":"0714-9808, 1710-1107","issue":"4","language":"en","page":"599-610","source":"Cambridge University Press","title":"Volunteering among Older Adults and Effects of Ethnic Minority Status before and during the COVID-19 Pandemic: Longitudinal Analyses of the CLSA","title-short":"Volunteering among Older Adults and Effects of Ethnic Minority Status before and during the COVID-19 Pandemic","volume":"43","author":[{"family":"O’Dea","given":"Eireann"},{"family":"Wister","given":"Andrew"},{"family":"Li","given":"Lun"},{"family":"Canham","given":"Sarah L."},{"family":"Mitchell","given":"Barbara"}],"issued":{"date-parts":[["2024",12]]}}}],"schema":"https://github.com/citation-style-language/schema/raw/master/csl-citation.json"} </w:instrText>
      </w:r>
      <w:r w:rsidRPr="00E350A1">
        <w:rPr>
          <w:rStyle w:val="normaltextrun"/>
          <w:rFonts w:eastAsiaTheme="majorEastAsia"/>
          <w:color w:val="000000"/>
          <w:shd w:val="clear" w:color="auto" w:fill="FFFFFF"/>
        </w:rPr>
        <w:fldChar w:fldCharType="separate"/>
      </w:r>
      <w:r w:rsidRPr="00E350A1">
        <w:rPr>
          <w:color w:val="000000"/>
        </w:rPr>
        <w:t>(O’Dea et al., 2024)</w:t>
      </w:r>
      <w:r w:rsidRPr="00E350A1">
        <w:rPr>
          <w:rStyle w:val="normaltextrun"/>
          <w:rFonts w:eastAsiaTheme="majorEastAsia"/>
          <w:color w:val="000000"/>
          <w:shd w:val="clear" w:color="auto" w:fill="FFFFFF"/>
        </w:rPr>
        <w:fldChar w:fldCharType="end"/>
      </w:r>
      <w:r w:rsidRPr="00E350A1">
        <w:rPr>
          <w:rStyle w:val="normaltextrun"/>
          <w:rFonts w:eastAsiaTheme="majorEastAsia"/>
          <w:color w:val="000000"/>
          <w:shd w:val="clear" w:color="auto" w:fill="FFFFFF"/>
        </w:rPr>
        <w:t xml:space="preserve">. This conceptual diversity has contributed to fragmentation that limits cumulative conceptual understanding. As a result, culture-related influences are frequently invoked but rarely integrated into a coherent conceptual structure, especially in studies of later-life volunteerism. Recent scholarship emphasizes that volunteerism among older adults is shaped by factors operating at multiple socio-ecological levels, further reinforcing the need for a more structured conceptual framework </w:t>
      </w:r>
      <w:r w:rsidRPr="00E350A1">
        <w:rPr>
          <w:rStyle w:val="normaltextrun"/>
          <w:rFonts w:eastAsiaTheme="majorEastAsia"/>
          <w:color w:val="000000"/>
          <w:shd w:val="clear" w:color="auto" w:fill="FFFFFF"/>
        </w:rPr>
        <w:fldChar w:fldCharType="begin"/>
      </w:r>
      <w:r w:rsidRPr="00E350A1">
        <w:rPr>
          <w:rStyle w:val="normaltextrun"/>
          <w:rFonts w:eastAsiaTheme="majorEastAsia"/>
          <w:color w:val="000000"/>
          <w:shd w:val="clear" w:color="auto" w:fill="FFFFFF"/>
        </w:rPr>
        <w:instrText xml:space="preserve"> ADDIN ZOTERO_ITEM CSL_CITATION {"citationID":"Cp8eMOW4","properties":{"formattedCitation":"(Lu et al., 2021)","plainCitation":"(Lu et al., 2021)","noteIndex":0},"citationItems":[{"id":4378,"uris":["http://zotero.org/groups/6142900/items/ZTHBVPKI"],"itemData":{"id":4378,"type":"article-journal","abstract":"The health and social benefits of volunteering behaviours by older adults are well acknowledged. However, few review articles have been concerned with the correlates/dimensions of older adults’ volunteerism. Some focused only on the North American context or reviewed studies only up to 2008. This study reviewed the recent global literature in the past decade about the correlates of older adults’ volunteerism. We carried out a literature search in PsycINFO, Social Services Abstracts, Sociological Abstracts and Google Scholar to identify empirical journal publications about the correlates of older adults’ (age 60+) volunteerism from 2008 to 2019. Among 112 initially eligible papers, 41 were selected. Findings were synthesised using the framework of the Socioecological Model. Existing studies mainly have used quantitative methodologies and were conducted within the context of a single Western country. Motivations included higher education, morale and mentality, previous experiences, social network, community cohesion and organisational management. Major barriers were health and financial constraints. Few studies focused on macro-level correlates. Irrelevant and confounding correlates were also discussed. We suggest practitioners recruit and retain older volunteers by identifying their needs and optimising management within the organisation. Policy makers should create a supportive environment and increase resource accessibility. Future research could conduct cross-cultural comparisons, use diverse methodologies and embrace more correlates, especially at the macro-level.","container-title":"Ageing &amp; Society","DOI":"10.1017/S0144686X20000082","ISSN":"0144-686X, 1469-1779","issue":"8","language":"en","page":"1833-1857","source":"Cambridge University Press","title":"A state-of-the-art review of the socio-ecological correlates of volunteerism among older adults","volume":"41","author":[{"family":"Lu","given":"Peiyi"},{"family":"Xu","given":"Cai"},{"family":"Shelley","given":"Mack"}],"issued":{"date-parts":[["2021",8]]}}}],"schema":"https://github.com/citation-style-language/schema/raw/master/csl-citation.json"} </w:instrText>
      </w:r>
      <w:r w:rsidRPr="00E350A1">
        <w:rPr>
          <w:rStyle w:val="normaltextrun"/>
          <w:rFonts w:eastAsiaTheme="majorEastAsia"/>
          <w:color w:val="000000"/>
          <w:shd w:val="clear" w:color="auto" w:fill="FFFFFF"/>
        </w:rPr>
        <w:fldChar w:fldCharType="separate"/>
      </w:r>
      <w:r w:rsidRPr="00E350A1">
        <w:rPr>
          <w:rStyle w:val="normaltextrun"/>
          <w:rFonts w:eastAsiaTheme="majorEastAsia"/>
          <w:noProof/>
          <w:color w:val="000000"/>
          <w:shd w:val="clear" w:color="auto" w:fill="FFFFFF"/>
        </w:rPr>
        <w:t>(Lu et al., 2021)</w:t>
      </w:r>
      <w:r w:rsidRPr="00E350A1">
        <w:rPr>
          <w:rStyle w:val="normaltextrun"/>
          <w:rFonts w:eastAsiaTheme="majorEastAsia"/>
          <w:color w:val="000000"/>
          <w:shd w:val="clear" w:color="auto" w:fill="FFFFFF"/>
        </w:rPr>
        <w:fldChar w:fldCharType="end"/>
      </w:r>
      <w:r w:rsidRPr="00E350A1">
        <w:rPr>
          <w:rStyle w:val="normaltextrun"/>
          <w:rFonts w:eastAsiaTheme="majorEastAsia"/>
          <w:color w:val="000000"/>
          <w:shd w:val="clear" w:color="auto" w:fill="FFFFFF"/>
        </w:rPr>
        <w:t>.</w:t>
      </w:r>
    </w:p>
    <w:p w14:paraId="232ADD1E" w14:textId="77777777" w:rsidR="00D30350" w:rsidRPr="00E350A1" w:rsidRDefault="00D30350" w:rsidP="00D30350">
      <w:pPr>
        <w:pStyle w:val="paragraph"/>
        <w:spacing w:before="120" w:beforeAutospacing="0" w:after="120" w:afterAutospacing="0" w:line="276" w:lineRule="auto"/>
        <w:jc w:val="center"/>
        <w:textAlignment w:val="baseline"/>
        <w:rPr>
          <w:rStyle w:val="normaltextrun"/>
          <w:rFonts w:eastAsiaTheme="majorEastAsia"/>
          <w:b/>
          <w:bCs/>
          <w:color w:val="000000"/>
        </w:rPr>
      </w:pPr>
      <w:r w:rsidRPr="00E350A1">
        <w:rPr>
          <w:rStyle w:val="normaltextrun"/>
          <w:rFonts w:eastAsiaTheme="majorEastAsia"/>
          <w:b/>
          <w:bCs/>
          <w:color w:val="000000" w:themeColor="text1"/>
        </w:rPr>
        <w:t>Methodology</w:t>
      </w:r>
    </w:p>
    <w:p w14:paraId="3E719320" w14:textId="77777777" w:rsidR="00D30350" w:rsidRPr="00E350A1" w:rsidRDefault="00D30350" w:rsidP="00D30350">
      <w:pPr>
        <w:pStyle w:val="paragraph"/>
        <w:spacing w:before="120" w:beforeAutospacing="0" w:after="120" w:afterAutospacing="0" w:line="276" w:lineRule="auto"/>
        <w:textAlignment w:val="baseline"/>
        <w:rPr>
          <w:rStyle w:val="normaltextrun"/>
          <w:rFonts w:eastAsiaTheme="majorEastAsia"/>
          <w:i/>
          <w:iCs/>
          <w:color w:val="000000"/>
          <w:u w:val="single"/>
          <w:shd w:val="clear" w:color="auto" w:fill="FFFFFF"/>
        </w:rPr>
      </w:pPr>
      <w:r w:rsidRPr="00E350A1">
        <w:rPr>
          <w:rStyle w:val="normaltextrun"/>
          <w:rFonts w:eastAsiaTheme="majorEastAsia"/>
          <w:i/>
          <w:iCs/>
          <w:color w:val="000000"/>
          <w:u w:val="single"/>
          <w:shd w:val="clear" w:color="auto" w:fill="FFFFFF"/>
        </w:rPr>
        <w:t>Rationale for a Conceptual Mapping Approach</w:t>
      </w:r>
    </w:p>
    <w:p w14:paraId="26261A8D" w14:textId="77777777" w:rsidR="00D30350" w:rsidRPr="00E350A1" w:rsidRDefault="00D30350" w:rsidP="00D30350">
      <w:pPr>
        <w:pStyle w:val="paragraph"/>
        <w:spacing w:before="120" w:beforeAutospacing="0" w:after="120" w:afterAutospacing="0" w:line="276" w:lineRule="auto"/>
        <w:textAlignment w:val="baseline"/>
        <w:rPr>
          <w:rStyle w:val="normaltextrun"/>
          <w:rFonts w:eastAsiaTheme="majorEastAsia"/>
          <w:color w:val="000000"/>
          <w:shd w:val="clear" w:color="auto" w:fill="FFFFFF"/>
        </w:rPr>
      </w:pPr>
      <w:r w:rsidRPr="00E350A1">
        <w:rPr>
          <w:rStyle w:val="normaltextrun"/>
          <w:rFonts w:eastAsiaTheme="majorEastAsia"/>
          <w:color w:val="000000"/>
          <w:shd w:val="clear" w:color="auto" w:fill="FFFFFF"/>
        </w:rPr>
        <w:t>The variability in definitions of culture and volunteerism complicates efforts to synthesize findings using systematic review approaches that prioritize effect estimation or aggregation of comparable outcomes (Munn et al., 2018). When key concepts are inconsistently defined across studies, these approaches may hinder rather than clarify underlying patterns.</w:t>
      </w:r>
    </w:p>
    <w:p w14:paraId="1ED56A97" w14:textId="77777777" w:rsidR="00D30350" w:rsidRPr="00E350A1" w:rsidRDefault="00D30350" w:rsidP="00D30350">
      <w:pPr>
        <w:pStyle w:val="paragraph"/>
        <w:spacing w:before="120" w:beforeAutospacing="0" w:after="120" w:afterAutospacing="0" w:line="276" w:lineRule="auto"/>
        <w:textAlignment w:val="baseline"/>
        <w:rPr>
          <w:rStyle w:val="normaltextrun"/>
          <w:rFonts w:eastAsiaTheme="majorEastAsia"/>
          <w:color w:val="000000"/>
          <w:shd w:val="clear" w:color="auto" w:fill="FFFFFF"/>
        </w:rPr>
      </w:pPr>
      <w:r w:rsidRPr="00E350A1">
        <w:rPr>
          <w:rStyle w:val="normaltextrun"/>
          <w:rFonts w:eastAsiaTheme="majorEastAsia"/>
          <w:color w:val="000000"/>
          <w:shd w:val="clear" w:color="auto" w:fill="FFFFFF"/>
        </w:rPr>
        <w:t xml:space="preserve">In contrast, conceptual mapping aims to clarify concepts and organize existing knowledge, rather than to evaluate study quality or establish causal relationships. This paper adopts a conceptual mapping approach to provide a structured overview of how culture-related factors have been examined in relation to volunteerism among older adults, with particular attention to conceptual framing. Accordingly, the study did not aim to estimate effects or provide an exhaustive </w:t>
      </w:r>
      <w:r w:rsidRPr="00E350A1">
        <w:rPr>
          <w:rStyle w:val="normaltextrun"/>
          <w:rFonts w:eastAsiaTheme="majorEastAsia"/>
          <w:color w:val="000000"/>
          <w:shd w:val="clear" w:color="auto" w:fill="FFFFFF"/>
        </w:rPr>
        <w:lastRenderedPageBreak/>
        <w:t>systematic synthesis, but rather to identify recurring conceptual patterns and organize them into a transparent interpretive framework.</w:t>
      </w:r>
    </w:p>
    <w:p w14:paraId="7C66F4C0" w14:textId="77777777" w:rsidR="00D30350" w:rsidRPr="00E350A1" w:rsidRDefault="00D30350" w:rsidP="00D30350">
      <w:pPr>
        <w:spacing w:before="120" w:after="120" w:line="276" w:lineRule="auto"/>
        <w:rPr>
          <w:rFonts w:ascii="Times New Roman" w:hAnsi="Times New Roman" w:cs="Times New Roman"/>
          <w:i/>
          <w:iCs/>
          <w:u w:val="single"/>
        </w:rPr>
      </w:pPr>
      <w:r w:rsidRPr="00E350A1">
        <w:rPr>
          <w:rFonts w:ascii="Times New Roman" w:hAnsi="Times New Roman" w:cs="Times New Roman"/>
          <w:i/>
          <w:iCs/>
          <w:u w:val="single"/>
        </w:rPr>
        <w:t>Iterative Search Strategy and Conceptual Mapping</w:t>
      </w:r>
    </w:p>
    <w:p w14:paraId="14C8580C" w14:textId="77777777" w:rsidR="00D30350" w:rsidRPr="00E350A1" w:rsidRDefault="00D30350" w:rsidP="00D30350">
      <w:pPr>
        <w:pStyle w:val="paragraph"/>
        <w:spacing w:before="120" w:beforeAutospacing="0" w:after="120" w:afterAutospacing="0" w:line="276" w:lineRule="auto"/>
        <w:textAlignment w:val="baseline"/>
        <w:rPr>
          <w:rFonts w:eastAsiaTheme="minorEastAsia"/>
          <w:kern w:val="2"/>
          <w14:ligatures w14:val="standardContextual"/>
        </w:rPr>
      </w:pPr>
      <w:r w:rsidRPr="00E350A1">
        <w:rPr>
          <w:rFonts w:eastAsiaTheme="minorEastAsia"/>
          <w:kern w:val="2"/>
          <w14:ligatures w14:val="standardContextual"/>
        </w:rPr>
        <w:t>This conceptual framework was developed using a structured, iterative exploration of the literature instead of a systematic or scoping review. Since no existing integrative review was available on culture-related influences on volunteerism in later life, we conducted repeated exploratory searches were conducted in Google Scholar across 10 rounds and completed in November 2025. While Google Scholar has known limitations for systematic literature retrieval (Boeker et al., 2013), it was appropriate for this study because our goal was not a systematic review, but rather a conceptual mapping to identify recurring patterns in the literature. The search process focused on how culture-related constructs are defined and conceptualized in empirical and conceptual studies of volunteerism involving older adult populations.</w:t>
      </w:r>
    </w:p>
    <w:p w14:paraId="64E68638" w14:textId="77777777" w:rsidR="00D30350" w:rsidRPr="00E350A1" w:rsidRDefault="00D30350" w:rsidP="00D30350">
      <w:pPr>
        <w:pStyle w:val="paragraph"/>
        <w:spacing w:before="120" w:beforeAutospacing="0" w:after="120" w:afterAutospacing="0" w:line="276" w:lineRule="auto"/>
        <w:textAlignment w:val="baseline"/>
        <w:rPr>
          <w:rFonts w:eastAsiaTheme="minorEastAsia"/>
          <w:kern w:val="2"/>
          <w14:ligatures w14:val="standardContextual"/>
        </w:rPr>
      </w:pPr>
      <w:r w:rsidRPr="00E350A1">
        <w:rPr>
          <w:rFonts w:eastAsiaTheme="minorEastAsia"/>
          <w:kern w:val="2"/>
          <w14:ligatures w14:val="standardContextual"/>
        </w:rPr>
        <w:t xml:space="preserve">Representative search strings combined terms related to volunteerism or volunteering with terms such as culture, cultural factors, and older adults. Additional searches combined volunteer-related terms with concepts such as identity, religion, religiosity, immigrant status, and midlife </w:t>
      </w:r>
      <w:proofErr w:type="gramStart"/>
      <w:r w:rsidRPr="00E350A1">
        <w:rPr>
          <w:rFonts w:eastAsiaTheme="minorEastAsia"/>
          <w:kern w:val="2"/>
          <w14:ligatures w14:val="standardContextual"/>
        </w:rPr>
        <w:t>in order to</w:t>
      </w:r>
      <w:proofErr w:type="gramEnd"/>
      <w:r w:rsidRPr="00E350A1">
        <w:rPr>
          <w:rFonts w:eastAsiaTheme="minorEastAsia"/>
          <w:kern w:val="2"/>
          <w14:ligatures w14:val="standardContextual"/>
        </w:rPr>
        <w:t xml:space="preserve"> capture a broader range of culture-related influences. We screened the first 10 pages of Google Scholar results for each string.</w:t>
      </w:r>
    </w:p>
    <w:p w14:paraId="7AB80595" w14:textId="77777777" w:rsidR="00D30350" w:rsidRPr="00E350A1" w:rsidRDefault="00D30350" w:rsidP="00D30350">
      <w:pPr>
        <w:pStyle w:val="paragraph"/>
        <w:spacing w:before="120" w:beforeAutospacing="0" w:after="120" w:afterAutospacing="0" w:line="276" w:lineRule="auto"/>
        <w:textAlignment w:val="baseline"/>
        <w:rPr>
          <w:rFonts w:eastAsiaTheme="minorEastAsia"/>
          <w:kern w:val="2"/>
          <w14:ligatures w14:val="standardContextual"/>
        </w:rPr>
      </w:pPr>
      <w:r w:rsidRPr="00E350A1">
        <w:rPr>
          <w:rFonts w:eastAsiaTheme="minorEastAsia"/>
          <w:kern w:val="2"/>
          <w14:ligatures w14:val="standardContextual"/>
        </w:rPr>
        <w:t>Across the search rounds, we identified 109 non-duplicate records were identified as potentially relevant at the initial stage. We first screened these sources for relevance to both volunteerism and culture-related influences, followed by a closer review of abstracts and full texts where necessary. Sources were retained for conceptual mapping if they addressed volunteerism or volunteering and included discussion relevant to older adults, later life, or adults aged 50 and older and provided insights into culture-related influences. We included both empirical and conceptual sources that helped clarify how these influences are framed in relation to volunteerism.</w:t>
      </w:r>
    </w:p>
    <w:p w14:paraId="00BB0CE9" w14:textId="77777777" w:rsidR="00D30350" w:rsidRPr="00E350A1" w:rsidRDefault="00D30350" w:rsidP="00D30350">
      <w:pPr>
        <w:pStyle w:val="paragraph"/>
        <w:spacing w:before="120" w:beforeAutospacing="0" w:after="120" w:afterAutospacing="0" w:line="276" w:lineRule="auto"/>
        <w:textAlignment w:val="baseline"/>
        <w:rPr>
          <w:rFonts w:eastAsiaTheme="minorEastAsia"/>
          <w:kern w:val="2"/>
          <w14:ligatures w14:val="standardContextual"/>
        </w:rPr>
      </w:pPr>
      <w:r w:rsidRPr="00E350A1">
        <w:rPr>
          <w:rFonts w:eastAsiaTheme="minorEastAsia"/>
          <w:kern w:val="2"/>
          <w14:ligatures w14:val="standardContextual"/>
        </w:rPr>
        <w:t>We excluded sources if they focused on volunteering without engaging meaningfully with culture-related constructs, if they centered on younger populations without relevance to later life, or if they addressed broader civic or social participation without clearly relating to volunteerism. Because the purpose of this paper was conceptual mapping rather than effect estimation, we did not undertake a formal quality appraisal nor impose a fixed definition of culture during the search stage.</w:t>
      </w:r>
    </w:p>
    <w:p w14:paraId="22EAE9CA" w14:textId="77777777" w:rsidR="00D30350" w:rsidRPr="00E350A1" w:rsidRDefault="00D30350" w:rsidP="00D30350">
      <w:pPr>
        <w:pStyle w:val="paragraph"/>
        <w:spacing w:before="120" w:beforeAutospacing="0" w:after="120" w:afterAutospacing="0" w:line="276" w:lineRule="auto"/>
        <w:textAlignment w:val="baseline"/>
        <w:rPr>
          <w:rFonts w:eastAsiaTheme="minorEastAsia"/>
          <w:kern w:val="2"/>
          <w14:ligatures w14:val="standardContextual"/>
        </w:rPr>
      </w:pPr>
      <w:r w:rsidRPr="00E350A1">
        <w:rPr>
          <w:rFonts w:eastAsiaTheme="minorEastAsia"/>
          <w:kern w:val="2"/>
          <w14:ligatures w14:val="standardContextual"/>
        </w:rPr>
        <w:t xml:space="preserve">The analytic process was inductive and iterative. Through author discussions, we grouped recurring concepts into broader Tier 1 domains when sources referred to higher-level conceptual areas, and Tier 2 factors when sources named more specific constructs. When concepts overlapped across multiple domains, they were assigned according to their primary conceptual emphasis, while acknowledging that some constructs could relate to more than one domain. In some cases, articles explicitly referred to constructs that aligned with Tier 2 factors; in others, we </w:t>
      </w:r>
      <w:r w:rsidRPr="00E350A1">
        <w:rPr>
          <w:rFonts w:eastAsiaTheme="minorEastAsia"/>
          <w:kern w:val="2"/>
          <w14:ligatures w14:val="standardContextual"/>
        </w:rPr>
        <w:lastRenderedPageBreak/>
        <w:t>grouped under Tier 1 domains based on our interpretive discussion of conceptual fit. This process resulted in the seven domains and corresponding factors presented in the framework.</w:t>
      </w:r>
    </w:p>
    <w:p w14:paraId="2917A521" w14:textId="77777777" w:rsidR="00D30350" w:rsidRPr="00E350A1" w:rsidRDefault="00D30350" w:rsidP="00D30350">
      <w:pPr>
        <w:pStyle w:val="paragraph"/>
        <w:spacing w:before="120" w:beforeAutospacing="0" w:after="120" w:afterAutospacing="0" w:line="276" w:lineRule="auto"/>
        <w:jc w:val="center"/>
        <w:textAlignment w:val="baseline"/>
        <w:rPr>
          <w:rStyle w:val="normaltextrun"/>
        </w:rPr>
      </w:pPr>
      <w:r w:rsidRPr="00E350A1">
        <w:rPr>
          <w:rStyle w:val="normaltextrun"/>
          <w:rFonts w:eastAsiaTheme="majorEastAsia"/>
          <w:b/>
          <w:bCs/>
          <w:color w:val="000000" w:themeColor="text1"/>
        </w:rPr>
        <w:t>A Two-Tier Framework for Culture-Related Influences on Volunteerism</w:t>
      </w:r>
    </w:p>
    <w:p w14:paraId="0B26B18E" w14:textId="77777777" w:rsidR="00D30350" w:rsidRPr="00E350A1" w:rsidRDefault="00D30350" w:rsidP="00D30350">
      <w:pPr>
        <w:pStyle w:val="NormalWeb"/>
        <w:spacing w:before="120" w:beforeAutospacing="0" w:after="120" w:afterAutospacing="0" w:line="276" w:lineRule="auto"/>
        <w:rPr>
          <w:i/>
          <w:iCs/>
          <w:u w:val="single"/>
        </w:rPr>
      </w:pPr>
      <w:r w:rsidRPr="00E350A1">
        <w:rPr>
          <w:i/>
          <w:iCs/>
          <w:u w:val="single"/>
        </w:rPr>
        <w:t>Why a Two-Tier Framework?</w:t>
      </w:r>
    </w:p>
    <w:p w14:paraId="66764626" w14:textId="77777777" w:rsidR="00D30350" w:rsidRPr="00E350A1" w:rsidRDefault="00D30350" w:rsidP="00D30350">
      <w:pPr>
        <w:pStyle w:val="paragraph"/>
        <w:spacing w:before="120" w:beforeAutospacing="0" w:after="120" w:afterAutospacing="0" w:line="276" w:lineRule="auto"/>
        <w:textAlignment w:val="baseline"/>
      </w:pPr>
      <w:r w:rsidRPr="00E350A1">
        <w:t>This two-tier approach is consistent with methodological priorities in future research. Many culture-related domains, including values and norms, are latent constructs that cannot be directly observed. By distinguishing domains from factors, the framework offers a clearer foundation for theory development, measurement refinement, and empirical testing, including the examination of relationships between latent cultural constructs and observable volunteering behaviors. The framework is designed to organize current knowledge and to facilitate future research.</w:t>
      </w:r>
    </w:p>
    <w:p w14:paraId="626E12C8" w14:textId="77777777" w:rsidR="00D30350" w:rsidRPr="00E350A1" w:rsidRDefault="00D30350" w:rsidP="00D30350">
      <w:pPr>
        <w:pStyle w:val="paragraph"/>
        <w:spacing w:before="120" w:beforeAutospacing="0" w:after="120" w:afterAutospacing="0" w:line="276" w:lineRule="auto"/>
        <w:textAlignment w:val="baseline"/>
        <w:rPr>
          <w:rStyle w:val="normaltextrun"/>
          <w:rFonts w:eastAsiaTheme="majorEastAsia"/>
          <w:i/>
          <w:iCs/>
          <w:color w:val="000000"/>
          <w:u w:val="single"/>
        </w:rPr>
      </w:pPr>
      <w:r w:rsidRPr="00E350A1">
        <w:rPr>
          <w:rStyle w:val="normaltextrun"/>
          <w:rFonts w:eastAsiaTheme="majorEastAsia"/>
          <w:i/>
          <w:iCs/>
          <w:color w:val="000000" w:themeColor="text1"/>
          <w:u w:val="single"/>
        </w:rPr>
        <w:t>Tier 1: Culture-Related Domains (Definitions)</w:t>
      </w:r>
    </w:p>
    <w:p w14:paraId="33D36543" w14:textId="77777777" w:rsidR="00D30350" w:rsidRPr="00E350A1" w:rsidRDefault="00D30350" w:rsidP="00D30350">
      <w:pPr>
        <w:spacing w:before="120" w:after="120" w:line="276" w:lineRule="auto"/>
        <w:outlineLvl w:val="3"/>
        <w:rPr>
          <w:rFonts w:ascii="Times New Roman" w:eastAsia="Times New Roman" w:hAnsi="Times New Roman" w:cs="Times New Roman"/>
          <w:kern w:val="0"/>
          <w14:ligatures w14:val="none"/>
        </w:rPr>
      </w:pPr>
      <w:r w:rsidRPr="00E350A1">
        <w:rPr>
          <w:rFonts w:ascii="Times New Roman" w:eastAsia="Times New Roman" w:hAnsi="Times New Roman" w:cs="Times New Roman"/>
          <w:kern w:val="0"/>
          <w14:ligatures w14:val="none"/>
        </w:rPr>
        <w:t>Tier 1 includes broad culture-related domains that reflect shared systems of meaning, values, norms, identities, and social organization. These domains serve as conceptual frameworks rather than discrete variables. While they may overlap and interact, they offer analytically distinct perspectives for organizing how culture is addressed in the volunteerism literature, particularly in studies of older adults. Tier 1 domains do not refer to specific behaviors or outcomes. Instead, they represent higher-level cultural frameworks within which more specific culture-related factors in Tier 2 are identified and examined.</w:t>
      </w:r>
    </w:p>
    <w:p w14:paraId="4FE096AD" w14:textId="77777777" w:rsidR="00D30350" w:rsidRPr="00E350A1" w:rsidRDefault="00D30350" w:rsidP="00D30350">
      <w:pPr>
        <w:spacing w:before="120" w:after="120" w:line="276" w:lineRule="auto"/>
        <w:outlineLvl w:val="3"/>
        <w:rPr>
          <w:rFonts w:ascii="Times New Roman" w:eastAsia="Times New Roman" w:hAnsi="Times New Roman" w:cs="Times New Roman"/>
          <w:b/>
          <w:bCs/>
          <w:kern w:val="0"/>
          <w14:ligatures w14:val="none"/>
        </w:rPr>
      </w:pPr>
      <w:r w:rsidRPr="00E350A1">
        <w:rPr>
          <w:rFonts w:ascii="Times New Roman" w:eastAsia="Times New Roman" w:hAnsi="Times New Roman" w:cs="Times New Roman"/>
          <w:b/>
          <w:bCs/>
          <w:kern w:val="0"/>
          <w14:ligatures w14:val="none"/>
        </w:rPr>
        <w:t xml:space="preserve">Values and Beliefs: </w:t>
      </w:r>
      <w:r w:rsidRPr="00E350A1">
        <w:rPr>
          <w:rFonts w:ascii="Times New Roman" w:eastAsia="Times New Roman" w:hAnsi="Times New Roman" w:cs="Times New Roman"/>
          <w:kern w:val="0"/>
          <w14:ligatures w14:val="none"/>
        </w:rPr>
        <w:t>Shared systems of meaning and moral orientation that shape what people consider important, appropriate, and worthwhile (Clary and Snyder, 1991; Geertz, 1973).</w:t>
      </w:r>
    </w:p>
    <w:p w14:paraId="760154CB" w14:textId="77777777" w:rsidR="00D30350" w:rsidRPr="00E350A1" w:rsidRDefault="00D30350" w:rsidP="00D30350">
      <w:pPr>
        <w:spacing w:before="120" w:after="120" w:line="276" w:lineRule="auto"/>
        <w:outlineLvl w:val="3"/>
        <w:rPr>
          <w:rFonts w:ascii="Times New Roman" w:eastAsia="Times New Roman" w:hAnsi="Times New Roman" w:cs="Times New Roman"/>
          <w:b/>
          <w:bCs/>
          <w:kern w:val="0"/>
          <w14:ligatures w14:val="none"/>
        </w:rPr>
      </w:pPr>
      <w:r w:rsidRPr="00E350A1">
        <w:rPr>
          <w:rFonts w:ascii="Times New Roman" w:eastAsia="Times New Roman" w:hAnsi="Times New Roman" w:cs="Times New Roman"/>
          <w:b/>
          <w:bCs/>
          <w:kern w:val="0"/>
          <w14:ligatures w14:val="none"/>
        </w:rPr>
        <w:t>Norms and Social Expectations</w:t>
      </w:r>
      <w:r w:rsidRPr="00E350A1">
        <w:rPr>
          <w:rFonts w:ascii="Times New Roman" w:eastAsia="Times New Roman" w:hAnsi="Times New Roman" w:cs="Times New Roman"/>
          <w:kern w:val="0"/>
          <w14:ligatures w14:val="none"/>
        </w:rPr>
        <w:t>: Socially shared standards about appropriate roles, responsibilities, and expected conduct within a group (Bicchieri, 2006).</w:t>
      </w:r>
    </w:p>
    <w:p w14:paraId="2C1EE9CE" w14:textId="77777777" w:rsidR="00D30350" w:rsidRPr="00E350A1" w:rsidRDefault="00D30350" w:rsidP="00D30350">
      <w:pPr>
        <w:spacing w:before="120" w:after="120" w:line="276" w:lineRule="auto"/>
        <w:rPr>
          <w:rFonts w:ascii="Times New Roman" w:eastAsia="Times New Roman" w:hAnsi="Times New Roman" w:cs="Times New Roman"/>
          <w:b/>
          <w:bCs/>
          <w:kern w:val="0"/>
          <w14:ligatures w14:val="none"/>
        </w:rPr>
      </w:pPr>
      <w:r w:rsidRPr="00E350A1">
        <w:rPr>
          <w:rFonts w:ascii="Times New Roman" w:eastAsia="Times New Roman" w:hAnsi="Times New Roman" w:cs="Times New Roman"/>
          <w:b/>
          <w:bCs/>
          <w:kern w:val="0"/>
          <w14:ligatures w14:val="none"/>
        </w:rPr>
        <w:t xml:space="preserve">Identity and Belonging: </w:t>
      </w:r>
      <w:r w:rsidRPr="00E350A1">
        <w:rPr>
          <w:rFonts w:ascii="Times New Roman" w:eastAsia="Times New Roman" w:hAnsi="Times New Roman" w:cs="Times New Roman"/>
          <w:kern w:val="0"/>
          <w14:ligatures w14:val="none"/>
        </w:rPr>
        <w:t>Culturally grounded understandings of self and groups that shape feelings of attachment, inclusion, and affiliation as well as migration-related experiences such as immigration and acculturation (Tajfel and Turner, 1986).</w:t>
      </w:r>
      <w:r w:rsidRPr="00E350A1">
        <w:rPr>
          <w:rFonts w:ascii="Times New Roman" w:eastAsia="Times New Roman" w:hAnsi="Times New Roman" w:cs="Times New Roman"/>
          <w:b/>
          <w:bCs/>
          <w:kern w:val="0"/>
          <w14:ligatures w14:val="none"/>
        </w:rPr>
        <w:t xml:space="preserve"> </w:t>
      </w:r>
    </w:p>
    <w:p w14:paraId="38FC59A1" w14:textId="77777777" w:rsidR="00D30350" w:rsidRPr="00E350A1" w:rsidRDefault="00D30350" w:rsidP="00D30350">
      <w:pPr>
        <w:spacing w:before="120" w:after="120" w:line="276" w:lineRule="auto"/>
        <w:rPr>
          <w:rFonts w:ascii="Times New Roman" w:eastAsia="Times New Roman" w:hAnsi="Times New Roman" w:cs="Times New Roman"/>
          <w:b/>
          <w:bCs/>
          <w:kern w:val="0"/>
          <w14:ligatures w14:val="none"/>
        </w:rPr>
      </w:pPr>
      <w:r w:rsidRPr="00E350A1">
        <w:rPr>
          <w:rFonts w:ascii="Times New Roman" w:eastAsia="Times New Roman" w:hAnsi="Times New Roman" w:cs="Times New Roman"/>
          <w:b/>
          <w:bCs/>
          <w:kern w:val="0"/>
          <w14:ligatures w14:val="none"/>
        </w:rPr>
        <w:t xml:space="preserve">Religion and Spirituality: </w:t>
      </w:r>
      <w:r w:rsidRPr="00E350A1">
        <w:rPr>
          <w:rFonts w:ascii="Times New Roman" w:eastAsia="Times New Roman" w:hAnsi="Times New Roman" w:cs="Times New Roman"/>
          <w:kern w:val="0"/>
          <w14:ligatures w14:val="none"/>
        </w:rPr>
        <w:t>Institutional and non-institutional belief systems that provide moral frameworks, interpretive meaning, and practices related to purpose and responsibility (Durkheim, 2016).</w:t>
      </w:r>
    </w:p>
    <w:p w14:paraId="44074E81" w14:textId="77777777" w:rsidR="00D30350" w:rsidRPr="00E350A1" w:rsidRDefault="00D30350" w:rsidP="00D30350">
      <w:pPr>
        <w:spacing w:before="120" w:after="120" w:line="276" w:lineRule="auto"/>
        <w:rPr>
          <w:rFonts w:ascii="Times New Roman" w:eastAsia="Times New Roman" w:hAnsi="Times New Roman" w:cs="Times New Roman"/>
          <w:b/>
          <w:bCs/>
          <w:kern w:val="0"/>
          <w14:ligatures w14:val="none"/>
        </w:rPr>
      </w:pPr>
      <w:r w:rsidRPr="00E350A1">
        <w:rPr>
          <w:rFonts w:ascii="Times New Roman" w:eastAsia="Times New Roman" w:hAnsi="Times New Roman" w:cs="Times New Roman"/>
          <w:b/>
          <w:bCs/>
          <w:kern w:val="0"/>
          <w14:ligatures w14:val="none"/>
        </w:rPr>
        <w:t>Language and Communication:</w:t>
      </w:r>
      <w:r w:rsidRPr="00E350A1">
        <w:rPr>
          <w:rFonts w:ascii="Times New Roman" w:eastAsia="Times New Roman" w:hAnsi="Times New Roman" w:cs="Times New Roman"/>
          <w:kern w:val="0"/>
          <w14:ligatures w14:val="none"/>
        </w:rPr>
        <w:t xml:space="preserve"> Culturally patterned systems of expression through which meaning is conveyed, relationships are negotiated, and social understanding is constructed. Language functions both as a marker of cultural identity and as a mean for social interaction (Bourdieu, 1991). </w:t>
      </w:r>
    </w:p>
    <w:p w14:paraId="675B7C9C" w14:textId="77777777" w:rsidR="00D30350" w:rsidRPr="00E350A1" w:rsidRDefault="00D30350" w:rsidP="00D30350">
      <w:pPr>
        <w:spacing w:before="120" w:after="120" w:line="276" w:lineRule="auto"/>
        <w:rPr>
          <w:rFonts w:ascii="Times New Roman" w:eastAsia="Times New Roman" w:hAnsi="Times New Roman" w:cs="Times New Roman"/>
          <w:b/>
          <w:bCs/>
          <w:kern w:val="0"/>
          <w14:ligatures w14:val="none"/>
        </w:rPr>
      </w:pPr>
      <w:r w:rsidRPr="00E350A1">
        <w:rPr>
          <w:rFonts w:ascii="Times New Roman" w:eastAsia="Times New Roman" w:hAnsi="Times New Roman" w:cs="Times New Roman"/>
          <w:b/>
          <w:bCs/>
          <w:kern w:val="0"/>
          <w14:ligatures w14:val="none"/>
        </w:rPr>
        <w:t xml:space="preserve">Cultural Practices and Traditions: </w:t>
      </w:r>
      <w:r w:rsidRPr="00E350A1">
        <w:rPr>
          <w:rFonts w:ascii="Times New Roman" w:eastAsia="Times New Roman" w:hAnsi="Times New Roman" w:cs="Times New Roman"/>
          <w:kern w:val="0"/>
          <w14:ligatures w14:val="none"/>
        </w:rPr>
        <w:t>Rituals, customs, and patterned practices through which cultural meanings and social roles are enacted and changes over time (Hobsbawm and Ranger, 1983).</w:t>
      </w:r>
    </w:p>
    <w:p w14:paraId="3BC84D08" w14:textId="77777777" w:rsidR="00D30350" w:rsidRPr="00E350A1" w:rsidRDefault="00D30350" w:rsidP="00D30350">
      <w:pPr>
        <w:spacing w:before="120" w:after="120" w:line="276" w:lineRule="auto"/>
        <w:rPr>
          <w:rFonts w:ascii="Times New Roman" w:eastAsia="Times New Roman" w:hAnsi="Times New Roman" w:cs="Times New Roman"/>
          <w:kern w:val="0"/>
          <w14:ligatures w14:val="none"/>
        </w:rPr>
      </w:pPr>
      <w:r w:rsidRPr="00E350A1">
        <w:rPr>
          <w:rFonts w:ascii="Times New Roman" w:eastAsia="Times New Roman" w:hAnsi="Times New Roman" w:cs="Times New Roman"/>
          <w:b/>
          <w:bCs/>
          <w:kern w:val="0"/>
          <w14:ligatures w14:val="none"/>
        </w:rPr>
        <w:lastRenderedPageBreak/>
        <w:t>Structural and Contextual Environments:</w:t>
      </w:r>
      <w:r w:rsidRPr="00E350A1">
        <w:rPr>
          <w:rFonts w:ascii="Times New Roman" w:eastAsia="Times New Roman" w:hAnsi="Times New Roman" w:cs="Times New Roman"/>
          <w:kern w:val="0"/>
          <w14:ligatures w14:val="none"/>
        </w:rPr>
        <w:t xml:space="preserve"> Macro- and meso-level cultural and institutional conditions that shape what opportunities, norms, and meanings are available or reinforced (DiMaggio and Powell, 1983; Scott, 2014).</w:t>
      </w:r>
    </w:p>
    <w:p w14:paraId="0E3FF604" w14:textId="77777777" w:rsidR="00D30350" w:rsidRPr="00E350A1" w:rsidRDefault="00D30350" w:rsidP="00D30350">
      <w:pPr>
        <w:pStyle w:val="NormalWeb"/>
        <w:spacing w:before="120" w:beforeAutospacing="0" w:after="120" w:afterAutospacing="0" w:line="276" w:lineRule="auto"/>
        <w:rPr>
          <w:rStyle w:val="normaltextrun"/>
          <w:rFonts w:eastAsiaTheme="majorEastAsia"/>
          <w:i/>
          <w:iCs/>
          <w:color w:val="000000"/>
          <w:u w:val="single"/>
        </w:rPr>
      </w:pPr>
      <w:r w:rsidRPr="00E350A1">
        <w:rPr>
          <w:rStyle w:val="normaltextrun"/>
          <w:rFonts w:eastAsiaTheme="majorEastAsia"/>
          <w:i/>
          <w:color w:val="000000" w:themeColor="text1"/>
          <w:u w:val="single"/>
        </w:rPr>
        <w:t>Tier 2: Culture-Related Factors (Empirical Expressions)</w:t>
      </w:r>
    </w:p>
    <w:p w14:paraId="46CD9D38" w14:textId="77777777" w:rsidR="00D30350" w:rsidRPr="00E350A1" w:rsidRDefault="00D30350" w:rsidP="00D30350">
      <w:pPr>
        <w:pStyle w:val="NormalWeb"/>
        <w:spacing w:before="120" w:beforeAutospacing="0" w:after="120" w:afterAutospacing="0" w:line="276" w:lineRule="auto"/>
      </w:pPr>
      <w:r w:rsidRPr="00E350A1">
        <w:t xml:space="preserve">Tier 2 includes specific culture-related factors that appear across studies as concrete expressions of broader culture-related domains (Tier 1). These factors reflect how cultural influences are named, specified, and described in empirical and conceptual studies of volunteerism among older adults. In the existing literature, Tier 2 factors often appear as explicit constructs or commonly referenced cultural concepts, rather than as abstract domains. This section highlights illustrative factors that exemplify how scholars have articulated cultural domains in the context of volunteering. The framework remains open to expansion as additional factors emerge in future research. </w:t>
      </w:r>
    </w:p>
    <w:p w14:paraId="591535CC" w14:textId="77777777" w:rsidR="00D30350" w:rsidRPr="00E350A1" w:rsidRDefault="00D30350" w:rsidP="00D30350">
      <w:pPr>
        <w:pStyle w:val="NormalWeb"/>
        <w:spacing w:before="120" w:after="120" w:afterAutospacing="0" w:line="276" w:lineRule="auto"/>
      </w:pPr>
      <w:r w:rsidRPr="00E350A1">
        <w:t xml:space="preserve">Within the </w:t>
      </w:r>
      <w:r w:rsidRPr="00E350A1">
        <w:rPr>
          <w:b/>
          <w:bCs/>
        </w:rPr>
        <w:t>Values and Beliefs</w:t>
      </w:r>
      <w:r w:rsidRPr="00E350A1">
        <w:t xml:space="preserve">, Tier 2 factors include altruistic values, civic values, religious values, and philosophical values as well as beliefs about obligations, purpose, and social responsibility. Studies included in the literature reflect a wide range of values that motivate or discourage volunteer engagement, including altruistic values (e.g., humanitarianism and helping as a moral duty), religious values (e.g., faith-based altruism and service), civic values (including egalitarianism and civic responsibility), and philosophical values (e.g., Confucianism, ikigai, and filial piety) (Clary and Snyder, 1999; Ho, 1996; Kawamura, 2025; Park, 2005; Randall et al., 2022 ; </w:t>
      </w:r>
      <w:proofErr w:type="spellStart"/>
      <w:r w:rsidRPr="00E350A1">
        <w:t>Triandis</w:t>
      </w:r>
      <w:proofErr w:type="spellEnd"/>
      <w:r w:rsidRPr="00E350A1">
        <w:t xml:space="preserve">, 1995; Wilson and Musick, 1997). </w:t>
      </w:r>
    </w:p>
    <w:p w14:paraId="1DBDC5C1" w14:textId="77777777" w:rsidR="00D30350" w:rsidRPr="00E350A1" w:rsidRDefault="00D30350" w:rsidP="00D30350">
      <w:pPr>
        <w:pStyle w:val="NormalWeb"/>
        <w:spacing w:before="120" w:beforeAutospacing="0" w:after="120" w:afterAutospacing="0" w:line="276" w:lineRule="auto"/>
      </w:pPr>
      <w:r w:rsidRPr="00E350A1">
        <w:t xml:space="preserve">Within </w:t>
      </w:r>
      <w:r w:rsidRPr="00E350A1">
        <w:rPr>
          <w:rStyle w:val="Strong"/>
          <w:rFonts w:eastAsiaTheme="majorEastAsia"/>
        </w:rPr>
        <w:t>Norms and Social Expectations</w:t>
      </w:r>
      <w:r w:rsidRPr="00E350A1">
        <w:t xml:space="preserve">, Tier 2 factors include tendency of collectivism or individualism, community expectations regarding mutual aid, culturally specific gender roles, and norms surrounding aging and older adults’ social roles (Bicchieri, 2006; </w:t>
      </w:r>
      <w:proofErr w:type="spellStart"/>
      <w:r w:rsidRPr="00E350A1">
        <w:t>Einolf</w:t>
      </w:r>
      <w:proofErr w:type="spellEnd"/>
      <w:r w:rsidRPr="00E350A1">
        <w:t xml:space="preserve">, 2011; </w:t>
      </w:r>
      <w:proofErr w:type="spellStart"/>
      <w:r w:rsidRPr="00E350A1">
        <w:t>Triandis</w:t>
      </w:r>
      <w:proofErr w:type="spellEnd"/>
      <w:r w:rsidRPr="00E350A1">
        <w:t xml:space="preserve">, 1995). These factors influence whether volunteering is perceived as expected, optional, or inappropriate at different stages of life. Studies show significant differences in norms and social expectations between Eastern and Western social orientations (e.g., Collectivism vs. Individualism), and how they affect the roles of older adults within their families and in society (Lee and Moon, 2011; Markus and Kitayama, 1991; </w:t>
      </w:r>
      <w:proofErr w:type="spellStart"/>
      <w:r w:rsidRPr="00E350A1">
        <w:t>Triandis</w:t>
      </w:r>
      <w:proofErr w:type="spellEnd"/>
      <w:r w:rsidRPr="00E350A1">
        <w:t xml:space="preserve">, 1995). </w:t>
      </w:r>
    </w:p>
    <w:p w14:paraId="14582D25" w14:textId="77777777" w:rsidR="00D30350" w:rsidRPr="00E350A1" w:rsidRDefault="00D30350" w:rsidP="00D30350">
      <w:pPr>
        <w:pStyle w:val="NormalWeb"/>
        <w:spacing w:before="120" w:beforeAutospacing="0" w:after="120" w:afterAutospacing="0" w:line="276" w:lineRule="auto"/>
      </w:pPr>
      <w:r w:rsidRPr="00E350A1">
        <w:t xml:space="preserve">Within </w:t>
      </w:r>
      <w:r w:rsidRPr="00E350A1">
        <w:rPr>
          <w:rStyle w:val="Strong"/>
          <w:rFonts w:eastAsiaTheme="majorEastAsia"/>
        </w:rPr>
        <w:t>Identity and Belonging</w:t>
      </w:r>
      <w:r w:rsidRPr="00E350A1">
        <w:t xml:space="preserve">, Tier 2 factors include ethnic, national, or cultural identity, immigrant status and acculturation, generational identity among older adults, and perceptions of community cohesion and belonging (Berry, 1997; Markus and Kitayama, 1991; Putnam, 2000; </w:t>
      </w:r>
      <w:proofErr w:type="spellStart"/>
      <w:r w:rsidRPr="00E350A1">
        <w:t>Settersten</w:t>
      </w:r>
      <w:proofErr w:type="spellEnd"/>
      <w:r w:rsidRPr="00E350A1">
        <w:t xml:space="preserve">, 2003). </w:t>
      </w:r>
    </w:p>
    <w:p w14:paraId="15C8A87B" w14:textId="77777777" w:rsidR="00D30350" w:rsidRPr="00E350A1" w:rsidRDefault="00D30350" w:rsidP="00D30350">
      <w:pPr>
        <w:pStyle w:val="NormalWeb"/>
        <w:spacing w:before="120" w:beforeAutospacing="0" w:after="120" w:afterAutospacing="0" w:line="276" w:lineRule="auto"/>
      </w:pPr>
      <w:r w:rsidRPr="00E350A1">
        <w:t xml:space="preserve">Within </w:t>
      </w:r>
      <w:r w:rsidRPr="00E350A1">
        <w:rPr>
          <w:rStyle w:val="Strong"/>
          <w:rFonts w:eastAsiaTheme="majorEastAsia"/>
        </w:rPr>
        <w:t>Religion and Spirituality</w:t>
      </w:r>
      <w:r w:rsidRPr="00E350A1">
        <w:t>, Tier 2 factors include religious affiliation, participation in religious practices such as attendance or rituals, and levels of religiosity or spiritual commitment (Hill and Pargament, 2003; McNamara and Gonzales, 2011; Wilson and Musick, 1997). These factors may operate through both formal organizational pathways and informal networks of support.</w:t>
      </w:r>
    </w:p>
    <w:p w14:paraId="4DF42776" w14:textId="77777777" w:rsidR="00D30350" w:rsidRPr="00E350A1" w:rsidRDefault="00D30350" w:rsidP="00D30350">
      <w:pPr>
        <w:pStyle w:val="NormalWeb"/>
        <w:spacing w:before="120" w:beforeAutospacing="0" w:after="120" w:afterAutospacing="0" w:line="276" w:lineRule="auto"/>
      </w:pPr>
      <w:r w:rsidRPr="00E350A1">
        <w:lastRenderedPageBreak/>
        <w:t xml:space="preserve">Within </w:t>
      </w:r>
      <w:r w:rsidRPr="00E350A1">
        <w:rPr>
          <w:rStyle w:val="Strong"/>
          <w:rFonts w:eastAsiaTheme="majorEastAsia"/>
        </w:rPr>
        <w:t>Language and Communication</w:t>
      </w:r>
      <w:r w:rsidRPr="00E350A1">
        <w:t xml:space="preserve">, Tier 2 factors include language as an element of cultural identity, linguistic barriers or facilitators to participation, and experiences navigating multilingual or culturally adaptive environments (Fishman, 1999; Treas and Mazumdar, 2002). Recent qualitative work also suggests that culturally shaped communication norms and taboos may influence how older volunteers navigate community engagement and interact with others in volunteer settings </w:t>
      </w:r>
      <w:r w:rsidRPr="00E350A1">
        <w:fldChar w:fldCharType="begin"/>
      </w:r>
      <w:r w:rsidRPr="00E350A1">
        <w:instrText xml:space="preserve"> ADDIN ZOTERO_ITEM CSL_CITATION {"citationID":"6DOycvWd","properties":{"formattedCitation":"(Shorey et al., 2025)","plainCitation":"(Shorey et al., 2025)","noteIndex":0},"citationItems":[{"id":4379,"uris":["http://zotero.org/groups/6142900/items/FUBCNM5A"],"itemData":{"id":4379,"type":"article-journal","container-title":"JMIR Aging","DOI":"doi:10.2196/71810","language":"en","page":"e71810","publisher":"Cambridge University Press","title":"Peer Volunteers’ Journeys Through Training and Engagement in Older Adult Communities: Descriptive Qualitative Study","title-short":"http","volume":"8","author":[{"family":"Shorey","given":"S."},{"literal":"Seow, J. S. L."},{"literal":"Mahendran, R."},{"literal":"Wee, G. H."},{"literal":"Goh, L. G."},{"literal":"Kua, E. H."}],"issued":{"date-parts":[["2025"]]}}}],"schema":"https://github.com/citation-style-language/schema/raw/master/csl-citation.json"} </w:instrText>
      </w:r>
      <w:r w:rsidRPr="00E350A1">
        <w:fldChar w:fldCharType="separate"/>
      </w:r>
      <w:r w:rsidRPr="00E350A1">
        <w:t>(Shorey et al., 2025)</w:t>
      </w:r>
      <w:r w:rsidRPr="00E350A1">
        <w:fldChar w:fldCharType="end"/>
      </w:r>
      <w:r w:rsidRPr="00E350A1">
        <w:t xml:space="preserve">. </w:t>
      </w:r>
    </w:p>
    <w:p w14:paraId="2A9ABD39" w14:textId="77777777" w:rsidR="00D30350" w:rsidRPr="00E350A1" w:rsidRDefault="00D30350" w:rsidP="00D30350">
      <w:pPr>
        <w:pStyle w:val="NormalWeb"/>
        <w:spacing w:before="120" w:beforeAutospacing="0" w:after="120" w:afterAutospacing="0" w:line="276" w:lineRule="auto"/>
      </w:pPr>
      <w:r w:rsidRPr="00E350A1">
        <w:t xml:space="preserve">Within </w:t>
      </w:r>
      <w:r w:rsidRPr="00E350A1">
        <w:rPr>
          <w:rStyle w:val="Strong"/>
          <w:rFonts w:eastAsiaTheme="majorEastAsia"/>
        </w:rPr>
        <w:t>Cultural Practices and Traditions</w:t>
      </w:r>
      <w:r w:rsidRPr="00E350A1">
        <w:t>, Tier 2 factors include participation in rituals, festivals, and community events, traditional expectations regarding older adults’ roles, and intergenerational practices that emphasize family obligation or mutual support (Handy and Greenspan, 2009; Hobsbawm and Ranger, 1983; Treas and Mazumdar, 2002. These practices often give rise to informal forms of volunteering that may be overlooked in formal measures.</w:t>
      </w:r>
    </w:p>
    <w:p w14:paraId="0D5A0801" w14:textId="77777777" w:rsidR="00D30350" w:rsidRPr="00E350A1" w:rsidRDefault="00D30350" w:rsidP="00D30350">
      <w:pPr>
        <w:pStyle w:val="NormalWeb"/>
        <w:spacing w:before="120" w:beforeAutospacing="0" w:after="120" w:afterAutospacing="0" w:line="276" w:lineRule="auto"/>
        <w:rPr>
          <w:b/>
          <w:bCs/>
        </w:rPr>
      </w:pPr>
      <w:r w:rsidRPr="00E350A1">
        <w:t xml:space="preserve">Within </w:t>
      </w:r>
      <w:r w:rsidRPr="00E350A1">
        <w:rPr>
          <w:rStyle w:val="Strong"/>
          <w:rFonts w:eastAsiaTheme="majorEastAsia"/>
        </w:rPr>
        <w:t>Structural and Contextual Environment</w:t>
      </w:r>
      <w:r w:rsidRPr="00E350A1">
        <w:t>, Tier 2 factors include national cultural models of volunteering, organizational cultures within nonprofit or corporate settings, and cross-national patterns that reflect culturally specific understandings of civic engagement (</w:t>
      </w:r>
      <w:proofErr w:type="spellStart"/>
      <w:r w:rsidRPr="00756D52">
        <w:t>Anheier</w:t>
      </w:r>
      <w:proofErr w:type="spellEnd"/>
      <w:r w:rsidRPr="00756D52">
        <w:t xml:space="preserve"> and Salamon, 1999</w:t>
      </w:r>
      <w:r>
        <w:t xml:space="preserve">; </w:t>
      </w:r>
      <w:r w:rsidRPr="00E350A1">
        <w:t xml:space="preserve">Salamon et al., 2011; Scott, 2014; Studer and Von Schnurbein, 2012). </w:t>
      </w:r>
    </w:p>
    <w:p w14:paraId="51F1CF1A" w14:textId="77777777" w:rsidR="00D30350" w:rsidRPr="00E350A1" w:rsidRDefault="00D30350" w:rsidP="00D30350">
      <w:pPr>
        <w:spacing w:before="120" w:after="120" w:line="276" w:lineRule="auto"/>
        <w:rPr>
          <w:rFonts w:ascii="Times New Roman" w:eastAsia="Times New Roman" w:hAnsi="Times New Roman" w:cs="Times New Roman"/>
          <w:kern w:val="0"/>
          <w14:ligatures w14:val="none"/>
        </w:rPr>
      </w:pPr>
      <w:r w:rsidRPr="00E350A1">
        <w:rPr>
          <w:rFonts w:ascii="Times New Roman" w:eastAsia="Times New Roman" w:hAnsi="Times New Roman" w:cs="Times New Roman"/>
          <w:kern w:val="0"/>
          <w14:ligatures w14:val="none"/>
        </w:rPr>
        <w:t>The previous subsections have addressed what constitutes culture-related influences. The following subsection examines how these domains and factors influence participation in volunteerism. It identifies the main culture-related influences that shape motivations, meanings, access, and opportunities for volunteer engagement in later life.</w:t>
      </w:r>
    </w:p>
    <w:p w14:paraId="44A2EFE3" w14:textId="77777777" w:rsidR="00D30350" w:rsidRPr="00E350A1" w:rsidRDefault="00D30350" w:rsidP="00D30350">
      <w:pPr>
        <w:spacing w:before="120" w:after="120" w:line="276" w:lineRule="auto"/>
        <w:rPr>
          <w:rFonts w:ascii="Times New Roman" w:eastAsia="Times New Roman" w:hAnsi="Times New Roman" w:cs="Times New Roman"/>
          <w:i/>
          <w:iCs/>
          <w:kern w:val="0"/>
          <w:u w:val="single"/>
          <w14:ligatures w14:val="none"/>
        </w:rPr>
      </w:pPr>
      <w:r w:rsidRPr="00E350A1">
        <w:rPr>
          <w:rFonts w:ascii="Times New Roman" w:eastAsia="Times New Roman" w:hAnsi="Times New Roman" w:cs="Times New Roman"/>
          <w:i/>
          <w:iCs/>
          <w:kern w:val="0"/>
          <w:u w:val="single"/>
          <w14:ligatures w14:val="none"/>
        </w:rPr>
        <w:t>Culture-Related Influences on Volunteerism in Later Life</w:t>
      </w:r>
    </w:p>
    <w:p w14:paraId="39D9B055" w14:textId="77777777" w:rsidR="00D30350" w:rsidRPr="00E350A1" w:rsidRDefault="00D30350" w:rsidP="00D30350">
      <w:pPr>
        <w:spacing w:before="120" w:after="120" w:line="276" w:lineRule="auto"/>
        <w:rPr>
          <w:rFonts w:ascii="Times New Roman" w:eastAsia="Times New Roman" w:hAnsi="Times New Roman" w:cs="Times New Roman"/>
          <w:kern w:val="0"/>
          <w14:ligatures w14:val="none"/>
        </w:rPr>
      </w:pPr>
      <w:r w:rsidRPr="00E350A1">
        <w:rPr>
          <w:rFonts w:ascii="Times New Roman" w:eastAsia="Times New Roman" w:hAnsi="Times New Roman" w:cs="Times New Roman"/>
          <w:kern w:val="0"/>
          <w14:ligatures w14:val="none"/>
        </w:rPr>
        <w:t>Although many culture-related influences are not unique to older adults, they often take on distinct meanings and consequences in later life. This occurs due to age-related transitions such as retirement, role changes, caregiving, health shifts, cohort positioning, and the accumulation of life experience.</w:t>
      </w:r>
    </w:p>
    <w:p w14:paraId="6F4E70B0" w14:textId="77777777" w:rsidR="00D30350" w:rsidRPr="00E350A1" w:rsidRDefault="00D30350" w:rsidP="00D30350">
      <w:pPr>
        <w:spacing w:before="120" w:after="120" w:line="276" w:lineRule="auto"/>
        <w:rPr>
          <w:rFonts w:ascii="Times New Roman" w:eastAsia="Times New Roman" w:hAnsi="Times New Roman" w:cs="Times New Roman"/>
          <w:kern w:val="0"/>
          <w14:ligatures w14:val="none"/>
        </w:rPr>
      </w:pPr>
      <w:r w:rsidRPr="00E350A1">
        <w:rPr>
          <w:rFonts w:ascii="Times New Roman" w:eastAsia="Times New Roman" w:hAnsi="Times New Roman" w:cs="Times New Roman"/>
          <w:b/>
          <w:bCs/>
          <w:kern w:val="0"/>
          <w14:ligatures w14:val="none"/>
        </w:rPr>
        <w:t>Values and beliefs</w:t>
      </w:r>
      <w:r w:rsidRPr="00E350A1">
        <w:rPr>
          <w:rFonts w:ascii="Times New Roman" w:eastAsia="Times New Roman" w:hAnsi="Times New Roman" w:cs="Times New Roman"/>
          <w:kern w:val="0"/>
          <w14:ligatures w14:val="none"/>
        </w:rPr>
        <w:t xml:space="preserve"> shape volunteerism in later life by influencing the ways helping behaviors are morally evaluated, preferred, and given meaning. This process is especially significant during a life stage often marked by retirement, role transitions, and a renewed reflection on purpose, productivity, and social contribution (Clary and Snyder, 1999; Morrow-Howell et al., 2001; Schwartz, 1992). Across studies, volunteering among older adults is more likely when helping is framed as a civic responsibility, moral obligation, or a meaningful purpose of life, particularly following transitions such as retirement or reduced labor force participation (McNamara and Gonzales, 2011). In contrast, value systems emphasizing family obligation, reciprocity, or relational duty often encourage informal volunteering within kinship or community networks rather than formal organizational roles (Xiao et al., 2024). Philosophical values such as Confucianism, filial piety, and ikigai are especially salient in later life, as they emphasize role continuity, intergenerational responsibility, and meaning making beyond paid work (Hasegawa et al., 2003; Ho, 1996). </w:t>
      </w:r>
    </w:p>
    <w:p w14:paraId="2F45F88A" w14:textId="77777777" w:rsidR="00D30350" w:rsidRPr="00E350A1" w:rsidRDefault="00D30350" w:rsidP="00D30350">
      <w:pPr>
        <w:spacing w:before="120" w:after="120" w:line="276" w:lineRule="auto"/>
        <w:rPr>
          <w:rFonts w:ascii="Times New Roman" w:eastAsia="Times New Roman" w:hAnsi="Times New Roman" w:cs="Times New Roman"/>
          <w:kern w:val="0"/>
          <w14:ligatures w14:val="none"/>
        </w:rPr>
      </w:pPr>
      <w:r w:rsidRPr="00E350A1">
        <w:rPr>
          <w:rFonts w:ascii="Times New Roman" w:eastAsia="Times New Roman" w:hAnsi="Times New Roman" w:cs="Times New Roman"/>
          <w:b/>
          <w:bCs/>
          <w:kern w:val="0"/>
          <w14:ligatures w14:val="none"/>
        </w:rPr>
        <w:lastRenderedPageBreak/>
        <w:t>Norms and social expectations</w:t>
      </w:r>
      <w:r w:rsidRPr="00E350A1">
        <w:rPr>
          <w:rFonts w:ascii="Times New Roman" w:eastAsia="Times New Roman" w:hAnsi="Times New Roman" w:cs="Times New Roman"/>
          <w:kern w:val="0"/>
          <w14:ligatures w14:val="none"/>
        </w:rPr>
        <w:t xml:space="preserve"> shape volunteerism by structuring expectations across age groups in later life about appropriate roles, responsibilities, and forms of participation during retirement and other later-life transitions (</w:t>
      </w:r>
      <w:proofErr w:type="spellStart"/>
      <w:r w:rsidRPr="00E350A1">
        <w:rPr>
          <w:rFonts w:ascii="Times New Roman" w:eastAsia="Times New Roman" w:hAnsi="Times New Roman" w:cs="Times New Roman"/>
          <w:kern w:val="0"/>
          <w14:ligatures w14:val="none"/>
        </w:rPr>
        <w:t>Neugarten</w:t>
      </w:r>
      <w:proofErr w:type="spellEnd"/>
      <w:r w:rsidRPr="00E350A1">
        <w:rPr>
          <w:rFonts w:ascii="Times New Roman" w:eastAsia="Times New Roman" w:hAnsi="Times New Roman" w:cs="Times New Roman"/>
          <w:kern w:val="0"/>
          <w14:ligatures w14:val="none"/>
        </w:rPr>
        <w:t xml:space="preserve"> et al., 1965; Riley et al., 1972). Comparative studies highlight how collectivist orientations emphasize mutual aid and group obligation, often supporting informal volunteering embedded in family and community life among older adults (Triandis, 1995; Mjelde-Mossey and Chi, 2004). In contrast, individualist contexts more frequently frame volunteering in later life as a discretionary, self-directed activity aligned with personal interests and civic identity (Hustinx and </w:t>
      </w:r>
      <w:proofErr w:type="spellStart"/>
      <w:r w:rsidRPr="00E350A1">
        <w:rPr>
          <w:rFonts w:ascii="Times New Roman" w:eastAsia="Times New Roman" w:hAnsi="Times New Roman" w:cs="Times New Roman"/>
          <w:kern w:val="0"/>
          <w14:ligatures w14:val="none"/>
        </w:rPr>
        <w:t>Lammertyn</w:t>
      </w:r>
      <w:proofErr w:type="spellEnd"/>
      <w:r w:rsidRPr="00E350A1">
        <w:rPr>
          <w:rFonts w:ascii="Times New Roman" w:eastAsia="Times New Roman" w:hAnsi="Times New Roman" w:cs="Times New Roman"/>
          <w:kern w:val="0"/>
          <w14:ligatures w14:val="none"/>
        </w:rPr>
        <w:t>, 2003). Gender norms may further mediate these processes across the life course. Research shows that traditional gender roles are associated with more gender-segregated patterns of volunteering, including greater reliance on informal caregiving among older women, particularly in later life, when caregiving demands may increase and formal volunteering opportunities may be constrained (</w:t>
      </w:r>
      <w:proofErr w:type="spellStart"/>
      <w:r w:rsidRPr="00E350A1">
        <w:rPr>
          <w:rFonts w:ascii="Times New Roman" w:eastAsia="Times New Roman" w:hAnsi="Times New Roman" w:cs="Times New Roman"/>
          <w:kern w:val="0"/>
          <w14:ligatures w14:val="none"/>
        </w:rPr>
        <w:t>Einolf</w:t>
      </w:r>
      <w:proofErr w:type="spellEnd"/>
      <w:r w:rsidRPr="00E350A1">
        <w:rPr>
          <w:rFonts w:ascii="Times New Roman" w:eastAsia="Times New Roman" w:hAnsi="Times New Roman" w:cs="Times New Roman"/>
          <w:kern w:val="0"/>
          <w14:ligatures w14:val="none"/>
        </w:rPr>
        <w:t xml:space="preserve">, 2011; Lai et al., 2021; Price, 2022). These expectations are also shaped by cohort effects, as different generations of older adults may carry distinct understandings of civic duty, family responsibility, and appropriate forms of helping </w:t>
      </w:r>
      <w:r w:rsidRPr="00E350A1">
        <w:rPr>
          <w:rFonts w:ascii="Times New Roman" w:eastAsia="Times New Roman" w:hAnsi="Times New Roman" w:cs="Times New Roman"/>
          <w:kern w:val="0"/>
          <w14:ligatures w14:val="none"/>
        </w:rPr>
        <w:fldChar w:fldCharType="begin"/>
      </w:r>
      <w:r w:rsidRPr="00E350A1">
        <w:rPr>
          <w:rFonts w:ascii="Times New Roman" w:eastAsia="Times New Roman" w:hAnsi="Times New Roman" w:cs="Times New Roman"/>
          <w:kern w:val="0"/>
          <w14:ligatures w14:val="none"/>
        </w:rPr>
        <w:instrText xml:space="preserve"> ADDIN ZOTERO_ITEM CSL_CITATION {"citationID":"921e57Ev","properties":{"formattedCitation":"(Broese van Groenou &amp; van Tilburg, 2012)","plainCitation":"(Broese van Groenou &amp; van Tilburg, 2012)","noteIndex":0},"citationItems":[{"id":4381,"uris":["http://zotero.org/groups/6142900/items/K2HP7MUN"],"itemData":{"id":4381,"type":"article-journal","abstract":"Given population aging and the productive potential of older people, it is important to examine how individual and societal developments affect social engagement in later life. The study aimed to disentangle the effects of age, aging, and cohort on volunteering among the young old. Using data from the Longitudinal Aging Study Amsterdam, we examined volunteering rates of young olds (N = 2,745) in two decades: those being 55–69 years old in 1992 and their age-peers in 2002. Six-year follow-up on both cohorts allowed for cohort-sequential analyses. Multilevel logistic regression analyses revealed that (i) regardless of age, the 2002 cohort volunteered more often than the 1992 cohort, (ii) in 6 years’ time volunteering increased for the 55- to 59-year-olds, stabilized among the 60- to 64-year-olds, and declined among the 65- to 69-year-olds, and (iii) these age-differential changes were observed in both cohorts. These effects remained significant after adjusting for gender, education, religious involvement, health, employment status, network size, and partner status. A higher education, religious involvement, staying in good health, and maintaining a large network increased the likelihood of volunteering. Unobserved factors, such as a more positive view on aging within society, may also account for the large increase in volunteering among the recent cohort of young olds.","container-title":"European Sociological Review","DOI":"10.1093/esr/jcq043","ISSN":"0266-7215","issue":"1","journalAbbreviation":"Eur Sociol Rev","page":"1-11","source":"Silverchair","title":"Six-year Follow-up on Volunteering in Later Life: A Cohort Comparison in the Netherlands","title-short":"Six-year Follow-up on Volunteering in Later Life","volume":"28","author":[{"family":"Broese van Groenou","given":"Marjolein"},{"family":"Tilburg","given":"Theo","non-dropping-particle":"van"}],"issued":{"date-parts":[["2012",2,1]]}}}],"schema":"https://github.com/citation-style-language/schema/raw/master/csl-citation.json"} </w:instrText>
      </w:r>
      <w:r w:rsidRPr="00E350A1">
        <w:rPr>
          <w:rFonts w:ascii="Times New Roman" w:eastAsia="Times New Roman" w:hAnsi="Times New Roman" w:cs="Times New Roman"/>
          <w:kern w:val="0"/>
          <w14:ligatures w14:val="none"/>
        </w:rPr>
        <w:fldChar w:fldCharType="separate"/>
      </w:r>
      <w:r w:rsidRPr="00E350A1">
        <w:rPr>
          <w:rFonts w:ascii="Times New Roman" w:eastAsia="Times New Roman" w:hAnsi="Times New Roman" w:cs="Times New Roman"/>
          <w:noProof/>
          <w:kern w:val="0"/>
          <w14:ligatures w14:val="none"/>
        </w:rPr>
        <w:t>(Broese van Groenou and van Tilburg, 2012)</w:t>
      </w:r>
      <w:r w:rsidRPr="00E350A1">
        <w:rPr>
          <w:rFonts w:ascii="Times New Roman" w:eastAsia="Times New Roman" w:hAnsi="Times New Roman" w:cs="Times New Roman"/>
          <w:kern w:val="0"/>
          <w14:ligatures w14:val="none"/>
        </w:rPr>
        <w:fldChar w:fldCharType="end"/>
      </w:r>
      <w:r w:rsidRPr="00E350A1">
        <w:rPr>
          <w:rFonts w:ascii="Times New Roman" w:eastAsia="Times New Roman" w:hAnsi="Times New Roman" w:cs="Times New Roman"/>
          <w:kern w:val="0"/>
          <w14:ligatures w14:val="none"/>
        </w:rPr>
        <w:t>.</w:t>
      </w:r>
    </w:p>
    <w:p w14:paraId="2A5C8F7D" w14:textId="77777777" w:rsidR="00D30350" w:rsidRPr="00E350A1" w:rsidRDefault="00D30350" w:rsidP="00D30350">
      <w:pPr>
        <w:spacing w:before="120" w:after="120" w:line="276" w:lineRule="auto"/>
        <w:rPr>
          <w:rFonts w:ascii="Times New Roman" w:eastAsia="Times New Roman" w:hAnsi="Times New Roman" w:cs="Times New Roman"/>
          <w:kern w:val="0"/>
          <w14:ligatures w14:val="none"/>
        </w:rPr>
      </w:pPr>
      <w:r w:rsidRPr="00E350A1">
        <w:rPr>
          <w:rFonts w:ascii="Times New Roman" w:eastAsia="Times New Roman" w:hAnsi="Times New Roman" w:cs="Times New Roman"/>
          <w:b/>
          <w:bCs/>
          <w:kern w:val="0"/>
          <w14:ligatures w14:val="none"/>
        </w:rPr>
        <w:t>Identity and belonging</w:t>
      </w:r>
      <w:r w:rsidRPr="00E350A1">
        <w:rPr>
          <w:rFonts w:ascii="Times New Roman" w:eastAsia="Times New Roman" w:hAnsi="Times New Roman" w:cs="Times New Roman"/>
          <w:kern w:val="0"/>
          <w14:ligatures w14:val="none"/>
        </w:rPr>
        <w:t xml:space="preserve"> influence volunteerism in later life by guiding self-concepts, attachments to social groups, and experiences of inclusion during a period when identities may be reshaped by retirement, migration, widowhood, caregiving, and changing family or community roles (Tajfel and Turner, 2004). Ethnic, cultural, and national identities shape who older adults feel responsible for helping and whether volunteering is seen as a means of maintaining cultural continuity, community connection, or generational legacy (Ho, 1996; Lai, 2025; Lee and Moon, 2011; Musick and Wilson, 2008). For many older adults, volunteering may also function </w:t>
      </w:r>
      <w:proofErr w:type="gramStart"/>
      <w:r w:rsidRPr="00E350A1">
        <w:rPr>
          <w:rFonts w:ascii="Times New Roman" w:eastAsia="Times New Roman" w:hAnsi="Times New Roman" w:cs="Times New Roman"/>
          <w:kern w:val="0"/>
          <w14:ligatures w14:val="none"/>
        </w:rPr>
        <w:t>as a way to</w:t>
      </w:r>
      <w:proofErr w:type="gramEnd"/>
      <w:r w:rsidRPr="00E350A1">
        <w:rPr>
          <w:rFonts w:ascii="Times New Roman" w:eastAsia="Times New Roman" w:hAnsi="Times New Roman" w:cs="Times New Roman"/>
          <w:kern w:val="0"/>
          <w14:ligatures w14:val="none"/>
        </w:rPr>
        <w:t xml:space="preserve"> maintain continuity of self, preserve community membership, and negotiate identity after exit from paid work. Immigration status and acculturation further shape access to volunteer opportunities and comfort with formal organizational settings, particularly for older immigrants who may face linguistic, institutional, or age-related barriers (</w:t>
      </w:r>
      <w:r>
        <w:rPr>
          <w:rFonts w:ascii="Times New Roman" w:eastAsia="Times New Roman" w:hAnsi="Times New Roman" w:cs="Times New Roman"/>
          <w:kern w:val="0"/>
          <w14:ligatures w14:val="none"/>
        </w:rPr>
        <w:t xml:space="preserve">Adeniji et al., 2025; </w:t>
      </w:r>
      <w:r w:rsidRPr="00E350A1">
        <w:rPr>
          <w:rFonts w:ascii="Times New Roman" w:eastAsia="Times New Roman" w:hAnsi="Times New Roman" w:cs="Times New Roman"/>
          <w:kern w:val="0"/>
          <w14:ligatures w14:val="none"/>
        </w:rPr>
        <w:t>Berry, 1997; Treas and Mazumdar, 2002). Studies indicate that older immigrants often rely more heavily on informal volunteering within co-ethnic or linguistically shared communities, especially when formal institutions are perceived as culturally distant or less age-friendly (Handy and Greenspan).</w:t>
      </w:r>
    </w:p>
    <w:p w14:paraId="3BF98195" w14:textId="77777777" w:rsidR="00D30350" w:rsidRPr="00E350A1" w:rsidRDefault="00D30350" w:rsidP="00D30350">
      <w:pPr>
        <w:spacing w:before="120" w:after="120" w:line="276" w:lineRule="auto"/>
        <w:rPr>
          <w:rFonts w:ascii="Times New Roman" w:eastAsia="Times New Roman" w:hAnsi="Times New Roman" w:cs="Times New Roman"/>
          <w:kern w:val="0"/>
          <w14:ligatures w14:val="none"/>
        </w:rPr>
      </w:pPr>
      <w:r w:rsidRPr="00E350A1">
        <w:rPr>
          <w:rFonts w:ascii="Times New Roman" w:eastAsia="Times New Roman" w:hAnsi="Times New Roman" w:cs="Times New Roman"/>
          <w:b/>
          <w:bCs/>
          <w:kern w:val="0"/>
          <w14:ligatures w14:val="none"/>
        </w:rPr>
        <w:t>Religion and spirituality</w:t>
      </w:r>
      <w:r w:rsidRPr="00E350A1">
        <w:rPr>
          <w:rFonts w:ascii="Times New Roman" w:eastAsia="Times New Roman" w:hAnsi="Times New Roman" w:cs="Times New Roman"/>
          <w:kern w:val="0"/>
          <w14:ligatures w14:val="none"/>
        </w:rPr>
        <w:t xml:space="preserve"> shape volunteerism in later life by providing age-salient moral frameworks, social networks, and institutional pathways for engagement (Wilson and Musick, 1997; McNamara and Gonzales, 2011). Religious affiliation and participation are consistently associated with higher rates of formal volunteering among older adults, particularly through faith-based organizations that normalize service and offer age-appropriate roles following retirement (McNamara and Gonzales, 2011). These influences may become especially salient in later life as older adults reflect more deeply on meaning, legacy, mortality, and socially valued roles beyond paid employment. In this context, spiritual beliefs often motivate informal volunteerism that is framed as compassion, service, or moral duty (Krause, 2002; Neller et al., </w:t>
      </w:r>
      <w:r w:rsidRPr="00E350A1">
        <w:rPr>
          <w:rFonts w:ascii="Times New Roman" w:eastAsia="Times New Roman" w:hAnsi="Times New Roman" w:cs="Times New Roman"/>
          <w:kern w:val="0"/>
          <w14:ligatures w14:val="none"/>
        </w:rPr>
        <w:lastRenderedPageBreak/>
        <w:t xml:space="preserve">2023; Pargament, 1997). At the same time, reliance on religiosity as the only stand-in for culture obscures variation in how religious meanings are experienced across the life course and across traditions, which play a role in volunteerism (Hill and Pargament, 2003). </w:t>
      </w:r>
    </w:p>
    <w:p w14:paraId="6DECFC6E" w14:textId="77777777" w:rsidR="00D30350" w:rsidRPr="00E350A1" w:rsidRDefault="00D30350" w:rsidP="00D30350">
      <w:pPr>
        <w:spacing w:before="120" w:after="120" w:line="276" w:lineRule="auto"/>
        <w:rPr>
          <w:rFonts w:ascii="Times New Roman" w:eastAsia="Times New Roman" w:hAnsi="Times New Roman" w:cs="Times New Roman"/>
          <w:kern w:val="0"/>
          <w14:ligatures w14:val="none"/>
        </w:rPr>
      </w:pPr>
      <w:r w:rsidRPr="00E350A1">
        <w:rPr>
          <w:rFonts w:ascii="Times New Roman" w:eastAsia="Times New Roman" w:hAnsi="Times New Roman" w:cs="Times New Roman"/>
          <w:b/>
          <w:bCs/>
          <w:kern w:val="0"/>
          <w14:ligatures w14:val="none"/>
        </w:rPr>
        <w:t>Language and communication</w:t>
      </w:r>
      <w:r w:rsidRPr="00E350A1">
        <w:rPr>
          <w:rFonts w:ascii="Times New Roman" w:eastAsia="Times New Roman" w:hAnsi="Times New Roman" w:cs="Times New Roman"/>
          <w:kern w:val="0"/>
          <w14:ligatures w14:val="none"/>
        </w:rPr>
        <w:t xml:space="preserve"> influence volunteerism in later life by shaping age-specific access to information, comfort with organizational environments, and the ability to navigate formal institutions. These issues may be intensified in later life by cohort-related differences in language proficiency, communication norms, and digital familiarity, particularly among older immigrants navigating formal volunteer settings. Language barriers are frequently associated with lower participation in formal volunteering among older adults with migration backgrounds, particularly when opportunities require complex bureaucratic navigation or digital literacy (Dolapo et al., 2025; Treas and Mazumdar, 2002). In contrast, shared language often facilitates informal volunteerism within community networks that are more accessible and culturally familiar to older adults (Zhou, 1992). Language thus operates not only as a practical constraint, but also as a cultural mechanism that directs volunteering toward settings that are perceived as age-appropriate and socially welcoming (Fishman, 1999).</w:t>
      </w:r>
    </w:p>
    <w:p w14:paraId="379CF6DB" w14:textId="77777777" w:rsidR="00D30350" w:rsidRPr="00E350A1" w:rsidRDefault="00D30350" w:rsidP="00D30350">
      <w:pPr>
        <w:spacing w:before="120" w:after="120" w:line="276" w:lineRule="auto"/>
        <w:rPr>
          <w:rFonts w:ascii="Times New Roman" w:eastAsia="Times New Roman" w:hAnsi="Times New Roman" w:cs="Times New Roman"/>
          <w:kern w:val="0"/>
          <w14:ligatures w14:val="none"/>
        </w:rPr>
      </w:pPr>
      <w:r w:rsidRPr="00E350A1">
        <w:rPr>
          <w:rFonts w:ascii="Times New Roman" w:eastAsia="Times New Roman" w:hAnsi="Times New Roman" w:cs="Times New Roman"/>
          <w:b/>
          <w:bCs/>
          <w:kern w:val="0"/>
          <w14:ligatures w14:val="none"/>
        </w:rPr>
        <w:t>Cultural practices and traditions</w:t>
      </w:r>
      <w:r w:rsidRPr="00E350A1">
        <w:rPr>
          <w:rFonts w:ascii="Times New Roman" w:eastAsia="Times New Roman" w:hAnsi="Times New Roman" w:cs="Times New Roman"/>
          <w:kern w:val="0"/>
          <w14:ligatures w14:val="none"/>
        </w:rPr>
        <w:t xml:space="preserve"> create structured yet often informal opportunities for contribution that are especially salient in later life. Participation in rituals, festivals, and customary community roles enables sustained helping and social engagement that align with culturally meaningful expectations of contribution as individuals age (Hobsbawm and Ranger, 1983). In later life, these practices may be reinforced by age-graded expectations that older adults transmit cultural knowledge, sustain intergenerational ties, and continue contributing through customary community roles. Intergenerational practices emphasizing family duty and mutual support often intensify in later life, reinforcing informal volunteering pathways that coexist with, or substitute for, formal volunteering (Bengtson and Roberts, 1991). Cultural practices and traditions also support immigrant communities through ancestral expression in host countries and provide purpose for older adults engaged in these forms of informal volunteering (Treas and Mazumdar, 2002; Zhou, 1992). Failure to recognize these practices risks underestimating volunteering among older adults whose contributions are embedded in everyday social life rather than formal organizations (Handy and Greenspan, 2009).</w:t>
      </w:r>
    </w:p>
    <w:p w14:paraId="1BB702CE" w14:textId="77777777" w:rsidR="00D30350" w:rsidRPr="00E350A1" w:rsidRDefault="00D30350" w:rsidP="00D30350">
      <w:pPr>
        <w:pStyle w:val="paragraph"/>
        <w:spacing w:before="120" w:beforeAutospacing="0" w:after="120" w:afterAutospacing="0" w:line="276" w:lineRule="auto"/>
        <w:textAlignment w:val="baseline"/>
      </w:pPr>
      <w:r w:rsidRPr="00E350A1">
        <w:rPr>
          <w:b/>
          <w:bCs/>
        </w:rPr>
        <w:t xml:space="preserve">Structural and contextual environments </w:t>
      </w:r>
      <w:r w:rsidRPr="00E350A1">
        <w:t xml:space="preserve">shape volunteerism in later life by embedding age-related norms within institutional arrangements, policy environments, and organizational cultures (Musick et al., 2000; Studer and Von Schnurbein, 2012). National contexts shape the dominant models of later-life volunteering, including expectations around time commitment, flexibility, accessibility, and role design. These factors are especially relevant during retirement and when navigating health or caregiving constraints (Principi et al., 2014; Warburton and Gooch, 2007). Organizational cultures within nonprofit, religious, or community settings further mediate participation by shaping whether volunteer roles accommodate age-related changes in health, caregiving responsibilities, and energy (Studer and Von Schnurbein, 2012). These structural conditions also shape how accumulated cultural capital over the life course can be converted into </w:t>
      </w:r>
      <w:r w:rsidRPr="00E350A1">
        <w:lastRenderedPageBreak/>
        <w:t>later-life volunteer opportunities, recognition, and access. These macro-level cultural contexts interact with individual-level cultural domains to shape how values, norms, and identities are translated into volunteering behavior in later life. Another pattern identified in the literature concerns national gender-equality contexts, where countries with more traditional gender norms report lower volunteer participation among older women: countries with more traditional gender roles and norms report lower volunteering rates from women and more gender-segregated behaviors, whereas countries with higher gender equality levels report higher volunteer participation among older adults in their countries (</w:t>
      </w:r>
      <w:proofErr w:type="spellStart"/>
      <w:r w:rsidRPr="00E350A1">
        <w:t>Einolf</w:t>
      </w:r>
      <w:proofErr w:type="spellEnd"/>
      <w:r w:rsidRPr="00E350A1">
        <w:t>, 2011). Besides, structural and contextual environments shape the availability and accessibility of volunteer opportunities. Recruitment practices, institutional norms, and opportunity structures influence whether individuals are invited, encouraged, or able to participate. As Musick et al. (2000) note, nonparticipation often reflects lack of access or invitation rather than lack of willingness.</w:t>
      </w:r>
    </w:p>
    <w:p w14:paraId="56F36B1B" w14:textId="77777777" w:rsidR="00D30350" w:rsidRPr="00E350A1" w:rsidRDefault="00D30350" w:rsidP="00D30350">
      <w:pPr>
        <w:pStyle w:val="paragraph"/>
        <w:spacing w:before="120" w:beforeAutospacing="0" w:after="120" w:afterAutospacing="0" w:line="276" w:lineRule="auto"/>
        <w:textAlignment w:val="baseline"/>
      </w:pPr>
      <w:r w:rsidRPr="00E350A1">
        <w:t xml:space="preserve">Taken together, culture does not uniformly increase or decrease volunteering with age; rather, it channels helping behaviors toward </w:t>
      </w:r>
      <w:proofErr w:type="gramStart"/>
      <w:r w:rsidRPr="00E350A1">
        <w:t>particular forms</w:t>
      </w:r>
      <w:proofErr w:type="gramEnd"/>
      <w:r w:rsidRPr="00E350A1">
        <w:t xml:space="preserve">, settings, and targets of contribution as individuals navigate later-life transitions. </w:t>
      </w:r>
    </w:p>
    <w:p w14:paraId="5360D595" w14:textId="77777777" w:rsidR="00D30350" w:rsidRPr="00E350A1" w:rsidRDefault="00D30350" w:rsidP="00D30350">
      <w:pPr>
        <w:pStyle w:val="paragraph"/>
        <w:spacing w:before="120" w:beforeAutospacing="0" w:after="120" w:afterAutospacing="0" w:line="276" w:lineRule="auto"/>
        <w:jc w:val="center"/>
        <w:textAlignment w:val="baseline"/>
        <w:rPr>
          <w:rStyle w:val="normaltextrun"/>
          <w:rFonts w:eastAsiaTheme="majorEastAsia"/>
          <w:b/>
          <w:bCs/>
          <w:color w:val="000000"/>
        </w:rPr>
      </w:pPr>
      <w:r w:rsidRPr="00E350A1">
        <w:rPr>
          <w:rStyle w:val="normaltextrun"/>
          <w:rFonts w:eastAsiaTheme="majorEastAsia"/>
          <w:b/>
          <w:bCs/>
          <w:color w:val="000000" w:themeColor="text1"/>
        </w:rPr>
        <w:t>Implications for Research, Practice, and Policy</w:t>
      </w:r>
    </w:p>
    <w:p w14:paraId="44EE88C0" w14:textId="77777777" w:rsidR="00D30350" w:rsidRPr="00E350A1" w:rsidRDefault="00D30350" w:rsidP="00D30350">
      <w:pPr>
        <w:spacing w:before="120" w:after="120" w:line="276" w:lineRule="auto"/>
        <w:rPr>
          <w:rFonts w:ascii="Times New Roman" w:eastAsia="Times New Roman" w:hAnsi="Times New Roman" w:cs="Times New Roman"/>
          <w:kern w:val="0"/>
          <w14:ligatures w14:val="none"/>
        </w:rPr>
      </w:pPr>
      <w:r w:rsidRPr="00E350A1">
        <w:rPr>
          <w:rFonts w:ascii="Times New Roman" w:eastAsia="Times New Roman" w:hAnsi="Times New Roman" w:cs="Times New Roman"/>
          <w:kern w:val="0"/>
          <w14:ligatures w14:val="none"/>
        </w:rPr>
        <w:t>Recognizing culture-related influences on volunteerism has important implications for research, practice, and policy related to aging and civic engagement. By distinguishing between broader culture-related domains and more specific culture-related factors, the proposed framework offers a structured approach for advancing understanding of volunteerism in later life while remaining attentive to cultural diversity and contextual variation. The framework may be especially useful when designing volunteer initiatives, outreach strategies, and policy approaches for culturally diverse older adult populations.</w:t>
      </w:r>
    </w:p>
    <w:p w14:paraId="0E00FC81" w14:textId="77777777" w:rsidR="00D30350" w:rsidRPr="00E350A1" w:rsidRDefault="00D30350" w:rsidP="00D30350">
      <w:pPr>
        <w:spacing w:before="120" w:after="120" w:line="276" w:lineRule="auto"/>
        <w:outlineLvl w:val="2"/>
        <w:rPr>
          <w:rFonts w:ascii="Times New Roman" w:eastAsia="Times New Roman" w:hAnsi="Times New Roman" w:cs="Times New Roman"/>
          <w:i/>
          <w:iCs/>
          <w:kern w:val="0"/>
          <w:u w:val="single"/>
          <w14:ligatures w14:val="none"/>
        </w:rPr>
      </w:pPr>
      <w:r w:rsidRPr="00E350A1">
        <w:rPr>
          <w:rFonts w:ascii="Times New Roman" w:eastAsia="Times New Roman" w:hAnsi="Times New Roman" w:cs="Times New Roman"/>
          <w:i/>
          <w:iCs/>
          <w:kern w:val="0"/>
          <w:u w:val="single"/>
          <w14:ligatures w14:val="none"/>
        </w:rPr>
        <w:t>Implications for Research</w:t>
      </w:r>
    </w:p>
    <w:p w14:paraId="56E390AB" w14:textId="77777777" w:rsidR="00D30350" w:rsidRPr="00E350A1" w:rsidRDefault="00D30350" w:rsidP="00D30350">
      <w:pPr>
        <w:spacing w:before="120" w:after="120" w:line="276" w:lineRule="auto"/>
        <w:rPr>
          <w:rFonts w:ascii="Times New Roman" w:eastAsia="Times New Roman" w:hAnsi="Times New Roman" w:cs="Times New Roman"/>
          <w:kern w:val="0"/>
          <w14:ligatures w14:val="none"/>
        </w:rPr>
      </w:pPr>
      <w:r w:rsidRPr="00E350A1">
        <w:rPr>
          <w:rFonts w:ascii="Times New Roman" w:eastAsia="Times New Roman" w:hAnsi="Times New Roman" w:cs="Times New Roman"/>
          <w:kern w:val="0"/>
          <w14:ligatures w14:val="none"/>
        </w:rPr>
        <w:t xml:space="preserve">From a research perspective, this framework provides a foundation for conceptual clarification and theory development in a field where culture has often been treated as a vague or residual category. This need remains timely, as recent scholarship continues to emphasize diversity, ethnocultural variation, and context-specific pathways into volunteering among older adults, while also showing that these influences are still rarely integrated within a single conceptual structure </w:t>
      </w:r>
      <w:r w:rsidRPr="00E350A1">
        <w:rPr>
          <w:rFonts w:ascii="Times New Roman" w:eastAsia="Times New Roman" w:hAnsi="Times New Roman" w:cs="Times New Roman"/>
          <w:kern w:val="0"/>
          <w14:ligatures w14:val="none"/>
        </w:rPr>
        <w:fldChar w:fldCharType="begin"/>
      </w:r>
      <w:r w:rsidRPr="00E350A1">
        <w:rPr>
          <w:rFonts w:ascii="Times New Roman" w:eastAsia="Times New Roman" w:hAnsi="Times New Roman" w:cs="Times New Roman"/>
          <w:kern w:val="0"/>
          <w14:ligatures w14:val="none"/>
        </w:rPr>
        <w:instrText xml:space="preserve"> ADDIN ZOTERO_ITEM CSL_CITATION {"citationID":"cSFFkTU3","properties":{"formattedCitation":"(O\\uc0\\u8217{}Dea et al., 2024)","plainCitation":"(O’Dea et al., 2024)","noteIndex":0},"citationItems":[{"id":4376,"uris":["http://zotero.org/groups/6142900/items/65G3M6R3"],"itemData":{"id":4376,"type":"article-journal","abstract":"The COVID-19 pandemic has presented numerous challenges to older adults in Canada, including the ability to volunteer. The purpose of this study is to improve the understanding of the social context surrounding volunteering in Canada, by (a) determining changes in associations between human, social, and cultural capital and volunteering among older adults; and (b) examining the relationship between ethnic minority status and volunteering, using data from the Canadian Longitudinal Study on Aging (CLSA), collected prior to and during the pandemic. This study utilized data from 24,306 CLSA Baseline, Follow-up 1 (FUP1), and COVID-19 Baseline Survey participants (aged 55+). Results confirm a decrease in volunteering during the early stages of the pandemic. Compared to pre-pandemic associations, volunteers during the early stages of the pandemic were more likely to be young–old, male, employed, and not involved in religious activities. Findings provide evidence of pandemic effects on volunteering among older adults in Canada., RésuméLa pandémie de COVID-19 a confronté les personnes âgées à de nombreux défis au Canada, et a notamment restreint leur capacité de faire du bénévolat. Cette étude a pour objet d’améliorer la compréhension du contexte social dans lequel s’inscrit le bénévolat au Canada, en : a) déterminant l’évolution des liens entre le capital humain, social et culturel et le bénévolat chez les personnes âgées, et b) examinant les relations entre le statut de membre d’une minorité ethnique et le bénévolat, à l’aide de données recueillies par l’Étude longitudinale canadienne sur le vieillissement (ÉLCV) avant et pendant la pandémie. La présente étude a utilisé les données recueillies auprès de 24 306 participants au sondage de référence et de suivi initial de l’ÉLCV et au sondage de référence de l’ÉCLV sur la COVID-19 (âgés de 55 ans et plus). Les résultats confirment une baisse du bénévolat au cours des premiers stades de la pandémie. Par rapport aux liens établis avant la pandémie, les bénévoles actifs pendant la pandémie étaient en majorité des hommes de tous âges qui étaient employés et ne participaient pas à des activités religieuses. Les résultats confirment par des preuves l’incidence de la pandémie sur la pratique du bénévolat chez les personnes âgées au Canada.","container-title":"Canadian Journal on Aging / La Revue canadienne du vieillissement","DOI":"10.1017/S0714980824000229","ISSN":"0714-9808, 1710-1107","issue":"4","language":"en","page":"599-610","source":"Cambridge University Press","title":"Volunteering among Older Adults and Effects of Ethnic Minority Status before and during the COVID-19 Pandemic: Longitudinal Analyses of the CLSA","title-short":"Volunteering among Older Adults and Effects of Ethnic Minority Status before and during the COVID-19 Pandemic","volume":"43","author":[{"family":"O’Dea","given":"Eireann"},{"family":"Wister","given":"Andrew"},{"family":"Li","given":"Lun"},{"family":"Canham","given":"Sarah L."},{"family":"Mitchell","given":"Barbara"}],"issued":{"date-parts":[["2024",12]]}}}],"schema":"https://github.com/citation-style-language/schema/raw/master/csl-citation.json"} </w:instrText>
      </w:r>
      <w:r w:rsidRPr="00E350A1">
        <w:rPr>
          <w:rFonts w:ascii="Times New Roman" w:eastAsia="Times New Roman" w:hAnsi="Times New Roman" w:cs="Times New Roman"/>
          <w:kern w:val="0"/>
          <w14:ligatures w14:val="none"/>
        </w:rPr>
        <w:fldChar w:fldCharType="separate"/>
      </w:r>
      <w:r w:rsidRPr="00E350A1">
        <w:rPr>
          <w:rFonts w:ascii="Times New Roman" w:hAnsi="Times New Roman" w:cs="Times New Roman"/>
          <w:kern w:val="0"/>
        </w:rPr>
        <w:t>(O’Dea et al., 2024)</w:t>
      </w:r>
      <w:r w:rsidRPr="00E350A1">
        <w:rPr>
          <w:rFonts w:ascii="Times New Roman" w:eastAsia="Times New Roman" w:hAnsi="Times New Roman" w:cs="Times New Roman"/>
          <w:kern w:val="0"/>
          <w14:ligatures w14:val="none"/>
        </w:rPr>
        <w:fldChar w:fldCharType="end"/>
      </w:r>
      <w:r w:rsidRPr="00E350A1">
        <w:rPr>
          <w:rFonts w:ascii="Times New Roman" w:eastAsia="Times New Roman" w:hAnsi="Times New Roman" w:cs="Times New Roman"/>
          <w:kern w:val="0"/>
          <w14:ligatures w14:val="none"/>
        </w:rPr>
        <w:t>. The two-tier structure highlights the distinction between latent cultural domains (Tier 1), such as values or norms, and empirically observable culture-related factors (Tier 2), such as filial piety, religiosity, or language use. This distinction can guide researchers in developing more precise conceptual models and measurement strategies that seek to link cultural constructs to observable outcomes of volunteering in later life. By organizing cultural influences into a coherent conceptual structure, the framework also provides a preliminary foundation for future theory-building and the synthesis of cumulative evidence, such as a scoping or systematic review. Future research may also examine whether culture-related influences operate differently across stages of later life, including the transition into retirement, early later life, and more advanced old age.</w:t>
      </w:r>
    </w:p>
    <w:p w14:paraId="7331C59D" w14:textId="77777777" w:rsidR="00D30350" w:rsidRPr="00E350A1" w:rsidRDefault="00D30350" w:rsidP="00D30350">
      <w:pPr>
        <w:spacing w:before="120" w:after="120" w:line="276" w:lineRule="auto"/>
        <w:rPr>
          <w:rFonts w:ascii="Times New Roman" w:eastAsia="Times New Roman" w:hAnsi="Times New Roman" w:cs="Times New Roman"/>
          <w:kern w:val="0"/>
          <w14:ligatures w14:val="none"/>
        </w:rPr>
      </w:pPr>
      <w:r w:rsidRPr="00E350A1">
        <w:rPr>
          <w:rFonts w:ascii="Times New Roman" w:eastAsia="Times New Roman" w:hAnsi="Times New Roman" w:cs="Times New Roman"/>
          <w:kern w:val="0"/>
          <w14:ligatures w14:val="none"/>
        </w:rPr>
        <w:lastRenderedPageBreak/>
        <w:t xml:space="preserve">The framework also supports future work on measurement development. Rather than relying on single proxies, such as religious attendance, commonly used in studies of older adults’ volunteerism, future researchers can draw on the identified Tier 2 factors to construct multi-dimensional measures that better capture culturally embedded motivations, expectations, and practices related to volunteering. This approach allows for more nuanced examinations of how cultural influences operate among older adults across different contexts, including variations by </w:t>
      </w:r>
      <w:proofErr w:type="spellStart"/>
      <w:r w:rsidRPr="00E350A1">
        <w:rPr>
          <w:rFonts w:ascii="Times New Roman" w:eastAsia="Times New Roman" w:hAnsi="Times New Roman" w:cs="Times New Roman"/>
          <w:kern w:val="0"/>
          <w14:ligatures w14:val="none"/>
        </w:rPr>
        <w:t>ethnoracial</w:t>
      </w:r>
      <w:proofErr w:type="spellEnd"/>
      <w:r w:rsidRPr="00E350A1">
        <w:rPr>
          <w:rFonts w:ascii="Times New Roman" w:eastAsia="Times New Roman" w:hAnsi="Times New Roman" w:cs="Times New Roman"/>
          <w:kern w:val="0"/>
          <w14:ligatures w14:val="none"/>
        </w:rPr>
        <w:t xml:space="preserve"> identity, gender roles, immigration status, and stages of later life.</w:t>
      </w:r>
    </w:p>
    <w:p w14:paraId="5776FB8A" w14:textId="77777777" w:rsidR="00D30350" w:rsidRPr="00E350A1" w:rsidRDefault="00D30350" w:rsidP="00D30350">
      <w:pPr>
        <w:spacing w:before="120" w:after="120" w:line="276" w:lineRule="auto"/>
        <w:outlineLvl w:val="2"/>
        <w:rPr>
          <w:rFonts w:ascii="Times New Roman" w:eastAsia="Times New Roman" w:hAnsi="Times New Roman" w:cs="Times New Roman"/>
          <w:i/>
          <w:iCs/>
          <w:kern w:val="0"/>
          <w:u w:val="single"/>
          <w14:ligatures w14:val="none"/>
        </w:rPr>
      </w:pPr>
      <w:r w:rsidRPr="00E350A1">
        <w:rPr>
          <w:rFonts w:ascii="Times New Roman" w:eastAsia="Times New Roman" w:hAnsi="Times New Roman" w:cs="Times New Roman"/>
          <w:i/>
          <w:iCs/>
          <w:kern w:val="0"/>
          <w:u w:val="single"/>
          <w14:ligatures w14:val="none"/>
        </w:rPr>
        <w:t>Implications for Practice</w:t>
      </w:r>
    </w:p>
    <w:p w14:paraId="0A9CBF5E" w14:textId="77777777" w:rsidR="00D30350" w:rsidRPr="00E350A1" w:rsidRDefault="00D30350" w:rsidP="00D30350">
      <w:pPr>
        <w:spacing w:before="120" w:after="120" w:line="276" w:lineRule="auto"/>
        <w:rPr>
          <w:rFonts w:ascii="Times New Roman" w:eastAsia="Times New Roman" w:hAnsi="Times New Roman" w:cs="Times New Roman"/>
          <w:kern w:val="0"/>
          <w14:ligatures w14:val="none"/>
        </w:rPr>
      </w:pPr>
      <w:r w:rsidRPr="00E350A1">
        <w:rPr>
          <w:rFonts w:ascii="Times New Roman" w:eastAsia="Times New Roman" w:hAnsi="Times New Roman" w:cs="Times New Roman"/>
          <w:kern w:val="0"/>
          <w14:ligatures w14:val="none"/>
        </w:rPr>
        <w:t>For practice, the framework underscores the importance of culturally responsive approaches to promoting volunteerism in later life. Programs that focus exclusively on formal, organization-based volunteering may fail to recognize or value culturally meaningful forms of contribution that occur outside formal structures. Informal volunteerism, family-based support, and community engagement embedded in cultural practices may represent significant forms of volunteerism for many older adults, particularly in collectivist or immigrant communities.</w:t>
      </w:r>
    </w:p>
    <w:p w14:paraId="3A6631A5" w14:textId="77777777" w:rsidR="00D30350" w:rsidRPr="00E350A1" w:rsidRDefault="00D30350" w:rsidP="00D30350">
      <w:pPr>
        <w:spacing w:before="120" w:after="120" w:line="276" w:lineRule="auto"/>
        <w:rPr>
          <w:rFonts w:ascii="Times New Roman" w:eastAsia="Times New Roman" w:hAnsi="Times New Roman" w:cs="Times New Roman"/>
          <w:kern w:val="0"/>
          <w14:ligatures w14:val="none"/>
        </w:rPr>
      </w:pPr>
      <w:r w:rsidRPr="00E350A1">
        <w:rPr>
          <w:rFonts w:ascii="Times New Roman" w:eastAsia="Times New Roman" w:hAnsi="Times New Roman" w:cs="Times New Roman"/>
          <w:kern w:val="0"/>
          <w14:ligatures w14:val="none"/>
        </w:rPr>
        <w:t>Practitioners and organizations can use the framework to assess whether volunteer opportunities align with the values, norms, and identities of the populations they aim to engage. For example, programs that emphasize flexibility, relational connection, or intergenerational exchange may resonate more strongly with individuals whose cultural values prioritize family obligation or community cohesion. In practice, this may involve offering volunteer roles with flexible scheduling for older adults balancing caregiving responsibilities. It also means partnering with faith-based or ethnocultural organizations to create culturally familiar entry points, while recognizing informal helping and intergenerational support as meaningful forms of contribution rather than focusing only on formal placements. Attention to language and communication is also critical, as linguistic barriers may limit participation in formal programs while community-based or culturally specific settings provide more accessible entry points for engagement. Organizations may also use the framework to review whether their recruitment materials, orientation processes, and volunteer role descriptions are linguistically accessible and culturally responsive for diverse older adult populations.</w:t>
      </w:r>
    </w:p>
    <w:p w14:paraId="7D8B5F21" w14:textId="77777777" w:rsidR="00D30350" w:rsidRPr="00E350A1" w:rsidRDefault="00D30350" w:rsidP="00D30350">
      <w:pPr>
        <w:spacing w:before="120" w:after="120" w:line="276" w:lineRule="auto"/>
        <w:rPr>
          <w:rFonts w:ascii="Times New Roman" w:eastAsia="Times New Roman" w:hAnsi="Times New Roman" w:cs="Times New Roman"/>
          <w:kern w:val="0"/>
          <w14:ligatures w14:val="none"/>
        </w:rPr>
      </w:pPr>
      <w:r w:rsidRPr="00E350A1">
        <w:rPr>
          <w:rFonts w:ascii="Times New Roman" w:eastAsia="Times New Roman" w:hAnsi="Times New Roman" w:cs="Times New Roman"/>
          <w:kern w:val="0"/>
          <w14:ligatures w14:val="none"/>
        </w:rPr>
        <w:t xml:space="preserve">The framework also highlights the role of identity and belonging in sustaining volunteer participation. Volunteer roles that affirm cultural identity, foster a sense of inclusion, and build on existing community ties may be particularly meaningful for older adults navigating transitions such as retirement or migration. </w:t>
      </w:r>
    </w:p>
    <w:p w14:paraId="66CD6D2C" w14:textId="77777777" w:rsidR="00D30350" w:rsidRPr="00E350A1" w:rsidRDefault="00D30350" w:rsidP="00D30350">
      <w:pPr>
        <w:spacing w:before="120" w:after="120" w:line="276" w:lineRule="auto"/>
        <w:outlineLvl w:val="2"/>
        <w:rPr>
          <w:rFonts w:ascii="Times New Roman" w:eastAsia="Times New Roman" w:hAnsi="Times New Roman" w:cs="Times New Roman"/>
          <w:i/>
          <w:iCs/>
          <w:kern w:val="0"/>
          <w:u w:val="single"/>
          <w14:ligatures w14:val="none"/>
        </w:rPr>
      </w:pPr>
      <w:r w:rsidRPr="00E350A1">
        <w:rPr>
          <w:rFonts w:ascii="Times New Roman" w:eastAsia="Times New Roman" w:hAnsi="Times New Roman" w:cs="Times New Roman"/>
          <w:i/>
          <w:iCs/>
          <w:kern w:val="0"/>
          <w:u w:val="single"/>
          <w14:ligatures w14:val="none"/>
        </w:rPr>
        <w:t>Implications for Policy</w:t>
      </w:r>
    </w:p>
    <w:p w14:paraId="71E2184F" w14:textId="77777777" w:rsidR="00D30350" w:rsidRPr="00E350A1" w:rsidRDefault="00D30350" w:rsidP="00D30350">
      <w:pPr>
        <w:spacing w:before="120" w:after="120" w:line="276" w:lineRule="auto"/>
        <w:rPr>
          <w:rFonts w:ascii="Times New Roman" w:eastAsia="Times New Roman" w:hAnsi="Times New Roman" w:cs="Times New Roman"/>
          <w:kern w:val="0"/>
          <w14:ligatures w14:val="none"/>
        </w:rPr>
      </w:pPr>
      <w:r w:rsidRPr="00E350A1">
        <w:rPr>
          <w:rFonts w:ascii="Times New Roman" w:eastAsia="Times New Roman" w:hAnsi="Times New Roman" w:cs="Times New Roman"/>
          <w:kern w:val="0"/>
          <w14:ligatures w14:val="none"/>
        </w:rPr>
        <w:t xml:space="preserve">At the policy level, the framework has implications for how volunteerism and productive aging are conceptualized and promoted. Policies that equate civic engagement solely with formal volunteering risk reinforcing inequities by privileging forms of participation more accessible to socially advantaged groups. Recognizing both formal and informal volunteerism can support </w:t>
      </w:r>
      <w:r w:rsidRPr="00E350A1">
        <w:rPr>
          <w:rFonts w:ascii="Times New Roman" w:eastAsia="Times New Roman" w:hAnsi="Times New Roman" w:cs="Times New Roman"/>
          <w:kern w:val="0"/>
          <w14:ligatures w14:val="none"/>
        </w:rPr>
        <w:lastRenderedPageBreak/>
        <w:t>more equitable approaches to civic engagement by acknowledging culturally diverse contributions that may otherwise remain invisible.</w:t>
      </w:r>
    </w:p>
    <w:p w14:paraId="09CB7B0D" w14:textId="77777777" w:rsidR="00D30350" w:rsidRPr="00E350A1" w:rsidRDefault="00D30350" w:rsidP="00D30350">
      <w:pPr>
        <w:spacing w:before="120" w:after="120" w:line="276" w:lineRule="auto"/>
        <w:rPr>
          <w:rFonts w:ascii="Times New Roman" w:eastAsia="Times New Roman" w:hAnsi="Times New Roman" w:cs="Times New Roman"/>
          <w:kern w:val="0"/>
          <w14:ligatures w14:val="none"/>
        </w:rPr>
      </w:pPr>
      <w:r w:rsidRPr="00E350A1">
        <w:rPr>
          <w:rFonts w:ascii="Times New Roman" w:eastAsia="Times New Roman" w:hAnsi="Times New Roman" w:cs="Times New Roman"/>
          <w:kern w:val="0"/>
          <w14:ligatures w14:val="none"/>
        </w:rPr>
        <w:t>Integrating culture-related considerations into productive aging frameworks can also enhance policy relevance in increasingly diverse aging societies. Policies that support age-friendly environments, community infrastructure, and flexible volunteering opportunities can help reduce structural barriers to participation while respecting cultural differences in how volunteering is understood and enacted. For example, policymakers and funders may support multilingual outreach, transportation assistance, and small-scale community-based volunteer programs that are more accessible to older adults who may be excluded from formal organizational settings. Organizational cultures across the public, nonprofit, and corporate sectors also matter, as policies that encourage flexible scheduling or culturally tailored programming can facilitate greater engagement among older adults. Policies and funding frameworks may also be strengthened by recognizing informal and culturally embedded helping practices as valid forms of civic and social contribution, rather than privileging only formal volunteer hours.</w:t>
      </w:r>
    </w:p>
    <w:p w14:paraId="5E3C47DC" w14:textId="77777777" w:rsidR="00D30350" w:rsidRPr="00E350A1" w:rsidRDefault="00D30350" w:rsidP="00D30350">
      <w:pPr>
        <w:spacing w:before="120" w:after="120" w:line="276" w:lineRule="auto"/>
        <w:rPr>
          <w:rStyle w:val="normaltextrun"/>
          <w:rFonts w:ascii="Times New Roman" w:eastAsia="Times New Roman" w:hAnsi="Times New Roman" w:cs="Times New Roman"/>
          <w:kern w:val="0"/>
          <w14:ligatures w14:val="none"/>
        </w:rPr>
      </w:pPr>
      <w:r w:rsidRPr="00E350A1">
        <w:rPr>
          <w:rFonts w:ascii="Times New Roman" w:eastAsia="Times New Roman" w:hAnsi="Times New Roman" w:cs="Times New Roman"/>
          <w:kern w:val="0"/>
          <w14:ligatures w14:val="none"/>
        </w:rPr>
        <w:t>Finally, the framework supports policy efforts to reduce disparities in civic participation. By drawing attention to the cultural and contextual factors that shape volunteering opportunities and expectations, policymakers can move beyond one-size-fits-all models and develop strategies that promote inclusive and culturally responsive forms of engagement. In this way, the framework contributes to broader discussions of equity, social inclusion, and the role of older adults in civic life.</w:t>
      </w:r>
    </w:p>
    <w:p w14:paraId="499DAE38" w14:textId="77777777" w:rsidR="00D30350" w:rsidRPr="00E350A1" w:rsidRDefault="00D30350" w:rsidP="00D30350">
      <w:pPr>
        <w:pStyle w:val="paragraph"/>
        <w:spacing w:before="120" w:beforeAutospacing="0" w:after="120" w:afterAutospacing="0" w:line="276" w:lineRule="auto"/>
        <w:jc w:val="center"/>
        <w:textAlignment w:val="baseline"/>
        <w:rPr>
          <w:rStyle w:val="normaltextrun"/>
          <w:rFonts w:eastAsiaTheme="majorEastAsia"/>
          <w:b/>
          <w:bCs/>
          <w:color w:val="000000"/>
        </w:rPr>
      </w:pPr>
      <w:r w:rsidRPr="00E350A1">
        <w:rPr>
          <w:rStyle w:val="normaltextrun"/>
          <w:rFonts w:eastAsiaTheme="majorEastAsia"/>
          <w:b/>
          <w:bCs/>
          <w:color w:val="000000" w:themeColor="text1"/>
        </w:rPr>
        <w:t>Conclusion</w:t>
      </w:r>
    </w:p>
    <w:p w14:paraId="41317861" w14:textId="77777777" w:rsidR="00D30350" w:rsidRPr="00E350A1" w:rsidRDefault="00D30350" w:rsidP="00D30350">
      <w:pPr>
        <w:pStyle w:val="NormalWeb"/>
        <w:spacing w:before="120" w:beforeAutospacing="0" w:after="120" w:afterAutospacing="0" w:line="276" w:lineRule="auto"/>
      </w:pPr>
      <w:r w:rsidRPr="00E350A1">
        <w:t xml:space="preserve">This conceptual paper advances our understanding of volunteerism in later life by clarifying how culture-related influences have been conceptualized in the existing literature. By synthesizing insights from research across disciplines, the framework highlights the multiple ideas through which cultural meanings, norms, identities, and contexts shape volunteerism among older adults. Recognizing these influences is particularly important in later life, when social roles, priorities, and opportunities for engagement are shaped by transitions such as retirement, changes in health, and evolving family and community relationships. </w:t>
      </w:r>
    </w:p>
    <w:p w14:paraId="21E3F982" w14:textId="77777777" w:rsidR="00D30350" w:rsidRPr="00E350A1" w:rsidRDefault="00D30350" w:rsidP="00D30350">
      <w:pPr>
        <w:pStyle w:val="NormalWeb"/>
        <w:spacing w:before="120" w:beforeAutospacing="0" w:after="120" w:afterAutospacing="0" w:line="276" w:lineRule="auto"/>
      </w:pPr>
      <w:r w:rsidRPr="00E350A1">
        <w:t>The framework underscores that volunteering in later life cannot be fully understood without attention to the cultural contexts in which helping behaviors are defined, valued, and enacted. Specifically, the proposed model demonstrates that these influences do more than simply affect participation rates; they also determine how volunteering is interpreted, where it occurs, and which forms of contribution are recognized or overlooked in later life. By distinguishing broad domains from specific factors, the framework provides a clearer lens for understanding why volunteer engagement varies across diverse populations and social contexts. Ultimately, this paper provides a conceptual foundation for supporting volunteerism in later life within increasingly culturally diverse societies.</w:t>
      </w:r>
    </w:p>
    <w:p w14:paraId="41E7A2A7" w14:textId="77777777" w:rsidR="00D30350" w:rsidRPr="00E350A1" w:rsidRDefault="00D30350" w:rsidP="00D30350">
      <w:pPr>
        <w:spacing w:line="276" w:lineRule="auto"/>
        <w:rPr>
          <w:rFonts w:ascii="Times New Roman" w:eastAsia="Times New Roman" w:hAnsi="Times New Roman" w:cs="Times New Roman"/>
          <w:b/>
          <w:bCs/>
          <w:kern w:val="0"/>
          <w14:ligatures w14:val="none"/>
        </w:rPr>
      </w:pPr>
      <w:r w:rsidRPr="00E350A1">
        <w:rPr>
          <w:rFonts w:ascii="Times New Roman" w:hAnsi="Times New Roman" w:cs="Times New Roman"/>
          <w:b/>
          <w:bCs/>
        </w:rPr>
        <w:br w:type="page"/>
      </w:r>
    </w:p>
    <w:p w14:paraId="6E57C3DF" w14:textId="77777777" w:rsidR="00D30350" w:rsidRPr="00E350A1" w:rsidRDefault="00D30350" w:rsidP="00D30350">
      <w:pPr>
        <w:pStyle w:val="NormalWeb"/>
        <w:spacing w:before="120" w:beforeAutospacing="0" w:after="120" w:afterAutospacing="0" w:line="276" w:lineRule="auto"/>
        <w:ind w:left="720" w:hanging="720"/>
        <w:jc w:val="center"/>
        <w:rPr>
          <w:b/>
          <w:bCs/>
        </w:rPr>
      </w:pPr>
      <w:r w:rsidRPr="00E350A1">
        <w:rPr>
          <w:b/>
          <w:bCs/>
        </w:rPr>
        <w:lastRenderedPageBreak/>
        <w:t>References</w:t>
      </w:r>
    </w:p>
    <w:p w14:paraId="38022EBC" w14:textId="77777777" w:rsidR="00D30350" w:rsidRPr="00E350A1" w:rsidRDefault="00D30350" w:rsidP="00D30350">
      <w:pPr>
        <w:tabs>
          <w:tab w:val="left" w:pos="3600"/>
        </w:tabs>
        <w:spacing w:after="120" w:line="276" w:lineRule="auto"/>
        <w:ind w:left="720" w:hanging="720"/>
        <w:rPr>
          <w:rFonts w:ascii="Times New Roman" w:hAnsi="Times New Roman" w:cs="Times New Roman"/>
        </w:rPr>
      </w:pPr>
      <w:r w:rsidRPr="00E350A1">
        <w:rPr>
          <w:rFonts w:ascii="Times New Roman" w:hAnsi="Times New Roman" w:cs="Times New Roman"/>
        </w:rPr>
        <w:t xml:space="preserve">Adeniji, D. O., Miller, V. J., and Tonui, B. C. (2025). Barriers to Social Engagement for Older Immigrants in the United States: A Scoping Review of the Literature. </w:t>
      </w:r>
      <w:r w:rsidRPr="00E350A1">
        <w:rPr>
          <w:rFonts w:ascii="Times New Roman" w:hAnsi="Times New Roman" w:cs="Times New Roman"/>
          <w:i/>
          <w:iCs/>
        </w:rPr>
        <w:t>Journal of Applied Gerontology</w:t>
      </w:r>
      <w:r w:rsidRPr="00E350A1">
        <w:rPr>
          <w:rFonts w:ascii="Times New Roman" w:hAnsi="Times New Roman" w:cs="Times New Roman"/>
        </w:rPr>
        <w:t xml:space="preserve">. </w:t>
      </w:r>
      <w:hyperlink r:id="rId16" w:history="1">
        <w:r w:rsidRPr="00E350A1">
          <w:rPr>
            <w:rStyle w:val="Hyperlink"/>
            <w:rFonts w:ascii="Times New Roman" w:hAnsi="Times New Roman" w:cs="Times New Roman"/>
          </w:rPr>
          <w:t>https://doi.org/10.1177/07334648251396305</w:t>
        </w:r>
      </w:hyperlink>
      <w:r w:rsidRPr="00E350A1">
        <w:rPr>
          <w:rFonts w:ascii="Times New Roman" w:hAnsi="Times New Roman" w:cs="Times New Roman"/>
        </w:rPr>
        <w:t xml:space="preserve"> </w:t>
      </w:r>
    </w:p>
    <w:p w14:paraId="46C7AB5A" w14:textId="77777777" w:rsidR="00D30350" w:rsidRPr="00E350A1" w:rsidRDefault="00D30350" w:rsidP="00D30350">
      <w:pPr>
        <w:spacing w:after="120" w:line="276" w:lineRule="auto"/>
        <w:ind w:left="720" w:hanging="720"/>
        <w:rPr>
          <w:rFonts w:ascii="Times New Roman" w:hAnsi="Times New Roman" w:cs="Times New Roman"/>
        </w:rPr>
      </w:pPr>
      <w:proofErr w:type="spellStart"/>
      <w:r w:rsidRPr="00E350A1">
        <w:rPr>
          <w:rFonts w:ascii="Times New Roman" w:hAnsi="Times New Roman" w:cs="Times New Roman"/>
        </w:rPr>
        <w:t>Anheier</w:t>
      </w:r>
      <w:proofErr w:type="spellEnd"/>
      <w:r w:rsidRPr="00E350A1">
        <w:rPr>
          <w:rFonts w:ascii="Times New Roman" w:hAnsi="Times New Roman" w:cs="Times New Roman"/>
        </w:rPr>
        <w:t xml:space="preserve">, H. K., and Salamon, L. M. (1999). Volunteering in cross-national perspective: Initial comparisons. </w:t>
      </w:r>
      <w:r w:rsidRPr="00E350A1">
        <w:rPr>
          <w:rFonts w:ascii="Times New Roman" w:hAnsi="Times New Roman" w:cs="Times New Roman"/>
          <w:i/>
          <w:iCs/>
        </w:rPr>
        <w:t>Law and Contemporary Problems, 62</w:t>
      </w:r>
      <w:r w:rsidRPr="00E350A1">
        <w:rPr>
          <w:rFonts w:ascii="Times New Roman" w:hAnsi="Times New Roman" w:cs="Times New Roman"/>
        </w:rPr>
        <w:t xml:space="preserve">(4), 43-65. </w:t>
      </w:r>
      <w:hyperlink r:id="rId17" w:history="1">
        <w:r w:rsidRPr="00E350A1">
          <w:rPr>
            <w:rStyle w:val="Hyperlink"/>
            <w:rFonts w:ascii="Times New Roman" w:hAnsi="Times New Roman" w:cs="Times New Roman"/>
          </w:rPr>
          <w:t>https://doi.org/10.2307/1192266</w:t>
        </w:r>
      </w:hyperlink>
      <w:r w:rsidRPr="00E350A1">
        <w:rPr>
          <w:rFonts w:ascii="Times New Roman" w:hAnsi="Times New Roman" w:cs="Times New Roman"/>
        </w:rPr>
        <w:t xml:space="preserve"> </w:t>
      </w:r>
    </w:p>
    <w:p w14:paraId="7505795A"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Bengtson, V. L., and Roberts, R. E. L. (1991). Intergenerational solidarity in aging families: An example of formal theory construction. </w:t>
      </w:r>
      <w:r w:rsidRPr="00E350A1">
        <w:rPr>
          <w:rFonts w:ascii="Times New Roman" w:hAnsi="Times New Roman" w:cs="Times New Roman"/>
          <w:i/>
          <w:iCs/>
        </w:rPr>
        <w:t>Journal of Marriage and the Family, 53</w:t>
      </w:r>
      <w:r w:rsidRPr="00E350A1">
        <w:rPr>
          <w:rFonts w:ascii="Times New Roman" w:hAnsi="Times New Roman" w:cs="Times New Roman"/>
        </w:rPr>
        <w:t xml:space="preserve">(4), 856-870. </w:t>
      </w:r>
      <w:hyperlink r:id="rId18" w:history="1">
        <w:r w:rsidRPr="00E350A1">
          <w:rPr>
            <w:rStyle w:val="Hyperlink"/>
            <w:rFonts w:ascii="Times New Roman" w:hAnsi="Times New Roman" w:cs="Times New Roman"/>
          </w:rPr>
          <w:t>https://doi.org/10.2307/352993</w:t>
        </w:r>
      </w:hyperlink>
      <w:r w:rsidRPr="00E350A1">
        <w:rPr>
          <w:rFonts w:ascii="Times New Roman" w:hAnsi="Times New Roman" w:cs="Times New Roman"/>
        </w:rPr>
        <w:t xml:space="preserve"> </w:t>
      </w:r>
    </w:p>
    <w:p w14:paraId="6E0D73D8"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Berry, J. W. (1997). Immigration, acculturation, and adaptation. Applied Psychology: An International Review, 46(1), 5–34. </w:t>
      </w:r>
      <w:hyperlink r:id="rId19" w:history="1">
        <w:r w:rsidRPr="00E350A1">
          <w:rPr>
            <w:rStyle w:val="Hyperlink"/>
            <w:rFonts w:ascii="Times New Roman" w:hAnsi="Times New Roman" w:cs="Times New Roman"/>
          </w:rPr>
          <w:t>https://doi.org/10.1080/026999497378467</w:t>
        </w:r>
      </w:hyperlink>
      <w:r w:rsidRPr="00E350A1">
        <w:rPr>
          <w:rFonts w:ascii="Times New Roman" w:hAnsi="Times New Roman" w:cs="Times New Roman"/>
        </w:rPr>
        <w:t xml:space="preserve"> </w:t>
      </w:r>
    </w:p>
    <w:p w14:paraId="152212F1"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Bicchieri, C. (2006). </w:t>
      </w:r>
      <w:r w:rsidRPr="00E350A1">
        <w:rPr>
          <w:rFonts w:ascii="Times New Roman" w:hAnsi="Times New Roman" w:cs="Times New Roman"/>
          <w:i/>
          <w:iCs/>
        </w:rPr>
        <w:t>The grammar of society: The nature and dynamics of social norms</w:t>
      </w:r>
      <w:r w:rsidRPr="00E350A1">
        <w:rPr>
          <w:rFonts w:ascii="Times New Roman" w:hAnsi="Times New Roman" w:cs="Times New Roman"/>
        </w:rPr>
        <w:t xml:space="preserve">. Cambridge University Press. </w:t>
      </w:r>
      <w:hyperlink r:id="rId20" w:history="1">
        <w:r w:rsidRPr="00E350A1">
          <w:rPr>
            <w:rStyle w:val="Hyperlink"/>
            <w:rFonts w:ascii="Times New Roman" w:hAnsi="Times New Roman" w:cs="Times New Roman"/>
          </w:rPr>
          <w:t>https://doi.org/10.1017/CBO9780511616037</w:t>
        </w:r>
      </w:hyperlink>
    </w:p>
    <w:p w14:paraId="573D6990"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Boeker, M., Vach, W., and </w:t>
      </w:r>
      <w:proofErr w:type="spellStart"/>
      <w:r w:rsidRPr="00E350A1">
        <w:rPr>
          <w:rFonts w:ascii="Times New Roman" w:hAnsi="Times New Roman" w:cs="Times New Roman"/>
        </w:rPr>
        <w:t>Motschall</w:t>
      </w:r>
      <w:proofErr w:type="spellEnd"/>
      <w:r w:rsidRPr="00E350A1">
        <w:rPr>
          <w:rFonts w:ascii="Times New Roman" w:hAnsi="Times New Roman" w:cs="Times New Roman"/>
        </w:rPr>
        <w:t xml:space="preserve">, E. (2013). Google Scholar as replacement for systematic literature searches: good relative recall and precision are not enough. </w:t>
      </w:r>
      <w:r w:rsidRPr="00E350A1">
        <w:rPr>
          <w:rFonts w:ascii="Times New Roman" w:hAnsi="Times New Roman" w:cs="Times New Roman"/>
          <w:i/>
          <w:iCs/>
        </w:rPr>
        <w:t>BMC Medical Research Methodology, 13</w:t>
      </w:r>
      <w:r w:rsidRPr="00E350A1">
        <w:rPr>
          <w:rFonts w:ascii="Times New Roman" w:hAnsi="Times New Roman" w:cs="Times New Roman"/>
        </w:rPr>
        <w:t xml:space="preserve">(1), 131. </w:t>
      </w:r>
      <w:hyperlink r:id="rId21" w:history="1">
        <w:r w:rsidRPr="00E350A1">
          <w:rPr>
            <w:rStyle w:val="Hyperlink"/>
            <w:rFonts w:ascii="Times New Roman" w:hAnsi="Times New Roman" w:cs="Times New Roman"/>
          </w:rPr>
          <w:t>https://doi.org/10.1186/1471-2288-13-131</w:t>
        </w:r>
      </w:hyperlink>
      <w:r w:rsidRPr="00E350A1">
        <w:rPr>
          <w:rFonts w:ascii="Times New Roman" w:hAnsi="Times New Roman" w:cs="Times New Roman"/>
        </w:rPr>
        <w:t xml:space="preserve"> </w:t>
      </w:r>
    </w:p>
    <w:p w14:paraId="6A079420"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Bourdieu, P. (1991). </w:t>
      </w:r>
      <w:r w:rsidRPr="00E350A1">
        <w:rPr>
          <w:rFonts w:ascii="Times New Roman" w:hAnsi="Times New Roman" w:cs="Times New Roman"/>
          <w:i/>
          <w:iCs/>
        </w:rPr>
        <w:t>Language and symbolic power</w:t>
      </w:r>
      <w:r w:rsidRPr="00E350A1">
        <w:rPr>
          <w:rFonts w:ascii="Times New Roman" w:hAnsi="Times New Roman" w:cs="Times New Roman"/>
        </w:rPr>
        <w:t xml:space="preserve">. Harvard University Press. </w:t>
      </w:r>
    </w:p>
    <w:p w14:paraId="3FCA6F29" w14:textId="77777777" w:rsidR="00D30350" w:rsidRPr="00E350A1" w:rsidRDefault="00D30350" w:rsidP="00D30350">
      <w:pPr>
        <w:spacing w:after="120" w:line="276" w:lineRule="auto"/>
        <w:ind w:left="720" w:hanging="720"/>
        <w:rPr>
          <w:rFonts w:ascii="Times New Roman" w:hAnsi="Times New Roman" w:cs="Times New Roman"/>
        </w:rPr>
      </w:pPr>
      <w:proofErr w:type="spellStart"/>
      <w:r w:rsidRPr="00E350A1">
        <w:rPr>
          <w:rFonts w:ascii="Times New Roman" w:hAnsi="Times New Roman" w:cs="Times New Roman"/>
        </w:rPr>
        <w:t>Broese</w:t>
      </w:r>
      <w:proofErr w:type="spellEnd"/>
      <w:r w:rsidRPr="00E350A1">
        <w:rPr>
          <w:rFonts w:ascii="Times New Roman" w:hAnsi="Times New Roman" w:cs="Times New Roman"/>
        </w:rPr>
        <w:t xml:space="preserve"> van </w:t>
      </w:r>
      <w:proofErr w:type="spellStart"/>
      <w:r w:rsidRPr="00E350A1">
        <w:rPr>
          <w:rFonts w:ascii="Times New Roman" w:hAnsi="Times New Roman" w:cs="Times New Roman"/>
        </w:rPr>
        <w:t>Groenou</w:t>
      </w:r>
      <w:proofErr w:type="spellEnd"/>
      <w:r w:rsidRPr="00E350A1">
        <w:rPr>
          <w:rFonts w:ascii="Times New Roman" w:hAnsi="Times New Roman" w:cs="Times New Roman"/>
        </w:rPr>
        <w:t xml:space="preserve">, M., and van Tilburg, T. (2012). Six-year Follow-up on Volunteering in Later Life: A Cohort Comparison in the Netherlands. European Sociological Review, 28(1), 1–11. </w:t>
      </w:r>
      <w:hyperlink r:id="rId22" w:history="1">
        <w:r w:rsidRPr="00E350A1">
          <w:rPr>
            <w:rStyle w:val="Hyperlink"/>
            <w:rFonts w:ascii="Times New Roman" w:hAnsi="Times New Roman" w:cs="Times New Roman"/>
          </w:rPr>
          <w:t>https://doi.org/10.1093/esr/jcq043</w:t>
        </w:r>
      </w:hyperlink>
      <w:r w:rsidRPr="00E350A1">
        <w:rPr>
          <w:rFonts w:ascii="Times New Roman" w:hAnsi="Times New Roman" w:cs="Times New Roman"/>
        </w:rPr>
        <w:t xml:space="preserve"> </w:t>
      </w:r>
    </w:p>
    <w:p w14:paraId="54174213"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Clary, E. G., and Snyder, M. (1999). The motivations to volunteer: Theoretical and practical considerations. </w:t>
      </w:r>
      <w:r w:rsidRPr="00E350A1">
        <w:rPr>
          <w:rFonts w:ascii="Times New Roman" w:hAnsi="Times New Roman" w:cs="Times New Roman"/>
          <w:i/>
          <w:iCs/>
        </w:rPr>
        <w:t>Current Directions in Psychological Science, 8</w:t>
      </w:r>
      <w:r w:rsidRPr="00E350A1">
        <w:rPr>
          <w:rFonts w:ascii="Times New Roman" w:hAnsi="Times New Roman" w:cs="Times New Roman"/>
        </w:rPr>
        <w:t xml:space="preserve">(5), 156-159. </w:t>
      </w:r>
      <w:hyperlink r:id="rId23" w:history="1">
        <w:r w:rsidRPr="00E350A1">
          <w:rPr>
            <w:rStyle w:val="Hyperlink"/>
            <w:rFonts w:ascii="Times New Roman" w:hAnsi="Times New Roman" w:cs="Times New Roman"/>
          </w:rPr>
          <w:t>https://www.jstor.org/stable/20182591</w:t>
        </w:r>
      </w:hyperlink>
      <w:r w:rsidRPr="00E350A1">
        <w:rPr>
          <w:rFonts w:ascii="Times New Roman" w:hAnsi="Times New Roman" w:cs="Times New Roman"/>
        </w:rPr>
        <w:t xml:space="preserve"> </w:t>
      </w:r>
    </w:p>
    <w:p w14:paraId="1B4EA600"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Dekker, P., and Halman, L. (Eds.). (2003). </w:t>
      </w:r>
      <w:r w:rsidRPr="00E350A1">
        <w:rPr>
          <w:rFonts w:ascii="Times New Roman" w:hAnsi="Times New Roman" w:cs="Times New Roman"/>
          <w:i/>
          <w:iCs/>
        </w:rPr>
        <w:t>The values of volunteering: Cross-cultural perspectives</w:t>
      </w:r>
      <w:r w:rsidRPr="00E350A1">
        <w:rPr>
          <w:rFonts w:ascii="Times New Roman" w:hAnsi="Times New Roman" w:cs="Times New Roman"/>
        </w:rPr>
        <w:t>. Springer.</w:t>
      </w:r>
    </w:p>
    <w:p w14:paraId="33431256"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Department for Culture, Media &amp; Sport. (2024). Community Life Survey 2023/24: Volunteering and charitable giving. </w:t>
      </w:r>
      <w:hyperlink r:id="rId24" w:history="1">
        <w:r w:rsidRPr="00E350A1">
          <w:rPr>
            <w:rStyle w:val="Hyperlink"/>
            <w:rFonts w:ascii="Times New Roman" w:hAnsi="Times New Roman" w:cs="Times New Roman"/>
          </w:rPr>
          <w:t>https://www.gov.uk/government/statistics/community-life-survey-202324-annual-publication/community-life-survey-202324-volunteering-and-charitable-giving</w:t>
        </w:r>
      </w:hyperlink>
      <w:r w:rsidRPr="00E350A1">
        <w:rPr>
          <w:rFonts w:ascii="Times New Roman" w:hAnsi="Times New Roman" w:cs="Times New Roman"/>
        </w:rPr>
        <w:t xml:space="preserve"> </w:t>
      </w:r>
    </w:p>
    <w:p w14:paraId="2F2339E5"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DiMaggio, P. J., and Powell, W. W. (1983). The iron cage revisited: Institutional isomorphism and collective rationality in organizational fields. </w:t>
      </w:r>
      <w:r w:rsidRPr="00E350A1">
        <w:rPr>
          <w:rFonts w:ascii="Times New Roman" w:hAnsi="Times New Roman" w:cs="Times New Roman"/>
          <w:i/>
          <w:iCs/>
        </w:rPr>
        <w:t>American Sociological Review, 48</w:t>
      </w:r>
      <w:r w:rsidRPr="00E350A1">
        <w:rPr>
          <w:rFonts w:ascii="Times New Roman" w:hAnsi="Times New Roman" w:cs="Times New Roman"/>
        </w:rPr>
        <w:t xml:space="preserve">(2), 147-160. </w:t>
      </w:r>
      <w:hyperlink r:id="rId25" w:history="1">
        <w:r w:rsidRPr="00E350A1">
          <w:rPr>
            <w:rStyle w:val="Hyperlink"/>
            <w:rFonts w:ascii="Times New Roman" w:hAnsi="Times New Roman" w:cs="Times New Roman"/>
          </w:rPr>
          <w:t>https://doi.org/10.2307/2095101</w:t>
        </w:r>
      </w:hyperlink>
      <w:r w:rsidRPr="00E350A1">
        <w:rPr>
          <w:rFonts w:ascii="Times New Roman" w:hAnsi="Times New Roman" w:cs="Times New Roman"/>
        </w:rPr>
        <w:t xml:space="preserve"> </w:t>
      </w:r>
    </w:p>
    <w:p w14:paraId="7570D90F"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Durkheim, E. (2016). </w:t>
      </w:r>
      <w:r w:rsidRPr="00E350A1">
        <w:rPr>
          <w:rFonts w:ascii="Times New Roman" w:hAnsi="Times New Roman" w:cs="Times New Roman"/>
          <w:i/>
          <w:iCs/>
        </w:rPr>
        <w:t>The elementary forms of religious life. In Social theory re-wired</w:t>
      </w:r>
      <w:r w:rsidRPr="00E350A1">
        <w:rPr>
          <w:rFonts w:ascii="Times New Roman" w:hAnsi="Times New Roman" w:cs="Times New Roman"/>
        </w:rPr>
        <w:t xml:space="preserve"> (pp. 52-67). Routledge. </w:t>
      </w:r>
      <w:hyperlink r:id="rId26" w:history="1">
        <w:r w:rsidRPr="00E350A1">
          <w:rPr>
            <w:rStyle w:val="Hyperlink"/>
            <w:rFonts w:ascii="Times New Roman" w:hAnsi="Times New Roman" w:cs="Times New Roman"/>
          </w:rPr>
          <w:t>https://doi.org/10.4324/9781315775357</w:t>
        </w:r>
      </w:hyperlink>
      <w:r w:rsidRPr="00E350A1">
        <w:rPr>
          <w:rFonts w:ascii="Times New Roman" w:hAnsi="Times New Roman" w:cs="Times New Roman"/>
        </w:rPr>
        <w:t xml:space="preserve"> </w:t>
      </w:r>
    </w:p>
    <w:p w14:paraId="0544109C" w14:textId="77777777" w:rsidR="00D30350" w:rsidRPr="00E350A1" w:rsidRDefault="00D30350" w:rsidP="00D30350">
      <w:pPr>
        <w:spacing w:after="120" w:line="276" w:lineRule="auto"/>
        <w:ind w:left="720" w:hanging="720"/>
        <w:rPr>
          <w:rFonts w:ascii="Times New Roman" w:hAnsi="Times New Roman" w:cs="Times New Roman"/>
        </w:rPr>
      </w:pPr>
      <w:proofErr w:type="spellStart"/>
      <w:r w:rsidRPr="00E350A1">
        <w:rPr>
          <w:rFonts w:ascii="Times New Roman" w:hAnsi="Times New Roman" w:cs="Times New Roman"/>
        </w:rPr>
        <w:lastRenderedPageBreak/>
        <w:t>Einolf</w:t>
      </w:r>
      <w:proofErr w:type="spellEnd"/>
      <w:r w:rsidRPr="00E350A1">
        <w:rPr>
          <w:rFonts w:ascii="Times New Roman" w:hAnsi="Times New Roman" w:cs="Times New Roman"/>
        </w:rPr>
        <w:t xml:space="preserve">, C. J. (2011). </w:t>
      </w:r>
      <w:r w:rsidRPr="00E350A1">
        <w:rPr>
          <w:rFonts w:ascii="Times New Roman" w:hAnsi="Times New Roman" w:cs="Times New Roman"/>
          <w:i/>
          <w:iCs/>
        </w:rPr>
        <w:t>Gender differences in the correlates of volunteering. Nonprofit and Voluntary Sector Quarterly, 40</w:t>
      </w:r>
      <w:r w:rsidRPr="00E350A1">
        <w:rPr>
          <w:rFonts w:ascii="Times New Roman" w:hAnsi="Times New Roman" w:cs="Times New Roman"/>
        </w:rPr>
        <w:t xml:space="preserve">(6), 1092-1112. </w:t>
      </w:r>
      <w:hyperlink r:id="rId27" w:history="1">
        <w:r w:rsidRPr="00E350A1">
          <w:rPr>
            <w:rStyle w:val="Hyperlink"/>
            <w:rFonts w:ascii="Times New Roman" w:hAnsi="Times New Roman" w:cs="Times New Roman"/>
          </w:rPr>
          <w:t>https://doi.org/10.1177/0899764010385949</w:t>
        </w:r>
      </w:hyperlink>
      <w:r w:rsidRPr="00E350A1">
        <w:rPr>
          <w:rFonts w:ascii="Times New Roman" w:hAnsi="Times New Roman" w:cs="Times New Roman"/>
        </w:rPr>
        <w:t xml:space="preserve"> </w:t>
      </w:r>
    </w:p>
    <w:p w14:paraId="1F3DE367"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Fishman, J. A. (1999). </w:t>
      </w:r>
      <w:r w:rsidRPr="00E350A1">
        <w:rPr>
          <w:rFonts w:ascii="Times New Roman" w:hAnsi="Times New Roman" w:cs="Times New Roman"/>
          <w:i/>
          <w:iCs/>
        </w:rPr>
        <w:t>Handbook of language and ethnic identity</w:t>
      </w:r>
      <w:r w:rsidRPr="00E350A1">
        <w:rPr>
          <w:rFonts w:ascii="Times New Roman" w:hAnsi="Times New Roman" w:cs="Times New Roman"/>
        </w:rPr>
        <w:t xml:space="preserve">. Oxford University Press. </w:t>
      </w:r>
    </w:p>
    <w:p w14:paraId="244998C6"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Geertz, C. (1973). </w:t>
      </w:r>
      <w:r w:rsidRPr="00E350A1">
        <w:rPr>
          <w:rFonts w:ascii="Times New Roman" w:hAnsi="Times New Roman" w:cs="Times New Roman"/>
          <w:i/>
          <w:iCs/>
        </w:rPr>
        <w:t>The interpretation of cultures. Basic Books</w:t>
      </w:r>
      <w:r w:rsidRPr="00E350A1">
        <w:rPr>
          <w:rFonts w:ascii="Times New Roman" w:hAnsi="Times New Roman" w:cs="Times New Roman"/>
        </w:rPr>
        <w:t>.</w:t>
      </w:r>
    </w:p>
    <w:p w14:paraId="367699CE"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Gonzales, E., Matz, C., Morrow-Howell, N., Lai, P. H. L., </w:t>
      </w:r>
      <w:proofErr w:type="spellStart"/>
      <w:r w:rsidRPr="00E350A1">
        <w:rPr>
          <w:rFonts w:ascii="Times New Roman" w:hAnsi="Times New Roman" w:cs="Times New Roman"/>
        </w:rPr>
        <w:t>Whetung</w:t>
      </w:r>
      <w:proofErr w:type="spellEnd"/>
      <w:r w:rsidRPr="00E350A1">
        <w:rPr>
          <w:rFonts w:ascii="Times New Roman" w:hAnsi="Times New Roman" w:cs="Times New Roman"/>
        </w:rPr>
        <w:t xml:space="preserve">, C., Zingg, E., Keating, E., James, J. B., and Putnam, M. (2022). Advance long and productive lives. In R. P. Barth, J. T. Messing, T. R. Shanks, and J. H. Williams (Eds.), </w:t>
      </w:r>
      <w:r w:rsidRPr="00E350A1">
        <w:rPr>
          <w:rFonts w:ascii="Times New Roman" w:hAnsi="Times New Roman" w:cs="Times New Roman"/>
          <w:i/>
          <w:iCs/>
        </w:rPr>
        <w:t>Grand challenges for social work and society</w:t>
      </w:r>
      <w:r w:rsidRPr="00E350A1">
        <w:rPr>
          <w:rFonts w:ascii="Times New Roman" w:hAnsi="Times New Roman" w:cs="Times New Roman"/>
        </w:rPr>
        <w:t xml:space="preserve"> (2nd ed., chapter 5, pp. 111-144). New York and Washington, DC: Oxford University Press/NASW Press. </w:t>
      </w:r>
      <w:hyperlink r:id="rId28" w:history="1">
        <w:r w:rsidRPr="00E350A1">
          <w:rPr>
            <w:rStyle w:val="Hyperlink"/>
            <w:rFonts w:ascii="Times New Roman" w:hAnsi="Times New Roman" w:cs="Times New Roman"/>
          </w:rPr>
          <w:t>https://bit.ly/3yLKK1H</w:t>
        </w:r>
      </w:hyperlink>
      <w:r w:rsidRPr="00E350A1">
        <w:rPr>
          <w:rFonts w:ascii="Times New Roman" w:hAnsi="Times New Roman" w:cs="Times New Roman"/>
        </w:rPr>
        <w:t xml:space="preserve"> </w:t>
      </w:r>
    </w:p>
    <w:p w14:paraId="7EF73E50"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Handy, F., and Greenspan, I. (2009). Immigrant volunteering: A </w:t>
      </w:r>
      <w:proofErr w:type="gramStart"/>
      <w:r w:rsidRPr="00E350A1">
        <w:rPr>
          <w:rFonts w:ascii="Times New Roman" w:hAnsi="Times New Roman" w:cs="Times New Roman"/>
        </w:rPr>
        <w:t>stepping stone</w:t>
      </w:r>
      <w:proofErr w:type="gramEnd"/>
      <w:r w:rsidRPr="00E350A1">
        <w:rPr>
          <w:rFonts w:ascii="Times New Roman" w:hAnsi="Times New Roman" w:cs="Times New Roman"/>
        </w:rPr>
        <w:t xml:space="preserve"> to integration? </w:t>
      </w:r>
      <w:r w:rsidRPr="00E350A1">
        <w:rPr>
          <w:rFonts w:ascii="Times New Roman" w:hAnsi="Times New Roman" w:cs="Times New Roman"/>
          <w:i/>
          <w:iCs/>
        </w:rPr>
        <w:t>Nonprofit and Voluntary Sector Quarterly, 38</w:t>
      </w:r>
      <w:r w:rsidRPr="00E350A1">
        <w:rPr>
          <w:rFonts w:ascii="Times New Roman" w:hAnsi="Times New Roman" w:cs="Times New Roman"/>
        </w:rPr>
        <w:t xml:space="preserve">(6), 956-982. </w:t>
      </w:r>
      <w:hyperlink r:id="rId29" w:history="1">
        <w:r w:rsidRPr="00E350A1">
          <w:rPr>
            <w:rStyle w:val="Hyperlink"/>
            <w:rFonts w:ascii="Times New Roman" w:hAnsi="Times New Roman" w:cs="Times New Roman"/>
          </w:rPr>
          <w:t>https://doi.org/10.1177/089976400832445</w:t>
        </w:r>
      </w:hyperlink>
      <w:r w:rsidRPr="00E350A1">
        <w:rPr>
          <w:rFonts w:ascii="Times New Roman" w:hAnsi="Times New Roman" w:cs="Times New Roman"/>
        </w:rPr>
        <w:t xml:space="preserve"> </w:t>
      </w:r>
    </w:p>
    <w:p w14:paraId="6E1E7207"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Hasegawa, A., Fujiwara, Y., Hoshi, T., and Shinkai, S. (2003). Regional Differences in Ikigai (Reason(s) for Living) in Elderly People - Relationship between Ikigai and Family Structure, Physiological Situation and Functional Capacity. </w:t>
      </w:r>
      <w:r w:rsidRPr="00E350A1">
        <w:rPr>
          <w:rFonts w:ascii="Times New Roman" w:hAnsi="Times New Roman" w:cs="Times New Roman"/>
          <w:i/>
          <w:iCs/>
        </w:rPr>
        <w:t>Japanese journal of geriatrics, 40</w:t>
      </w:r>
      <w:r w:rsidRPr="00E350A1">
        <w:rPr>
          <w:rFonts w:ascii="Times New Roman" w:hAnsi="Times New Roman" w:cs="Times New Roman"/>
        </w:rPr>
        <w:t xml:space="preserve">(4), 390–396. </w:t>
      </w:r>
      <w:hyperlink r:id="rId30" w:history="1">
        <w:r w:rsidRPr="00E350A1">
          <w:rPr>
            <w:rStyle w:val="Hyperlink"/>
            <w:rFonts w:ascii="Times New Roman" w:hAnsi="Times New Roman" w:cs="Times New Roman"/>
          </w:rPr>
          <w:t>https://doi.org/10.3143/geriatrics.40.390</w:t>
        </w:r>
      </w:hyperlink>
      <w:r w:rsidRPr="00E350A1">
        <w:rPr>
          <w:rFonts w:ascii="Times New Roman" w:hAnsi="Times New Roman" w:cs="Times New Roman"/>
        </w:rPr>
        <w:t xml:space="preserve"> </w:t>
      </w:r>
    </w:p>
    <w:p w14:paraId="21097732"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Hepton, A. (2003). </w:t>
      </w:r>
      <w:r w:rsidRPr="00E350A1">
        <w:rPr>
          <w:rFonts w:ascii="Times New Roman" w:hAnsi="Times New Roman" w:cs="Times New Roman"/>
          <w:i/>
          <w:iCs/>
        </w:rPr>
        <w:t>Cultural system. In The pineapple: botany, production and uses</w:t>
      </w:r>
      <w:r w:rsidRPr="00E350A1">
        <w:rPr>
          <w:rFonts w:ascii="Times New Roman" w:hAnsi="Times New Roman" w:cs="Times New Roman"/>
        </w:rPr>
        <w:t xml:space="preserve"> (pp. 109-142). Wallingford UK: Cabi Publishing. </w:t>
      </w:r>
      <w:hyperlink r:id="rId31" w:history="1">
        <w:r w:rsidRPr="00E350A1">
          <w:rPr>
            <w:rStyle w:val="Hyperlink"/>
            <w:rFonts w:ascii="Times New Roman" w:hAnsi="Times New Roman" w:cs="Times New Roman"/>
          </w:rPr>
          <w:t>https://doi.org/10.1079/9780851995038.0109</w:t>
        </w:r>
      </w:hyperlink>
      <w:r w:rsidRPr="00E350A1">
        <w:rPr>
          <w:rFonts w:ascii="Times New Roman" w:hAnsi="Times New Roman" w:cs="Times New Roman"/>
        </w:rPr>
        <w:t xml:space="preserve"> </w:t>
      </w:r>
    </w:p>
    <w:p w14:paraId="032E8E5D"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Hill, P. C., and Pargament, K. I. (2003). Advances in the conceptualization and measurement of religion and spirituality. </w:t>
      </w:r>
      <w:r w:rsidRPr="00E350A1">
        <w:rPr>
          <w:rFonts w:ascii="Times New Roman" w:hAnsi="Times New Roman" w:cs="Times New Roman"/>
          <w:i/>
          <w:iCs/>
        </w:rPr>
        <w:t>American Psychologist, 58</w:t>
      </w:r>
      <w:r w:rsidRPr="00E350A1">
        <w:rPr>
          <w:rFonts w:ascii="Times New Roman" w:hAnsi="Times New Roman" w:cs="Times New Roman"/>
        </w:rPr>
        <w:t xml:space="preserve">(1), 64-74. </w:t>
      </w:r>
      <w:hyperlink r:id="rId32" w:history="1">
        <w:r w:rsidRPr="00E350A1">
          <w:rPr>
            <w:rStyle w:val="Hyperlink"/>
            <w:rFonts w:ascii="Times New Roman" w:hAnsi="Times New Roman" w:cs="Times New Roman"/>
          </w:rPr>
          <w:t>https://doi.org/10.1037/0003-066x.58.1.64</w:t>
        </w:r>
      </w:hyperlink>
      <w:r w:rsidRPr="00E350A1">
        <w:rPr>
          <w:rFonts w:ascii="Times New Roman" w:hAnsi="Times New Roman" w:cs="Times New Roman"/>
        </w:rPr>
        <w:t xml:space="preserve"> </w:t>
      </w:r>
    </w:p>
    <w:p w14:paraId="2C18270E"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Ho, D. Y. F. (1996). Filial piety and its psychological consequences. In </w:t>
      </w:r>
      <w:r w:rsidRPr="00E350A1">
        <w:rPr>
          <w:rFonts w:ascii="Times New Roman" w:hAnsi="Times New Roman" w:cs="Times New Roman"/>
          <w:i/>
          <w:iCs/>
        </w:rPr>
        <w:t>The handbook of Chinese psychology</w:t>
      </w:r>
      <w:r w:rsidRPr="00E350A1">
        <w:rPr>
          <w:rFonts w:ascii="Times New Roman" w:hAnsi="Times New Roman" w:cs="Times New Roman"/>
        </w:rPr>
        <w:t xml:space="preserve"> (pp. 155-165). Oxford University Press.</w:t>
      </w:r>
    </w:p>
    <w:p w14:paraId="359F1071"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Hobsbawm, E., and Ranger, T. (1983). </w:t>
      </w:r>
      <w:r w:rsidRPr="00E350A1">
        <w:rPr>
          <w:rFonts w:ascii="Times New Roman" w:hAnsi="Times New Roman" w:cs="Times New Roman"/>
          <w:i/>
          <w:iCs/>
        </w:rPr>
        <w:t>The invention of tradition</w:t>
      </w:r>
      <w:r w:rsidRPr="00E350A1">
        <w:rPr>
          <w:rFonts w:ascii="Times New Roman" w:hAnsi="Times New Roman" w:cs="Times New Roman"/>
        </w:rPr>
        <w:t xml:space="preserve">. Cambridge University Press. </w:t>
      </w:r>
      <w:hyperlink r:id="rId33" w:history="1">
        <w:r w:rsidRPr="00E350A1">
          <w:rPr>
            <w:rStyle w:val="Hyperlink"/>
            <w:rFonts w:ascii="Times New Roman" w:hAnsi="Times New Roman" w:cs="Times New Roman"/>
          </w:rPr>
          <w:t>https://doi.org/10.1017/CBO9781107295636</w:t>
        </w:r>
      </w:hyperlink>
      <w:r w:rsidRPr="00E350A1">
        <w:rPr>
          <w:rFonts w:ascii="Times New Roman" w:hAnsi="Times New Roman" w:cs="Times New Roman"/>
        </w:rPr>
        <w:t xml:space="preserve"> </w:t>
      </w:r>
    </w:p>
    <w:p w14:paraId="32468D0D"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Hustinx, L., </w:t>
      </w:r>
      <w:proofErr w:type="spellStart"/>
      <w:r w:rsidRPr="00E350A1">
        <w:rPr>
          <w:rFonts w:ascii="Times New Roman" w:hAnsi="Times New Roman" w:cs="Times New Roman"/>
        </w:rPr>
        <w:t>Lammertyn</w:t>
      </w:r>
      <w:proofErr w:type="spellEnd"/>
      <w:r w:rsidRPr="00E350A1">
        <w:rPr>
          <w:rFonts w:ascii="Times New Roman" w:hAnsi="Times New Roman" w:cs="Times New Roman"/>
        </w:rPr>
        <w:t xml:space="preserve">, F. Collective and Reflexive Styles of Volunteering: A Sociological Modernization Perspective. </w:t>
      </w:r>
      <w:r w:rsidRPr="00E350A1">
        <w:rPr>
          <w:rFonts w:ascii="Times New Roman" w:hAnsi="Times New Roman" w:cs="Times New Roman"/>
          <w:i/>
          <w:iCs/>
        </w:rPr>
        <w:t>VOLUNTAS: International Journal of Voluntary and Nonprofit Organizations, 14</w:t>
      </w:r>
      <w:r w:rsidRPr="00E350A1">
        <w:rPr>
          <w:rFonts w:ascii="Times New Roman" w:hAnsi="Times New Roman" w:cs="Times New Roman"/>
        </w:rPr>
        <w:t xml:space="preserve">, 167-187 (2003). </w:t>
      </w:r>
      <w:hyperlink r:id="rId34" w:history="1">
        <w:r w:rsidRPr="00E350A1">
          <w:rPr>
            <w:rStyle w:val="Hyperlink"/>
            <w:rFonts w:ascii="Times New Roman" w:hAnsi="Times New Roman" w:cs="Times New Roman"/>
          </w:rPr>
          <w:t>https://doi.org/10.1023/A:1023948027200</w:t>
        </w:r>
      </w:hyperlink>
      <w:r w:rsidRPr="00E350A1">
        <w:rPr>
          <w:rFonts w:ascii="Times New Roman" w:hAnsi="Times New Roman" w:cs="Times New Roman"/>
        </w:rPr>
        <w:t xml:space="preserve"> </w:t>
      </w:r>
    </w:p>
    <w:p w14:paraId="579E08EF"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Kawamura, Y. (2025). Power of Ikigai on Japanese Older Adults’ Well-Being. </w:t>
      </w:r>
      <w:r w:rsidRPr="00E350A1">
        <w:rPr>
          <w:rFonts w:ascii="Times New Roman" w:hAnsi="Times New Roman" w:cs="Times New Roman"/>
          <w:i/>
          <w:iCs/>
        </w:rPr>
        <w:t>OBM Geriatrics, 9</w:t>
      </w:r>
      <w:r w:rsidRPr="00E350A1">
        <w:rPr>
          <w:rFonts w:ascii="Times New Roman" w:hAnsi="Times New Roman" w:cs="Times New Roman"/>
        </w:rPr>
        <w:t xml:space="preserve">(4), 1-24. </w:t>
      </w:r>
      <w:hyperlink r:id="rId35" w:history="1">
        <w:r w:rsidRPr="00E350A1">
          <w:rPr>
            <w:rStyle w:val="Hyperlink"/>
            <w:rFonts w:ascii="Times New Roman" w:hAnsi="Times New Roman" w:cs="Times New Roman"/>
          </w:rPr>
          <w:t>https://doi.org/10.21926/obm.geriatr.2504329</w:t>
        </w:r>
      </w:hyperlink>
      <w:r w:rsidRPr="00E350A1">
        <w:rPr>
          <w:rFonts w:ascii="Times New Roman" w:hAnsi="Times New Roman" w:cs="Times New Roman"/>
        </w:rPr>
        <w:t xml:space="preserve"> </w:t>
      </w:r>
    </w:p>
    <w:p w14:paraId="64C9912A"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Khaw, K. T. (1997). Healthy aging. </w:t>
      </w:r>
      <w:proofErr w:type="spellStart"/>
      <w:r w:rsidRPr="00E350A1">
        <w:rPr>
          <w:rFonts w:ascii="Times New Roman" w:hAnsi="Times New Roman" w:cs="Times New Roman"/>
          <w:i/>
          <w:iCs/>
        </w:rPr>
        <w:t>Bmj</w:t>
      </w:r>
      <w:proofErr w:type="spellEnd"/>
      <w:r w:rsidRPr="00E350A1">
        <w:rPr>
          <w:rFonts w:ascii="Times New Roman" w:hAnsi="Times New Roman" w:cs="Times New Roman"/>
          <w:i/>
          <w:iCs/>
        </w:rPr>
        <w:t>, 315</w:t>
      </w:r>
      <w:r w:rsidRPr="00E350A1">
        <w:rPr>
          <w:rFonts w:ascii="Times New Roman" w:hAnsi="Times New Roman" w:cs="Times New Roman"/>
        </w:rPr>
        <w:t>(7115), 1090-1096.</w:t>
      </w:r>
    </w:p>
    <w:p w14:paraId="23D2D805"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Krause N. (2002). Church-based social support and health in old age: exploring variations by race. </w:t>
      </w:r>
      <w:r w:rsidRPr="00E350A1">
        <w:rPr>
          <w:rFonts w:ascii="Times New Roman" w:hAnsi="Times New Roman" w:cs="Times New Roman"/>
          <w:i/>
          <w:iCs/>
        </w:rPr>
        <w:t>The Journals of Gerontology. Series B, 57</w:t>
      </w:r>
      <w:r w:rsidRPr="00E350A1">
        <w:rPr>
          <w:rFonts w:ascii="Times New Roman" w:hAnsi="Times New Roman" w:cs="Times New Roman"/>
        </w:rPr>
        <w:t xml:space="preserve">(6), S332-S347. </w:t>
      </w:r>
      <w:hyperlink r:id="rId36" w:history="1">
        <w:r w:rsidRPr="00E350A1">
          <w:rPr>
            <w:rStyle w:val="Hyperlink"/>
            <w:rFonts w:ascii="Times New Roman" w:hAnsi="Times New Roman" w:cs="Times New Roman"/>
          </w:rPr>
          <w:t>https://doi.org/10.1093/geronb/57.6.s332</w:t>
        </w:r>
      </w:hyperlink>
      <w:r w:rsidRPr="00E350A1">
        <w:rPr>
          <w:rFonts w:ascii="Times New Roman" w:hAnsi="Times New Roman" w:cs="Times New Roman"/>
        </w:rPr>
        <w:t xml:space="preserve"> </w:t>
      </w:r>
    </w:p>
    <w:p w14:paraId="6AB5F089"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lastRenderedPageBreak/>
        <w:t xml:space="preserve">Lai, P. H. L. (2025). Asian Ethnic Group Differences in Formal and Informal Volunteerism Among Adults Aged 50 and Over in the United States. </w:t>
      </w:r>
      <w:r w:rsidRPr="00E350A1">
        <w:rPr>
          <w:rFonts w:ascii="Times New Roman" w:hAnsi="Times New Roman" w:cs="Times New Roman"/>
          <w:i/>
          <w:iCs/>
        </w:rPr>
        <w:t>Innovation in Aging, 9</w:t>
      </w:r>
      <w:r w:rsidRPr="00E350A1">
        <w:rPr>
          <w:rFonts w:ascii="Times New Roman" w:hAnsi="Times New Roman" w:cs="Times New Roman"/>
        </w:rPr>
        <w:t xml:space="preserve">(Suppl 2), igaf122-1075. </w:t>
      </w:r>
      <w:hyperlink r:id="rId37" w:history="1">
        <w:r w:rsidRPr="00E350A1">
          <w:rPr>
            <w:rStyle w:val="Hyperlink"/>
            <w:rFonts w:ascii="Times New Roman" w:hAnsi="Times New Roman" w:cs="Times New Roman"/>
          </w:rPr>
          <w:t>https://doi.org/10.1093/geroni/igaf122.1075</w:t>
        </w:r>
      </w:hyperlink>
    </w:p>
    <w:p w14:paraId="60D9A4DD"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Lai, P. H. L., Matz, C., and Halvorsen, C. (2021). Exploring Gender Differences in Volunteer Behavior Among Older Asian Americans. </w:t>
      </w:r>
      <w:r w:rsidRPr="00E350A1">
        <w:rPr>
          <w:rFonts w:ascii="Times New Roman" w:hAnsi="Times New Roman" w:cs="Times New Roman"/>
          <w:i/>
          <w:iCs/>
        </w:rPr>
        <w:t>Innovation in Aging, 5</w:t>
      </w:r>
      <w:r w:rsidRPr="00E350A1">
        <w:rPr>
          <w:rFonts w:ascii="Times New Roman" w:hAnsi="Times New Roman" w:cs="Times New Roman"/>
        </w:rPr>
        <w:t xml:space="preserve">(Suppl 1), 24-25. </w:t>
      </w:r>
      <w:hyperlink r:id="rId38" w:history="1">
        <w:r w:rsidRPr="00E350A1">
          <w:rPr>
            <w:rStyle w:val="Hyperlink"/>
            <w:rFonts w:ascii="Times New Roman" w:hAnsi="Times New Roman" w:cs="Times New Roman"/>
          </w:rPr>
          <w:t>https://doi.org/10.1093/geroni/igab046.086</w:t>
        </w:r>
      </w:hyperlink>
      <w:r w:rsidRPr="00E350A1">
        <w:rPr>
          <w:rFonts w:ascii="Times New Roman" w:hAnsi="Times New Roman" w:cs="Times New Roman"/>
        </w:rPr>
        <w:t xml:space="preserve"> </w:t>
      </w:r>
    </w:p>
    <w:p w14:paraId="18969E1C"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Lai, P. H. L., Matz, C., and Halvorsen, C. (2025). Formal and Informal Volunteerism in Mid-and Later-Life: Examining </w:t>
      </w:r>
      <w:proofErr w:type="spellStart"/>
      <w:r w:rsidRPr="00E350A1">
        <w:rPr>
          <w:rFonts w:ascii="Times New Roman" w:hAnsi="Times New Roman" w:cs="Times New Roman"/>
        </w:rPr>
        <w:t>Ethnoracial</w:t>
      </w:r>
      <w:proofErr w:type="spellEnd"/>
      <w:r w:rsidRPr="00E350A1">
        <w:rPr>
          <w:rFonts w:ascii="Times New Roman" w:hAnsi="Times New Roman" w:cs="Times New Roman"/>
        </w:rPr>
        <w:t xml:space="preserve"> Differences Among Asian Americans and Other Groups. </w:t>
      </w:r>
      <w:r w:rsidRPr="00E350A1">
        <w:rPr>
          <w:rFonts w:ascii="Times New Roman" w:hAnsi="Times New Roman" w:cs="Times New Roman"/>
          <w:i/>
          <w:iCs/>
        </w:rPr>
        <w:t>Journal of Applied Gerontology</w:t>
      </w:r>
      <w:r w:rsidRPr="00E350A1">
        <w:rPr>
          <w:rFonts w:ascii="Times New Roman" w:hAnsi="Times New Roman" w:cs="Times New Roman"/>
        </w:rPr>
        <w:t xml:space="preserve">. </w:t>
      </w:r>
      <w:hyperlink r:id="rId39" w:history="1">
        <w:r w:rsidRPr="00E350A1">
          <w:rPr>
            <w:rStyle w:val="Hyperlink"/>
            <w:rFonts w:ascii="Times New Roman" w:hAnsi="Times New Roman" w:cs="Times New Roman"/>
          </w:rPr>
          <w:t>https://doi.org/10.1177/07334648251398891</w:t>
        </w:r>
      </w:hyperlink>
      <w:r w:rsidRPr="00E350A1">
        <w:rPr>
          <w:rFonts w:ascii="Times New Roman" w:hAnsi="Times New Roman" w:cs="Times New Roman"/>
        </w:rPr>
        <w:t xml:space="preserve"> </w:t>
      </w:r>
    </w:p>
    <w:p w14:paraId="653C5A42"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Lamont, M., and Molnár, V. (2002). The study of boundaries in the social sciences. </w:t>
      </w:r>
      <w:r w:rsidRPr="00E350A1">
        <w:rPr>
          <w:rFonts w:ascii="Times New Roman" w:hAnsi="Times New Roman" w:cs="Times New Roman"/>
          <w:i/>
          <w:iCs/>
        </w:rPr>
        <w:t>Annual Review of Sociology, 28</w:t>
      </w:r>
      <w:r w:rsidRPr="00E350A1">
        <w:rPr>
          <w:rFonts w:ascii="Times New Roman" w:hAnsi="Times New Roman" w:cs="Times New Roman"/>
        </w:rPr>
        <w:t xml:space="preserve">, 167-195. </w:t>
      </w:r>
      <w:hyperlink r:id="rId40" w:history="1">
        <w:r w:rsidRPr="00E350A1">
          <w:rPr>
            <w:rStyle w:val="Hyperlink"/>
            <w:rFonts w:ascii="Times New Roman" w:hAnsi="Times New Roman" w:cs="Times New Roman"/>
          </w:rPr>
          <w:t>https://doi.org/10.1146/annurev.soc.28.110601.141107</w:t>
        </w:r>
      </w:hyperlink>
      <w:r w:rsidRPr="00E350A1">
        <w:rPr>
          <w:rFonts w:ascii="Times New Roman" w:hAnsi="Times New Roman" w:cs="Times New Roman"/>
        </w:rPr>
        <w:t xml:space="preserve"> </w:t>
      </w:r>
    </w:p>
    <w:p w14:paraId="575F77C2"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Lee, Y. J., and Moon, S. G. (2011). Mainstream and ethnic volunteering by Korean immigrants in the United States. </w:t>
      </w:r>
      <w:proofErr w:type="spellStart"/>
      <w:r w:rsidRPr="00E350A1">
        <w:rPr>
          <w:rFonts w:ascii="Times New Roman" w:hAnsi="Times New Roman" w:cs="Times New Roman"/>
        </w:rPr>
        <w:t>Voluntas</w:t>
      </w:r>
      <w:proofErr w:type="spellEnd"/>
      <w:r w:rsidRPr="00E350A1">
        <w:rPr>
          <w:rFonts w:ascii="Times New Roman" w:hAnsi="Times New Roman" w:cs="Times New Roman"/>
        </w:rPr>
        <w:t xml:space="preserve">: </w:t>
      </w:r>
      <w:r w:rsidRPr="00E350A1">
        <w:rPr>
          <w:rFonts w:ascii="Times New Roman" w:hAnsi="Times New Roman" w:cs="Times New Roman"/>
          <w:i/>
          <w:iCs/>
        </w:rPr>
        <w:t>International Journal of Voluntary and Nonprofit Organizations, 22</w:t>
      </w:r>
      <w:r w:rsidRPr="00E350A1">
        <w:rPr>
          <w:rFonts w:ascii="Times New Roman" w:hAnsi="Times New Roman" w:cs="Times New Roman"/>
        </w:rPr>
        <w:t xml:space="preserve">(4), 811-830. </w:t>
      </w:r>
      <w:hyperlink r:id="rId41" w:history="1">
        <w:r w:rsidRPr="00E350A1">
          <w:rPr>
            <w:rStyle w:val="Hyperlink"/>
            <w:rFonts w:ascii="Times New Roman" w:hAnsi="Times New Roman" w:cs="Times New Roman"/>
          </w:rPr>
          <w:t>https://doi.org/10.1007/s11266-010-9176-y</w:t>
        </w:r>
      </w:hyperlink>
      <w:r w:rsidRPr="00E350A1">
        <w:rPr>
          <w:rFonts w:ascii="Times New Roman" w:hAnsi="Times New Roman" w:cs="Times New Roman"/>
        </w:rPr>
        <w:t xml:space="preserve"> </w:t>
      </w:r>
    </w:p>
    <w:p w14:paraId="048228E5"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Lu, P., Xu, C., and Shelley, M. (2021). A state-of-the-art review of the socio-ecological correlates of volunteerism among older adults. </w:t>
      </w:r>
      <w:r w:rsidRPr="00E350A1">
        <w:rPr>
          <w:rFonts w:ascii="Times New Roman" w:hAnsi="Times New Roman" w:cs="Times New Roman"/>
          <w:i/>
          <w:iCs/>
        </w:rPr>
        <w:t>Ageing &amp; Society, 41</w:t>
      </w:r>
      <w:r w:rsidRPr="00E350A1">
        <w:rPr>
          <w:rFonts w:ascii="Times New Roman" w:hAnsi="Times New Roman" w:cs="Times New Roman"/>
        </w:rPr>
        <w:t xml:space="preserve">(8), 1833–1857. </w:t>
      </w:r>
      <w:hyperlink r:id="rId42" w:history="1">
        <w:r w:rsidRPr="00E350A1">
          <w:rPr>
            <w:rStyle w:val="Hyperlink"/>
            <w:rFonts w:ascii="Times New Roman" w:hAnsi="Times New Roman" w:cs="Times New Roman"/>
          </w:rPr>
          <w:t>https://doi.org/10.1017/S0144686X20000082</w:t>
        </w:r>
      </w:hyperlink>
      <w:r w:rsidRPr="00E350A1">
        <w:rPr>
          <w:rFonts w:ascii="Times New Roman" w:hAnsi="Times New Roman" w:cs="Times New Roman"/>
        </w:rPr>
        <w:t xml:space="preserve"> </w:t>
      </w:r>
    </w:p>
    <w:p w14:paraId="10677D63"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Markus, H. R., and Kitayama, S. (1991). Culture and the self: Implications for cognition, emotion, and motivation. </w:t>
      </w:r>
      <w:r w:rsidRPr="00E350A1">
        <w:rPr>
          <w:rFonts w:ascii="Times New Roman" w:hAnsi="Times New Roman" w:cs="Times New Roman"/>
          <w:i/>
          <w:iCs/>
        </w:rPr>
        <w:t>Psychological Review, 98</w:t>
      </w:r>
      <w:r w:rsidRPr="00E350A1">
        <w:rPr>
          <w:rFonts w:ascii="Times New Roman" w:hAnsi="Times New Roman" w:cs="Times New Roman"/>
        </w:rPr>
        <w:t xml:space="preserve">(2), 224-253. </w:t>
      </w:r>
      <w:hyperlink r:id="rId43" w:history="1">
        <w:r w:rsidRPr="00E350A1">
          <w:rPr>
            <w:rStyle w:val="Hyperlink"/>
            <w:rFonts w:ascii="Times New Roman" w:hAnsi="Times New Roman" w:cs="Times New Roman"/>
          </w:rPr>
          <w:t>https://doi.org/10.1037/0033-295X.98.2.224</w:t>
        </w:r>
      </w:hyperlink>
      <w:r w:rsidRPr="00E350A1">
        <w:rPr>
          <w:rFonts w:ascii="Times New Roman" w:hAnsi="Times New Roman" w:cs="Times New Roman"/>
        </w:rPr>
        <w:t xml:space="preserve"> </w:t>
      </w:r>
    </w:p>
    <w:p w14:paraId="6D41E82C" w14:textId="77777777" w:rsidR="00D30350" w:rsidRPr="00E350A1" w:rsidRDefault="00D30350" w:rsidP="00D30350">
      <w:pPr>
        <w:spacing w:before="120" w:after="120" w:line="276" w:lineRule="auto"/>
        <w:ind w:left="720" w:hanging="720"/>
        <w:rPr>
          <w:rFonts w:ascii="Times New Roman" w:eastAsia="Times New Roman" w:hAnsi="Times New Roman" w:cs="Times New Roman"/>
        </w:rPr>
      </w:pPr>
      <w:r w:rsidRPr="00E350A1">
        <w:rPr>
          <w:rFonts w:ascii="Times New Roman" w:eastAsia="Times New Roman" w:hAnsi="Times New Roman" w:cs="Times New Roman"/>
        </w:rPr>
        <w:t xml:space="preserve">McNamara, T. K., and Gonzales, E. (2011). Volunteer transitions among older adults: The role of human, social, and cultural capital in later life. </w:t>
      </w:r>
      <w:r w:rsidRPr="00E350A1">
        <w:rPr>
          <w:rFonts w:ascii="Times New Roman" w:eastAsia="Times New Roman" w:hAnsi="Times New Roman" w:cs="Times New Roman"/>
          <w:i/>
          <w:iCs/>
        </w:rPr>
        <w:t>Journals of Gerontology Series B: Psychological Sciences and Social Sciences, 66</w:t>
      </w:r>
      <w:r w:rsidRPr="00E350A1">
        <w:rPr>
          <w:rFonts w:ascii="Times New Roman" w:eastAsia="Times New Roman" w:hAnsi="Times New Roman" w:cs="Times New Roman"/>
        </w:rPr>
        <w:t>(4), 490-501.</w:t>
      </w:r>
    </w:p>
    <w:p w14:paraId="1474DC71"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Mjelde-Mossey, L., and Chi, I. (2004). Gender differences in formal and informal volunteering in later life. </w:t>
      </w:r>
      <w:r w:rsidRPr="00E350A1">
        <w:rPr>
          <w:rFonts w:ascii="Times New Roman" w:hAnsi="Times New Roman" w:cs="Times New Roman"/>
          <w:i/>
          <w:iCs/>
        </w:rPr>
        <w:t>Journal of Ethnic and Cultural Diversity in Social Work, 13</w:t>
      </w:r>
      <w:r w:rsidRPr="00E350A1">
        <w:rPr>
          <w:rFonts w:ascii="Times New Roman" w:hAnsi="Times New Roman" w:cs="Times New Roman"/>
        </w:rPr>
        <w:t xml:space="preserve">(4), 47-64. </w:t>
      </w:r>
      <w:hyperlink r:id="rId44" w:history="1">
        <w:r w:rsidRPr="00E350A1">
          <w:rPr>
            <w:rStyle w:val="Hyperlink"/>
            <w:rFonts w:ascii="Times New Roman" w:hAnsi="Times New Roman" w:cs="Times New Roman"/>
          </w:rPr>
          <w:t>https://doi.org/10.1300/J051v13n04_03</w:t>
        </w:r>
      </w:hyperlink>
      <w:r w:rsidRPr="00E350A1">
        <w:rPr>
          <w:rFonts w:ascii="Times New Roman" w:hAnsi="Times New Roman" w:cs="Times New Roman"/>
        </w:rPr>
        <w:t xml:space="preserve"> </w:t>
      </w:r>
    </w:p>
    <w:p w14:paraId="6239A9A6"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Morrow-Howell, N., Hinterlong, J., and Sherraden, M. (Eds.). (2001). </w:t>
      </w:r>
      <w:r w:rsidRPr="00E350A1">
        <w:rPr>
          <w:rFonts w:ascii="Times New Roman" w:hAnsi="Times New Roman" w:cs="Times New Roman"/>
          <w:i/>
          <w:iCs/>
        </w:rPr>
        <w:t>Productive aging: Concepts and challenges</w:t>
      </w:r>
      <w:r w:rsidRPr="00E350A1">
        <w:rPr>
          <w:rFonts w:ascii="Times New Roman" w:hAnsi="Times New Roman" w:cs="Times New Roman"/>
        </w:rPr>
        <w:t>. JHU Press.</w:t>
      </w:r>
    </w:p>
    <w:p w14:paraId="592E33E6"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Munn, Z., Peters, M. D., Stern, C., Tufanaru, C., McArthur, A., and </w:t>
      </w:r>
      <w:proofErr w:type="spellStart"/>
      <w:r w:rsidRPr="00E350A1">
        <w:rPr>
          <w:rFonts w:ascii="Times New Roman" w:hAnsi="Times New Roman" w:cs="Times New Roman"/>
        </w:rPr>
        <w:t>Aromataris</w:t>
      </w:r>
      <w:proofErr w:type="spellEnd"/>
      <w:r w:rsidRPr="00E350A1">
        <w:rPr>
          <w:rFonts w:ascii="Times New Roman" w:hAnsi="Times New Roman" w:cs="Times New Roman"/>
        </w:rPr>
        <w:t xml:space="preserve">, E. (2018). Systematic review or scoping review? Guidance for authors when choosing between a systematic or scoping review approach. </w:t>
      </w:r>
      <w:r w:rsidRPr="00E350A1">
        <w:rPr>
          <w:rFonts w:ascii="Times New Roman" w:hAnsi="Times New Roman" w:cs="Times New Roman"/>
          <w:i/>
          <w:iCs/>
        </w:rPr>
        <w:t>BMC medical research methodology, 18</w:t>
      </w:r>
      <w:r w:rsidRPr="00E350A1">
        <w:rPr>
          <w:rFonts w:ascii="Times New Roman" w:hAnsi="Times New Roman" w:cs="Times New Roman"/>
        </w:rPr>
        <w:t xml:space="preserve">(1), 143. </w:t>
      </w:r>
      <w:hyperlink r:id="rId45" w:history="1">
        <w:r w:rsidRPr="00E350A1">
          <w:rPr>
            <w:rStyle w:val="Hyperlink"/>
            <w:rFonts w:ascii="Times New Roman" w:hAnsi="Times New Roman" w:cs="Times New Roman"/>
          </w:rPr>
          <w:t>https://doi.org/10.1186/s12874-018-0611-x</w:t>
        </w:r>
      </w:hyperlink>
      <w:r w:rsidRPr="00E350A1">
        <w:rPr>
          <w:rFonts w:ascii="Times New Roman" w:hAnsi="Times New Roman" w:cs="Times New Roman"/>
        </w:rPr>
        <w:t xml:space="preserve"> </w:t>
      </w:r>
    </w:p>
    <w:p w14:paraId="5C89DC4A"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Musick, M. A., Wilson, J., and Bynum, W. B. (2000). Race and formal volunteering: The differential effects of class and religion. </w:t>
      </w:r>
      <w:r w:rsidRPr="00E350A1">
        <w:rPr>
          <w:rFonts w:ascii="Times New Roman" w:hAnsi="Times New Roman" w:cs="Times New Roman"/>
          <w:i/>
          <w:iCs/>
        </w:rPr>
        <w:t>Social Forces, 78</w:t>
      </w:r>
      <w:r w:rsidRPr="00E350A1">
        <w:rPr>
          <w:rFonts w:ascii="Times New Roman" w:hAnsi="Times New Roman" w:cs="Times New Roman"/>
        </w:rPr>
        <w:t xml:space="preserve">(4), 1539-1570. </w:t>
      </w:r>
      <w:hyperlink r:id="rId46" w:history="1">
        <w:r w:rsidRPr="00E350A1">
          <w:rPr>
            <w:rStyle w:val="Hyperlink"/>
            <w:rFonts w:ascii="Times New Roman" w:hAnsi="Times New Roman" w:cs="Times New Roman"/>
          </w:rPr>
          <w:t>https://doi.org/10.1093/sf/78.4.1539</w:t>
        </w:r>
      </w:hyperlink>
      <w:r w:rsidRPr="00E350A1">
        <w:rPr>
          <w:rFonts w:ascii="Times New Roman" w:hAnsi="Times New Roman" w:cs="Times New Roman"/>
        </w:rPr>
        <w:t xml:space="preserve"> </w:t>
      </w:r>
    </w:p>
    <w:p w14:paraId="2FD4E5A4"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Musick, M. A., and Wilson, J. (2008). </w:t>
      </w:r>
      <w:r w:rsidRPr="00E350A1">
        <w:rPr>
          <w:rFonts w:ascii="Times New Roman" w:hAnsi="Times New Roman" w:cs="Times New Roman"/>
          <w:i/>
          <w:iCs/>
        </w:rPr>
        <w:t>Volunteers: A social profile</w:t>
      </w:r>
      <w:r w:rsidRPr="00E350A1">
        <w:rPr>
          <w:rFonts w:ascii="Times New Roman" w:hAnsi="Times New Roman" w:cs="Times New Roman"/>
        </w:rPr>
        <w:t>. Indiana University Press.</w:t>
      </w:r>
    </w:p>
    <w:p w14:paraId="157A877E"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lastRenderedPageBreak/>
        <w:t xml:space="preserve">Neller, S. A., McFarland, M. M., Edelman, L. S., and Towsley, G. L. (2023). Leaving </w:t>
      </w:r>
      <w:proofErr w:type="gramStart"/>
      <w:r w:rsidRPr="00E350A1">
        <w:rPr>
          <w:rFonts w:ascii="Times New Roman" w:hAnsi="Times New Roman" w:cs="Times New Roman"/>
        </w:rPr>
        <w:t>a lasting legacy</w:t>
      </w:r>
      <w:proofErr w:type="gramEnd"/>
      <w:r w:rsidRPr="00E350A1">
        <w:rPr>
          <w:rFonts w:ascii="Times New Roman" w:hAnsi="Times New Roman" w:cs="Times New Roman"/>
        </w:rPr>
        <w:t xml:space="preserve">: A scoping review of ethical wills. </w:t>
      </w:r>
      <w:r w:rsidRPr="00E350A1">
        <w:rPr>
          <w:rFonts w:ascii="Times New Roman" w:hAnsi="Times New Roman" w:cs="Times New Roman"/>
          <w:i/>
          <w:iCs/>
        </w:rPr>
        <w:t>Palliative &amp; Supportive Care, 21</w:t>
      </w:r>
      <w:r w:rsidRPr="00E350A1">
        <w:rPr>
          <w:rFonts w:ascii="Times New Roman" w:hAnsi="Times New Roman" w:cs="Times New Roman"/>
        </w:rPr>
        <w:t xml:space="preserve">(1), 127–145. </w:t>
      </w:r>
      <w:hyperlink r:id="rId47" w:history="1">
        <w:r w:rsidRPr="00E350A1">
          <w:rPr>
            <w:rStyle w:val="Hyperlink"/>
            <w:rFonts w:ascii="Times New Roman" w:hAnsi="Times New Roman" w:cs="Times New Roman"/>
          </w:rPr>
          <w:t>https://doi.org/10.1017/S1478951522000451</w:t>
        </w:r>
      </w:hyperlink>
      <w:r w:rsidRPr="00E350A1">
        <w:rPr>
          <w:rFonts w:ascii="Times New Roman" w:hAnsi="Times New Roman" w:cs="Times New Roman"/>
        </w:rPr>
        <w:t xml:space="preserve"> </w:t>
      </w:r>
    </w:p>
    <w:p w14:paraId="18ACA81F" w14:textId="77777777" w:rsidR="00D30350" w:rsidRPr="00E350A1" w:rsidRDefault="00D30350" w:rsidP="00D30350">
      <w:pPr>
        <w:spacing w:after="120" w:line="276" w:lineRule="auto"/>
        <w:ind w:left="720" w:hanging="720"/>
        <w:rPr>
          <w:rFonts w:ascii="Times New Roman" w:hAnsi="Times New Roman" w:cs="Times New Roman"/>
        </w:rPr>
      </w:pPr>
      <w:proofErr w:type="spellStart"/>
      <w:r w:rsidRPr="00E350A1">
        <w:rPr>
          <w:rFonts w:ascii="Times New Roman" w:hAnsi="Times New Roman" w:cs="Times New Roman"/>
        </w:rPr>
        <w:t>Neugarten</w:t>
      </w:r>
      <w:proofErr w:type="spellEnd"/>
      <w:r w:rsidRPr="00E350A1">
        <w:rPr>
          <w:rFonts w:ascii="Times New Roman" w:hAnsi="Times New Roman" w:cs="Times New Roman"/>
        </w:rPr>
        <w:t xml:space="preserve">, B. L., Moore, J. W., and Lowe, J. C. (1965). Age norms, age constraints, and adult socialization. </w:t>
      </w:r>
      <w:r w:rsidRPr="00E350A1">
        <w:rPr>
          <w:rFonts w:ascii="Times New Roman" w:hAnsi="Times New Roman" w:cs="Times New Roman"/>
          <w:i/>
          <w:iCs/>
        </w:rPr>
        <w:t>American Journal of Sociology, 70</w:t>
      </w:r>
      <w:r w:rsidRPr="00E350A1">
        <w:rPr>
          <w:rFonts w:ascii="Times New Roman" w:hAnsi="Times New Roman" w:cs="Times New Roman"/>
        </w:rPr>
        <w:t xml:space="preserve">(6), 710-717. </w:t>
      </w:r>
      <w:hyperlink r:id="rId48" w:history="1">
        <w:r w:rsidRPr="00E350A1">
          <w:rPr>
            <w:rStyle w:val="Hyperlink"/>
            <w:rFonts w:ascii="Times New Roman" w:hAnsi="Times New Roman" w:cs="Times New Roman"/>
          </w:rPr>
          <w:t>https://doi.org/10.1086/223965</w:t>
        </w:r>
      </w:hyperlink>
      <w:r w:rsidRPr="00E350A1">
        <w:rPr>
          <w:rFonts w:ascii="Times New Roman" w:hAnsi="Times New Roman" w:cs="Times New Roman"/>
        </w:rPr>
        <w:t xml:space="preserve"> </w:t>
      </w:r>
    </w:p>
    <w:p w14:paraId="32BA5B58"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O’Dea, E., Wister, A., Li, L., Canham, S. L., and Mitchell, B. (2024). Volunteering among Older Adults and Effects of Ethnic Minority Status before and during the COVID-19 Pandemic: Longitudinal Analyses of the CLSA. </w:t>
      </w:r>
      <w:r w:rsidRPr="00E350A1">
        <w:rPr>
          <w:rFonts w:ascii="Times New Roman" w:hAnsi="Times New Roman" w:cs="Times New Roman"/>
          <w:i/>
          <w:iCs/>
        </w:rPr>
        <w:t xml:space="preserve">Canadian Journal on Aging / La Revue Canadienne Du </w:t>
      </w:r>
      <w:proofErr w:type="spellStart"/>
      <w:r w:rsidRPr="00E350A1">
        <w:rPr>
          <w:rFonts w:ascii="Times New Roman" w:hAnsi="Times New Roman" w:cs="Times New Roman"/>
          <w:i/>
          <w:iCs/>
        </w:rPr>
        <w:t>Vieillissement</w:t>
      </w:r>
      <w:proofErr w:type="spellEnd"/>
      <w:r w:rsidRPr="00E350A1">
        <w:rPr>
          <w:rFonts w:ascii="Times New Roman" w:hAnsi="Times New Roman" w:cs="Times New Roman"/>
          <w:i/>
          <w:iCs/>
        </w:rPr>
        <w:t>, 43</w:t>
      </w:r>
      <w:r w:rsidRPr="00E350A1">
        <w:rPr>
          <w:rFonts w:ascii="Times New Roman" w:hAnsi="Times New Roman" w:cs="Times New Roman"/>
        </w:rPr>
        <w:t xml:space="preserve">(4), 599–610. </w:t>
      </w:r>
      <w:hyperlink r:id="rId49" w:history="1">
        <w:r w:rsidRPr="00E350A1">
          <w:rPr>
            <w:rStyle w:val="Hyperlink"/>
            <w:rFonts w:ascii="Times New Roman" w:hAnsi="Times New Roman" w:cs="Times New Roman"/>
          </w:rPr>
          <w:t>https://doi.org/10.1017/S0714980824000229</w:t>
        </w:r>
      </w:hyperlink>
      <w:r w:rsidRPr="00E350A1">
        <w:rPr>
          <w:rFonts w:ascii="Times New Roman" w:hAnsi="Times New Roman" w:cs="Times New Roman"/>
        </w:rPr>
        <w:t xml:space="preserve"> </w:t>
      </w:r>
    </w:p>
    <w:p w14:paraId="324F0DA5"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Pargament, K. I. (1997). </w:t>
      </w:r>
      <w:r w:rsidRPr="00E350A1">
        <w:rPr>
          <w:rFonts w:ascii="Times New Roman" w:hAnsi="Times New Roman" w:cs="Times New Roman"/>
          <w:i/>
          <w:iCs/>
        </w:rPr>
        <w:t>The psychology of religion and coping: Theory, research, practice</w:t>
      </w:r>
      <w:r w:rsidRPr="00E350A1">
        <w:rPr>
          <w:rFonts w:ascii="Times New Roman" w:hAnsi="Times New Roman" w:cs="Times New Roman"/>
        </w:rPr>
        <w:t>. Guilford Press.</w:t>
      </w:r>
    </w:p>
    <w:p w14:paraId="1DCB4225"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Park, C. L. (2005). Religion as a meaning‐making framework in coping with life stress. </w:t>
      </w:r>
      <w:r w:rsidRPr="00E350A1">
        <w:rPr>
          <w:rFonts w:ascii="Times New Roman" w:hAnsi="Times New Roman" w:cs="Times New Roman"/>
          <w:i/>
          <w:iCs/>
        </w:rPr>
        <w:t>Journal of social issues, 61</w:t>
      </w:r>
      <w:r w:rsidRPr="00E350A1">
        <w:rPr>
          <w:rFonts w:ascii="Times New Roman" w:hAnsi="Times New Roman" w:cs="Times New Roman"/>
        </w:rPr>
        <w:t xml:space="preserve">(4), 707-729. </w:t>
      </w:r>
      <w:hyperlink r:id="rId50" w:history="1">
        <w:r w:rsidRPr="00E350A1">
          <w:rPr>
            <w:rStyle w:val="Hyperlink"/>
            <w:rFonts w:ascii="Times New Roman" w:hAnsi="Times New Roman" w:cs="Times New Roman"/>
          </w:rPr>
          <w:t>https://doi.org/10.1111/j.1540-4560.2005.00428.x</w:t>
        </w:r>
      </w:hyperlink>
      <w:r w:rsidRPr="00E350A1">
        <w:rPr>
          <w:rFonts w:ascii="Times New Roman" w:hAnsi="Times New Roman" w:cs="Times New Roman"/>
        </w:rPr>
        <w:t xml:space="preserve">  </w:t>
      </w:r>
    </w:p>
    <w:p w14:paraId="19B538B2"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Price, A. E. (2022). New insights into the benefits of different modes of physical activity for older women. </w:t>
      </w:r>
      <w:r w:rsidRPr="00E350A1">
        <w:rPr>
          <w:rFonts w:ascii="Times New Roman" w:hAnsi="Times New Roman" w:cs="Times New Roman"/>
          <w:i/>
          <w:iCs/>
        </w:rPr>
        <w:t>Journal of Women and Aging, 34</w:t>
      </w:r>
      <w:r w:rsidRPr="00E350A1">
        <w:rPr>
          <w:rFonts w:ascii="Times New Roman" w:hAnsi="Times New Roman" w:cs="Times New Roman"/>
        </w:rPr>
        <w:t xml:space="preserve">(4), 413-414. </w:t>
      </w:r>
      <w:hyperlink r:id="rId51" w:history="1">
        <w:r w:rsidRPr="00E350A1">
          <w:rPr>
            <w:rStyle w:val="Hyperlink"/>
            <w:rFonts w:ascii="Times New Roman" w:hAnsi="Times New Roman" w:cs="Times New Roman"/>
          </w:rPr>
          <w:t>https://doi.org/10.1080/08952841.2022.2095965</w:t>
        </w:r>
      </w:hyperlink>
      <w:r w:rsidRPr="00E350A1">
        <w:rPr>
          <w:rFonts w:ascii="Times New Roman" w:hAnsi="Times New Roman" w:cs="Times New Roman"/>
        </w:rPr>
        <w:t xml:space="preserve"> </w:t>
      </w:r>
    </w:p>
    <w:p w14:paraId="584CC16E"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Principi, A., Jensen, P. H., and Lamura, G. (Eds.). (2014). </w:t>
      </w:r>
      <w:r w:rsidRPr="00E350A1">
        <w:rPr>
          <w:rFonts w:ascii="Times New Roman" w:hAnsi="Times New Roman" w:cs="Times New Roman"/>
          <w:i/>
          <w:iCs/>
        </w:rPr>
        <w:t>Active ageing: Voluntary work by older people in Europe</w:t>
      </w:r>
      <w:r w:rsidRPr="00E350A1">
        <w:rPr>
          <w:rFonts w:ascii="Times New Roman" w:hAnsi="Times New Roman" w:cs="Times New Roman"/>
        </w:rPr>
        <w:t xml:space="preserve">. Policy Press. </w:t>
      </w:r>
      <w:hyperlink r:id="rId52" w:history="1">
        <w:r w:rsidRPr="00E350A1">
          <w:rPr>
            <w:rStyle w:val="Hyperlink"/>
            <w:rFonts w:ascii="Times New Roman" w:hAnsi="Times New Roman" w:cs="Times New Roman"/>
          </w:rPr>
          <w:t>https://doi.org/10.1332/policypress/9781447307204.001.0001</w:t>
        </w:r>
      </w:hyperlink>
      <w:r w:rsidRPr="00E350A1">
        <w:rPr>
          <w:rFonts w:ascii="Times New Roman" w:hAnsi="Times New Roman" w:cs="Times New Roman"/>
        </w:rPr>
        <w:t xml:space="preserve"> </w:t>
      </w:r>
    </w:p>
    <w:p w14:paraId="13A57EB7"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Putnam, R. D. (2000). </w:t>
      </w:r>
      <w:r w:rsidRPr="00E350A1">
        <w:rPr>
          <w:rFonts w:ascii="Times New Roman" w:hAnsi="Times New Roman" w:cs="Times New Roman"/>
          <w:i/>
          <w:iCs/>
        </w:rPr>
        <w:t>Bowling alone: The collapse and revival of American community</w:t>
      </w:r>
      <w:r w:rsidRPr="00E350A1">
        <w:rPr>
          <w:rFonts w:ascii="Times New Roman" w:hAnsi="Times New Roman" w:cs="Times New Roman"/>
        </w:rPr>
        <w:t xml:space="preserve">. Simon and Schuster. </w:t>
      </w:r>
      <w:hyperlink r:id="rId53" w:history="1">
        <w:r w:rsidRPr="00E350A1">
          <w:rPr>
            <w:rStyle w:val="Hyperlink"/>
            <w:rFonts w:ascii="Times New Roman" w:hAnsi="Times New Roman" w:cs="Times New Roman"/>
          </w:rPr>
          <w:t>https://doi.org/10.1145/358916.361990</w:t>
        </w:r>
      </w:hyperlink>
      <w:r w:rsidRPr="00E350A1">
        <w:rPr>
          <w:rFonts w:ascii="Times New Roman" w:hAnsi="Times New Roman" w:cs="Times New Roman"/>
        </w:rPr>
        <w:t xml:space="preserve"> </w:t>
      </w:r>
    </w:p>
    <w:p w14:paraId="4EFAFF95"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Randall, N., Joshi, S., Kamino, W., Hsu, L. J., Agnihotri, A., Li, G., ... and </w:t>
      </w:r>
      <w:proofErr w:type="spellStart"/>
      <w:r w:rsidRPr="00E350A1">
        <w:rPr>
          <w:rFonts w:ascii="Times New Roman" w:hAnsi="Times New Roman" w:cs="Times New Roman"/>
        </w:rPr>
        <w:t>Šabanović</w:t>
      </w:r>
      <w:proofErr w:type="spellEnd"/>
      <w:r w:rsidRPr="00E350A1">
        <w:rPr>
          <w:rFonts w:ascii="Times New Roman" w:hAnsi="Times New Roman" w:cs="Times New Roman"/>
        </w:rPr>
        <w:t xml:space="preserve">, S. (2022). Finding ikigai: How robots can support meaning in later life. </w:t>
      </w:r>
      <w:r w:rsidRPr="00E350A1">
        <w:rPr>
          <w:rFonts w:ascii="Times New Roman" w:hAnsi="Times New Roman" w:cs="Times New Roman"/>
          <w:i/>
          <w:iCs/>
        </w:rPr>
        <w:t>Frontiers in Robotics and AI, 9</w:t>
      </w:r>
      <w:r w:rsidRPr="00E350A1">
        <w:rPr>
          <w:rFonts w:ascii="Times New Roman" w:hAnsi="Times New Roman" w:cs="Times New Roman"/>
        </w:rPr>
        <w:t xml:space="preserve">, 1011327. </w:t>
      </w:r>
      <w:hyperlink r:id="rId54" w:history="1">
        <w:r w:rsidRPr="00E350A1">
          <w:rPr>
            <w:rStyle w:val="Hyperlink"/>
            <w:rFonts w:ascii="Times New Roman" w:hAnsi="Times New Roman" w:cs="Times New Roman"/>
          </w:rPr>
          <w:t>https://doi.org/10.3389/frobt.2022.1011327</w:t>
        </w:r>
      </w:hyperlink>
      <w:r w:rsidRPr="00E350A1">
        <w:rPr>
          <w:rFonts w:ascii="Times New Roman" w:hAnsi="Times New Roman" w:cs="Times New Roman"/>
        </w:rPr>
        <w:t xml:space="preserve"> </w:t>
      </w:r>
    </w:p>
    <w:p w14:paraId="0E2BCD73"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Riley, M. W., Johnson, M., and Foner, A. (1972). </w:t>
      </w:r>
      <w:r w:rsidRPr="00E350A1">
        <w:rPr>
          <w:rFonts w:ascii="Times New Roman" w:hAnsi="Times New Roman" w:cs="Times New Roman"/>
          <w:i/>
          <w:iCs/>
        </w:rPr>
        <w:t>Aging and society. Volume 3: A sociology of age stratification</w:t>
      </w:r>
      <w:r w:rsidRPr="00E350A1">
        <w:rPr>
          <w:rFonts w:ascii="Times New Roman" w:hAnsi="Times New Roman" w:cs="Times New Roman"/>
        </w:rPr>
        <w:t>. Russell Sage Foundation.</w:t>
      </w:r>
    </w:p>
    <w:p w14:paraId="417571D8"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Rochester, C., Paine, A. E., Howlett, S., and </w:t>
      </w:r>
      <w:proofErr w:type="spellStart"/>
      <w:r w:rsidRPr="00E350A1">
        <w:rPr>
          <w:rFonts w:ascii="Times New Roman" w:hAnsi="Times New Roman" w:cs="Times New Roman"/>
        </w:rPr>
        <w:t>Zimmeck</w:t>
      </w:r>
      <w:proofErr w:type="spellEnd"/>
      <w:r w:rsidRPr="00E350A1">
        <w:rPr>
          <w:rFonts w:ascii="Times New Roman" w:hAnsi="Times New Roman" w:cs="Times New Roman"/>
        </w:rPr>
        <w:t xml:space="preserve">, M. (2010). Making Sense of Volunteering: Perspectives, principles and definitions. In C. Rochester, A. E. Paine, and S. Howlett (Eds.), </w:t>
      </w:r>
      <w:r w:rsidRPr="00E350A1">
        <w:rPr>
          <w:rFonts w:ascii="Times New Roman" w:hAnsi="Times New Roman" w:cs="Times New Roman"/>
          <w:i/>
          <w:iCs/>
        </w:rPr>
        <w:t>Volunteering and Society in the 21st Century</w:t>
      </w:r>
      <w:r w:rsidRPr="00E350A1">
        <w:rPr>
          <w:rFonts w:ascii="Times New Roman" w:hAnsi="Times New Roman" w:cs="Times New Roman"/>
        </w:rPr>
        <w:t xml:space="preserve"> (pp. 9–23). Palgrave Macmillan UK. </w:t>
      </w:r>
      <w:hyperlink r:id="rId55" w:history="1">
        <w:r w:rsidRPr="00E350A1">
          <w:rPr>
            <w:rStyle w:val="Hyperlink"/>
            <w:rFonts w:ascii="Times New Roman" w:hAnsi="Times New Roman" w:cs="Times New Roman"/>
          </w:rPr>
          <w:t>https://doi.org/10.1057/9780230279438_2</w:t>
        </w:r>
      </w:hyperlink>
      <w:r w:rsidRPr="00E350A1">
        <w:rPr>
          <w:rFonts w:ascii="Times New Roman" w:hAnsi="Times New Roman" w:cs="Times New Roman"/>
        </w:rPr>
        <w:t xml:space="preserve"> </w:t>
      </w:r>
    </w:p>
    <w:p w14:paraId="519D46BB"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Salamon, L. M., Sokolowski, S. W., and Haddock, M. A. (2011). </w:t>
      </w:r>
      <w:r w:rsidRPr="00E350A1">
        <w:rPr>
          <w:rFonts w:ascii="Times New Roman" w:hAnsi="Times New Roman" w:cs="Times New Roman"/>
          <w:i/>
          <w:iCs/>
        </w:rPr>
        <w:t>Measuring the economic value of volunteer work globally: Concepts, estimates, and a roadmap to the future</w:t>
      </w:r>
      <w:r w:rsidRPr="00E350A1">
        <w:rPr>
          <w:rFonts w:ascii="Times New Roman" w:hAnsi="Times New Roman" w:cs="Times New Roman"/>
        </w:rPr>
        <w:t xml:space="preserve">. Johns Hopkins University. </w:t>
      </w:r>
      <w:hyperlink r:id="rId56" w:history="1">
        <w:r w:rsidRPr="00E350A1">
          <w:rPr>
            <w:rStyle w:val="Hyperlink"/>
            <w:rFonts w:ascii="Times New Roman" w:hAnsi="Times New Roman" w:cs="Times New Roman"/>
          </w:rPr>
          <w:t>https://doi.org/10.1111/j.1467-8292.2011.00437.x</w:t>
        </w:r>
      </w:hyperlink>
      <w:r w:rsidRPr="00E350A1">
        <w:rPr>
          <w:rFonts w:ascii="Times New Roman" w:hAnsi="Times New Roman" w:cs="Times New Roman"/>
        </w:rPr>
        <w:t xml:space="preserve">  </w:t>
      </w:r>
    </w:p>
    <w:p w14:paraId="19AF56EB"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lastRenderedPageBreak/>
        <w:t xml:space="preserve">Schwartz, S. H. (1992). Universals in the content and structure of values. </w:t>
      </w:r>
      <w:r w:rsidRPr="00E350A1">
        <w:rPr>
          <w:rFonts w:ascii="Times New Roman" w:hAnsi="Times New Roman" w:cs="Times New Roman"/>
          <w:i/>
          <w:iCs/>
        </w:rPr>
        <w:t>Advances in Experimental Social Psychology, 25</w:t>
      </w:r>
      <w:r w:rsidRPr="00E350A1">
        <w:rPr>
          <w:rFonts w:ascii="Times New Roman" w:hAnsi="Times New Roman" w:cs="Times New Roman"/>
        </w:rPr>
        <w:t xml:space="preserve">, 1-65. </w:t>
      </w:r>
      <w:hyperlink r:id="rId57" w:history="1">
        <w:r w:rsidRPr="00E350A1">
          <w:rPr>
            <w:rStyle w:val="Hyperlink"/>
            <w:rFonts w:ascii="Times New Roman" w:hAnsi="Times New Roman" w:cs="Times New Roman"/>
          </w:rPr>
          <w:t>https://doi.org/10.1016/S0065-2601(08)60281-6</w:t>
        </w:r>
      </w:hyperlink>
      <w:r w:rsidRPr="00E350A1">
        <w:rPr>
          <w:rFonts w:ascii="Times New Roman" w:hAnsi="Times New Roman" w:cs="Times New Roman"/>
        </w:rPr>
        <w:t xml:space="preserve"> </w:t>
      </w:r>
    </w:p>
    <w:p w14:paraId="76A626D2"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Scott, W. R. (2014). </w:t>
      </w:r>
      <w:r w:rsidRPr="00E350A1">
        <w:rPr>
          <w:rFonts w:ascii="Times New Roman" w:hAnsi="Times New Roman" w:cs="Times New Roman"/>
          <w:i/>
          <w:iCs/>
        </w:rPr>
        <w:t>Institutions and organizations: Ideas, interests, and identities</w:t>
      </w:r>
      <w:r w:rsidRPr="00E350A1">
        <w:rPr>
          <w:rFonts w:ascii="Times New Roman" w:hAnsi="Times New Roman" w:cs="Times New Roman"/>
        </w:rPr>
        <w:t xml:space="preserve"> (4th ed.). Sage. </w:t>
      </w:r>
      <w:hyperlink r:id="rId58" w:history="1">
        <w:r w:rsidRPr="00E350A1">
          <w:rPr>
            <w:rStyle w:val="Hyperlink"/>
            <w:rFonts w:ascii="Times New Roman" w:hAnsi="Times New Roman" w:cs="Times New Roman"/>
          </w:rPr>
          <w:t>https://doi.org/10.1007/978-0-306-48247-2_4</w:t>
        </w:r>
      </w:hyperlink>
      <w:r w:rsidRPr="00E350A1">
        <w:rPr>
          <w:rFonts w:ascii="Times New Roman" w:hAnsi="Times New Roman" w:cs="Times New Roman"/>
        </w:rPr>
        <w:t xml:space="preserve"> </w:t>
      </w:r>
    </w:p>
    <w:p w14:paraId="5F2C41FE" w14:textId="77777777" w:rsidR="00D30350" w:rsidRPr="00E350A1" w:rsidRDefault="00D30350" w:rsidP="00D30350">
      <w:pPr>
        <w:spacing w:after="120" w:line="276" w:lineRule="auto"/>
        <w:ind w:left="720" w:hanging="720"/>
        <w:rPr>
          <w:rFonts w:ascii="Times New Roman" w:hAnsi="Times New Roman" w:cs="Times New Roman"/>
        </w:rPr>
      </w:pPr>
      <w:proofErr w:type="spellStart"/>
      <w:r w:rsidRPr="00E350A1">
        <w:rPr>
          <w:rFonts w:ascii="Times New Roman" w:hAnsi="Times New Roman" w:cs="Times New Roman"/>
        </w:rPr>
        <w:t>Settersten</w:t>
      </w:r>
      <w:proofErr w:type="spellEnd"/>
      <w:r w:rsidRPr="00E350A1">
        <w:rPr>
          <w:rFonts w:ascii="Times New Roman" w:hAnsi="Times New Roman" w:cs="Times New Roman"/>
        </w:rPr>
        <w:t xml:space="preserve"> Jr, R. A. (2003). </w:t>
      </w:r>
      <w:r w:rsidRPr="00E350A1">
        <w:rPr>
          <w:rFonts w:ascii="Times New Roman" w:hAnsi="Times New Roman" w:cs="Times New Roman"/>
          <w:i/>
          <w:iCs/>
        </w:rPr>
        <w:t>Age structuring and the rhythm of the life course</w:t>
      </w:r>
      <w:r w:rsidRPr="00E350A1">
        <w:rPr>
          <w:rFonts w:ascii="Times New Roman" w:hAnsi="Times New Roman" w:cs="Times New Roman"/>
        </w:rPr>
        <w:t xml:space="preserve">. In Handbook of the life course (pp. 81-98). Boston, MA: Springer US. </w:t>
      </w:r>
    </w:p>
    <w:p w14:paraId="3FECA948"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Shorey, S., Seow, J. S. L., Mahendran, R., Wee, G. H., Goh, L. G., and Kua, E. H. (2025). Peer Volunteers’ Journeys Through Training and Engagement in Older Adult Communities: Descriptive Qualitative Study. </w:t>
      </w:r>
      <w:r w:rsidRPr="00E350A1">
        <w:rPr>
          <w:rFonts w:ascii="Times New Roman" w:hAnsi="Times New Roman" w:cs="Times New Roman"/>
          <w:i/>
          <w:iCs/>
        </w:rPr>
        <w:t>JMIR Aging, 8</w:t>
      </w:r>
      <w:r w:rsidRPr="00E350A1">
        <w:rPr>
          <w:rFonts w:ascii="Times New Roman" w:hAnsi="Times New Roman" w:cs="Times New Roman"/>
        </w:rPr>
        <w:t xml:space="preserve">, e71810. </w:t>
      </w:r>
      <w:hyperlink r:id="rId59" w:history="1">
        <w:r w:rsidRPr="00E350A1">
          <w:rPr>
            <w:rStyle w:val="Hyperlink"/>
            <w:rFonts w:ascii="Times New Roman" w:hAnsi="Times New Roman" w:cs="Times New Roman"/>
          </w:rPr>
          <w:t>https://doi.org/doi:10.2196/71810</w:t>
        </w:r>
      </w:hyperlink>
      <w:r w:rsidRPr="00E350A1">
        <w:rPr>
          <w:rFonts w:ascii="Times New Roman" w:hAnsi="Times New Roman" w:cs="Times New Roman"/>
        </w:rPr>
        <w:t xml:space="preserve"> </w:t>
      </w:r>
    </w:p>
    <w:p w14:paraId="7526FA3B"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Small, M. L., Harding, D. J., and Lamont, M. (2010). Reconsidering culture and poverty. </w:t>
      </w:r>
      <w:r w:rsidRPr="00E350A1">
        <w:rPr>
          <w:rFonts w:ascii="Times New Roman" w:hAnsi="Times New Roman" w:cs="Times New Roman"/>
          <w:i/>
          <w:iCs/>
        </w:rPr>
        <w:t>The ANNALS of the American Academy of Political and Social Science, 629</w:t>
      </w:r>
      <w:r w:rsidRPr="00E350A1">
        <w:rPr>
          <w:rFonts w:ascii="Times New Roman" w:hAnsi="Times New Roman" w:cs="Times New Roman"/>
        </w:rPr>
        <w:t xml:space="preserve">(1), 6-27. </w:t>
      </w:r>
      <w:hyperlink r:id="rId60" w:history="1">
        <w:r w:rsidRPr="00E350A1">
          <w:rPr>
            <w:rStyle w:val="Hyperlink"/>
            <w:rFonts w:ascii="Times New Roman" w:hAnsi="Times New Roman" w:cs="Times New Roman"/>
          </w:rPr>
          <w:t>https://doi.org/10.1177/0002716210362077</w:t>
        </w:r>
      </w:hyperlink>
      <w:r w:rsidRPr="00E350A1">
        <w:rPr>
          <w:rFonts w:ascii="Times New Roman" w:hAnsi="Times New Roman" w:cs="Times New Roman"/>
        </w:rPr>
        <w:t xml:space="preserve"> </w:t>
      </w:r>
    </w:p>
    <w:p w14:paraId="735AA9C8"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Studer, S., and Von Schnurbein, G. (2012). Organizational factors affecting volunteers: A literature review on volunteer coordination. </w:t>
      </w:r>
      <w:proofErr w:type="spellStart"/>
      <w:r w:rsidRPr="00E350A1">
        <w:rPr>
          <w:rFonts w:ascii="Times New Roman" w:hAnsi="Times New Roman" w:cs="Times New Roman"/>
          <w:i/>
          <w:iCs/>
        </w:rPr>
        <w:t>Voluntas</w:t>
      </w:r>
      <w:proofErr w:type="spellEnd"/>
      <w:r w:rsidRPr="00E350A1">
        <w:rPr>
          <w:rFonts w:ascii="Times New Roman" w:hAnsi="Times New Roman" w:cs="Times New Roman"/>
          <w:i/>
          <w:iCs/>
        </w:rPr>
        <w:t>, 24</w:t>
      </w:r>
      <w:r w:rsidRPr="00E350A1">
        <w:rPr>
          <w:rFonts w:ascii="Times New Roman" w:hAnsi="Times New Roman" w:cs="Times New Roman"/>
        </w:rPr>
        <w:t xml:space="preserve">(2), 403-440. </w:t>
      </w:r>
      <w:hyperlink r:id="rId61" w:history="1">
        <w:r w:rsidRPr="00E350A1">
          <w:rPr>
            <w:rStyle w:val="Hyperlink"/>
            <w:rFonts w:ascii="Times New Roman" w:hAnsi="Times New Roman" w:cs="Times New Roman"/>
          </w:rPr>
          <w:t>https://doi.org/10.1007/s11266-012-9268-y</w:t>
        </w:r>
      </w:hyperlink>
      <w:r w:rsidRPr="00E350A1">
        <w:rPr>
          <w:rFonts w:ascii="Times New Roman" w:hAnsi="Times New Roman" w:cs="Times New Roman"/>
        </w:rPr>
        <w:t xml:space="preserve"> </w:t>
      </w:r>
    </w:p>
    <w:p w14:paraId="783063B3"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Swidler, A. (1986). Culture in action: Symbols and strategies. </w:t>
      </w:r>
      <w:r w:rsidRPr="00E350A1">
        <w:rPr>
          <w:rFonts w:ascii="Times New Roman" w:hAnsi="Times New Roman" w:cs="Times New Roman"/>
          <w:i/>
          <w:iCs/>
        </w:rPr>
        <w:t>American Sociological Review, 51</w:t>
      </w:r>
      <w:r w:rsidRPr="00E350A1">
        <w:rPr>
          <w:rFonts w:ascii="Times New Roman" w:hAnsi="Times New Roman" w:cs="Times New Roman"/>
        </w:rPr>
        <w:t xml:space="preserve">(2), 273-286. </w:t>
      </w:r>
      <w:hyperlink r:id="rId62" w:history="1">
        <w:r w:rsidRPr="00E350A1">
          <w:rPr>
            <w:rStyle w:val="Hyperlink"/>
            <w:rFonts w:ascii="Times New Roman" w:hAnsi="Times New Roman" w:cs="Times New Roman"/>
          </w:rPr>
          <w:t>https://doi.org/10.2307/2095521</w:t>
        </w:r>
      </w:hyperlink>
      <w:r w:rsidRPr="00E350A1">
        <w:rPr>
          <w:rFonts w:ascii="Times New Roman" w:hAnsi="Times New Roman" w:cs="Times New Roman"/>
        </w:rPr>
        <w:t xml:space="preserve"> </w:t>
      </w:r>
    </w:p>
    <w:p w14:paraId="736DC894"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Tajfel, H., and Turner, J. C. (2004). </w:t>
      </w:r>
      <w:r w:rsidRPr="00E350A1">
        <w:rPr>
          <w:rFonts w:ascii="Times New Roman" w:hAnsi="Times New Roman" w:cs="Times New Roman"/>
          <w:i/>
          <w:iCs/>
        </w:rPr>
        <w:t>The social identity theory of intergroup behavior</w:t>
      </w:r>
      <w:r w:rsidRPr="00E350A1">
        <w:rPr>
          <w:rFonts w:ascii="Times New Roman" w:hAnsi="Times New Roman" w:cs="Times New Roman"/>
        </w:rPr>
        <w:t xml:space="preserve">. In Political psychology (pp. 276-293). Psychology Press. </w:t>
      </w:r>
      <w:hyperlink r:id="rId63" w:history="1">
        <w:r w:rsidRPr="00E350A1">
          <w:rPr>
            <w:rStyle w:val="Hyperlink"/>
            <w:rFonts w:ascii="Times New Roman" w:hAnsi="Times New Roman" w:cs="Times New Roman"/>
          </w:rPr>
          <w:t>https://doi.org/10.4324/9780203505984-16</w:t>
        </w:r>
      </w:hyperlink>
      <w:r w:rsidRPr="00E350A1">
        <w:rPr>
          <w:rFonts w:ascii="Times New Roman" w:hAnsi="Times New Roman" w:cs="Times New Roman"/>
        </w:rPr>
        <w:t xml:space="preserve"> </w:t>
      </w:r>
    </w:p>
    <w:p w14:paraId="55B4CE06"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Treas, J., and Mazumdar, S. (2002). Older people in America’s immigrant families. </w:t>
      </w:r>
      <w:r w:rsidRPr="00E350A1">
        <w:rPr>
          <w:rFonts w:ascii="Times New Roman" w:hAnsi="Times New Roman" w:cs="Times New Roman"/>
          <w:i/>
          <w:iCs/>
        </w:rPr>
        <w:t>Journal of Aging Studies, 16</w:t>
      </w:r>
      <w:r w:rsidRPr="00E350A1">
        <w:rPr>
          <w:rFonts w:ascii="Times New Roman" w:hAnsi="Times New Roman" w:cs="Times New Roman"/>
        </w:rPr>
        <w:t xml:space="preserve">(3), 243-258. </w:t>
      </w:r>
      <w:hyperlink r:id="rId64" w:history="1">
        <w:r w:rsidRPr="00E350A1">
          <w:rPr>
            <w:rStyle w:val="Hyperlink"/>
            <w:rFonts w:ascii="Times New Roman" w:hAnsi="Times New Roman" w:cs="Times New Roman"/>
          </w:rPr>
          <w:t>https://doi.org/10.1016/S0890-4065(02)00048-8</w:t>
        </w:r>
      </w:hyperlink>
      <w:r w:rsidRPr="00E350A1">
        <w:rPr>
          <w:rFonts w:ascii="Times New Roman" w:hAnsi="Times New Roman" w:cs="Times New Roman"/>
        </w:rPr>
        <w:t xml:space="preserve"> </w:t>
      </w:r>
    </w:p>
    <w:p w14:paraId="1450AA8D" w14:textId="77777777" w:rsidR="00D30350" w:rsidRPr="00E350A1" w:rsidRDefault="00D30350" w:rsidP="00D30350">
      <w:pPr>
        <w:spacing w:after="120" w:line="276" w:lineRule="auto"/>
        <w:ind w:left="720" w:hanging="720"/>
        <w:rPr>
          <w:rFonts w:ascii="Times New Roman" w:hAnsi="Times New Roman" w:cs="Times New Roman"/>
        </w:rPr>
      </w:pPr>
      <w:proofErr w:type="spellStart"/>
      <w:r w:rsidRPr="00E350A1">
        <w:rPr>
          <w:rFonts w:ascii="Times New Roman" w:hAnsi="Times New Roman" w:cs="Times New Roman"/>
        </w:rPr>
        <w:t>Triandis</w:t>
      </w:r>
      <w:proofErr w:type="spellEnd"/>
      <w:r w:rsidRPr="00E350A1">
        <w:rPr>
          <w:rFonts w:ascii="Times New Roman" w:hAnsi="Times New Roman" w:cs="Times New Roman"/>
        </w:rPr>
        <w:t xml:space="preserve">, H. C. (1995). </w:t>
      </w:r>
      <w:r w:rsidRPr="00E350A1">
        <w:rPr>
          <w:rFonts w:ascii="Times New Roman" w:hAnsi="Times New Roman" w:cs="Times New Roman"/>
          <w:i/>
          <w:iCs/>
        </w:rPr>
        <w:t>Individualism and collectivism</w:t>
      </w:r>
      <w:r w:rsidRPr="00E350A1">
        <w:rPr>
          <w:rFonts w:ascii="Times New Roman" w:hAnsi="Times New Roman" w:cs="Times New Roman"/>
        </w:rPr>
        <w:t xml:space="preserve">. Routledge. </w:t>
      </w:r>
      <w:hyperlink r:id="rId65" w:history="1">
        <w:r w:rsidRPr="00E350A1">
          <w:rPr>
            <w:rStyle w:val="Hyperlink"/>
            <w:rFonts w:ascii="Times New Roman" w:hAnsi="Times New Roman" w:cs="Times New Roman"/>
          </w:rPr>
          <w:t>https://doi.org/10.4324/9780429499845</w:t>
        </w:r>
      </w:hyperlink>
      <w:r w:rsidRPr="00E350A1">
        <w:rPr>
          <w:rFonts w:ascii="Times New Roman" w:hAnsi="Times New Roman" w:cs="Times New Roman"/>
        </w:rPr>
        <w:t xml:space="preserve"> </w:t>
      </w:r>
    </w:p>
    <w:p w14:paraId="75ABAC0D"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Throsby, D. (1999). Cultural capital. </w:t>
      </w:r>
      <w:r w:rsidRPr="00E350A1">
        <w:rPr>
          <w:rFonts w:ascii="Times New Roman" w:hAnsi="Times New Roman" w:cs="Times New Roman"/>
          <w:i/>
          <w:iCs/>
        </w:rPr>
        <w:t>Journal of cultural economics, 23</w:t>
      </w:r>
      <w:r w:rsidRPr="00E350A1">
        <w:rPr>
          <w:rFonts w:ascii="Times New Roman" w:hAnsi="Times New Roman" w:cs="Times New Roman"/>
        </w:rPr>
        <w:t xml:space="preserve">(1), 3-12. </w:t>
      </w:r>
      <w:hyperlink r:id="rId66" w:history="1">
        <w:r w:rsidRPr="00E350A1">
          <w:rPr>
            <w:rStyle w:val="Hyperlink"/>
            <w:rFonts w:ascii="Times New Roman" w:hAnsi="Times New Roman" w:cs="Times New Roman"/>
          </w:rPr>
          <w:t>https://doi.org/10.1023/A:1007543313370</w:t>
        </w:r>
      </w:hyperlink>
    </w:p>
    <w:p w14:paraId="55F45DD7"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Warburton, J. R. and Gooch, M. J. (2007). Stewardship Volunteering by Older Australians: </w:t>
      </w:r>
      <w:proofErr w:type="gramStart"/>
      <w:r w:rsidRPr="00E350A1">
        <w:rPr>
          <w:rFonts w:ascii="Times New Roman" w:hAnsi="Times New Roman" w:cs="Times New Roman"/>
        </w:rPr>
        <w:t>the</w:t>
      </w:r>
      <w:proofErr w:type="gramEnd"/>
      <w:r w:rsidRPr="00E350A1">
        <w:rPr>
          <w:rFonts w:ascii="Times New Roman" w:hAnsi="Times New Roman" w:cs="Times New Roman"/>
        </w:rPr>
        <w:t xml:space="preserve"> Generative Response. </w:t>
      </w:r>
      <w:r w:rsidRPr="00E350A1">
        <w:rPr>
          <w:rFonts w:ascii="Times New Roman" w:hAnsi="Times New Roman" w:cs="Times New Roman"/>
          <w:i/>
          <w:iCs/>
        </w:rPr>
        <w:t>Local Environment, 12</w:t>
      </w:r>
      <w:r w:rsidRPr="00E350A1">
        <w:rPr>
          <w:rFonts w:ascii="Times New Roman" w:hAnsi="Times New Roman" w:cs="Times New Roman"/>
        </w:rPr>
        <w:t xml:space="preserve">(1) 43-56. </w:t>
      </w:r>
      <w:hyperlink r:id="rId67" w:history="1">
        <w:r w:rsidRPr="00E350A1">
          <w:rPr>
            <w:rStyle w:val="Hyperlink"/>
            <w:rFonts w:ascii="Times New Roman" w:hAnsi="Times New Roman" w:cs="Times New Roman"/>
          </w:rPr>
          <w:t>https://doi.org/10.1080/13549830601098230</w:t>
        </w:r>
      </w:hyperlink>
      <w:r w:rsidRPr="00E350A1">
        <w:rPr>
          <w:rFonts w:ascii="Times New Roman" w:hAnsi="Times New Roman" w:cs="Times New Roman"/>
        </w:rPr>
        <w:t xml:space="preserve"> </w:t>
      </w:r>
    </w:p>
    <w:p w14:paraId="1AC0E955"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Wilson, J. (2012). Volunteerism research: A review essay. </w:t>
      </w:r>
      <w:r w:rsidRPr="00E350A1">
        <w:rPr>
          <w:rFonts w:ascii="Times New Roman" w:hAnsi="Times New Roman" w:cs="Times New Roman"/>
          <w:i/>
          <w:iCs/>
        </w:rPr>
        <w:t>Nonprofit and Voluntary Sector Quarterly, 41</w:t>
      </w:r>
      <w:r w:rsidRPr="00E350A1">
        <w:rPr>
          <w:rFonts w:ascii="Times New Roman" w:hAnsi="Times New Roman" w:cs="Times New Roman"/>
        </w:rPr>
        <w:t xml:space="preserve">(2), 176-212. </w:t>
      </w:r>
      <w:hyperlink r:id="rId68" w:history="1">
        <w:r w:rsidRPr="00E350A1">
          <w:rPr>
            <w:rStyle w:val="Hyperlink"/>
            <w:rFonts w:ascii="Times New Roman" w:hAnsi="Times New Roman" w:cs="Times New Roman"/>
          </w:rPr>
          <w:t>https://doi.org/10.1177/0899764011434558</w:t>
        </w:r>
      </w:hyperlink>
      <w:r w:rsidRPr="00E350A1">
        <w:rPr>
          <w:rFonts w:ascii="Times New Roman" w:hAnsi="Times New Roman" w:cs="Times New Roman"/>
        </w:rPr>
        <w:t xml:space="preserve"> </w:t>
      </w:r>
    </w:p>
    <w:p w14:paraId="75C42EC1"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Wilson, J., and Musick, M. (1997). Who cares? Toward an integrated theory of volunteer work. </w:t>
      </w:r>
      <w:r w:rsidRPr="00E350A1">
        <w:rPr>
          <w:rFonts w:ascii="Times New Roman" w:hAnsi="Times New Roman" w:cs="Times New Roman"/>
          <w:i/>
          <w:iCs/>
        </w:rPr>
        <w:t>American Sociological Review, 62</w:t>
      </w:r>
      <w:r w:rsidRPr="00E350A1">
        <w:rPr>
          <w:rFonts w:ascii="Times New Roman" w:hAnsi="Times New Roman" w:cs="Times New Roman"/>
        </w:rPr>
        <w:t xml:space="preserve">(5), 694-713. </w:t>
      </w:r>
      <w:hyperlink r:id="rId69" w:history="1">
        <w:r w:rsidRPr="00E350A1">
          <w:rPr>
            <w:rStyle w:val="Hyperlink"/>
            <w:rFonts w:ascii="Times New Roman" w:hAnsi="Times New Roman" w:cs="Times New Roman"/>
          </w:rPr>
          <w:t>https://doi.org/10.2307/2657355</w:t>
        </w:r>
      </w:hyperlink>
      <w:r w:rsidRPr="00E350A1">
        <w:rPr>
          <w:rFonts w:ascii="Times New Roman" w:hAnsi="Times New Roman" w:cs="Times New Roman"/>
        </w:rPr>
        <w:t xml:space="preserve"> </w:t>
      </w:r>
    </w:p>
    <w:p w14:paraId="024289E5" w14:textId="77777777" w:rsidR="00D30350" w:rsidRPr="00E350A1"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Xiao, C., Patrician, P. A., Montgomery, A. P., Wang, Y., Jablonski, R., and </w:t>
      </w:r>
      <w:proofErr w:type="spellStart"/>
      <w:r w:rsidRPr="00E350A1">
        <w:rPr>
          <w:rFonts w:ascii="Times New Roman" w:hAnsi="Times New Roman" w:cs="Times New Roman"/>
        </w:rPr>
        <w:t>Markaki</w:t>
      </w:r>
      <w:proofErr w:type="spellEnd"/>
      <w:r w:rsidRPr="00E350A1">
        <w:rPr>
          <w:rFonts w:ascii="Times New Roman" w:hAnsi="Times New Roman" w:cs="Times New Roman"/>
        </w:rPr>
        <w:t xml:space="preserve">, A. (2024). Filial piety and older adult caregiving among Chinese and </w:t>
      </w:r>
      <w:proofErr w:type="gramStart"/>
      <w:r w:rsidRPr="00E350A1">
        <w:rPr>
          <w:rFonts w:ascii="Times New Roman" w:hAnsi="Times New Roman" w:cs="Times New Roman"/>
        </w:rPr>
        <w:t>Chinese-American</w:t>
      </w:r>
      <w:proofErr w:type="gramEnd"/>
      <w:r w:rsidRPr="00E350A1">
        <w:rPr>
          <w:rFonts w:ascii="Times New Roman" w:hAnsi="Times New Roman" w:cs="Times New Roman"/>
        </w:rPr>
        <w:t xml:space="preserve"> families in </w:t>
      </w:r>
      <w:r w:rsidRPr="00E350A1">
        <w:rPr>
          <w:rFonts w:ascii="Times New Roman" w:hAnsi="Times New Roman" w:cs="Times New Roman"/>
        </w:rPr>
        <w:lastRenderedPageBreak/>
        <w:t xml:space="preserve">the United States: a concept analysis. </w:t>
      </w:r>
      <w:r w:rsidRPr="00E350A1">
        <w:rPr>
          <w:rFonts w:ascii="Times New Roman" w:hAnsi="Times New Roman" w:cs="Times New Roman"/>
          <w:i/>
          <w:iCs/>
        </w:rPr>
        <w:t>BMC nursing, 23</w:t>
      </w:r>
      <w:r w:rsidRPr="00E350A1">
        <w:rPr>
          <w:rFonts w:ascii="Times New Roman" w:hAnsi="Times New Roman" w:cs="Times New Roman"/>
        </w:rPr>
        <w:t xml:space="preserve">(1), 115. </w:t>
      </w:r>
      <w:hyperlink r:id="rId70" w:history="1">
        <w:r w:rsidRPr="00E350A1">
          <w:rPr>
            <w:rStyle w:val="Hyperlink"/>
            <w:rFonts w:ascii="Times New Roman" w:hAnsi="Times New Roman" w:cs="Times New Roman"/>
          </w:rPr>
          <w:t>https://doi.org/10.1186/s12912-024-01789-0</w:t>
        </w:r>
      </w:hyperlink>
      <w:r w:rsidRPr="00E350A1">
        <w:rPr>
          <w:rFonts w:ascii="Times New Roman" w:hAnsi="Times New Roman" w:cs="Times New Roman"/>
        </w:rPr>
        <w:t xml:space="preserve"> </w:t>
      </w:r>
    </w:p>
    <w:p w14:paraId="10812592" w14:textId="0DFE90CE" w:rsidR="009178EC" w:rsidRPr="00D30350" w:rsidRDefault="00D30350" w:rsidP="00D30350">
      <w:pPr>
        <w:spacing w:after="120" w:line="276" w:lineRule="auto"/>
        <w:ind w:left="720" w:hanging="720"/>
        <w:rPr>
          <w:rFonts w:ascii="Times New Roman" w:hAnsi="Times New Roman" w:cs="Times New Roman"/>
        </w:rPr>
      </w:pPr>
      <w:r w:rsidRPr="00E350A1">
        <w:rPr>
          <w:rFonts w:ascii="Times New Roman" w:hAnsi="Times New Roman" w:cs="Times New Roman"/>
        </w:rPr>
        <w:t xml:space="preserve">Zhou, M. (1992). </w:t>
      </w:r>
      <w:r w:rsidRPr="00E350A1">
        <w:rPr>
          <w:rFonts w:ascii="Times New Roman" w:hAnsi="Times New Roman" w:cs="Times New Roman"/>
          <w:i/>
          <w:iCs/>
        </w:rPr>
        <w:t>Chinatown: The socioeconomic potential of an urban enclave</w:t>
      </w:r>
      <w:r w:rsidRPr="00E350A1">
        <w:rPr>
          <w:rFonts w:ascii="Times New Roman" w:hAnsi="Times New Roman" w:cs="Times New Roman"/>
        </w:rPr>
        <w:t>. Temple University Press.</w:t>
      </w:r>
    </w:p>
    <w:sectPr w:rsidR="009178EC" w:rsidRPr="00D30350" w:rsidSect="00D303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00E69"/>
    <w:multiLevelType w:val="hybridMultilevel"/>
    <w:tmpl w:val="ECE25B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C597371"/>
    <w:multiLevelType w:val="hybridMultilevel"/>
    <w:tmpl w:val="1C4E56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92999529">
    <w:abstractNumId w:val="0"/>
  </w:num>
  <w:num w:numId="2" w16cid:durableId="1413354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350"/>
    <w:rsid w:val="0017545E"/>
    <w:rsid w:val="002C44F9"/>
    <w:rsid w:val="00300510"/>
    <w:rsid w:val="00450F78"/>
    <w:rsid w:val="008C5864"/>
    <w:rsid w:val="009178EC"/>
    <w:rsid w:val="009F18A4"/>
    <w:rsid w:val="00D30350"/>
    <w:rsid w:val="00D645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91E6A46"/>
  <w15:chartTrackingRefBased/>
  <w15:docId w15:val="{AE9D63A7-DFFB-844B-8208-8A8F0E45E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350"/>
  </w:style>
  <w:style w:type="paragraph" w:styleId="Heading1">
    <w:name w:val="heading 1"/>
    <w:basedOn w:val="Normal"/>
    <w:next w:val="Normal"/>
    <w:link w:val="Heading1Char"/>
    <w:uiPriority w:val="9"/>
    <w:qFormat/>
    <w:rsid w:val="00D303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303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303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303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03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03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03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03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03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03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303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303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303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03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03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03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03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0350"/>
    <w:rPr>
      <w:rFonts w:eastAsiaTheme="majorEastAsia" w:cstheme="majorBidi"/>
      <w:color w:val="272727" w:themeColor="text1" w:themeTint="D8"/>
    </w:rPr>
  </w:style>
  <w:style w:type="paragraph" w:styleId="Title">
    <w:name w:val="Title"/>
    <w:basedOn w:val="Normal"/>
    <w:next w:val="Normal"/>
    <w:link w:val="TitleChar"/>
    <w:uiPriority w:val="10"/>
    <w:qFormat/>
    <w:rsid w:val="00D303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03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03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03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0350"/>
    <w:pPr>
      <w:spacing w:before="160"/>
      <w:jc w:val="center"/>
    </w:pPr>
    <w:rPr>
      <w:i/>
      <w:iCs/>
      <w:color w:val="404040" w:themeColor="text1" w:themeTint="BF"/>
    </w:rPr>
  </w:style>
  <w:style w:type="character" w:customStyle="1" w:styleId="QuoteChar">
    <w:name w:val="Quote Char"/>
    <w:basedOn w:val="DefaultParagraphFont"/>
    <w:link w:val="Quote"/>
    <w:uiPriority w:val="29"/>
    <w:rsid w:val="00D30350"/>
    <w:rPr>
      <w:i/>
      <w:iCs/>
      <w:color w:val="404040" w:themeColor="text1" w:themeTint="BF"/>
    </w:rPr>
  </w:style>
  <w:style w:type="paragraph" w:styleId="ListParagraph">
    <w:name w:val="List Paragraph"/>
    <w:basedOn w:val="Normal"/>
    <w:uiPriority w:val="34"/>
    <w:qFormat/>
    <w:rsid w:val="00D30350"/>
    <w:pPr>
      <w:ind w:left="720"/>
      <w:contextualSpacing/>
    </w:pPr>
  </w:style>
  <w:style w:type="character" w:styleId="IntenseEmphasis">
    <w:name w:val="Intense Emphasis"/>
    <w:basedOn w:val="DefaultParagraphFont"/>
    <w:uiPriority w:val="21"/>
    <w:qFormat/>
    <w:rsid w:val="00D30350"/>
    <w:rPr>
      <w:i/>
      <w:iCs/>
      <w:color w:val="0F4761" w:themeColor="accent1" w:themeShade="BF"/>
    </w:rPr>
  </w:style>
  <w:style w:type="paragraph" w:styleId="IntenseQuote">
    <w:name w:val="Intense Quote"/>
    <w:basedOn w:val="Normal"/>
    <w:next w:val="Normal"/>
    <w:link w:val="IntenseQuoteChar"/>
    <w:uiPriority w:val="30"/>
    <w:qFormat/>
    <w:rsid w:val="00D303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0350"/>
    <w:rPr>
      <w:i/>
      <w:iCs/>
      <w:color w:val="0F4761" w:themeColor="accent1" w:themeShade="BF"/>
    </w:rPr>
  </w:style>
  <w:style w:type="character" w:styleId="IntenseReference">
    <w:name w:val="Intense Reference"/>
    <w:basedOn w:val="DefaultParagraphFont"/>
    <w:uiPriority w:val="32"/>
    <w:qFormat/>
    <w:rsid w:val="00D30350"/>
    <w:rPr>
      <w:b/>
      <w:bCs/>
      <w:smallCaps/>
      <w:color w:val="0F4761" w:themeColor="accent1" w:themeShade="BF"/>
      <w:spacing w:val="5"/>
    </w:rPr>
  </w:style>
  <w:style w:type="paragraph" w:customStyle="1" w:styleId="hotel-reservation-summaryinfo">
    <w:name w:val="hotel-reservation-summary__info"/>
    <w:basedOn w:val="Normal"/>
    <w:rsid w:val="00D3035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reservationpanel-moduleconfirmationnumber--otcyn">
    <w:name w:val="reservationpanel-module__confirmationnumber--otcyn"/>
    <w:basedOn w:val="DefaultParagraphFont"/>
    <w:rsid w:val="00D30350"/>
  </w:style>
  <w:style w:type="character" w:styleId="Strong">
    <w:name w:val="Strong"/>
    <w:basedOn w:val="DefaultParagraphFont"/>
    <w:uiPriority w:val="22"/>
    <w:qFormat/>
    <w:rsid w:val="00D30350"/>
    <w:rPr>
      <w:b/>
      <w:bCs/>
    </w:rPr>
  </w:style>
  <w:style w:type="character" w:customStyle="1" w:styleId="sapcnqr-objecttext">
    <w:name w:val="sapcnqr-object__text"/>
    <w:basedOn w:val="DefaultParagraphFont"/>
    <w:rsid w:val="00D30350"/>
  </w:style>
  <w:style w:type="character" w:customStyle="1" w:styleId="sapcnqr-objectscreen-reader-only">
    <w:name w:val="sapcnqr-object__screen-reader-only"/>
    <w:basedOn w:val="DefaultParagraphFont"/>
    <w:rsid w:val="00D30350"/>
  </w:style>
  <w:style w:type="paragraph" w:styleId="NormalWeb">
    <w:name w:val="Normal (Web)"/>
    <w:basedOn w:val="Normal"/>
    <w:uiPriority w:val="99"/>
    <w:unhideWhenUsed/>
    <w:rsid w:val="00D3035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aragraph">
    <w:name w:val="paragraph"/>
    <w:basedOn w:val="Normal"/>
    <w:rsid w:val="00D3035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30350"/>
  </w:style>
  <w:style w:type="character" w:customStyle="1" w:styleId="eop">
    <w:name w:val="eop"/>
    <w:basedOn w:val="DefaultParagraphFont"/>
    <w:rsid w:val="00D30350"/>
  </w:style>
  <w:style w:type="paragraph" w:styleId="Revision">
    <w:name w:val="Revision"/>
    <w:hidden/>
    <w:uiPriority w:val="99"/>
    <w:semiHidden/>
    <w:rsid w:val="00D30350"/>
    <w:pPr>
      <w:spacing w:after="0" w:line="240" w:lineRule="auto"/>
    </w:pPr>
  </w:style>
  <w:style w:type="character" w:styleId="CommentReference">
    <w:name w:val="annotation reference"/>
    <w:basedOn w:val="DefaultParagraphFont"/>
    <w:uiPriority w:val="99"/>
    <w:semiHidden/>
    <w:unhideWhenUsed/>
    <w:rsid w:val="00D30350"/>
    <w:rPr>
      <w:sz w:val="16"/>
      <w:szCs w:val="16"/>
    </w:rPr>
  </w:style>
  <w:style w:type="paragraph" w:styleId="CommentText">
    <w:name w:val="annotation text"/>
    <w:basedOn w:val="Normal"/>
    <w:link w:val="CommentTextChar"/>
    <w:uiPriority w:val="99"/>
    <w:semiHidden/>
    <w:unhideWhenUsed/>
    <w:rsid w:val="00D30350"/>
    <w:pPr>
      <w:spacing w:line="240" w:lineRule="auto"/>
    </w:pPr>
    <w:rPr>
      <w:sz w:val="20"/>
      <w:szCs w:val="20"/>
    </w:rPr>
  </w:style>
  <w:style w:type="character" w:customStyle="1" w:styleId="CommentTextChar">
    <w:name w:val="Comment Text Char"/>
    <w:basedOn w:val="DefaultParagraphFont"/>
    <w:link w:val="CommentText"/>
    <w:uiPriority w:val="99"/>
    <w:semiHidden/>
    <w:rsid w:val="00D30350"/>
    <w:rPr>
      <w:sz w:val="20"/>
      <w:szCs w:val="20"/>
    </w:rPr>
  </w:style>
  <w:style w:type="paragraph" w:styleId="CommentSubject">
    <w:name w:val="annotation subject"/>
    <w:basedOn w:val="CommentText"/>
    <w:next w:val="CommentText"/>
    <w:link w:val="CommentSubjectChar"/>
    <w:uiPriority w:val="99"/>
    <w:semiHidden/>
    <w:unhideWhenUsed/>
    <w:rsid w:val="00D30350"/>
    <w:rPr>
      <w:b/>
      <w:bCs/>
    </w:rPr>
  </w:style>
  <w:style w:type="character" w:customStyle="1" w:styleId="CommentSubjectChar">
    <w:name w:val="Comment Subject Char"/>
    <w:basedOn w:val="CommentTextChar"/>
    <w:link w:val="CommentSubject"/>
    <w:uiPriority w:val="99"/>
    <w:semiHidden/>
    <w:rsid w:val="00D30350"/>
    <w:rPr>
      <w:b/>
      <w:bCs/>
      <w:sz w:val="20"/>
      <w:szCs w:val="20"/>
    </w:rPr>
  </w:style>
  <w:style w:type="character" w:styleId="Hyperlink">
    <w:name w:val="Hyperlink"/>
    <w:basedOn w:val="DefaultParagraphFont"/>
    <w:uiPriority w:val="99"/>
    <w:unhideWhenUsed/>
    <w:rsid w:val="00D30350"/>
    <w:rPr>
      <w:color w:val="467886"/>
      <w:u w:val="single"/>
    </w:rPr>
  </w:style>
  <w:style w:type="character" w:styleId="FollowedHyperlink">
    <w:name w:val="FollowedHyperlink"/>
    <w:basedOn w:val="DefaultParagraphFont"/>
    <w:uiPriority w:val="99"/>
    <w:semiHidden/>
    <w:unhideWhenUsed/>
    <w:rsid w:val="00D30350"/>
    <w:rPr>
      <w:color w:val="96607D" w:themeColor="followedHyperlink"/>
      <w:u w:val="single"/>
    </w:rPr>
  </w:style>
  <w:style w:type="character" w:styleId="UnresolvedMention">
    <w:name w:val="Unresolved Mention"/>
    <w:basedOn w:val="DefaultParagraphFont"/>
    <w:uiPriority w:val="99"/>
    <w:semiHidden/>
    <w:unhideWhenUsed/>
    <w:rsid w:val="00D30350"/>
    <w:rPr>
      <w:color w:val="605E5C"/>
      <w:shd w:val="clear" w:color="auto" w:fill="E1DFDD"/>
    </w:rPr>
  </w:style>
  <w:style w:type="paragraph" w:styleId="Bibliography">
    <w:name w:val="Bibliography"/>
    <w:basedOn w:val="Normal"/>
    <w:next w:val="Normal"/>
    <w:uiPriority w:val="37"/>
    <w:unhideWhenUsed/>
    <w:rsid w:val="00D30350"/>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4324/9781315775357" TargetMode="External"/><Relationship Id="rId21" Type="http://schemas.openxmlformats.org/officeDocument/2006/relationships/hyperlink" Target="https://doi.org/10.1186/1471-2288-13-131" TargetMode="External"/><Relationship Id="rId42" Type="http://schemas.openxmlformats.org/officeDocument/2006/relationships/hyperlink" Target="https://doi.org/10.1017/S0144686X20000082" TargetMode="External"/><Relationship Id="rId47" Type="http://schemas.openxmlformats.org/officeDocument/2006/relationships/hyperlink" Target="https://doi.org/10.1017/S1478951522000451" TargetMode="External"/><Relationship Id="rId63" Type="http://schemas.openxmlformats.org/officeDocument/2006/relationships/hyperlink" Target="https://doi.org/10.4324/9780203505984-16" TargetMode="External"/><Relationship Id="rId68" Type="http://schemas.openxmlformats.org/officeDocument/2006/relationships/hyperlink" Target="https://doi.org/10.1177/0899764011434558" TargetMode="External"/><Relationship Id="rId7" Type="http://schemas.openxmlformats.org/officeDocument/2006/relationships/hyperlink" Target="http://permissions@emerald.com"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177/07334648251396305" TargetMode="External"/><Relationship Id="rId29" Type="http://schemas.openxmlformats.org/officeDocument/2006/relationships/hyperlink" Target="https://doi.org/10.1177/089976400832445" TargetMode="External"/><Relationship Id="rId11" Type="http://schemas.openxmlformats.org/officeDocument/2006/relationships/hyperlink" Target="mailto:patricklai@ou.edu" TargetMode="External"/><Relationship Id="rId24" Type="http://schemas.openxmlformats.org/officeDocument/2006/relationships/hyperlink" Target="https://www.gov.uk/government/statistics/community-life-survey-202324-annual-publication/community-life-survey-202324-volunteering-and-charitable-giving" TargetMode="External"/><Relationship Id="rId32" Type="http://schemas.openxmlformats.org/officeDocument/2006/relationships/hyperlink" Target="https://doi.org/10.1037/0003-066x.58.1.64" TargetMode="External"/><Relationship Id="rId37" Type="http://schemas.openxmlformats.org/officeDocument/2006/relationships/hyperlink" Target="https://doi.org/10.1093/geroni/igaf122.1075" TargetMode="External"/><Relationship Id="rId40" Type="http://schemas.openxmlformats.org/officeDocument/2006/relationships/hyperlink" Target="https://doi.org/10.1146/annurev.soc.28.110601.141107" TargetMode="External"/><Relationship Id="rId45" Type="http://schemas.openxmlformats.org/officeDocument/2006/relationships/hyperlink" Target="https://doi.org/10.1186/s12874-018-0611-x" TargetMode="External"/><Relationship Id="rId53" Type="http://schemas.openxmlformats.org/officeDocument/2006/relationships/hyperlink" Target="https://doi.org/10.1145/358916.361990" TargetMode="External"/><Relationship Id="rId58" Type="http://schemas.openxmlformats.org/officeDocument/2006/relationships/hyperlink" Target="https://doi.org/10.1007/978-0-306-48247-2_4" TargetMode="External"/><Relationship Id="rId66" Type="http://schemas.openxmlformats.org/officeDocument/2006/relationships/hyperlink" Target="https://doi.org/10.1023/A:1007543313370" TargetMode="External"/><Relationship Id="rId5" Type="http://schemas.openxmlformats.org/officeDocument/2006/relationships/hyperlink" Target="https://doi.org/10.1108/QAOA-01-2026-0005" TargetMode="External"/><Relationship Id="rId61" Type="http://schemas.openxmlformats.org/officeDocument/2006/relationships/hyperlink" Target="https://doi.org/10.1007/s11266-012-9268-y" TargetMode="External"/><Relationship Id="rId19" Type="http://schemas.openxmlformats.org/officeDocument/2006/relationships/hyperlink" Target="https://doi.org/10.1080/026999497378467" TargetMode="External"/><Relationship Id="rId14" Type="http://schemas.openxmlformats.org/officeDocument/2006/relationships/hyperlink" Target="mailto:patricklai@ou.edu" TargetMode="External"/><Relationship Id="rId22" Type="http://schemas.openxmlformats.org/officeDocument/2006/relationships/hyperlink" Target="https://doi.org/10.1093/esr/jcq043" TargetMode="External"/><Relationship Id="rId27" Type="http://schemas.openxmlformats.org/officeDocument/2006/relationships/hyperlink" Target="https://doi.org/10.1177/0899764010385949" TargetMode="External"/><Relationship Id="rId30" Type="http://schemas.openxmlformats.org/officeDocument/2006/relationships/hyperlink" Target="https://doi.org/10.3143/geriatrics.40.390" TargetMode="External"/><Relationship Id="rId35" Type="http://schemas.openxmlformats.org/officeDocument/2006/relationships/hyperlink" Target="https://doi.org/10.21926/obm.geriatr.2504329" TargetMode="External"/><Relationship Id="rId43" Type="http://schemas.openxmlformats.org/officeDocument/2006/relationships/hyperlink" Target="https://doi.org/10.1037/0033-295X.98.2.224" TargetMode="External"/><Relationship Id="rId48" Type="http://schemas.openxmlformats.org/officeDocument/2006/relationships/hyperlink" Target="https://doi.org/10.1086/223965" TargetMode="External"/><Relationship Id="rId56" Type="http://schemas.openxmlformats.org/officeDocument/2006/relationships/hyperlink" Target="https://doi.org/10.1111/j.1467-8292.2011.00437.x" TargetMode="External"/><Relationship Id="rId64" Type="http://schemas.openxmlformats.org/officeDocument/2006/relationships/hyperlink" Target="https://doi.org/10.1016/S0890-4065(02)00048-8" TargetMode="External"/><Relationship Id="rId69" Type="http://schemas.openxmlformats.org/officeDocument/2006/relationships/hyperlink" Target="https://doi.org/10.2307/2657355" TargetMode="External"/><Relationship Id="rId8" Type="http://schemas.openxmlformats.org/officeDocument/2006/relationships/image" Target="media/image1.png"/><Relationship Id="rId51" Type="http://schemas.openxmlformats.org/officeDocument/2006/relationships/hyperlink" Target="https://doi.org/10.1080/08952841.2022.2095965"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mailto:patricklairesearch@gmail.com" TargetMode="External"/><Relationship Id="rId17" Type="http://schemas.openxmlformats.org/officeDocument/2006/relationships/hyperlink" Target="https://doi.org/10.2307/1192266" TargetMode="External"/><Relationship Id="rId25" Type="http://schemas.openxmlformats.org/officeDocument/2006/relationships/hyperlink" Target="https://doi.org/10.2307/2095101" TargetMode="External"/><Relationship Id="rId33" Type="http://schemas.openxmlformats.org/officeDocument/2006/relationships/hyperlink" Target="https://doi.org/10.1017/CBO9781107295636" TargetMode="External"/><Relationship Id="rId38" Type="http://schemas.openxmlformats.org/officeDocument/2006/relationships/hyperlink" Target="https://doi.org/10.1093/geroni/igab046.086" TargetMode="External"/><Relationship Id="rId46" Type="http://schemas.openxmlformats.org/officeDocument/2006/relationships/hyperlink" Target="https://doi.org/10.1093/sf/78.4.1539" TargetMode="External"/><Relationship Id="rId59" Type="http://schemas.openxmlformats.org/officeDocument/2006/relationships/hyperlink" Target="https://doi.org/doi:10.2196/71810" TargetMode="External"/><Relationship Id="rId67" Type="http://schemas.openxmlformats.org/officeDocument/2006/relationships/hyperlink" Target="https://doi.org/10.1080/13549830601098230" TargetMode="External"/><Relationship Id="rId20" Type="http://schemas.openxmlformats.org/officeDocument/2006/relationships/hyperlink" Target="https://doi.org/10.1017/CBO9780511616037" TargetMode="External"/><Relationship Id="rId41" Type="http://schemas.openxmlformats.org/officeDocument/2006/relationships/hyperlink" Target="https://doi.org/10.1007/s11266-010-9176-y" TargetMode="External"/><Relationship Id="rId54" Type="http://schemas.openxmlformats.org/officeDocument/2006/relationships/hyperlink" Target="https://doi.org/10.3389/frobt.2022.1011327" TargetMode="External"/><Relationship Id="rId62" Type="http://schemas.openxmlformats.org/officeDocument/2006/relationships/hyperlink" Target="https://doi.org/10.2307/2095521" TargetMode="External"/><Relationship Id="rId70" Type="http://schemas.openxmlformats.org/officeDocument/2006/relationships/hyperlink" Target="https://doi.org/10.1186/s12912-024-01789-0" TargetMode="External"/><Relationship Id="rId1" Type="http://schemas.openxmlformats.org/officeDocument/2006/relationships/numbering" Target="numbering.xml"/><Relationship Id="rId6" Type="http://schemas.openxmlformats.org/officeDocument/2006/relationships/hyperlink" Target="https://doi.org/10.1108/QAOA-01-2026-0005" TargetMode="External"/><Relationship Id="rId15" Type="http://schemas.openxmlformats.org/officeDocument/2006/relationships/hyperlink" Target="mailto:patricklairesearch@gmail.com" TargetMode="External"/><Relationship Id="rId23" Type="http://schemas.openxmlformats.org/officeDocument/2006/relationships/hyperlink" Target="https://www.jstor.org/stable/20182591" TargetMode="External"/><Relationship Id="rId28" Type="http://schemas.openxmlformats.org/officeDocument/2006/relationships/hyperlink" Target="https://bit.ly/3yLKK1H" TargetMode="External"/><Relationship Id="rId36" Type="http://schemas.openxmlformats.org/officeDocument/2006/relationships/hyperlink" Target="https://doi.org/10.1093/geronb/57.6.s332" TargetMode="External"/><Relationship Id="rId49" Type="http://schemas.openxmlformats.org/officeDocument/2006/relationships/hyperlink" Target="https://doi.org/10.1017/S0714980824000229" TargetMode="External"/><Relationship Id="rId57" Type="http://schemas.openxmlformats.org/officeDocument/2006/relationships/hyperlink" Target="https://doi.org/10.1016/S0065-2601(08)60281-6" TargetMode="External"/><Relationship Id="rId10" Type="http://schemas.openxmlformats.org/officeDocument/2006/relationships/hyperlink" Target="https://orcid.org/0009-0009-9109-1510" TargetMode="External"/><Relationship Id="rId31" Type="http://schemas.openxmlformats.org/officeDocument/2006/relationships/hyperlink" Target="https://doi.org/10.1079/9780851995038.0109" TargetMode="External"/><Relationship Id="rId44" Type="http://schemas.openxmlformats.org/officeDocument/2006/relationships/hyperlink" Target="https://doi.org/10.1300/J051v13n04_03" TargetMode="External"/><Relationship Id="rId52" Type="http://schemas.openxmlformats.org/officeDocument/2006/relationships/hyperlink" Target="https://doi.org/10.1332/policypress/9781447307204.001.0001" TargetMode="External"/><Relationship Id="rId60" Type="http://schemas.openxmlformats.org/officeDocument/2006/relationships/hyperlink" Target="https://doi.org/10.1177/0002716210362077" TargetMode="External"/><Relationship Id="rId65" Type="http://schemas.openxmlformats.org/officeDocument/2006/relationships/hyperlink" Target="https://doi.org/10.4324/9780429499845" TargetMode="External"/><Relationship Id="rId4" Type="http://schemas.openxmlformats.org/officeDocument/2006/relationships/webSettings" Target="webSettings.xml"/><Relationship Id="rId9" Type="http://schemas.openxmlformats.org/officeDocument/2006/relationships/hyperlink" Target="https://orcid.org/0000-0003-1904-265X" TargetMode="External"/><Relationship Id="rId13" Type="http://schemas.openxmlformats.org/officeDocument/2006/relationships/hyperlink" Target="mailto:briana.Saul-1@ou.edu" TargetMode="External"/><Relationship Id="rId18" Type="http://schemas.openxmlformats.org/officeDocument/2006/relationships/hyperlink" Target="https://doi.org/10.2307/352993" TargetMode="External"/><Relationship Id="rId39" Type="http://schemas.openxmlformats.org/officeDocument/2006/relationships/hyperlink" Target="https://doi.org/10.1177/07334648251398891" TargetMode="External"/><Relationship Id="rId34" Type="http://schemas.openxmlformats.org/officeDocument/2006/relationships/hyperlink" Target="https://doi.org/10.1023/A:1023948027200" TargetMode="External"/><Relationship Id="rId50" Type="http://schemas.openxmlformats.org/officeDocument/2006/relationships/hyperlink" Target="https://doi.org/10.1111/j.1540-4560.2005.00428.x" TargetMode="External"/><Relationship Id="rId55" Type="http://schemas.openxmlformats.org/officeDocument/2006/relationships/hyperlink" Target="https://doi.org/10.1057/9780230279438_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11065</Words>
  <Characters>63074</Characters>
  <Application>Microsoft Office Word</Application>
  <DocSecurity>0</DocSecurity>
  <Lines>525</Lines>
  <Paragraphs>147</Paragraphs>
  <ScaleCrop>false</ScaleCrop>
  <Company/>
  <LinksUpToDate>false</LinksUpToDate>
  <CharactersWithSpaces>73992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 Lam Lai</dc:creator>
  <cp:keywords/>
  <dc:description/>
  <cp:lastModifiedBy>Ho Lam Lai</cp:lastModifiedBy>
  <cp:revision>2</cp:revision>
  <dcterms:created xsi:type="dcterms:W3CDTF">2026-05-26T21:43:00Z</dcterms:created>
  <dcterms:modified xsi:type="dcterms:W3CDTF">2026-05-26T21:46:00Z</dcterms:modified>
</cp:coreProperties>
</file>